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0CDE0" w14:textId="77777777" w:rsidR="00FB1D11" w:rsidRDefault="00FB1D11" w:rsidP="00FB1D11">
      <w:pPr>
        <w:spacing w:line="360" w:lineRule="auto"/>
        <w:jc w:val="right"/>
      </w:pPr>
      <w:bookmarkStart w:id="0" w:name="_GoBack"/>
      <w:bookmarkEnd w:id="0"/>
      <w:r>
        <w:t xml:space="preserve">Warszawa,   </w:t>
      </w:r>
      <w:r w:rsidR="00502E4F">
        <w:t xml:space="preserve">      </w:t>
      </w:r>
      <w:r>
        <w:t xml:space="preserve">  marca 2022 r.</w:t>
      </w:r>
    </w:p>
    <w:p w14:paraId="1046C473" w14:textId="77777777" w:rsidR="00FB1D11" w:rsidRDefault="00FB1D11" w:rsidP="00FB1D11">
      <w:pPr>
        <w:spacing w:line="360" w:lineRule="auto"/>
        <w:jc w:val="right"/>
      </w:pPr>
    </w:p>
    <w:p w14:paraId="05EB1A7E" w14:textId="77777777" w:rsidR="00FB1D11" w:rsidRDefault="00FB1D11" w:rsidP="00FB1D11">
      <w:pPr>
        <w:spacing w:line="360" w:lineRule="auto"/>
        <w:jc w:val="right"/>
      </w:pPr>
    </w:p>
    <w:p w14:paraId="2763F56B" w14:textId="77777777" w:rsidR="00FB1D11" w:rsidRDefault="00FB1D11" w:rsidP="00FB1D11">
      <w:pPr>
        <w:spacing w:line="360" w:lineRule="auto"/>
        <w:jc w:val="center"/>
        <w:rPr>
          <w:b/>
        </w:rPr>
      </w:pPr>
      <w:r w:rsidRPr="00F23EA4">
        <w:rPr>
          <w:b/>
        </w:rPr>
        <w:t xml:space="preserve">Sprawozdanie </w:t>
      </w:r>
    </w:p>
    <w:p w14:paraId="40CAD2B4" w14:textId="77777777" w:rsidR="00FB1D11" w:rsidRPr="00F23EA4" w:rsidRDefault="00FB1D11" w:rsidP="00FB1D11">
      <w:pPr>
        <w:spacing w:line="276" w:lineRule="auto"/>
        <w:jc w:val="center"/>
        <w:rPr>
          <w:b/>
        </w:rPr>
      </w:pPr>
      <w:r w:rsidRPr="00F23EA4">
        <w:rPr>
          <w:b/>
        </w:rPr>
        <w:t xml:space="preserve">z działalności Pełnomocnika Prezydenta m.st. Warszawy </w:t>
      </w:r>
      <w:r>
        <w:rPr>
          <w:b/>
        </w:rPr>
        <w:t>ds.</w:t>
      </w:r>
      <w:r w:rsidRPr="00F23EA4">
        <w:rPr>
          <w:b/>
        </w:rPr>
        <w:t xml:space="preserve"> etyki i polityki antykorupcyjnej </w:t>
      </w:r>
      <w:r>
        <w:rPr>
          <w:b/>
        </w:rPr>
        <w:br/>
      </w:r>
      <w:r w:rsidRPr="00F23EA4">
        <w:rPr>
          <w:b/>
        </w:rPr>
        <w:t>z</w:t>
      </w:r>
      <w:r>
        <w:rPr>
          <w:b/>
        </w:rPr>
        <w:t>a rok 2021</w:t>
      </w:r>
    </w:p>
    <w:p w14:paraId="40020C25" w14:textId="77777777" w:rsidR="00FB1D11" w:rsidRDefault="00FB1D11" w:rsidP="00FB1D11">
      <w:pPr>
        <w:spacing w:line="360" w:lineRule="auto"/>
        <w:rPr>
          <w:iCs/>
        </w:rPr>
      </w:pPr>
    </w:p>
    <w:p w14:paraId="2998CF98" w14:textId="77777777" w:rsidR="00FB1D11" w:rsidRDefault="00FB1D11" w:rsidP="00FB1D11">
      <w:pPr>
        <w:spacing w:line="360" w:lineRule="auto"/>
        <w:rPr>
          <w:iCs/>
        </w:rPr>
      </w:pPr>
    </w:p>
    <w:p w14:paraId="6660C020" w14:textId="77777777" w:rsidR="00FB1D11" w:rsidRPr="00AA077B" w:rsidRDefault="00FB1D11" w:rsidP="00FB1D11">
      <w:pPr>
        <w:spacing w:line="360" w:lineRule="auto"/>
        <w:jc w:val="both"/>
        <w:rPr>
          <w:b/>
          <w:iCs/>
        </w:rPr>
      </w:pPr>
      <w:r w:rsidRPr="00AA077B">
        <w:rPr>
          <w:b/>
          <w:iCs/>
        </w:rPr>
        <w:t>Podstawa prawna</w:t>
      </w:r>
    </w:p>
    <w:p w14:paraId="28B77786" w14:textId="77777777" w:rsidR="00FB1D11" w:rsidRDefault="00FB1D11" w:rsidP="00FB1D11">
      <w:pPr>
        <w:pStyle w:val="Akapitzlist"/>
        <w:numPr>
          <w:ilvl w:val="0"/>
          <w:numId w:val="5"/>
        </w:numPr>
        <w:spacing w:after="160" w:line="360" w:lineRule="auto"/>
        <w:jc w:val="both"/>
        <w:rPr>
          <w:iCs/>
        </w:rPr>
      </w:pPr>
      <w:r w:rsidRPr="00331517">
        <w:rPr>
          <w:iCs/>
        </w:rPr>
        <w:t>§ 4 pkt 16 Zarządzenia nr 864/2019 Prezydenta m.st. Warszawy z dnia 22 maja 2019 r.</w:t>
      </w:r>
      <w:r>
        <w:rPr>
          <w:iCs/>
        </w:rPr>
        <w:t xml:space="preserve"> </w:t>
      </w:r>
      <w:r w:rsidRPr="00331517">
        <w:rPr>
          <w:iCs/>
        </w:rPr>
        <w:t>w sprawie powołania Pełnomocnika Prezydenta m.st. Warszawy ds. etyki i polityki antykorupcyjnej</w:t>
      </w:r>
      <w:r>
        <w:rPr>
          <w:iCs/>
        </w:rPr>
        <w:t xml:space="preserve"> (z późn. zm.)</w:t>
      </w:r>
      <w:r w:rsidRPr="00331517">
        <w:rPr>
          <w:iCs/>
        </w:rPr>
        <w:t>.</w:t>
      </w:r>
    </w:p>
    <w:p w14:paraId="217118BD" w14:textId="77777777" w:rsidR="00FB1D11" w:rsidRPr="00331517" w:rsidRDefault="00FB1D11" w:rsidP="00FB1D11">
      <w:pPr>
        <w:pStyle w:val="Akapitzlist"/>
        <w:spacing w:line="360" w:lineRule="auto"/>
        <w:jc w:val="both"/>
        <w:rPr>
          <w:iCs/>
        </w:rPr>
      </w:pPr>
    </w:p>
    <w:p w14:paraId="0ACEC1F6" w14:textId="77777777" w:rsidR="00FB1D11" w:rsidRPr="00AA077B" w:rsidRDefault="00FB1D11" w:rsidP="00FB1D11">
      <w:pPr>
        <w:spacing w:line="360" w:lineRule="auto"/>
        <w:jc w:val="both"/>
        <w:rPr>
          <w:b/>
          <w:iCs/>
        </w:rPr>
      </w:pPr>
      <w:r>
        <w:rPr>
          <w:b/>
          <w:iCs/>
        </w:rPr>
        <w:t>System antykorupcyjny Urzędu m.st. Warszawy</w:t>
      </w:r>
    </w:p>
    <w:p w14:paraId="38F3AFCB" w14:textId="77777777" w:rsidR="00FB1D11" w:rsidRDefault="00FB1D11" w:rsidP="00FB1D11">
      <w:pPr>
        <w:spacing w:after="0" w:line="360" w:lineRule="auto"/>
        <w:jc w:val="both"/>
        <w:rPr>
          <w:iCs/>
        </w:rPr>
      </w:pPr>
      <w:r>
        <w:rPr>
          <w:iCs/>
        </w:rPr>
        <w:t xml:space="preserve">W Urzędzie m.st. Warszawy funkcjonuje kompleksowy </w:t>
      </w:r>
      <w:r w:rsidRPr="00692E52">
        <w:rPr>
          <w:iCs/>
        </w:rPr>
        <w:t xml:space="preserve">system </w:t>
      </w:r>
      <w:r>
        <w:rPr>
          <w:iCs/>
        </w:rPr>
        <w:t xml:space="preserve">antykorupcyjny, </w:t>
      </w:r>
      <w:r w:rsidRPr="00692E52">
        <w:rPr>
          <w:iCs/>
        </w:rPr>
        <w:t>ma</w:t>
      </w:r>
      <w:r>
        <w:rPr>
          <w:iCs/>
        </w:rPr>
        <w:t>jący</w:t>
      </w:r>
      <w:r w:rsidRPr="00692E52">
        <w:rPr>
          <w:iCs/>
        </w:rPr>
        <w:t xml:space="preserve"> na celu pro</w:t>
      </w:r>
      <w:r>
        <w:rPr>
          <w:iCs/>
        </w:rPr>
        <w:t>pagowanie</w:t>
      </w:r>
      <w:r w:rsidRPr="00692E52">
        <w:rPr>
          <w:iCs/>
        </w:rPr>
        <w:t xml:space="preserve"> zasad etycznego postępowania, zapobieganie </w:t>
      </w:r>
      <w:r>
        <w:rPr>
          <w:iCs/>
        </w:rPr>
        <w:t xml:space="preserve">nadużyciom, w tym korupcji </w:t>
      </w:r>
      <w:r w:rsidRPr="00692E52">
        <w:rPr>
          <w:iCs/>
        </w:rPr>
        <w:t xml:space="preserve">oraz </w:t>
      </w:r>
      <w:r>
        <w:rPr>
          <w:iCs/>
        </w:rPr>
        <w:t xml:space="preserve">ich </w:t>
      </w:r>
      <w:r w:rsidRPr="00692E52">
        <w:rPr>
          <w:iCs/>
        </w:rPr>
        <w:t>wykrywanie</w:t>
      </w:r>
      <w:r>
        <w:rPr>
          <w:iCs/>
        </w:rPr>
        <w:t>,</w:t>
      </w:r>
      <w:r w:rsidRPr="00692E52">
        <w:rPr>
          <w:iCs/>
        </w:rPr>
        <w:t xml:space="preserve"> </w:t>
      </w:r>
      <w:r>
        <w:rPr>
          <w:iCs/>
        </w:rPr>
        <w:t>wspomagając w ten sposób realizację</w:t>
      </w:r>
      <w:r w:rsidRPr="00692E52">
        <w:rPr>
          <w:iCs/>
        </w:rPr>
        <w:t xml:space="preserve"> celów i zadań samorządu </w:t>
      </w:r>
      <w:r>
        <w:rPr>
          <w:iCs/>
        </w:rPr>
        <w:t>według najwyższych standardów. Kluczowymi elementami systemu są:</w:t>
      </w:r>
    </w:p>
    <w:p w14:paraId="77ABC5C6" w14:textId="77777777" w:rsidR="00FB1D11" w:rsidRPr="00105B16" w:rsidRDefault="00FB1D11" w:rsidP="00FB1D11">
      <w:pPr>
        <w:pStyle w:val="Akapitzlist"/>
        <w:numPr>
          <w:ilvl w:val="0"/>
          <w:numId w:val="6"/>
        </w:numPr>
        <w:spacing w:after="160" w:line="360" w:lineRule="auto"/>
        <w:jc w:val="both"/>
        <w:rPr>
          <w:iCs/>
        </w:rPr>
      </w:pPr>
      <w:r w:rsidRPr="00A458AC">
        <w:rPr>
          <w:bCs/>
          <w:i/>
          <w:iCs/>
        </w:rPr>
        <w:t>Kodeks etyki pracowników Urzędu m.st. Warszawy</w:t>
      </w:r>
      <w:r>
        <w:rPr>
          <w:bCs/>
          <w:iCs/>
        </w:rPr>
        <w:t xml:space="preserve">, </w:t>
      </w:r>
    </w:p>
    <w:p w14:paraId="13CF44A1" w14:textId="77777777" w:rsidR="00FB1D11" w:rsidRPr="00B87249" w:rsidRDefault="00FB1D11" w:rsidP="00FB1D11">
      <w:pPr>
        <w:pStyle w:val="Akapitzlist"/>
        <w:numPr>
          <w:ilvl w:val="0"/>
          <w:numId w:val="6"/>
        </w:numPr>
        <w:spacing w:after="160" w:line="360" w:lineRule="auto"/>
        <w:jc w:val="both"/>
        <w:rPr>
          <w:iCs/>
        </w:rPr>
      </w:pPr>
      <w:r w:rsidRPr="00A458AC">
        <w:rPr>
          <w:bCs/>
          <w:i/>
          <w:iCs/>
        </w:rPr>
        <w:t>Polityka antykorupcyjna m.st. Warszawy</w:t>
      </w:r>
      <w:r>
        <w:rPr>
          <w:bCs/>
          <w:iCs/>
        </w:rPr>
        <w:t>,</w:t>
      </w:r>
    </w:p>
    <w:p w14:paraId="1188862B" w14:textId="77777777" w:rsidR="00FB1D11" w:rsidRPr="00B87249" w:rsidRDefault="00FB1D11" w:rsidP="00FB1D11">
      <w:pPr>
        <w:pStyle w:val="Akapitzlist"/>
        <w:numPr>
          <w:ilvl w:val="0"/>
          <w:numId w:val="6"/>
        </w:numPr>
        <w:spacing w:after="160" w:line="360" w:lineRule="auto"/>
        <w:jc w:val="both"/>
        <w:rPr>
          <w:iCs/>
        </w:rPr>
      </w:pPr>
      <w:r w:rsidRPr="00A458AC">
        <w:rPr>
          <w:bCs/>
          <w:i/>
          <w:iCs/>
        </w:rPr>
        <w:t>Procedura reagowania na zidentyfikowane przypadki nadużyć, w tym korupcji w Urzędzie m.st. Warszawy</w:t>
      </w:r>
      <w:r w:rsidRPr="00B87249">
        <w:rPr>
          <w:bCs/>
          <w:iCs/>
        </w:rPr>
        <w:t>,</w:t>
      </w:r>
    </w:p>
    <w:p w14:paraId="3D8FE382" w14:textId="77777777" w:rsidR="00FB1D11" w:rsidRPr="00B87249" w:rsidRDefault="00FB1D11" w:rsidP="00FB1D11">
      <w:pPr>
        <w:pStyle w:val="Akapitzlist"/>
        <w:numPr>
          <w:ilvl w:val="0"/>
          <w:numId w:val="6"/>
        </w:numPr>
        <w:spacing w:after="160" w:line="360" w:lineRule="auto"/>
        <w:jc w:val="both"/>
        <w:rPr>
          <w:iCs/>
        </w:rPr>
      </w:pPr>
      <w:r w:rsidRPr="00B87249">
        <w:rPr>
          <w:bCs/>
          <w:iCs/>
        </w:rPr>
        <w:t>System zarządzania ryzykiem w m.st. Warszawie</w:t>
      </w:r>
      <w:r>
        <w:rPr>
          <w:bCs/>
          <w:iCs/>
        </w:rPr>
        <w:t>,</w:t>
      </w:r>
    </w:p>
    <w:p w14:paraId="5417BB6E" w14:textId="77777777" w:rsidR="00FB1D11" w:rsidRPr="00B87249" w:rsidRDefault="00FB1D11" w:rsidP="00FB1D11">
      <w:pPr>
        <w:pStyle w:val="Akapitzlist"/>
        <w:numPr>
          <w:ilvl w:val="0"/>
          <w:numId w:val="6"/>
        </w:numPr>
        <w:spacing w:after="160" w:line="360" w:lineRule="auto"/>
        <w:jc w:val="both"/>
        <w:rPr>
          <w:iCs/>
        </w:rPr>
      </w:pPr>
      <w:r w:rsidRPr="00B87249">
        <w:rPr>
          <w:bCs/>
          <w:iCs/>
        </w:rPr>
        <w:t>Pełnomocnik Prezydenta m.st. Warszawy ds. etyki i polityki antykorupcyjnej</w:t>
      </w:r>
      <w:r>
        <w:rPr>
          <w:bCs/>
          <w:iCs/>
        </w:rPr>
        <w:t>,</w:t>
      </w:r>
    </w:p>
    <w:p w14:paraId="2D7E568F" w14:textId="77777777" w:rsidR="00FB1D11" w:rsidRPr="00B87249" w:rsidRDefault="00FB1D11" w:rsidP="00FB1D11">
      <w:pPr>
        <w:pStyle w:val="Akapitzlist"/>
        <w:numPr>
          <w:ilvl w:val="0"/>
          <w:numId w:val="6"/>
        </w:numPr>
        <w:spacing w:after="160" w:line="360" w:lineRule="auto"/>
        <w:jc w:val="both"/>
        <w:rPr>
          <w:iCs/>
        </w:rPr>
      </w:pPr>
      <w:r w:rsidRPr="00B87249">
        <w:rPr>
          <w:bCs/>
          <w:iCs/>
        </w:rPr>
        <w:t>Pełnomocnik ds. ryzyka</w:t>
      </w:r>
      <w:r>
        <w:rPr>
          <w:bCs/>
          <w:iCs/>
        </w:rPr>
        <w:t>,</w:t>
      </w:r>
    </w:p>
    <w:p w14:paraId="62CB7F7E" w14:textId="77777777" w:rsidR="00FB1D11" w:rsidRPr="00B87249" w:rsidRDefault="00FB1D11" w:rsidP="00FB1D11">
      <w:pPr>
        <w:pStyle w:val="Akapitzlist"/>
        <w:numPr>
          <w:ilvl w:val="0"/>
          <w:numId w:val="6"/>
        </w:numPr>
        <w:spacing w:after="160" w:line="360" w:lineRule="auto"/>
        <w:jc w:val="both"/>
        <w:rPr>
          <w:iCs/>
        </w:rPr>
      </w:pPr>
      <w:r w:rsidRPr="00B87249">
        <w:rPr>
          <w:bCs/>
          <w:iCs/>
        </w:rPr>
        <w:t>Biuro Zgodności</w:t>
      </w:r>
      <w:r>
        <w:rPr>
          <w:bCs/>
          <w:iCs/>
        </w:rPr>
        <w:t>,</w:t>
      </w:r>
    </w:p>
    <w:p w14:paraId="33E6F2EB" w14:textId="77777777" w:rsidR="00FB1D11" w:rsidRPr="00B87249" w:rsidRDefault="00FB1D11" w:rsidP="00FB1D11">
      <w:pPr>
        <w:pStyle w:val="Akapitzlist"/>
        <w:numPr>
          <w:ilvl w:val="0"/>
          <w:numId w:val="6"/>
        </w:numPr>
        <w:spacing w:after="160" w:line="360" w:lineRule="auto"/>
        <w:jc w:val="both"/>
        <w:rPr>
          <w:iCs/>
        </w:rPr>
      </w:pPr>
      <w:r w:rsidRPr="00B87249">
        <w:rPr>
          <w:bCs/>
          <w:iCs/>
        </w:rPr>
        <w:lastRenderedPageBreak/>
        <w:t>koordynatorzy ds. etyki i polityki antykorupcyjnej w urzędach dzielnic.</w:t>
      </w:r>
    </w:p>
    <w:p w14:paraId="3E01FBA9" w14:textId="77777777" w:rsidR="00FB1D11" w:rsidRPr="00561BD2" w:rsidRDefault="00FB1D11" w:rsidP="00FB1D11">
      <w:pPr>
        <w:spacing w:after="0" w:line="36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W celu doskonalenia systemu, w</w:t>
      </w:r>
      <w:r w:rsidRPr="00561BD2">
        <w:rPr>
          <w:rFonts w:cstheme="minorHAnsi"/>
          <w:szCs w:val="22"/>
        </w:rPr>
        <w:t xml:space="preserve"> 2021 roku 748 jednostek organizacyjnych urzędu </w:t>
      </w:r>
      <w:r>
        <w:rPr>
          <w:rFonts w:cstheme="minorHAnsi"/>
          <w:szCs w:val="22"/>
        </w:rPr>
        <w:t>z</w:t>
      </w:r>
      <w:r w:rsidRPr="00561BD2">
        <w:rPr>
          <w:rFonts w:cstheme="minorHAnsi"/>
          <w:szCs w:val="22"/>
        </w:rPr>
        <w:t>aktualizowało regulacje antykorupcyjne w zakresie:</w:t>
      </w:r>
    </w:p>
    <w:p w14:paraId="6D205783" w14:textId="77777777" w:rsidR="00FB1D11" w:rsidRPr="00561BD2" w:rsidRDefault="00FB1D11" w:rsidP="00FB1D11">
      <w:pPr>
        <w:pStyle w:val="Akapitzlist"/>
        <w:numPr>
          <w:ilvl w:val="0"/>
          <w:numId w:val="7"/>
        </w:numPr>
        <w:spacing w:after="160" w:line="360" w:lineRule="auto"/>
        <w:rPr>
          <w:rFonts w:cstheme="minorHAnsi"/>
          <w:szCs w:val="22"/>
        </w:rPr>
      </w:pPr>
      <w:r w:rsidRPr="00561BD2">
        <w:rPr>
          <w:rFonts w:cstheme="minorHAnsi"/>
          <w:bCs/>
          <w:color w:val="000000"/>
          <w:szCs w:val="22"/>
        </w:rPr>
        <w:t>obszarów szczególnie podatnych na występowanie nadużyć wraz z rodzajami ryzyk korupcyjnych oraz zalecanymi do stosowania mechanizmami kontrolnymi,</w:t>
      </w:r>
    </w:p>
    <w:p w14:paraId="0CCA239F" w14:textId="77777777" w:rsidR="00FB1D11" w:rsidRPr="00AD149F" w:rsidRDefault="00FB1D11" w:rsidP="00FB1D11">
      <w:pPr>
        <w:pStyle w:val="Akapitzlist"/>
        <w:numPr>
          <w:ilvl w:val="0"/>
          <w:numId w:val="7"/>
        </w:numPr>
        <w:spacing w:after="160" w:line="360" w:lineRule="auto"/>
        <w:rPr>
          <w:rFonts w:cstheme="minorHAnsi"/>
          <w:szCs w:val="22"/>
        </w:rPr>
      </w:pPr>
      <w:r w:rsidRPr="00561BD2">
        <w:rPr>
          <w:rFonts w:cstheme="minorHAnsi"/>
          <w:bCs/>
          <w:color w:val="000000"/>
          <w:szCs w:val="22"/>
        </w:rPr>
        <w:t>wykazu stanowisk i czynności narażonych na zwiększone prawdopodobieństwo wystąpienia ryzyka nadużyć.</w:t>
      </w:r>
    </w:p>
    <w:p w14:paraId="41C534F2" w14:textId="77777777" w:rsidR="00FB1D11" w:rsidRDefault="00FB1D11" w:rsidP="00FB1D11">
      <w:pPr>
        <w:spacing w:line="360" w:lineRule="auto"/>
        <w:rPr>
          <w:rFonts w:cstheme="minorHAnsi"/>
        </w:rPr>
      </w:pPr>
      <w:r>
        <w:t xml:space="preserve">W ramach przygotowania systemu antykorupcyjnego Urzędu m.st. Warszawy do wdrożenia </w:t>
      </w:r>
      <w:r>
        <w:rPr>
          <w:rFonts w:cstheme="minorHAnsi"/>
          <w:iCs/>
          <w:szCs w:val="22"/>
        </w:rPr>
        <w:t>Dyrektywy Parlamentu Europejskiego i Rady (UE) 2019/1937 z dnia 23 października 2019 r. w sprawie ochrony osób zgłaszających naruszenia prawa Unii</w:t>
      </w:r>
      <w:r>
        <w:rPr>
          <w:rFonts w:cstheme="minorHAnsi"/>
        </w:rPr>
        <w:t xml:space="preserve"> opracowano</w:t>
      </w:r>
      <w:r w:rsidRPr="00AD149F">
        <w:rPr>
          <w:rFonts w:cstheme="minorHAnsi"/>
        </w:rPr>
        <w:t xml:space="preserve"> pakiet zmian p</w:t>
      </w:r>
      <w:r>
        <w:rPr>
          <w:rFonts w:cstheme="minorHAnsi"/>
        </w:rPr>
        <w:t xml:space="preserve">rzepisów obowiązujących w Urzędzie, tj. regulaminów organizacyjnych Urzędu oraz Biura Zgodności, </w:t>
      </w:r>
      <w:r w:rsidRPr="00C129A8">
        <w:rPr>
          <w:rFonts w:cstheme="minorHAnsi"/>
          <w:i/>
        </w:rPr>
        <w:t>Polityki antykorupcyjnej</w:t>
      </w:r>
      <w:r w:rsidRPr="00AD149F">
        <w:rPr>
          <w:rFonts w:cstheme="minorHAnsi"/>
        </w:rPr>
        <w:t xml:space="preserve">, </w:t>
      </w:r>
      <w:r w:rsidRPr="00C129A8">
        <w:rPr>
          <w:i/>
        </w:rPr>
        <w:t>Procedury reagowania na zidentyfikowane przypadki nadużyć, w tym korupcji w Urzędzie m.st. Warszawy</w:t>
      </w:r>
      <w:r>
        <w:t xml:space="preserve">. Przygotowano nową regulację w postaci </w:t>
      </w:r>
      <w:r w:rsidRPr="00C129A8">
        <w:rPr>
          <w:rFonts w:cstheme="minorHAnsi"/>
          <w:i/>
        </w:rPr>
        <w:t>Regulaminu zgłoszeń wewnętrznych</w:t>
      </w:r>
      <w:r>
        <w:rPr>
          <w:rFonts w:cstheme="minorHAnsi"/>
        </w:rPr>
        <w:t xml:space="preserve"> możliwego do wprowadzenia z chwilą wdrożenia dyrektywy.</w:t>
      </w:r>
    </w:p>
    <w:p w14:paraId="458D0BDE" w14:textId="77777777" w:rsidR="00CD5C25" w:rsidRPr="00EE7C39" w:rsidRDefault="00CD5C25" w:rsidP="00FB1D11">
      <w:pPr>
        <w:spacing w:line="360" w:lineRule="auto"/>
        <w:rPr>
          <w:rFonts w:cstheme="minorHAnsi"/>
          <w:i/>
        </w:rPr>
      </w:pPr>
      <w:r>
        <w:rPr>
          <w:rFonts w:cstheme="minorHAnsi"/>
        </w:rPr>
        <w:t xml:space="preserve">Pracownicy Biura Zgodności zaangażowani w działania antykorupcyjne </w:t>
      </w:r>
      <w:r w:rsidR="00807380">
        <w:rPr>
          <w:rFonts w:cstheme="minorHAnsi"/>
        </w:rPr>
        <w:t xml:space="preserve">w Urzędzie </w:t>
      </w:r>
      <w:r>
        <w:rPr>
          <w:rFonts w:cstheme="minorHAnsi"/>
        </w:rPr>
        <w:t xml:space="preserve">oraz obsługę zgłoszeń </w:t>
      </w:r>
      <w:r w:rsidR="00807380">
        <w:rPr>
          <w:rFonts w:cstheme="minorHAnsi"/>
        </w:rPr>
        <w:t xml:space="preserve">o nadużyciach </w:t>
      </w:r>
      <w:r>
        <w:rPr>
          <w:rFonts w:cstheme="minorHAnsi"/>
        </w:rPr>
        <w:t xml:space="preserve">podnosili swoje kwalifikacje zawodowe m.in. uczestnicząc w szkoleniach: </w:t>
      </w:r>
      <w:r w:rsidRPr="00CD5C25">
        <w:rPr>
          <w:i/>
        </w:rPr>
        <w:t>Nowe obowiązki starosty wynikające z nowelizacji ustawy o przeciwdziałaniu praniu pieniędzy oraz finansowaniu terroryzmu</w:t>
      </w:r>
      <w:r>
        <w:t xml:space="preserve">, </w:t>
      </w:r>
      <w:r w:rsidR="00807380" w:rsidRPr="00807380">
        <w:rPr>
          <w:i/>
          <w:color w:val="000000" w:themeColor="text1"/>
        </w:rPr>
        <w:t>Ochrona sygnalistów w JST. Uwarunkowania prawne i zasady wdrażania</w:t>
      </w:r>
      <w:r w:rsidR="00807380">
        <w:rPr>
          <w:i/>
          <w:color w:val="000000" w:themeColor="text1"/>
        </w:rPr>
        <w:t xml:space="preserve">, 8. </w:t>
      </w:r>
      <w:r w:rsidR="00807380" w:rsidRPr="00807380">
        <w:rPr>
          <w:i/>
        </w:rPr>
        <w:t>Przegląd Technologiczny nt. systemy wsparcia ochrony sygnalistów</w:t>
      </w:r>
      <w:r w:rsidR="00807380" w:rsidRPr="00EE7C39">
        <w:rPr>
          <w:i/>
        </w:rPr>
        <w:t>, Ochrona sygnalistów w obliczu nowej dyrektywy</w:t>
      </w:r>
      <w:r w:rsidR="00EE7C39">
        <w:t>.</w:t>
      </w:r>
    </w:p>
    <w:p w14:paraId="4F0D2953" w14:textId="77777777" w:rsidR="00FB1D11" w:rsidRDefault="00FB1D11" w:rsidP="00FB1D11">
      <w:pPr>
        <w:spacing w:line="360" w:lineRule="auto"/>
        <w:jc w:val="both"/>
        <w:rPr>
          <w:b/>
          <w:iCs/>
        </w:rPr>
      </w:pPr>
    </w:p>
    <w:p w14:paraId="46F741A6" w14:textId="77777777" w:rsidR="00FB1D11" w:rsidRPr="00D76BAB" w:rsidRDefault="00FB1D11" w:rsidP="00FB1D11">
      <w:pPr>
        <w:spacing w:line="360" w:lineRule="auto"/>
        <w:jc w:val="both"/>
      </w:pPr>
      <w:r w:rsidRPr="00AE02B6">
        <w:rPr>
          <w:b/>
          <w:iCs/>
        </w:rPr>
        <w:t xml:space="preserve">Miasto Stołeczne Warszawa </w:t>
      </w:r>
      <w:r>
        <w:rPr>
          <w:b/>
          <w:iCs/>
        </w:rPr>
        <w:t xml:space="preserve">konsekwentnie, transparentnie </w:t>
      </w:r>
      <w:r w:rsidRPr="00AE02B6">
        <w:rPr>
          <w:b/>
          <w:iCs/>
        </w:rPr>
        <w:t>stosuje politykę braku tolerancj</w:t>
      </w:r>
      <w:r>
        <w:rPr>
          <w:b/>
          <w:iCs/>
        </w:rPr>
        <w:t>i wobec nadużyć, w tym korupcji</w:t>
      </w:r>
    </w:p>
    <w:p w14:paraId="169E57BF" w14:textId="77777777" w:rsidR="00FB1D11" w:rsidRPr="00391A2C" w:rsidRDefault="00FB1D11" w:rsidP="00FB1D11">
      <w:pPr>
        <w:spacing w:after="80" w:line="360" w:lineRule="auto"/>
        <w:jc w:val="both"/>
        <w:rPr>
          <w:iCs/>
        </w:rPr>
      </w:pPr>
      <w:r>
        <w:rPr>
          <w:iCs/>
        </w:rPr>
        <w:t>W okresie sprawozdawczym działania w ramach polityki antykorupcyjnej obejmowały bezpośrednio lub pośrednio</w:t>
      </w:r>
      <w:r w:rsidRPr="00391A2C">
        <w:rPr>
          <w:iCs/>
        </w:rPr>
        <w:t>:</w:t>
      </w:r>
    </w:p>
    <w:p w14:paraId="5398F714" w14:textId="77777777" w:rsidR="00FB1D11" w:rsidRPr="0042355D" w:rsidRDefault="00FB1D11" w:rsidP="00FB1D11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iCs/>
        </w:rPr>
      </w:pPr>
      <w:r w:rsidRPr="0042355D">
        <w:rPr>
          <w:iCs/>
        </w:rPr>
        <w:t>42 bi</w:t>
      </w:r>
      <w:r>
        <w:rPr>
          <w:iCs/>
        </w:rPr>
        <w:t>ura</w:t>
      </w:r>
      <w:r w:rsidRPr="0042355D">
        <w:rPr>
          <w:iCs/>
        </w:rPr>
        <w:t>,</w:t>
      </w:r>
    </w:p>
    <w:p w14:paraId="2E4B990D" w14:textId="77777777" w:rsidR="00FB1D11" w:rsidRPr="0042355D" w:rsidRDefault="00FB1D11" w:rsidP="00FB1D11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iCs/>
        </w:rPr>
      </w:pPr>
      <w:r w:rsidRPr="0042355D">
        <w:rPr>
          <w:iCs/>
        </w:rPr>
        <w:t>18 urzędów dzielnic,</w:t>
      </w:r>
    </w:p>
    <w:p w14:paraId="253B58F2" w14:textId="77777777" w:rsidR="00FB1D11" w:rsidRDefault="00FB1D11" w:rsidP="00FB1D11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iCs/>
        </w:rPr>
      </w:pPr>
      <w:r w:rsidRPr="0042355D">
        <w:rPr>
          <w:iCs/>
        </w:rPr>
        <w:t>1008 jednost</w:t>
      </w:r>
      <w:r>
        <w:rPr>
          <w:iCs/>
        </w:rPr>
        <w:t>e</w:t>
      </w:r>
      <w:r w:rsidRPr="0042355D">
        <w:rPr>
          <w:iCs/>
        </w:rPr>
        <w:t>k m.st. Warszawy rozumian</w:t>
      </w:r>
      <w:r>
        <w:rPr>
          <w:iCs/>
        </w:rPr>
        <w:t>ych</w:t>
      </w:r>
      <w:r w:rsidRPr="0042355D">
        <w:rPr>
          <w:iCs/>
        </w:rPr>
        <w:t xml:space="preserve"> jako jednostki organizacyjne m.st. Warszawy oraz jednostki sektora finansów publicznych nadzorowanych przez Prezydenta m.st. Warszawy, posiadające osobowość prawną i działające w oparciu o odrębne przepisy.</w:t>
      </w:r>
    </w:p>
    <w:p w14:paraId="70D011DB" w14:textId="77777777" w:rsidR="00C129A8" w:rsidRDefault="003E59F6" w:rsidP="00C129A8">
      <w:pPr>
        <w:spacing w:after="160" w:line="360" w:lineRule="auto"/>
        <w:rPr>
          <w:rFonts w:cstheme="minorHAnsi"/>
        </w:rPr>
      </w:pPr>
      <w:r>
        <w:t xml:space="preserve">W 2021 r. biura oraz urzędy dzielnic zaangażowane były w uzgodnienia (z możliwością przekazywania uwag) </w:t>
      </w:r>
      <w:r>
        <w:rPr>
          <w:rFonts w:cstheme="minorHAnsi"/>
        </w:rPr>
        <w:t xml:space="preserve">regulaminów organizacyjnych Urzędu oraz Biura Zgodności, </w:t>
      </w:r>
      <w:r w:rsidRPr="00C129A8">
        <w:rPr>
          <w:rFonts w:cstheme="minorHAnsi"/>
          <w:i/>
        </w:rPr>
        <w:t>Polityki antykorupcyjnej</w:t>
      </w:r>
      <w:r w:rsidRPr="00AD149F">
        <w:rPr>
          <w:rFonts w:cstheme="minorHAnsi"/>
        </w:rPr>
        <w:t xml:space="preserve">, </w:t>
      </w:r>
      <w:r w:rsidRPr="00C129A8">
        <w:rPr>
          <w:i/>
        </w:rPr>
        <w:t>Procedury reagowania na zidentyfikowane przypadki nadużyć, w tym korupcji w Urzędzie m.st. Warszawy</w:t>
      </w:r>
      <w:r>
        <w:t xml:space="preserve"> oraz </w:t>
      </w:r>
      <w:r w:rsidRPr="00C129A8">
        <w:rPr>
          <w:rFonts w:cstheme="minorHAnsi"/>
          <w:i/>
        </w:rPr>
        <w:t>Regulaminu zgłoszeń wewnętrznych</w:t>
      </w:r>
      <w:r>
        <w:rPr>
          <w:rFonts w:cstheme="minorHAnsi"/>
        </w:rPr>
        <w:t xml:space="preserve"> – w celu dostosowania Urzędu do wymogów dyrektywy z uwzględnieniem specyfiki ich działania.</w:t>
      </w:r>
    </w:p>
    <w:p w14:paraId="7949E582" w14:textId="77777777" w:rsidR="00C129A8" w:rsidRPr="00C129A8" w:rsidRDefault="00C129A8" w:rsidP="00C129A8">
      <w:pPr>
        <w:spacing w:after="160" w:line="360" w:lineRule="auto"/>
        <w:rPr>
          <w:rFonts w:cstheme="minorHAnsi"/>
        </w:rPr>
      </w:pPr>
      <w:r>
        <w:rPr>
          <w:rFonts w:cstheme="minorHAnsi"/>
        </w:rPr>
        <w:t xml:space="preserve">W urzędach dzielnic dokonany został przegląd i aktualizacja kadry pracowniczej wyznaczonej do pełnienia funkcji </w:t>
      </w:r>
      <w:r>
        <w:rPr>
          <w:bCs/>
          <w:iCs/>
        </w:rPr>
        <w:t>koordynatorów</w:t>
      </w:r>
      <w:r w:rsidRPr="00C129A8">
        <w:rPr>
          <w:bCs/>
          <w:iCs/>
        </w:rPr>
        <w:t xml:space="preserve"> ds. etyki i polityki anty</w:t>
      </w:r>
      <w:r>
        <w:rPr>
          <w:bCs/>
          <w:iCs/>
        </w:rPr>
        <w:t>korupcyjnej w urzędach dzielnic.</w:t>
      </w:r>
    </w:p>
    <w:p w14:paraId="22F69C3F" w14:textId="77777777" w:rsidR="00FB1D11" w:rsidRDefault="00FB1D11" w:rsidP="00FB1D11">
      <w:pPr>
        <w:spacing w:after="0" w:line="360" w:lineRule="auto"/>
        <w:jc w:val="both"/>
        <w:rPr>
          <w:rFonts w:cstheme="minorHAnsi"/>
          <w:b/>
          <w:szCs w:val="22"/>
        </w:rPr>
      </w:pPr>
    </w:p>
    <w:p w14:paraId="69D4E5A4" w14:textId="77777777" w:rsidR="00FB1D11" w:rsidRPr="007760BB" w:rsidRDefault="00FB1D11" w:rsidP="00D651FB">
      <w:pPr>
        <w:spacing w:line="360" w:lineRule="auto"/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Działania szkoleniowe i konsultacje</w:t>
      </w:r>
    </w:p>
    <w:p w14:paraId="277AACBB" w14:textId="77777777" w:rsidR="00FB1D11" w:rsidRPr="008B5E4A" w:rsidRDefault="00FB1D11" w:rsidP="00FB1D11">
      <w:pPr>
        <w:spacing w:after="0" w:line="360" w:lineRule="auto"/>
        <w:jc w:val="both"/>
      </w:pPr>
      <w:r>
        <w:rPr>
          <w:rFonts w:cstheme="minorHAnsi"/>
          <w:szCs w:val="22"/>
        </w:rPr>
        <w:t xml:space="preserve">W ramach działań szkoleniowych zrealizowano szereg spotkań podnoszących świadomość prawną z zakresu etyki zawodowej i polityki antykorupcyjnej. </w:t>
      </w:r>
      <w:r>
        <w:t xml:space="preserve"> Obowiązkowymi </w:t>
      </w:r>
      <w:r>
        <w:rPr>
          <w:rFonts w:cstheme="minorHAnsi"/>
          <w:szCs w:val="22"/>
        </w:rPr>
        <w:t>szkoleniami antykorupcyjnymi objęto:</w:t>
      </w:r>
    </w:p>
    <w:p w14:paraId="284147D8" w14:textId="77777777" w:rsidR="00FB1D11" w:rsidRPr="00E01256" w:rsidRDefault="00FB1D11" w:rsidP="00FB1D1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Cs w:val="22"/>
        </w:rPr>
      </w:pPr>
      <w:r w:rsidRPr="00DE10CC">
        <w:rPr>
          <w:rFonts w:cstheme="minorHAnsi"/>
          <w:szCs w:val="22"/>
        </w:rPr>
        <w:t>797</w:t>
      </w:r>
      <w:r w:rsidRPr="00E01256">
        <w:rPr>
          <w:rFonts w:cstheme="minorHAnsi"/>
          <w:szCs w:val="22"/>
        </w:rPr>
        <w:t xml:space="preserve"> osób w ramach adaptacji nowozatrudnionych pracowników </w:t>
      </w:r>
      <w:r w:rsidRPr="00DE10CC">
        <w:rPr>
          <w:rFonts w:cstheme="minorHAnsi"/>
          <w:szCs w:val="22"/>
        </w:rPr>
        <w:t>(406</w:t>
      </w:r>
      <w:r w:rsidRPr="00E01256">
        <w:rPr>
          <w:rFonts w:cstheme="minorHAnsi"/>
          <w:szCs w:val="22"/>
        </w:rPr>
        <w:t xml:space="preserve"> os</w:t>
      </w:r>
      <w:r>
        <w:rPr>
          <w:rFonts w:cstheme="minorHAnsi"/>
          <w:szCs w:val="22"/>
        </w:rPr>
        <w:t>ób</w:t>
      </w:r>
      <w:r w:rsidRPr="00E01256">
        <w:rPr>
          <w:rFonts w:cstheme="minorHAnsi"/>
          <w:szCs w:val="22"/>
        </w:rPr>
        <w:t xml:space="preserve"> otrzymał</w:t>
      </w:r>
      <w:r>
        <w:rPr>
          <w:rFonts w:cstheme="minorHAnsi"/>
          <w:szCs w:val="22"/>
        </w:rPr>
        <w:t>o</w:t>
      </w:r>
      <w:r w:rsidRPr="00E01256">
        <w:rPr>
          <w:rFonts w:cstheme="minorHAnsi"/>
          <w:szCs w:val="22"/>
        </w:rPr>
        <w:t xml:space="preserve"> materiały </w:t>
      </w:r>
      <w:r>
        <w:rPr>
          <w:rFonts w:cstheme="minorHAnsi"/>
          <w:szCs w:val="22"/>
        </w:rPr>
        <w:t xml:space="preserve">do samokształcenia, </w:t>
      </w:r>
      <w:r w:rsidRPr="00DE10CC">
        <w:rPr>
          <w:rFonts w:cstheme="minorHAnsi"/>
          <w:szCs w:val="22"/>
        </w:rPr>
        <w:t>391</w:t>
      </w:r>
      <w:r w:rsidRPr="00E01256">
        <w:rPr>
          <w:rFonts w:cstheme="minorHAnsi"/>
          <w:szCs w:val="22"/>
        </w:rPr>
        <w:t xml:space="preserve"> osób zostało przeszkolonych </w:t>
      </w:r>
      <w:r>
        <w:rPr>
          <w:rFonts w:cstheme="minorHAnsi"/>
          <w:szCs w:val="22"/>
        </w:rPr>
        <w:t xml:space="preserve">w </w:t>
      </w:r>
      <w:r w:rsidRPr="00E01256">
        <w:rPr>
          <w:rFonts w:cstheme="minorHAnsi"/>
          <w:szCs w:val="22"/>
        </w:rPr>
        <w:t>formule</w:t>
      </w:r>
      <w:r>
        <w:rPr>
          <w:rFonts w:cstheme="minorHAnsi"/>
          <w:szCs w:val="22"/>
        </w:rPr>
        <w:t xml:space="preserve"> szkolenia zdalnego</w:t>
      </w:r>
      <w:r w:rsidRPr="00E01256">
        <w:rPr>
          <w:rFonts w:cstheme="minorHAnsi"/>
          <w:szCs w:val="22"/>
        </w:rPr>
        <w:t xml:space="preserve">), </w:t>
      </w:r>
    </w:p>
    <w:p w14:paraId="6B6DEF00" w14:textId="77777777" w:rsidR="00FB1D11" w:rsidRPr="00E01256" w:rsidRDefault="00FB1D11" w:rsidP="00FB1D11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cstheme="minorHAnsi"/>
          <w:szCs w:val="22"/>
        </w:rPr>
      </w:pPr>
      <w:r w:rsidRPr="00DE10CC">
        <w:rPr>
          <w:rFonts w:cstheme="minorHAnsi"/>
          <w:szCs w:val="22"/>
        </w:rPr>
        <w:t>378</w:t>
      </w:r>
      <w:r w:rsidRPr="00E01256">
        <w:rPr>
          <w:rFonts w:cstheme="minorHAnsi"/>
          <w:szCs w:val="22"/>
        </w:rPr>
        <w:t xml:space="preserve"> osób w ramach służby przygotowawczej,</w:t>
      </w:r>
    </w:p>
    <w:p w14:paraId="7376C26A" w14:textId="77777777" w:rsidR="00FB1D11" w:rsidRPr="00E01256" w:rsidRDefault="00FB1D11" w:rsidP="00FB1D11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  <w:szCs w:val="22"/>
        </w:rPr>
      </w:pPr>
      <w:r w:rsidRPr="00DE10CC">
        <w:rPr>
          <w:rFonts w:cstheme="minorHAnsi"/>
          <w:szCs w:val="22"/>
        </w:rPr>
        <w:t>136</w:t>
      </w:r>
      <w:r w:rsidRPr="00E01256">
        <w:rPr>
          <w:rFonts w:cstheme="minorHAnsi"/>
          <w:szCs w:val="22"/>
        </w:rPr>
        <w:t xml:space="preserve"> os</w:t>
      </w:r>
      <w:r>
        <w:rPr>
          <w:rFonts w:cstheme="minorHAnsi"/>
          <w:szCs w:val="22"/>
        </w:rPr>
        <w:t>ób</w:t>
      </w:r>
      <w:r w:rsidRPr="00E01256">
        <w:rPr>
          <w:rFonts w:cstheme="minorHAnsi"/>
          <w:szCs w:val="22"/>
        </w:rPr>
        <w:t xml:space="preserve"> w ramach adaptacji kadry kierowniczej (</w:t>
      </w:r>
      <w:r>
        <w:rPr>
          <w:rFonts w:cstheme="minorHAnsi"/>
          <w:szCs w:val="22"/>
        </w:rPr>
        <w:t xml:space="preserve">zapewniono </w:t>
      </w:r>
      <w:r w:rsidRPr="00E01256">
        <w:rPr>
          <w:rFonts w:cstheme="minorHAnsi"/>
          <w:szCs w:val="22"/>
        </w:rPr>
        <w:t xml:space="preserve">materiały </w:t>
      </w:r>
      <w:r>
        <w:rPr>
          <w:rFonts w:cstheme="minorHAnsi"/>
          <w:szCs w:val="22"/>
        </w:rPr>
        <w:t>do samokształcenia</w:t>
      </w:r>
      <w:r w:rsidRPr="00E01256">
        <w:rPr>
          <w:rFonts w:cstheme="minorHAnsi"/>
          <w:szCs w:val="22"/>
        </w:rPr>
        <w:t>).</w:t>
      </w:r>
    </w:p>
    <w:p w14:paraId="2E0D609C" w14:textId="77777777" w:rsidR="00FB1D11" w:rsidRDefault="00FB1D11" w:rsidP="00FB1D11">
      <w:pPr>
        <w:spacing w:line="360" w:lineRule="auto"/>
        <w:jc w:val="both"/>
      </w:pPr>
      <w:r>
        <w:rPr>
          <w:rFonts w:cstheme="minorHAnsi"/>
          <w:szCs w:val="22"/>
        </w:rPr>
        <w:t xml:space="preserve">Istotnym elementem przygotowań Urzędu m.st. Warszawy i jego jednostek do współpracy z sygnalistami były spotkania konsultacyjne dotyczące stosowania procedury reagowania na zidentyfikowane przypadki nadużyć, w tym korupcji oraz uwarunkowań wdrażania </w:t>
      </w:r>
      <w:r>
        <w:rPr>
          <w:rFonts w:eastAsiaTheme="majorEastAsia"/>
        </w:rPr>
        <w:t>dyrektywy</w:t>
      </w:r>
      <w:r w:rsidRPr="005029F0">
        <w:t> </w:t>
      </w:r>
      <w:r>
        <w:t xml:space="preserve">w sprawie </w:t>
      </w:r>
      <w:r w:rsidRPr="005029F0">
        <w:rPr>
          <w:rFonts w:eastAsiaTheme="majorEastAsia"/>
        </w:rPr>
        <w:t>ochron</w:t>
      </w:r>
      <w:r>
        <w:rPr>
          <w:rFonts w:eastAsiaTheme="majorEastAsia"/>
        </w:rPr>
        <w:t>y</w:t>
      </w:r>
      <w:r w:rsidRPr="005029F0">
        <w:rPr>
          <w:rFonts w:eastAsiaTheme="majorEastAsia"/>
        </w:rPr>
        <w:t xml:space="preserve"> osób zgłaszających naruszenia prawa</w:t>
      </w:r>
      <w:r w:rsidRPr="005029F0">
        <w:t> Unii.</w:t>
      </w:r>
      <w:r>
        <w:t xml:space="preserve"> W ramach tych działań przeprowadzono:</w:t>
      </w:r>
    </w:p>
    <w:p w14:paraId="523FFD23" w14:textId="77777777" w:rsidR="00FB1D11" w:rsidRPr="002B26C6" w:rsidRDefault="00FB1D11" w:rsidP="00FB1D11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cstheme="minorHAnsi"/>
          <w:b/>
          <w:szCs w:val="22"/>
        </w:rPr>
      </w:pPr>
      <w:r>
        <w:rPr>
          <w:rFonts w:cstheme="minorHAnsi"/>
          <w:szCs w:val="22"/>
        </w:rPr>
        <w:t>5 spotkań z dzielnicowymi koordynatorami ds. etyki i polityki antykorupcyjnej (96 uczestników –  udział wielokrotny),</w:t>
      </w:r>
    </w:p>
    <w:p w14:paraId="7BDF17F4" w14:textId="77777777" w:rsidR="00FB1D11" w:rsidRDefault="00FB1D11" w:rsidP="00FB1D11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3</w:t>
      </w:r>
      <w:r w:rsidRPr="002B26C6">
        <w:rPr>
          <w:rFonts w:cstheme="minorHAnsi"/>
          <w:szCs w:val="22"/>
        </w:rPr>
        <w:t xml:space="preserve"> spotkania </w:t>
      </w:r>
      <w:r>
        <w:rPr>
          <w:rFonts w:cstheme="minorHAnsi"/>
          <w:szCs w:val="22"/>
        </w:rPr>
        <w:t>z kierownictwem biur merytorycznych,</w:t>
      </w:r>
    </w:p>
    <w:p w14:paraId="38A6EF97" w14:textId="77777777" w:rsidR="00FB1D11" w:rsidRDefault="00FB1D11" w:rsidP="00FB1D11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3 spotkania z jednostkami organizacyjnymi podległymi dzielnicom – udział 90 jednostek.</w:t>
      </w:r>
    </w:p>
    <w:p w14:paraId="774248BF" w14:textId="77777777" w:rsidR="00FB1D11" w:rsidRDefault="00FB1D11" w:rsidP="00FB1D11">
      <w:pPr>
        <w:spacing w:line="360" w:lineRule="auto"/>
        <w:jc w:val="both"/>
      </w:pPr>
      <w:r>
        <w:t xml:space="preserve">Jednostkom organizacyjnym Urzędu przekazano - opracowane w Biurze Zgodności - projekty regulacji wewnętrznych </w:t>
      </w:r>
      <w:r w:rsidR="00A458AC">
        <w:t xml:space="preserve">przewidzianych </w:t>
      </w:r>
      <w:r>
        <w:t xml:space="preserve">w projekcie ustawy wdrażającej dyrektywę w sprawie ochrony osób </w:t>
      </w:r>
      <w:r w:rsidR="00C04D55">
        <w:t>zgłaszających naruszenia prawa.</w:t>
      </w:r>
    </w:p>
    <w:p w14:paraId="44EDBFDF" w14:textId="77777777" w:rsidR="00C04D55" w:rsidRPr="00E62602" w:rsidRDefault="00C04D55" w:rsidP="00FB1D11">
      <w:pPr>
        <w:spacing w:line="360" w:lineRule="auto"/>
        <w:jc w:val="both"/>
        <w:rPr>
          <w:rFonts w:cstheme="minorHAnsi"/>
          <w:szCs w:val="22"/>
        </w:rPr>
      </w:pPr>
      <w:r>
        <w:t xml:space="preserve">W celu </w:t>
      </w:r>
      <w:r w:rsidR="00D627C4">
        <w:t xml:space="preserve">wczesnej </w:t>
      </w:r>
      <w:r>
        <w:t xml:space="preserve">identyfikacji i rozwiązania problemów realizacji wymogów dyrektywy, pełnomocnik wraz z Wydziałem Etyki i Polityki Antykorupcyjnej Biura Zgodności prowadzili bieżącą współpracę </w:t>
      </w:r>
      <w:r w:rsidR="00596A60">
        <w:t xml:space="preserve">z </w:t>
      </w:r>
      <w:r>
        <w:t>dzielnicami oraz jedno</w:t>
      </w:r>
      <w:r w:rsidR="00D627C4">
        <w:t>stkami</w:t>
      </w:r>
      <w:r>
        <w:t xml:space="preserve"> </w:t>
      </w:r>
      <w:r w:rsidR="00D627C4">
        <w:t>organizacyjnymi Urzędu</w:t>
      </w:r>
      <w:r w:rsidR="00D627C4" w:rsidRPr="00D627C4">
        <w:rPr>
          <w:iCs/>
        </w:rPr>
        <w:t xml:space="preserve"> </w:t>
      </w:r>
      <w:r w:rsidR="00D627C4" w:rsidRPr="0042355D">
        <w:rPr>
          <w:iCs/>
        </w:rPr>
        <w:t>m.st. Warszawy</w:t>
      </w:r>
      <w:r w:rsidR="00D627C4">
        <w:rPr>
          <w:iCs/>
        </w:rPr>
        <w:t>.</w:t>
      </w:r>
    </w:p>
    <w:p w14:paraId="6FE6AAD8" w14:textId="77777777" w:rsidR="00FB1D11" w:rsidRDefault="00FB1D11" w:rsidP="00C129A8">
      <w:pPr>
        <w:spacing w:after="120" w:line="360" w:lineRule="auto"/>
      </w:pPr>
      <w:r>
        <w:t>W 2021 r. n</w:t>
      </w:r>
      <w:r w:rsidRPr="00D9387E">
        <w:t xml:space="preserve">a portalu wewnętrznym Urzędu m.st. Warszawy </w:t>
      </w:r>
      <w:r w:rsidRPr="00F72E46">
        <w:rPr>
          <w:i/>
        </w:rPr>
        <w:t>PortUM</w:t>
      </w:r>
      <w:r w:rsidRPr="00D9387E">
        <w:t xml:space="preserve"> uruchomiono zakładkę </w:t>
      </w:r>
      <w:r w:rsidRPr="00D9387E">
        <w:rPr>
          <w:rFonts w:eastAsiaTheme="majorEastAsia"/>
          <w:i/>
        </w:rPr>
        <w:t>Etyka i polityka antykorupcyjna</w:t>
      </w:r>
      <w:r w:rsidRPr="00D9387E">
        <w:rPr>
          <w:i/>
        </w:rPr>
        <w:t xml:space="preserve"> </w:t>
      </w:r>
      <w:r w:rsidRPr="00D9387E">
        <w:rPr>
          <w:rFonts w:eastAsiaTheme="majorEastAsia"/>
          <w:i/>
        </w:rPr>
        <w:t>FAQ – często zadawane pytania</w:t>
      </w:r>
      <w:r>
        <w:rPr>
          <w:rFonts w:eastAsiaTheme="majorEastAsia"/>
        </w:rPr>
        <w:t xml:space="preserve">. W ten sposób, na bieżąco, przedstawiano pracownikom Urzędu interpretacje i wyjaśnienia do pytań z zakresu przepisów antykorupcyjnych. </w:t>
      </w:r>
      <w:r>
        <w:t xml:space="preserve">Również za pomocą </w:t>
      </w:r>
      <w:r w:rsidRPr="00D9387E">
        <w:t xml:space="preserve">portalu </w:t>
      </w:r>
      <w:r w:rsidRPr="00A458AC">
        <w:rPr>
          <w:i/>
        </w:rPr>
        <w:t>PortUM</w:t>
      </w:r>
      <w:r>
        <w:t xml:space="preserve"> oraz </w:t>
      </w:r>
      <w:r w:rsidRPr="00A458AC">
        <w:rPr>
          <w:i/>
        </w:rPr>
        <w:t>Newslettera Urzędu m.st. Warszawy</w:t>
      </w:r>
      <w:r>
        <w:t xml:space="preserve"> prowadzono akcje informacyjne o możliwościach dokonywania zgłoszeń nadużyć, w tym korupcji, za pomocą kanału zgłoszeń wewnętrznych </w:t>
      </w:r>
      <w:r w:rsidRPr="00A458AC">
        <w:rPr>
          <w:i/>
        </w:rPr>
        <w:t>Bezpieczna Linia</w:t>
      </w:r>
      <w:r>
        <w:t>.</w:t>
      </w:r>
    </w:p>
    <w:p w14:paraId="7F3522B1" w14:textId="77777777" w:rsidR="00FB1D11" w:rsidRDefault="00FB1D11" w:rsidP="00C129A8">
      <w:pPr>
        <w:spacing w:line="240" w:lineRule="auto"/>
        <w:jc w:val="both"/>
        <w:rPr>
          <w:rFonts w:cstheme="minorHAnsi"/>
          <w:b/>
          <w:szCs w:val="22"/>
        </w:rPr>
      </w:pPr>
    </w:p>
    <w:p w14:paraId="3480D4D1" w14:textId="77777777" w:rsidR="00FB1D11" w:rsidRDefault="00FB1D11" w:rsidP="00C129A8">
      <w:pPr>
        <w:spacing w:after="160" w:line="240" w:lineRule="auto"/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Rejestr korzyści i konfliktów interesów</w:t>
      </w:r>
    </w:p>
    <w:p w14:paraId="4D711AC9" w14:textId="77777777" w:rsidR="00FB1D11" w:rsidRDefault="00FB1D11" w:rsidP="00502E4F">
      <w:pPr>
        <w:spacing w:after="16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 ramach funkcjonującego w Urzędzie m.st. Warszawy </w:t>
      </w:r>
      <w:r w:rsidRPr="00C0771A">
        <w:rPr>
          <w:rFonts w:cstheme="minorHAnsi"/>
          <w:szCs w:val="22"/>
        </w:rPr>
        <w:t>Kodeks</w:t>
      </w:r>
      <w:r>
        <w:rPr>
          <w:rFonts w:cstheme="minorHAnsi"/>
          <w:szCs w:val="22"/>
        </w:rPr>
        <w:t>u</w:t>
      </w:r>
      <w:r w:rsidRPr="00C0771A">
        <w:rPr>
          <w:rFonts w:cstheme="minorHAnsi"/>
          <w:szCs w:val="22"/>
        </w:rPr>
        <w:t xml:space="preserve"> Etyki</w:t>
      </w:r>
      <w:r>
        <w:rPr>
          <w:rFonts w:cstheme="minorHAnsi"/>
          <w:szCs w:val="22"/>
        </w:rPr>
        <w:t xml:space="preserve"> wszystkich pracowników obowiązuje standard zakazu </w:t>
      </w:r>
      <w:r w:rsidRPr="00C0771A">
        <w:rPr>
          <w:rFonts w:cstheme="minorHAnsi"/>
          <w:szCs w:val="22"/>
        </w:rPr>
        <w:t xml:space="preserve">przyjmowania </w:t>
      </w:r>
      <w:r>
        <w:rPr>
          <w:rFonts w:cstheme="minorHAnsi"/>
          <w:szCs w:val="22"/>
        </w:rPr>
        <w:t xml:space="preserve">korzyści od klientów i interesariuszy Urzędu. W sytuacjach szczególnych, </w:t>
      </w:r>
      <w:r w:rsidRPr="004B4375">
        <w:rPr>
          <w:rFonts w:cstheme="minorHAnsi"/>
          <w:szCs w:val="22"/>
        </w:rPr>
        <w:t>gdy odmowa jest nietaktowna lub zwrot wiąże się ze znacznymi kosztami</w:t>
      </w:r>
      <w:r>
        <w:rPr>
          <w:rFonts w:cstheme="minorHAnsi"/>
          <w:szCs w:val="22"/>
        </w:rPr>
        <w:t>,</w:t>
      </w:r>
      <w:r w:rsidRPr="004B4375">
        <w:rPr>
          <w:rFonts w:cstheme="minorHAnsi"/>
          <w:szCs w:val="22"/>
        </w:rPr>
        <w:t xml:space="preserve"> dopuszcza </w:t>
      </w:r>
      <w:r>
        <w:rPr>
          <w:rFonts w:cstheme="minorHAnsi"/>
          <w:szCs w:val="22"/>
        </w:rPr>
        <w:t>się przyjmowanie okazjonalnych, drobnych upominków</w:t>
      </w:r>
      <w:r>
        <w:rPr>
          <w:rFonts w:eastAsia="Calibri"/>
          <w:color w:val="000000"/>
          <w:szCs w:val="22"/>
        </w:rPr>
        <w:t xml:space="preserve"> (kwiaty, słodycze), których wartość</w:t>
      </w:r>
      <w:r w:rsidRPr="00ED58B9">
        <w:rPr>
          <w:rFonts w:eastAsia="Calibri"/>
          <w:color w:val="000000"/>
          <w:szCs w:val="22"/>
        </w:rPr>
        <w:t xml:space="preserve"> nie</w:t>
      </w:r>
      <w:r>
        <w:rPr>
          <w:rFonts w:eastAsia="Calibri"/>
          <w:color w:val="000000"/>
          <w:szCs w:val="22"/>
        </w:rPr>
        <w:t xml:space="preserve"> przekracza</w:t>
      </w:r>
      <w:r w:rsidRPr="00ED58B9">
        <w:rPr>
          <w:rFonts w:eastAsia="Calibri"/>
          <w:color w:val="000000"/>
          <w:szCs w:val="22"/>
        </w:rPr>
        <w:t xml:space="preserve"> 100 zł</w:t>
      </w:r>
      <w:r>
        <w:rPr>
          <w:rFonts w:eastAsia="Calibri"/>
          <w:color w:val="000000"/>
          <w:szCs w:val="22"/>
        </w:rPr>
        <w:t xml:space="preserve">. Jednocześnie istnieje wymóg zgłoszenia przyjętych prezentów, korzyści do ustanowionego w ramach polityki antykorupcyjnej rejestru. </w:t>
      </w:r>
      <w:r w:rsidRPr="009C5A49">
        <w:rPr>
          <w:rFonts w:cstheme="minorHAnsi"/>
          <w:szCs w:val="22"/>
        </w:rPr>
        <w:t xml:space="preserve">W 2021 r. zarejestrowano </w:t>
      </w:r>
      <w:r w:rsidRPr="0042355D">
        <w:rPr>
          <w:rFonts w:cstheme="minorHAnsi"/>
          <w:szCs w:val="22"/>
        </w:rPr>
        <w:t>5</w:t>
      </w:r>
      <w:r w:rsidRPr="009C5A49">
        <w:rPr>
          <w:rFonts w:cstheme="minorHAnsi"/>
          <w:szCs w:val="22"/>
        </w:rPr>
        <w:t xml:space="preserve"> oświadcze</w:t>
      </w:r>
      <w:r>
        <w:rPr>
          <w:rFonts w:cstheme="minorHAnsi"/>
          <w:szCs w:val="22"/>
        </w:rPr>
        <w:t>ń</w:t>
      </w:r>
      <w:r w:rsidRPr="009C5A49">
        <w:rPr>
          <w:rFonts w:cstheme="minorHAnsi"/>
          <w:szCs w:val="22"/>
        </w:rPr>
        <w:t xml:space="preserve"> dotycząc</w:t>
      </w:r>
      <w:r>
        <w:rPr>
          <w:rFonts w:cstheme="minorHAnsi"/>
          <w:szCs w:val="22"/>
        </w:rPr>
        <w:t>ych</w:t>
      </w:r>
      <w:r w:rsidRPr="009C5A49">
        <w:rPr>
          <w:rFonts w:cstheme="minorHAnsi"/>
          <w:szCs w:val="22"/>
        </w:rPr>
        <w:t xml:space="preserve"> otrzymania upominków. </w:t>
      </w:r>
    </w:p>
    <w:p w14:paraId="071D6817" w14:textId="77777777" w:rsidR="00FB1D11" w:rsidRDefault="00FB1D11" w:rsidP="00FB1D11">
      <w:pPr>
        <w:spacing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 okresie sprawozdawczym ujawniono </w:t>
      </w:r>
      <w:r w:rsidRPr="0042355D">
        <w:rPr>
          <w:rFonts w:cstheme="minorHAnsi"/>
          <w:szCs w:val="22"/>
        </w:rPr>
        <w:t>1</w:t>
      </w:r>
      <w:r>
        <w:rPr>
          <w:rFonts w:cstheme="minorHAnsi"/>
          <w:szCs w:val="22"/>
        </w:rPr>
        <w:t xml:space="preserve"> konflikt interesów, który zakończył się wyłączeniem pracownika z prowadzenia sprawy.  </w:t>
      </w:r>
    </w:p>
    <w:p w14:paraId="0E2EF062" w14:textId="77777777" w:rsidR="00FB1D11" w:rsidRDefault="00FB1D11" w:rsidP="00FB1D11">
      <w:pPr>
        <w:spacing w:after="0" w:line="360" w:lineRule="auto"/>
        <w:jc w:val="both"/>
        <w:rPr>
          <w:rFonts w:cstheme="minorHAnsi"/>
          <w:b/>
          <w:iCs/>
          <w:szCs w:val="22"/>
        </w:rPr>
      </w:pPr>
    </w:p>
    <w:p w14:paraId="39C891A8" w14:textId="77777777" w:rsidR="00FB1D11" w:rsidRDefault="00FB1D11" w:rsidP="00FB1D11">
      <w:pPr>
        <w:spacing w:after="120" w:line="360" w:lineRule="auto"/>
        <w:jc w:val="both"/>
        <w:rPr>
          <w:rFonts w:cstheme="minorHAnsi"/>
          <w:b/>
          <w:iCs/>
          <w:szCs w:val="22"/>
        </w:rPr>
      </w:pPr>
      <w:r>
        <w:rPr>
          <w:rFonts w:cstheme="minorHAnsi"/>
          <w:b/>
          <w:iCs/>
          <w:szCs w:val="22"/>
        </w:rPr>
        <w:t>Kanał zgłoszeń wewnętrznych i działania następcze</w:t>
      </w:r>
    </w:p>
    <w:p w14:paraId="5E889A65" w14:textId="77777777" w:rsidR="00FB1D11" w:rsidRPr="004133A0" w:rsidRDefault="00FB1D11" w:rsidP="00FB1D11">
      <w:pPr>
        <w:spacing w:after="0" w:line="360" w:lineRule="auto"/>
        <w:jc w:val="both"/>
        <w:rPr>
          <w:rFonts w:cstheme="minorHAnsi"/>
        </w:rPr>
      </w:pPr>
      <w:r w:rsidRPr="004133A0">
        <w:rPr>
          <w:rFonts w:cstheme="minorHAnsi"/>
          <w:color w:val="000000"/>
          <w:shd w:val="clear" w:color="auto" w:fill="FFFFFF"/>
        </w:rPr>
        <w:t xml:space="preserve">Pracownicy Urzędu, jednostek m.st. Warszawy, klienci, tj. mieszkańcy Warszawy, kontrahenci, osoby/ podmioty współpracujące z Urzędem m.st. Warszawy, </w:t>
      </w:r>
      <w:r>
        <w:rPr>
          <w:rFonts w:cstheme="minorHAnsi"/>
          <w:color w:val="000000"/>
          <w:shd w:val="clear" w:color="auto" w:fill="FFFFFF"/>
        </w:rPr>
        <w:t>mogą zgłaszać</w:t>
      </w:r>
      <w:r w:rsidRPr="004133A0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naruszenia prawa (</w:t>
      </w:r>
      <w:r w:rsidRPr="004133A0">
        <w:rPr>
          <w:rFonts w:cstheme="minorHAnsi"/>
          <w:color w:val="000000"/>
          <w:shd w:val="clear" w:color="auto" w:fill="FFFFFF"/>
        </w:rPr>
        <w:t xml:space="preserve">nadużycia, w tym </w:t>
      </w:r>
      <w:r>
        <w:rPr>
          <w:rFonts w:cstheme="minorHAnsi"/>
          <w:color w:val="000000"/>
          <w:shd w:val="clear" w:color="auto" w:fill="FFFFFF"/>
        </w:rPr>
        <w:t xml:space="preserve">podejrzenia </w:t>
      </w:r>
      <w:r w:rsidRPr="004133A0">
        <w:rPr>
          <w:rFonts w:cstheme="minorHAnsi"/>
          <w:color w:val="000000"/>
          <w:shd w:val="clear" w:color="auto" w:fill="FFFFFF"/>
        </w:rPr>
        <w:t xml:space="preserve">korupcji </w:t>
      </w:r>
      <w:r>
        <w:rPr>
          <w:rFonts w:cstheme="minorHAnsi"/>
          <w:color w:val="000000"/>
          <w:shd w:val="clear" w:color="auto" w:fill="FFFFFF"/>
        </w:rPr>
        <w:t>pracowników</w:t>
      </w:r>
      <w:r w:rsidRPr="004133A0">
        <w:rPr>
          <w:rFonts w:cstheme="minorHAnsi"/>
          <w:color w:val="000000"/>
          <w:shd w:val="clear" w:color="auto" w:fill="FFFFFF"/>
        </w:rPr>
        <w:t xml:space="preserve"> Urzę</w:t>
      </w:r>
      <w:r>
        <w:rPr>
          <w:rFonts w:cstheme="minorHAnsi"/>
          <w:color w:val="000000"/>
          <w:shd w:val="clear" w:color="auto" w:fill="FFFFFF"/>
        </w:rPr>
        <w:t xml:space="preserve">du m.st. Warszawy lub jednostek </w:t>
      </w:r>
      <w:r w:rsidRPr="004133A0">
        <w:rPr>
          <w:rFonts w:cstheme="minorHAnsi"/>
          <w:color w:val="000000"/>
          <w:shd w:val="clear" w:color="auto" w:fill="FFFFFF"/>
        </w:rPr>
        <w:t>m.st. Warszawy</w:t>
      </w:r>
      <w:r>
        <w:rPr>
          <w:rFonts w:cstheme="minorHAnsi"/>
          <w:color w:val="000000"/>
          <w:shd w:val="clear" w:color="auto" w:fill="FFFFFF"/>
        </w:rPr>
        <w:t>)</w:t>
      </w:r>
      <w:r w:rsidRPr="004133A0">
        <w:rPr>
          <w:rFonts w:cstheme="minorHAnsi"/>
          <w:color w:val="000000"/>
          <w:shd w:val="clear" w:color="auto" w:fill="FFFFFF"/>
        </w:rPr>
        <w:t>, przez </w:t>
      </w:r>
      <w:r w:rsidRPr="00A458AC">
        <w:rPr>
          <w:rFonts w:cstheme="minorHAnsi"/>
          <w:bCs/>
          <w:i/>
          <w:color w:val="000000"/>
          <w:shd w:val="clear" w:color="auto" w:fill="FFFFFF"/>
        </w:rPr>
        <w:t>Bezpieczną Linię</w:t>
      </w:r>
      <w:r w:rsidRPr="00966C20">
        <w:rPr>
          <w:rFonts w:cstheme="minorHAnsi"/>
          <w:color w:val="000000"/>
          <w:shd w:val="clear" w:color="auto" w:fill="FFFFFF"/>
        </w:rPr>
        <w:t>:</w:t>
      </w:r>
    </w:p>
    <w:p w14:paraId="3997EFA8" w14:textId="77777777" w:rsidR="00FB1D11" w:rsidRPr="00966C20" w:rsidRDefault="00FB1D11" w:rsidP="00FB1D11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cstheme="minorHAnsi"/>
          <w:color w:val="000000"/>
        </w:rPr>
      </w:pPr>
      <w:r w:rsidRPr="00966C20">
        <w:rPr>
          <w:rFonts w:ascii="Calibri" w:hAnsi="Calibri" w:cs="Calibri"/>
        </w:rPr>
        <w:t>elektronicznie na adres email:</w:t>
      </w:r>
      <w:r w:rsidRPr="00966C20">
        <w:rPr>
          <w:rFonts w:cstheme="minorHAnsi"/>
          <w:color w:val="000000"/>
        </w:rPr>
        <w:t> </w:t>
      </w:r>
      <w:r w:rsidRPr="00DE10CC">
        <w:rPr>
          <w:rFonts w:cstheme="minorHAnsi"/>
          <w:color w:val="000000" w:themeColor="text1"/>
        </w:rPr>
        <w:t>uczciwyurzad@um.warszawa.pl,</w:t>
      </w:r>
    </w:p>
    <w:p w14:paraId="14D1C724" w14:textId="77777777" w:rsidR="00FB1D11" w:rsidRPr="00966C20" w:rsidRDefault="00FB1D11" w:rsidP="00FB1D11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cstheme="minorHAnsi"/>
          <w:color w:val="000000"/>
        </w:rPr>
      </w:pPr>
      <w:r w:rsidRPr="00966C20">
        <w:rPr>
          <w:rFonts w:ascii="Calibri" w:hAnsi="Calibri" w:cs="Calibri"/>
        </w:rPr>
        <w:t xml:space="preserve">pisemnie na </w:t>
      </w:r>
      <w:r w:rsidRPr="00966C20">
        <w:rPr>
          <w:rFonts w:cstheme="minorHAnsi"/>
          <w:color w:val="000000"/>
        </w:rPr>
        <w:t>adres korespondencyjny: Pełnomocnik Prezydenta m.st. Warszawy ds. etyki i polityki antykorupcyjnej,</w:t>
      </w:r>
    </w:p>
    <w:p w14:paraId="4ED17204" w14:textId="77777777" w:rsidR="00FB1D11" w:rsidRPr="00966C20" w:rsidRDefault="00FB1D11" w:rsidP="00FB1D11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cstheme="minorHAnsi"/>
          <w:color w:val="000000"/>
        </w:rPr>
      </w:pPr>
      <w:r w:rsidRPr="00966C20">
        <w:rPr>
          <w:rFonts w:cstheme="minorHAnsi"/>
          <w:color w:val="000000"/>
        </w:rPr>
        <w:t xml:space="preserve">telefonicznie </w:t>
      </w:r>
      <w:r w:rsidRPr="00966C20">
        <w:rPr>
          <w:rFonts w:cstheme="minorHAnsi"/>
          <w:color w:val="000000"/>
          <w:shd w:val="clear" w:color="auto" w:fill="FFFFFF"/>
        </w:rPr>
        <w:t xml:space="preserve">do </w:t>
      </w:r>
      <w:r w:rsidRPr="00966C20">
        <w:rPr>
          <w:rFonts w:cstheme="minorHAnsi"/>
          <w:color w:val="000000"/>
        </w:rPr>
        <w:t>Pełnomocnika Prezydenta m.st. Warszawy ds. etyki i polityki antykorupcyjnej,</w:t>
      </w:r>
    </w:p>
    <w:p w14:paraId="540FD74C" w14:textId="77777777" w:rsidR="00FB1D11" w:rsidRDefault="00FB1D11" w:rsidP="00FB1D11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cstheme="minorHAnsi"/>
          <w:color w:val="000000"/>
        </w:rPr>
      </w:pPr>
      <w:r w:rsidRPr="00966C20">
        <w:rPr>
          <w:rFonts w:ascii="Calibri" w:hAnsi="Calibri" w:cs="Calibri"/>
        </w:rPr>
        <w:t>na wniosek zgłaszającego złożony za pośrednictwem ww. kanałów, poprzez bezpośrednie spotkanie</w:t>
      </w:r>
      <w:r w:rsidRPr="00966C20">
        <w:rPr>
          <w:rFonts w:cstheme="minorHAnsi"/>
          <w:color w:val="000000"/>
        </w:rPr>
        <w:t xml:space="preserve"> w ustalonym</w:t>
      </w:r>
      <w:r>
        <w:rPr>
          <w:rFonts w:cstheme="minorHAnsi"/>
          <w:color w:val="000000"/>
        </w:rPr>
        <w:t xml:space="preserve"> terminie.</w:t>
      </w:r>
    </w:p>
    <w:p w14:paraId="7EC36243" w14:textId="77777777" w:rsidR="00FB1D11" w:rsidRPr="005374CA" w:rsidRDefault="00FB1D11" w:rsidP="00FB1D11">
      <w:pPr>
        <w:spacing w:after="0" w:line="360" w:lineRule="auto"/>
        <w:jc w:val="both"/>
        <w:rPr>
          <w:rFonts w:cstheme="minorHAnsi"/>
          <w:szCs w:val="22"/>
        </w:rPr>
      </w:pPr>
      <w:r w:rsidRPr="005374CA">
        <w:rPr>
          <w:rFonts w:cstheme="minorHAnsi"/>
          <w:szCs w:val="22"/>
        </w:rPr>
        <w:t xml:space="preserve">Kanał zgłoszeń wewnętrznych zapewnia możliwości dokonywania zgłoszeń zgodnie z wymogami </w:t>
      </w:r>
      <w:r w:rsidRPr="005374CA">
        <w:rPr>
          <w:rFonts w:eastAsiaTheme="majorEastAsia"/>
        </w:rPr>
        <w:t>dyrektywy</w:t>
      </w:r>
      <w:r w:rsidRPr="005029F0">
        <w:t xml:space="preserve"> w sprawie </w:t>
      </w:r>
      <w:r w:rsidRPr="005374CA">
        <w:rPr>
          <w:rFonts w:eastAsiaTheme="majorEastAsia"/>
        </w:rPr>
        <w:t>ochrony osób zgłaszających naruszenia prawa</w:t>
      </w:r>
      <w:r w:rsidRPr="005029F0">
        <w:t> Unii</w:t>
      </w:r>
      <w:r>
        <w:t>.</w:t>
      </w:r>
    </w:p>
    <w:p w14:paraId="289D9482" w14:textId="77777777" w:rsidR="00A458AC" w:rsidRDefault="00A458AC" w:rsidP="00FB1D11">
      <w:pPr>
        <w:spacing w:line="360" w:lineRule="auto"/>
        <w:jc w:val="both"/>
        <w:rPr>
          <w:rFonts w:cstheme="minorHAnsi"/>
          <w:szCs w:val="22"/>
        </w:rPr>
      </w:pPr>
    </w:p>
    <w:p w14:paraId="405715EB" w14:textId="77777777" w:rsidR="00FB1D11" w:rsidRPr="00136548" w:rsidRDefault="00FB1D11" w:rsidP="00D651FB">
      <w:pPr>
        <w:spacing w:after="120" w:line="360" w:lineRule="auto"/>
        <w:jc w:val="both"/>
        <w:rPr>
          <w:rFonts w:cstheme="minorHAnsi"/>
          <w:szCs w:val="22"/>
        </w:rPr>
      </w:pPr>
      <w:r w:rsidRPr="00136548">
        <w:rPr>
          <w:rFonts w:cstheme="minorHAnsi"/>
          <w:szCs w:val="22"/>
        </w:rPr>
        <w:t xml:space="preserve">W 2021 r. wpłynęło </w:t>
      </w:r>
      <w:r w:rsidRPr="0042355D">
        <w:rPr>
          <w:rFonts w:cstheme="minorHAnsi"/>
          <w:szCs w:val="22"/>
        </w:rPr>
        <w:t>48</w:t>
      </w:r>
      <w:r w:rsidRPr="00136548">
        <w:rPr>
          <w:rFonts w:cstheme="minorHAnsi"/>
          <w:szCs w:val="22"/>
        </w:rPr>
        <w:t xml:space="preserve"> zgłoszeń podejrzeń nadużyć i nieprawidłowości, które poddano weryfikacji zgodnie z </w:t>
      </w:r>
      <w:r w:rsidRPr="00A458AC">
        <w:rPr>
          <w:bCs/>
          <w:i/>
          <w:iCs/>
        </w:rPr>
        <w:t>Procedurą reagowania na zidentyfikowane przypadki nadużyć, w tym korupcji</w:t>
      </w:r>
      <w:r w:rsidRPr="00136548">
        <w:rPr>
          <w:rFonts w:cstheme="minorHAnsi"/>
          <w:szCs w:val="22"/>
        </w:rPr>
        <w:t>. Zgłoszenia dotyczyły funkcjonowania:</w:t>
      </w:r>
    </w:p>
    <w:p w14:paraId="67F0B847" w14:textId="77777777" w:rsidR="00FB1D11" w:rsidRPr="00136548" w:rsidRDefault="00FB1D11" w:rsidP="00FB1D11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cstheme="minorHAnsi"/>
          <w:szCs w:val="22"/>
        </w:rPr>
      </w:pPr>
      <w:r w:rsidRPr="00136548">
        <w:rPr>
          <w:rFonts w:cstheme="minorHAnsi"/>
          <w:szCs w:val="22"/>
        </w:rPr>
        <w:t xml:space="preserve">urzędów dzielnic </w:t>
      </w:r>
      <w:r w:rsidRPr="0042355D">
        <w:rPr>
          <w:rFonts w:cstheme="minorHAnsi"/>
          <w:szCs w:val="22"/>
        </w:rPr>
        <w:t>- 28,</w:t>
      </w:r>
    </w:p>
    <w:p w14:paraId="18DA68D1" w14:textId="77777777" w:rsidR="00FB1D11" w:rsidRPr="00136548" w:rsidRDefault="00FB1D11" w:rsidP="00FB1D1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Cs w:val="22"/>
        </w:rPr>
      </w:pPr>
      <w:r w:rsidRPr="00136548">
        <w:rPr>
          <w:rFonts w:cstheme="minorHAnsi"/>
          <w:szCs w:val="22"/>
        </w:rPr>
        <w:t xml:space="preserve">jednostek - </w:t>
      </w:r>
      <w:r w:rsidRPr="0042355D">
        <w:rPr>
          <w:rFonts w:cstheme="minorHAnsi"/>
          <w:szCs w:val="22"/>
        </w:rPr>
        <w:t>15,</w:t>
      </w:r>
    </w:p>
    <w:p w14:paraId="0DF3D86B" w14:textId="77777777" w:rsidR="00FB1D11" w:rsidRPr="007D781C" w:rsidRDefault="00FB1D11" w:rsidP="00FB1D1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Cs w:val="22"/>
        </w:rPr>
      </w:pPr>
      <w:r w:rsidRPr="007D781C">
        <w:rPr>
          <w:rFonts w:cstheme="minorHAnsi"/>
          <w:szCs w:val="22"/>
        </w:rPr>
        <w:t xml:space="preserve">biur Urzędu </w:t>
      </w:r>
      <w:r>
        <w:rPr>
          <w:rFonts w:cstheme="minorHAnsi"/>
          <w:szCs w:val="22"/>
        </w:rPr>
        <w:t>–</w:t>
      </w:r>
      <w:r w:rsidRPr="007D781C">
        <w:rPr>
          <w:rFonts w:cstheme="minorHAnsi"/>
          <w:szCs w:val="22"/>
        </w:rPr>
        <w:t xml:space="preserve"> </w:t>
      </w:r>
      <w:r w:rsidRPr="0042355D">
        <w:rPr>
          <w:rFonts w:cstheme="minorHAnsi"/>
          <w:szCs w:val="22"/>
        </w:rPr>
        <w:t>5</w:t>
      </w:r>
      <w:r>
        <w:rPr>
          <w:rFonts w:cstheme="minorHAnsi"/>
          <w:szCs w:val="22"/>
        </w:rPr>
        <w:t>.</w:t>
      </w:r>
    </w:p>
    <w:p w14:paraId="5EC24714" w14:textId="77777777" w:rsidR="00FB1D11" w:rsidRPr="00D700CC" w:rsidRDefault="00FB1D11" w:rsidP="00FB1D11">
      <w:pPr>
        <w:tabs>
          <w:tab w:val="num" w:pos="2148"/>
        </w:tabs>
        <w:spacing w:after="0" w:line="360" w:lineRule="auto"/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>Pełnomocnik w następstwie przeprowadzonych postępowań wyjaśniających rekomendował</w:t>
      </w:r>
      <w:r w:rsidRPr="00D700CC">
        <w:rPr>
          <w:rFonts w:eastAsia="Calibri" w:cstheme="minorHAnsi"/>
          <w:szCs w:val="22"/>
          <w:lang w:eastAsia="en-US"/>
        </w:rPr>
        <w:t xml:space="preserve"> Prezydentowi m.st. Warszawy przeprowadzeni</w:t>
      </w:r>
      <w:r>
        <w:rPr>
          <w:rFonts w:eastAsia="Calibri" w:cstheme="minorHAnsi"/>
          <w:szCs w:val="22"/>
          <w:lang w:eastAsia="en-US"/>
        </w:rPr>
        <w:t>e</w:t>
      </w:r>
      <w:r w:rsidRPr="00D700CC">
        <w:rPr>
          <w:rFonts w:eastAsia="Calibri" w:cstheme="minorHAnsi"/>
          <w:szCs w:val="22"/>
          <w:lang w:eastAsia="en-US"/>
        </w:rPr>
        <w:t xml:space="preserve"> </w:t>
      </w:r>
      <w:r>
        <w:rPr>
          <w:rFonts w:eastAsia="Calibri" w:cstheme="minorHAnsi"/>
          <w:szCs w:val="22"/>
          <w:lang w:eastAsia="en-US"/>
        </w:rPr>
        <w:t xml:space="preserve">2 audytów wewnętrznych. </w:t>
      </w:r>
    </w:p>
    <w:p w14:paraId="5E2DABAC" w14:textId="77777777" w:rsidR="00FB1D11" w:rsidRPr="0054037C" w:rsidRDefault="00FB1D11" w:rsidP="00D651FB">
      <w:pPr>
        <w:shd w:val="clear" w:color="auto" w:fill="FFFFFF"/>
        <w:spacing w:before="120" w:line="360" w:lineRule="auto"/>
        <w:rPr>
          <w:rFonts w:cstheme="minorHAnsi"/>
          <w:color w:val="212529"/>
          <w:szCs w:val="22"/>
        </w:rPr>
      </w:pPr>
      <w:r>
        <w:rPr>
          <w:rFonts w:cstheme="minorHAnsi"/>
          <w:szCs w:val="22"/>
        </w:rPr>
        <w:t>Poza kanałem zgłoszeń wewnętrznych, zgodnie z dyspozycją artykułu</w:t>
      </w:r>
      <w:r>
        <w:rPr>
          <w:rFonts w:cstheme="minorHAnsi"/>
          <w:color w:val="212529"/>
          <w:szCs w:val="22"/>
        </w:rPr>
        <w:t> </w:t>
      </w:r>
      <w:r w:rsidRPr="0054037C">
        <w:rPr>
          <w:rFonts w:cstheme="minorHAnsi"/>
          <w:color w:val="212529"/>
          <w:szCs w:val="22"/>
        </w:rPr>
        <w:t>304 </w:t>
      </w:r>
      <w:r>
        <w:rPr>
          <w:rFonts w:cstheme="minorHAnsi"/>
          <w:color w:val="212529"/>
          <w:szCs w:val="22"/>
        </w:rPr>
        <w:t>§ </w:t>
      </w:r>
      <w:r w:rsidRPr="0054037C">
        <w:rPr>
          <w:rFonts w:cstheme="minorHAnsi"/>
          <w:color w:val="212529"/>
          <w:szCs w:val="22"/>
        </w:rPr>
        <w:t>2. </w:t>
      </w:r>
      <w:r>
        <w:rPr>
          <w:rFonts w:cstheme="minorHAnsi"/>
          <w:color w:val="212529"/>
          <w:szCs w:val="22"/>
        </w:rPr>
        <w:t xml:space="preserve">Kodeksu postępowania karnego, </w:t>
      </w:r>
      <w:r>
        <w:rPr>
          <w:rFonts w:cstheme="minorHAnsi"/>
          <w:szCs w:val="22"/>
        </w:rPr>
        <w:t>urzędnicy</w:t>
      </w:r>
      <w:r w:rsidRPr="007D781C">
        <w:rPr>
          <w:rFonts w:cstheme="minorHAnsi"/>
          <w:szCs w:val="22"/>
        </w:rPr>
        <w:t xml:space="preserve"> </w:t>
      </w:r>
      <w:r w:rsidRPr="007D781C">
        <w:rPr>
          <w:rFonts w:cstheme="minorHAnsi"/>
          <w:iCs/>
          <w:szCs w:val="22"/>
        </w:rPr>
        <w:t xml:space="preserve">zgłosili </w:t>
      </w:r>
      <w:r w:rsidRPr="0042355D">
        <w:rPr>
          <w:rFonts w:cstheme="minorHAnsi"/>
          <w:iCs/>
          <w:szCs w:val="22"/>
        </w:rPr>
        <w:t>5</w:t>
      </w:r>
      <w:r w:rsidRPr="007D781C">
        <w:rPr>
          <w:rFonts w:cstheme="minorHAnsi"/>
          <w:iCs/>
          <w:szCs w:val="22"/>
        </w:rPr>
        <w:t xml:space="preserve"> przypadk</w:t>
      </w:r>
      <w:r>
        <w:rPr>
          <w:rFonts w:cstheme="minorHAnsi"/>
          <w:iCs/>
          <w:szCs w:val="22"/>
        </w:rPr>
        <w:t>ów</w:t>
      </w:r>
      <w:r w:rsidRPr="007D781C">
        <w:rPr>
          <w:rFonts w:cstheme="minorHAnsi"/>
          <w:iCs/>
          <w:szCs w:val="22"/>
        </w:rPr>
        <w:t xml:space="preserve"> próby wręczenia korzyści w</w:t>
      </w:r>
      <w:r>
        <w:rPr>
          <w:rFonts w:cstheme="minorHAnsi"/>
          <w:iCs/>
          <w:szCs w:val="22"/>
        </w:rPr>
        <w:t xml:space="preserve"> zamian za określone działania.</w:t>
      </w:r>
      <w:r w:rsidRPr="007D781C">
        <w:rPr>
          <w:rFonts w:cstheme="minorHAnsi"/>
          <w:iCs/>
          <w:szCs w:val="22"/>
        </w:rPr>
        <w:t xml:space="preserve"> W</w:t>
      </w:r>
      <w:r>
        <w:rPr>
          <w:rFonts w:cstheme="minorHAnsi"/>
          <w:iCs/>
          <w:szCs w:val="22"/>
        </w:rPr>
        <w:t>e wszystkich tych zdarzeniach</w:t>
      </w:r>
      <w:r w:rsidRPr="007D781C">
        <w:rPr>
          <w:rFonts w:cstheme="minorHAnsi"/>
          <w:iCs/>
          <w:szCs w:val="22"/>
        </w:rPr>
        <w:t xml:space="preserve"> zrealizowano wymagane </w:t>
      </w:r>
      <w:r>
        <w:rPr>
          <w:rFonts w:cstheme="minorHAnsi"/>
          <w:iCs/>
          <w:szCs w:val="22"/>
        </w:rPr>
        <w:t xml:space="preserve">procedury reagowania na przestępstwo w Urzędzie i jego jednostkach. Złożone zostały  </w:t>
      </w:r>
      <w:r w:rsidRPr="007D781C">
        <w:rPr>
          <w:rFonts w:cstheme="minorHAnsi"/>
          <w:szCs w:val="22"/>
        </w:rPr>
        <w:t xml:space="preserve">zawiadomienia o możliwości popełnienia przestępstwa </w:t>
      </w:r>
      <w:r w:rsidRPr="0042355D">
        <w:rPr>
          <w:rFonts w:cstheme="minorHAnsi"/>
          <w:szCs w:val="22"/>
        </w:rPr>
        <w:t>(postępowania karne: umorzone – 3, trwające – 2).</w:t>
      </w:r>
      <w:r w:rsidRPr="0011455A">
        <w:rPr>
          <w:rFonts w:cstheme="minorHAnsi"/>
          <w:szCs w:val="22"/>
        </w:rPr>
        <w:t xml:space="preserve"> </w:t>
      </w:r>
    </w:p>
    <w:p w14:paraId="191FC46C" w14:textId="77777777" w:rsidR="00FB1D11" w:rsidRDefault="00FB1D11" w:rsidP="00FB1D11">
      <w:pPr>
        <w:spacing w:after="80" w:line="360" w:lineRule="auto"/>
        <w:jc w:val="both"/>
        <w:rPr>
          <w:rFonts w:cstheme="minorHAnsi"/>
          <w:b/>
          <w:szCs w:val="22"/>
        </w:rPr>
      </w:pPr>
    </w:p>
    <w:p w14:paraId="72BF1C07" w14:textId="77777777" w:rsidR="00FB1D11" w:rsidRDefault="00FB1D11" w:rsidP="00FB1D11">
      <w:pPr>
        <w:spacing w:after="120" w:line="360" w:lineRule="auto"/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Efektywność systemu antykorupcyjnego </w:t>
      </w:r>
    </w:p>
    <w:p w14:paraId="28A32C9C" w14:textId="77777777" w:rsidR="00FB1D11" w:rsidRDefault="00FB1D11" w:rsidP="00FB1D11">
      <w:pPr>
        <w:spacing w:after="80" w:line="360" w:lineRule="auto"/>
        <w:jc w:val="both"/>
      </w:pPr>
      <w:r w:rsidRPr="00445376">
        <w:rPr>
          <w:rFonts w:cstheme="minorHAnsi"/>
          <w:szCs w:val="22"/>
        </w:rPr>
        <w:t xml:space="preserve">Obowiązujące zapisy </w:t>
      </w:r>
      <w:r w:rsidRPr="00A458AC">
        <w:rPr>
          <w:rFonts w:cstheme="minorHAnsi"/>
          <w:i/>
          <w:szCs w:val="22"/>
        </w:rPr>
        <w:t>Polityki antykorupcyjnej m.st. Warszawy</w:t>
      </w:r>
      <w:r w:rsidRPr="00445376">
        <w:rPr>
          <w:rFonts w:cstheme="minorHAnsi"/>
          <w:szCs w:val="22"/>
        </w:rPr>
        <w:t xml:space="preserve"> oraz </w:t>
      </w:r>
      <w:r w:rsidRPr="00A458AC">
        <w:rPr>
          <w:bCs/>
          <w:i/>
          <w:iCs/>
        </w:rPr>
        <w:t>Procedury reagowania na zidentyfikowane przypadki nadużyć, w tym korupcji</w:t>
      </w:r>
      <w:r w:rsidRPr="00445376">
        <w:rPr>
          <w:bCs/>
          <w:iCs/>
        </w:rPr>
        <w:t xml:space="preserve"> </w:t>
      </w:r>
      <w:r w:rsidR="00C129A8">
        <w:rPr>
          <w:rFonts w:cstheme="minorHAnsi"/>
          <w:szCs w:val="22"/>
        </w:rPr>
        <w:t>należy uznać za regulacje odpowiednio</w:t>
      </w:r>
      <w:r w:rsidRPr="00445376">
        <w:rPr>
          <w:rFonts w:cstheme="minorHAnsi"/>
          <w:szCs w:val="22"/>
        </w:rPr>
        <w:t xml:space="preserve"> </w:t>
      </w:r>
      <w:r w:rsidR="00441D2E">
        <w:rPr>
          <w:rFonts w:cstheme="minorHAnsi"/>
          <w:szCs w:val="22"/>
        </w:rPr>
        <w:t xml:space="preserve">kształtujące </w:t>
      </w:r>
      <w:r w:rsidRPr="00445376">
        <w:rPr>
          <w:rFonts w:cstheme="minorHAnsi"/>
          <w:szCs w:val="22"/>
        </w:rPr>
        <w:t xml:space="preserve">kulturę </w:t>
      </w:r>
      <w:r w:rsidR="00A458AC">
        <w:rPr>
          <w:rFonts w:cstheme="minorHAnsi"/>
          <w:szCs w:val="22"/>
        </w:rPr>
        <w:t xml:space="preserve">antykorupcyjną </w:t>
      </w:r>
      <w:r>
        <w:rPr>
          <w:rFonts w:cstheme="minorHAnsi"/>
          <w:szCs w:val="22"/>
        </w:rPr>
        <w:t>U</w:t>
      </w:r>
      <w:r w:rsidRPr="00445376">
        <w:rPr>
          <w:rFonts w:cstheme="minorHAnsi"/>
          <w:szCs w:val="22"/>
        </w:rPr>
        <w:t>rzędu</w:t>
      </w:r>
      <w:r w:rsidR="00441D2E">
        <w:rPr>
          <w:rFonts w:cstheme="minorHAnsi"/>
          <w:szCs w:val="22"/>
        </w:rPr>
        <w:t xml:space="preserve"> m.st. Warszawy</w:t>
      </w:r>
      <w:r w:rsidRPr="00445376">
        <w:rPr>
          <w:rFonts w:cstheme="minorHAnsi"/>
          <w:szCs w:val="22"/>
        </w:rPr>
        <w:t xml:space="preserve">. Obowiązkowe szkolenia pracowników oraz bieżące wsparcie udzielane urzędnikom pozwalają na umacnianie właściwych postaw antykorupcyjnych skłaniających do bezkompromisowego reagowania na próby nadużyć oraz postawy nieetyczne. </w:t>
      </w:r>
    </w:p>
    <w:p w14:paraId="16F31E16" w14:textId="77777777" w:rsidR="00FB1D11" w:rsidRDefault="00FB1D11" w:rsidP="00FB1D11">
      <w:pPr>
        <w:spacing w:after="8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Wieloletnie funkcjonowanie systemu antykorupcyjnego wraz z przydzieleniem Biuru Zgodności zadań organizacyjnych, analitycznych i szkoleniowych w tym zakresie, pozwoliło na podniesienie efektywności działań antykorupcyjnych oraz wytworzenie dobrych praktyk. </w:t>
      </w:r>
    </w:p>
    <w:p w14:paraId="07D5FB6D" w14:textId="77777777" w:rsidR="00DA30DB" w:rsidRPr="00DA30DB" w:rsidRDefault="00FB1D11" w:rsidP="00FB1D11">
      <w:pPr>
        <w:spacing w:after="80" w:line="360" w:lineRule="auto"/>
        <w:jc w:val="both"/>
        <w:rPr>
          <w:rFonts w:cstheme="minorHAnsi"/>
          <w:color w:val="000000" w:themeColor="text1"/>
          <w:szCs w:val="22"/>
        </w:rPr>
      </w:pPr>
      <w:r>
        <w:rPr>
          <w:rFonts w:cstheme="minorHAnsi"/>
          <w:szCs w:val="22"/>
        </w:rPr>
        <w:t>To powodowało, że Urząd m.st. Warszawy angażowany był w wymianę doświadczeń i przekazywanie dobrych praktyk m.in. podczas:</w:t>
      </w:r>
    </w:p>
    <w:p w14:paraId="371B3860" w14:textId="77777777" w:rsidR="00DA30DB" w:rsidRPr="00DA30DB" w:rsidRDefault="00DA30DB" w:rsidP="00DA30DB">
      <w:pPr>
        <w:pStyle w:val="Akapitzlist"/>
        <w:numPr>
          <w:ilvl w:val="0"/>
          <w:numId w:val="15"/>
        </w:numPr>
        <w:spacing w:line="360" w:lineRule="auto"/>
      </w:pPr>
      <w:r>
        <w:t xml:space="preserve">wywiadu Portalu Internetowego </w:t>
      </w:r>
      <w:r w:rsidRPr="00DA30DB">
        <w:t>Unii Metropolii Polskich im. Pawła Adamowicza</w:t>
      </w:r>
      <w:r>
        <w:t xml:space="preserve">  z Pełnomocnikiem Prezydenta m.st. Warszawy ds. </w:t>
      </w:r>
      <w:r w:rsidR="00596A60">
        <w:t>e</w:t>
      </w:r>
      <w:r>
        <w:t xml:space="preserve">tyki i </w:t>
      </w:r>
      <w:r w:rsidR="00596A60">
        <w:t>p</w:t>
      </w:r>
      <w:r>
        <w:t xml:space="preserve">olityki </w:t>
      </w:r>
      <w:r w:rsidR="00596A60">
        <w:t>a</w:t>
      </w:r>
      <w:r>
        <w:t xml:space="preserve">ntykorupcyjnej pt. </w:t>
      </w:r>
      <w:r w:rsidRPr="00DA30DB">
        <w:rPr>
          <w:i/>
        </w:rPr>
        <w:t>Sygnalista nie może ponosić negatywnych konsekwencji swych działań</w:t>
      </w:r>
      <w:r>
        <w:t>, 13 sierpnia</w:t>
      </w:r>
      <w:r w:rsidRPr="00DA30DB">
        <w:t xml:space="preserve"> 2021</w:t>
      </w:r>
      <w:r>
        <w:t xml:space="preserve"> r.</w:t>
      </w:r>
    </w:p>
    <w:p w14:paraId="2A4E820F" w14:textId="77777777" w:rsidR="00FB1D11" w:rsidRPr="00C44545" w:rsidRDefault="00FB1D11" w:rsidP="00DA30DB">
      <w:pPr>
        <w:pStyle w:val="Akapitzlist"/>
        <w:numPr>
          <w:ilvl w:val="0"/>
          <w:numId w:val="10"/>
        </w:numPr>
        <w:spacing w:after="0" w:line="360" w:lineRule="auto"/>
      </w:pPr>
      <w:r w:rsidRPr="00441D2E">
        <w:rPr>
          <w:i/>
        </w:rPr>
        <w:t>XIX. Samorządowego Forum Kapitału i Finansów</w:t>
      </w:r>
      <w:r>
        <w:t xml:space="preserve">, </w:t>
      </w:r>
      <w:r w:rsidRPr="00C44545">
        <w:t xml:space="preserve"> Katowic</w:t>
      </w:r>
      <w:r>
        <w:t>e</w:t>
      </w:r>
      <w:r w:rsidRPr="00423988">
        <w:t xml:space="preserve">, </w:t>
      </w:r>
      <w:r>
        <w:t xml:space="preserve">6 - </w:t>
      </w:r>
      <w:r w:rsidRPr="00423988">
        <w:t>7 października 2021 r</w:t>
      </w:r>
      <w:r>
        <w:t>. -P</w:t>
      </w:r>
      <w:r w:rsidRPr="00C44545">
        <w:t xml:space="preserve">ełnomocnik </w:t>
      </w:r>
      <w:r>
        <w:t xml:space="preserve">Prezydenta m.st. Warszawy ds. </w:t>
      </w:r>
      <w:r w:rsidR="00596A60">
        <w:t>e</w:t>
      </w:r>
      <w:r>
        <w:t xml:space="preserve">tyki i </w:t>
      </w:r>
      <w:r w:rsidR="00596A60">
        <w:t>p</w:t>
      </w:r>
      <w:r>
        <w:t xml:space="preserve">olityki </w:t>
      </w:r>
      <w:r w:rsidR="00596A60">
        <w:t>a</w:t>
      </w:r>
      <w:r>
        <w:t>ntykorupcyjnej uczestniczył jako prelegent w panelach p</w:t>
      </w:r>
      <w:r w:rsidRPr="00C44545">
        <w:t>t.:</w:t>
      </w:r>
    </w:p>
    <w:p w14:paraId="20E0425B" w14:textId="77777777" w:rsidR="00FB1D11" w:rsidRPr="00C44545" w:rsidRDefault="00FB1D11" w:rsidP="00DA30DB">
      <w:pPr>
        <w:pStyle w:val="Akapitzlist"/>
        <w:numPr>
          <w:ilvl w:val="0"/>
          <w:numId w:val="8"/>
        </w:numPr>
        <w:spacing w:after="160" w:line="360" w:lineRule="auto"/>
      </w:pPr>
      <w:r w:rsidRPr="00FB33EB">
        <w:rPr>
          <w:rFonts w:eastAsiaTheme="majorEastAsia"/>
          <w:i/>
        </w:rPr>
        <w:t>Wytyczne CBA dot. zgodności w administracji a rola audytu wewnętrznego</w:t>
      </w:r>
      <w:r w:rsidRPr="00C44545">
        <w:rPr>
          <w:rFonts w:eastAsiaTheme="majorEastAsia"/>
        </w:rPr>
        <w:t>,</w:t>
      </w:r>
    </w:p>
    <w:p w14:paraId="565E6CC8" w14:textId="77777777" w:rsidR="00FB1D11" w:rsidRPr="00C44545" w:rsidRDefault="00FB1D11" w:rsidP="00DA30DB">
      <w:pPr>
        <w:pStyle w:val="Akapitzlist"/>
        <w:numPr>
          <w:ilvl w:val="0"/>
          <w:numId w:val="8"/>
        </w:numPr>
        <w:spacing w:after="160" w:line="360" w:lineRule="auto"/>
      </w:pPr>
      <w:r w:rsidRPr="00FB33EB">
        <w:rPr>
          <w:rFonts w:eastAsiaTheme="majorEastAsia"/>
          <w:i/>
        </w:rPr>
        <w:t>Obowiązki JST w zakresie ochrony sygnalistów</w:t>
      </w:r>
      <w:r>
        <w:rPr>
          <w:rFonts w:eastAsiaTheme="majorEastAsia"/>
        </w:rPr>
        <w:t>,</w:t>
      </w:r>
    </w:p>
    <w:p w14:paraId="7F8018AF" w14:textId="77777777" w:rsidR="00FB1D11" w:rsidRPr="002C756E" w:rsidRDefault="00FB1D11" w:rsidP="00DA30DB">
      <w:pPr>
        <w:pStyle w:val="Akapitzlist"/>
        <w:numPr>
          <w:ilvl w:val="0"/>
          <w:numId w:val="8"/>
        </w:numPr>
        <w:spacing w:after="160" w:line="360" w:lineRule="auto"/>
        <w:ind w:left="709" w:hanging="283"/>
      </w:pPr>
      <w:r w:rsidRPr="00441D2E">
        <w:rPr>
          <w:i/>
        </w:rPr>
        <w:t>V. Krajowego Kongresu Sekretarzy</w:t>
      </w:r>
      <w:r w:rsidRPr="002C756E">
        <w:t xml:space="preserve">, </w:t>
      </w:r>
      <w:r>
        <w:t xml:space="preserve">Warszawa, </w:t>
      </w:r>
      <w:r w:rsidRPr="002C756E">
        <w:t>28 – 29 września 2021 r</w:t>
      </w:r>
      <w:r>
        <w:t xml:space="preserve">. – wystąpienie Dyrektora Biura Zgodności nt. </w:t>
      </w:r>
      <w:r w:rsidRPr="00FB33EB">
        <w:rPr>
          <w:i/>
        </w:rPr>
        <w:t xml:space="preserve">Zgłaszanie naruszeń prawa, jak przygotować i </w:t>
      </w:r>
      <w:r w:rsidR="001E2C49">
        <w:rPr>
          <w:i/>
        </w:rPr>
        <w:t>w</w:t>
      </w:r>
      <w:r w:rsidRPr="00FB33EB">
        <w:rPr>
          <w:i/>
        </w:rPr>
        <w:t>drożyć dobrą procedurę. Dobre przykłady</w:t>
      </w:r>
      <w:r>
        <w:t>.</w:t>
      </w:r>
    </w:p>
    <w:p w14:paraId="703FDE38" w14:textId="77777777" w:rsidR="00FB1D11" w:rsidRDefault="00FB1D11" w:rsidP="00DA30DB">
      <w:pPr>
        <w:spacing w:line="360" w:lineRule="auto"/>
      </w:pPr>
      <w:r>
        <w:t>W zakresie planowania i realizacji polityki antykorupcyjnej Biuro Zgodności wraz z Pełnomocnikiem aktywnie działali</w:t>
      </w:r>
      <w:r w:rsidRPr="008D5FA7">
        <w:t xml:space="preserve"> na forum Unii Metropoli Polskich oraz Grupy Innowacji Samorządowych Śląskiego Związku Gmin i Powiatów</w:t>
      </w:r>
      <w:r>
        <w:t xml:space="preserve">. </w:t>
      </w:r>
      <w:r w:rsidRPr="008D5FA7">
        <w:t xml:space="preserve"> </w:t>
      </w:r>
      <w:r>
        <w:t xml:space="preserve">Prezentowano doświadczenia Urzędu m.st. Warszawy wynikające z realizowanej w Urzędzie polityki antykorupcyjnej oraz procedury reagowania na zidentyfikowane przypadki nadużyć, w tym korupcji. </w:t>
      </w:r>
    </w:p>
    <w:p w14:paraId="5D3CF2DE" w14:textId="77777777" w:rsidR="00FB1D11" w:rsidRDefault="00FB1D11" w:rsidP="00FB1D11">
      <w:pPr>
        <w:spacing w:line="360" w:lineRule="auto"/>
      </w:pPr>
      <w:r>
        <w:t>Aktywnie uczes</w:t>
      </w:r>
      <w:r w:rsidR="00D651FB">
        <w:t>tniczono w opracowywaniu opinii</w:t>
      </w:r>
      <w:r>
        <w:t xml:space="preserve"> Unii</w:t>
      </w:r>
      <w:r w:rsidRPr="008D5FA7">
        <w:t xml:space="preserve"> Metropoli</w:t>
      </w:r>
      <w:r>
        <w:t>i</w:t>
      </w:r>
      <w:r w:rsidRPr="008D5FA7">
        <w:t xml:space="preserve"> Polskich </w:t>
      </w:r>
      <w:r w:rsidR="00D651FB" w:rsidRPr="00DA30DB">
        <w:t>im. Pawła Adamowicza</w:t>
      </w:r>
      <w:r w:rsidR="00D651FB">
        <w:t xml:space="preserve"> </w:t>
      </w:r>
      <w:r>
        <w:t xml:space="preserve">do projektu ustawy wdrażającej dyrektywę w sprawie ochrony osób zgłaszających naruszenia prawa. </w:t>
      </w:r>
      <w:r w:rsidR="00D651FB">
        <w:t>W ramach Zespołu</w:t>
      </w:r>
      <w:r w:rsidR="00D651FB" w:rsidRPr="00DA30DB">
        <w:t xml:space="preserve"> ds. Sygnalistów </w:t>
      </w:r>
      <w:r w:rsidR="00D651FB">
        <w:t>s</w:t>
      </w:r>
      <w:r>
        <w:t>kładano propozycje ni</w:t>
      </w:r>
      <w:r w:rsidR="00D651FB">
        <w:t xml:space="preserve">ezbędnych regulacji dodatkowych </w:t>
      </w:r>
      <w:r>
        <w:t xml:space="preserve">nieuwzględnianych w projekcie ustawy.   </w:t>
      </w:r>
    </w:p>
    <w:p w14:paraId="063E177A" w14:textId="77777777" w:rsidR="00D651FB" w:rsidRPr="008D5FA7" w:rsidRDefault="00D651FB" w:rsidP="00FB1D11">
      <w:pPr>
        <w:spacing w:line="360" w:lineRule="auto"/>
      </w:pPr>
    </w:p>
    <w:p w14:paraId="17175B38" w14:textId="77777777" w:rsidR="00FB1D11" w:rsidRDefault="00FB1D11" w:rsidP="00FB1D11">
      <w:pPr>
        <w:spacing w:line="36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Kierunki</w:t>
      </w:r>
      <w:r w:rsidRPr="00C0771A">
        <w:rPr>
          <w:rFonts w:cstheme="minorHAnsi"/>
          <w:b/>
          <w:szCs w:val="22"/>
        </w:rPr>
        <w:t xml:space="preserve"> rozwoju systemu</w:t>
      </w:r>
      <w:r>
        <w:rPr>
          <w:rFonts w:cstheme="minorHAnsi"/>
          <w:b/>
          <w:szCs w:val="22"/>
        </w:rPr>
        <w:t xml:space="preserve"> antykorupcyjnego</w:t>
      </w:r>
    </w:p>
    <w:p w14:paraId="76133A26" w14:textId="77777777" w:rsidR="00FB1D11" w:rsidRDefault="00FB1D11" w:rsidP="00FB1D11">
      <w:pPr>
        <w:spacing w:line="360" w:lineRule="auto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Głównym wyzwaniem dla działań antykorupcyjnych w urzędzie będzie zapewnienie pracownikom urzędu praw wynikających z Dyrektywy Parlamentu Europejskiego i Rady (UE) 2019/1937 z dnia 23 października 2019 r. w sprawie ochrony osób zgłaszających naruszenia prawa Unii. Brak ustawy implementującej dyrektywę do krajowego porządku prawnego stwarza lukę, która utrudnia pełne </w:t>
      </w:r>
      <w:r w:rsidR="00441D2E">
        <w:rPr>
          <w:rFonts w:cstheme="minorHAnsi"/>
          <w:iCs/>
          <w:szCs w:val="22"/>
        </w:rPr>
        <w:t>jej stosowanie</w:t>
      </w:r>
      <w:r>
        <w:rPr>
          <w:rFonts w:cstheme="minorHAnsi"/>
          <w:iCs/>
          <w:szCs w:val="22"/>
        </w:rPr>
        <w:t xml:space="preserve">. </w:t>
      </w:r>
      <w:r w:rsidR="00441D2E">
        <w:rPr>
          <w:rFonts w:cstheme="minorHAnsi"/>
          <w:iCs/>
          <w:szCs w:val="22"/>
        </w:rPr>
        <w:t>Od momentu wejścia w życie</w:t>
      </w:r>
      <w:r>
        <w:rPr>
          <w:rFonts w:cstheme="minorHAnsi"/>
          <w:iCs/>
          <w:szCs w:val="22"/>
        </w:rPr>
        <w:t xml:space="preserve"> ustawy wdrażającej dyrektywę</w:t>
      </w:r>
      <w:r w:rsidR="00441D2E">
        <w:rPr>
          <w:rFonts w:cstheme="minorHAnsi"/>
          <w:iCs/>
          <w:szCs w:val="22"/>
        </w:rPr>
        <w:t xml:space="preserve"> (termin nieznany) </w:t>
      </w:r>
      <w:r>
        <w:rPr>
          <w:rFonts w:cstheme="minorHAnsi"/>
          <w:iCs/>
          <w:szCs w:val="22"/>
        </w:rPr>
        <w:t xml:space="preserve">rozpoczęty zostanie proces modyfikacji systemu antykorupcyjnego Urzędu m.st. Warszawy. Zostanie </w:t>
      </w:r>
      <w:r w:rsidR="009101C4">
        <w:rPr>
          <w:rFonts w:cstheme="minorHAnsi"/>
          <w:iCs/>
          <w:szCs w:val="22"/>
        </w:rPr>
        <w:t xml:space="preserve">on </w:t>
      </w:r>
      <w:r>
        <w:rPr>
          <w:rFonts w:cstheme="minorHAnsi"/>
          <w:iCs/>
          <w:szCs w:val="22"/>
        </w:rPr>
        <w:t xml:space="preserve">uzupełniony o </w:t>
      </w:r>
      <w:r w:rsidRPr="00441D2E">
        <w:rPr>
          <w:rFonts w:cstheme="minorHAnsi"/>
          <w:i/>
          <w:iCs/>
          <w:szCs w:val="22"/>
        </w:rPr>
        <w:t>Regulamin zgłoszeń wewnętrznych</w:t>
      </w:r>
      <w:r>
        <w:rPr>
          <w:rFonts w:cstheme="minorHAnsi"/>
          <w:iCs/>
          <w:szCs w:val="22"/>
        </w:rPr>
        <w:t xml:space="preserve">, </w:t>
      </w:r>
      <w:r w:rsidR="00441D2E">
        <w:rPr>
          <w:rFonts w:cstheme="minorHAnsi"/>
          <w:iCs/>
          <w:szCs w:val="22"/>
        </w:rPr>
        <w:t xml:space="preserve">i </w:t>
      </w:r>
      <w:r>
        <w:rPr>
          <w:rFonts w:cstheme="minorHAnsi"/>
          <w:iCs/>
          <w:szCs w:val="22"/>
        </w:rPr>
        <w:t xml:space="preserve">jednocześnie zachowane zostaną  dotychczasowe możliwości zgłaszania i wyjaśniania w Urzędzie </w:t>
      </w:r>
      <w:r w:rsidR="00441D2E">
        <w:rPr>
          <w:rFonts w:cstheme="minorHAnsi"/>
          <w:iCs/>
          <w:szCs w:val="22"/>
        </w:rPr>
        <w:t xml:space="preserve">wszelkich nieprawidłowości. A zatem zakres dopuszczalnych zgłoszeń będzie szerszy niż ten, który wskazany jest </w:t>
      </w:r>
      <w:r w:rsidR="00EF5075">
        <w:rPr>
          <w:rFonts w:cstheme="minorHAnsi"/>
          <w:iCs/>
          <w:szCs w:val="22"/>
        </w:rPr>
        <w:t xml:space="preserve">w </w:t>
      </w:r>
      <w:r>
        <w:rPr>
          <w:rFonts w:cstheme="minorHAnsi"/>
          <w:iCs/>
          <w:szCs w:val="22"/>
        </w:rPr>
        <w:t>dyrektyw</w:t>
      </w:r>
      <w:r w:rsidR="00EF5075">
        <w:rPr>
          <w:rFonts w:cstheme="minorHAnsi"/>
          <w:iCs/>
          <w:szCs w:val="22"/>
        </w:rPr>
        <w:t>ie</w:t>
      </w:r>
      <w:r>
        <w:rPr>
          <w:rFonts w:cstheme="minorHAnsi"/>
          <w:iCs/>
          <w:szCs w:val="22"/>
        </w:rPr>
        <w:t xml:space="preserve">. </w:t>
      </w:r>
    </w:p>
    <w:p w14:paraId="5AAAB698" w14:textId="77777777" w:rsidR="00FB1D11" w:rsidRDefault="00FB1D11" w:rsidP="00FB1D11">
      <w:pPr>
        <w:spacing w:line="360" w:lineRule="auto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Pełnomocnik ds. etyki i polityki antykorupcyjnej oraz Biuro Zgodności prowadzić będą działania szkoleniowe i konsultacje</w:t>
      </w:r>
      <w:r w:rsidR="00EF5075">
        <w:rPr>
          <w:rFonts w:cstheme="minorHAnsi"/>
          <w:iCs/>
          <w:szCs w:val="22"/>
        </w:rPr>
        <w:t xml:space="preserve"> dla jednostek organizacyjnych U</w:t>
      </w:r>
      <w:r>
        <w:rPr>
          <w:rFonts w:cstheme="minorHAnsi"/>
          <w:iCs/>
          <w:szCs w:val="22"/>
        </w:rPr>
        <w:t xml:space="preserve">rzędu zobowiązanych dyrektywą do utworzenia wewnętrznych kanałów zgłoszeń oraz prowadzenia działań następczych. </w:t>
      </w:r>
      <w:r w:rsidR="00D651FB">
        <w:rPr>
          <w:rFonts w:cstheme="minorHAnsi"/>
          <w:iCs/>
          <w:szCs w:val="22"/>
        </w:rPr>
        <w:t>Nowym kierunkiem kształtowania odpowiedniego poziomu kompetencji urzędników będą szkolenia z zakresu metodyki postępowań wyjaśniających</w:t>
      </w:r>
      <w:r w:rsidR="00082C9F">
        <w:rPr>
          <w:rFonts w:cstheme="minorHAnsi"/>
          <w:iCs/>
          <w:szCs w:val="22"/>
        </w:rPr>
        <w:t>,</w:t>
      </w:r>
      <w:r w:rsidR="00D651FB">
        <w:rPr>
          <w:rFonts w:cstheme="minorHAnsi"/>
          <w:iCs/>
          <w:szCs w:val="22"/>
        </w:rPr>
        <w:t xml:space="preserve"> </w:t>
      </w:r>
      <w:r w:rsidR="00D95136">
        <w:rPr>
          <w:rFonts w:cstheme="minorHAnsi"/>
          <w:iCs/>
          <w:szCs w:val="22"/>
        </w:rPr>
        <w:t xml:space="preserve">prowadzonych </w:t>
      </w:r>
      <w:r w:rsidR="00D651FB">
        <w:rPr>
          <w:rFonts w:cstheme="minorHAnsi"/>
          <w:iCs/>
          <w:szCs w:val="22"/>
        </w:rPr>
        <w:t xml:space="preserve">przez pracowników obsługujących </w:t>
      </w:r>
      <w:r w:rsidR="00C129A8">
        <w:rPr>
          <w:rFonts w:cstheme="minorHAnsi"/>
          <w:iCs/>
          <w:szCs w:val="22"/>
        </w:rPr>
        <w:t>kanały zgłoszeń wewnętrznych.</w:t>
      </w:r>
    </w:p>
    <w:p w14:paraId="622BC98C" w14:textId="77777777" w:rsidR="00FB1D11" w:rsidRPr="003A63B2" w:rsidRDefault="00FB1D11" w:rsidP="00FB1D11">
      <w:pPr>
        <w:spacing w:line="36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Zaktualizowane zostan</w:t>
      </w:r>
      <w:r w:rsidR="00D95136">
        <w:rPr>
          <w:rFonts w:cstheme="minorHAnsi"/>
          <w:szCs w:val="22"/>
        </w:rPr>
        <w:t>ą zakresy obowiązkowych szkoleń</w:t>
      </w:r>
      <w:r>
        <w:rPr>
          <w:rFonts w:cstheme="minorHAnsi"/>
          <w:szCs w:val="22"/>
        </w:rPr>
        <w:t xml:space="preserve"> oraz materiały szkoleniowe wykorzystywane do adaptacji nowozatrudnionych pracowników,</w:t>
      </w:r>
      <w:r w:rsidRPr="003A63B2">
        <w:rPr>
          <w:rFonts w:cstheme="minorHAnsi"/>
          <w:szCs w:val="22"/>
        </w:rPr>
        <w:t xml:space="preserve"> kadry kierowniczej oraz </w:t>
      </w:r>
      <w:r>
        <w:rPr>
          <w:rFonts w:cstheme="minorHAnsi"/>
          <w:szCs w:val="22"/>
        </w:rPr>
        <w:t xml:space="preserve">w trakcie </w:t>
      </w:r>
      <w:r w:rsidRPr="003A63B2">
        <w:rPr>
          <w:rFonts w:cstheme="minorHAnsi"/>
          <w:szCs w:val="22"/>
        </w:rPr>
        <w:t>służ</w:t>
      </w:r>
      <w:r w:rsidR="00D95136">
        <w:rPr>
          <w:rFonts w:cstheme="minorHAnsi"/>
          <w:szCs w:val="22"/>
        </w:rPr>
        <w:t>by przygotowawczej</w:t>
      </w:r>
      <w:r w:rsidR="001D6A0B">
        <w:rPr>
          <w:rFonts w:cstheme="minorHAnsi"/>
          <w:szCs w:val="22"/>
        </w:rPr>
        <w:t>. Włączone zostaną standardy antykorupcyjne dyrektywy oraz wymogi ustawy wdrażającej do procesu szkolenia urzędników</w:t>
      </w:r>
      <w:r w:rsidR="00D95136">
        <w:rPr>
          <w:rFonts w:cstheme="minorHAnsi"/>
          <w:szCs w:val="22"/>
        </w:rPr>
        <w:t>.</w:t>
      </w:r>
    </w:p>
    <w:p w14:paraId="44DFE204" w14:textId="77777777" w:rsidR="00FB1D11" w:rsidRPr="00C0771A" w:rsidRDefault="00FB1D11" w:rsidP="00FB1D11">
      <w:pPr>
        <w:spacing w:line="360" w:lineRule="auto"/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 W celu zwiększenia wsparcia burmistrzów dzielnic</w:t>
      </w:r>
      <w:r w:rsidRPr="00BE39B5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>w zakresie realizacji polityki antykorupcyjnej, kontynuowane będą działania szkoleniowe dla dzielnicowych</w:t>
      </w:r>
      <w:r w:rsidRPr="00662982">
        <w:rPr>
          <w:rFonts w:cstheme="minorHAnsi"/>
          <w:iCs/>
          <w:szCs w:val="22"/>
        </w:rPr>
        <w:t xml:space="preserve"> koordynatorów ds. etyki i polityki antykorupcyjnej</w:t>
      </w:r>
      <w:r>
        <w:rPr>
          <w:rFonts w:cstheme="minorHAnsi"/>
          <w:iCs/>
          <w:szCs w:val="22"/>
        </w:rPr>
        <w:t>. Prowadzone będą cykliczne spotkania konsultacyjne z zarządami dzielnic służące ocenie efektywności działań antykorupcyjnych oraz doskonaleniu funkcjonowania kanałów zgłoszeń wewnętrznych.</w:t>
      </w:r>
    </w:p>
    <w:p w14:paraId="5BEE8B58" w14:textId="77777777" w:rsidR="0054486C" w:rsidRPr="00DA30DB" w:rsidRDefault="00C04D55" w:rsidP="00D651FB">
      <w:pPr>
        <w:spacing w:line="360" w:lineRule="auto"/>
      </w:pPr>
      <w:r>
        <w:t>Kontynuowane będą w Zespole</w:t>
      </w:r>
      <w:r w:rsidR="00DA30DB" w:rsidRPr="00DA30DB">
        <w:t xml:space="preserve"> ds. Sygnalistów Unii Metropolii Polskich im. Pawła Adamowicza</w:t>
      </w:r>
      <w:r>
        <w:t xml:space="preserve"> </w:t>
      </w:r>
      <w:r w:rsidR="004B79C1">
        <w:t xml:space="preserve">prace </w:t>
      </w:r>
      <w:r>
        <w:t xml:space="preserve">nad projektem ustawy wdrażającej </w:t>
      </w:r>
      <w:r>
        <w:rPr>
          <w:rFonts w:cstheme="minorHAnsi"/>
          <w:iCs/>
          <w:szCs w:val="22"/>
        </w:rPr>
        <w:t>Dyrektywę Parlamentu Europejskiego i Rady (UE) 2019/1937 z dnia 23 października 2019 r. w sprawie ochrony osób zgłaszających naruszenia prawa Unii.</w:t>
      </w:r>
    </w:p>
    <w:sectPr w:rsidR="0054486C" w:rsidRPr="00DA30DB" w:rsidSect="0054486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0BDE" w14:textId="77777777" w:rsidR="008B4AB9" w:rsidRDefault="008B4AB9" w:rsidP="0054486C">
      <w:pPr>
        <w:spacing w:after="0" w:line="240" w:lineRule="auto"/>
      </w:pPr>
      <w:r>
        <w:separator/>
      </w:r>
    </w:p>
  </w:endnote>
  <w:endnote w:type="continuationSeparator" w:id="0">
    <w:p w14:paraId="0B045990" w14:textId="77777777" w:rsidR="008B4AB9" w:rsidRDefault="008B4AB9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622237"/>
      <w:docPartObj>
        <w:docPartGallery w:val="Page Numbers (Bottom of Page)"/>
        <w:docPartUnique/>
      </w:docPartObj>
    </w:sdtPr>
    <w:sdtEndPr/>
    <w:sdtContent>
      <w:p w14:paraId="4EA415F0" w14:textId="761840B1" w:rsidR="00A458AC" w:rsidRDefault="00A458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6FA">
          <w:rPr>
            <w:noProof/>
          </w:rPr>
          <w:t>7</w:t>
        </w:r>
        <w:r>
          <w:fldChar w:fldCharType="end"/>
        </w:r>
      </w:p>
    </w:sdtContent>
  </w:sdt>
  <w:p w14:paraId="07EA6571" w14:textId="77777777" w:rsidR="00CA123E" w:rsidRDefault="00231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657192"/>
      <w:docPartObj>
        <w:docPartGallery w:val="Page Numbers (Bottom of Page)"/>
        <w:docPartUnique/>
      </w:docPartObj>
    </w:sdtPr>
    <w:sdtEndPr/>
    <w:sdtContent>
      <w:p w14:paraId="7D6EE16B" w14:textId="4CF3DF27" w:rsidR="00A458AC" w:rsidRDefault="00A458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6FA">
          <w:rPr>
            <w:noProof/>
          </w:rPr>
          <w:t>1</w:t>
        </w:r>
        <w:r>
          <w:fldChar w:fldCharType="end"/>
        </w:r>
      </w:p>
    </w:sdtContent>
  </w:sdt>
  <w:p w14:paraId="21CAC135" w14:textId="77777777" w:rsidR="00A458AC" w:rsidRDefault="00A45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8B47" w14:textId="77777777" w:rsidR="008B4AB9" w:rsidRDefault="008B4AB9" w:rsidP="0054486C">
      <w:pPr>
        <w:spacing w:after="0" w:line="240" w:lineRule="auto"/>
      </w:pPr>
      <w:r>
        <w:separator/>
      </w:r>
    </w:p>
  </w:footnote>
  <w:footnote w:type="continuationSeparator" w:id="0">
    <w:p w14:paraId="234970CC" w14:textId="77777777" w:rsidR="008B4AB9" w:rsidRDefault="008B4AB9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C1BC" w14:textId="77777777" w:rsidR="00BD3DE7" w:rsidRPr="008A0FA7" w:rsidRDefault="00595FC2" w:rsidP="008A0FA7">
    <w:pPr>
      <w:pStyle w:val="Nagwek"/>
    </w:pPr>
    <w:r>
      <w:rPr>
        <w:noProof/>
      </w:rPr>
      <w:drawing>
        <wp:inline distT="0" distB="0" distL="0" distR="0" wp14:anchorId="15B768BA" wp14:editId="38395A5F">
          <wp:extent cx="5760720" cy="854710"/>
          <wp:effectExtent l="0" t="0" r="0" b="2540"/>
          <wp:docPr id="1" name="Obraz 1" descr="Herb Warszawy. Urząd Miasta Stołecznego Warszawy, Pełnomocnik Prezydenta m.st. Warszawy ds. etyki i polityki antykorupcyjnej, ul. Niecała 2, 00-098 Warszawa, tel. 22 325 79 00, faks 22 325 79 02, adres do korespondencji: Aleje Jerozolimskie 44, 00-024 Warszawa, e-mail: Sekretariat.BZ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ety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3F31"/>
    <w:multiLevelType w:val="hybridMultilevel"/>
    <w:tmpl w:val="B1A8F45E"/>
    <w:lvl w:ilvl="0" w:tplc="B3DC79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B0C86"/>
    <w:multiLevelType w:val="multilevel"/>
    <w:tmpl w:val="65641E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D1265"/>
    <w:multiLevelType w:val="hybridMultilevel"/>
    <w:tmpl w:val="418AD3A4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1EFE"/>
    <w:multiLevelType w:val="hybridMultilevel"/>
    <w:tmpl w:val="4C7A615E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56AFD"/>
    <w:multiLevelType w:val="hybridMultilevel"/>
    <w:tmpl w:val="89808784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8" w15:restartNumberingAfterBreak="0">
    <w:nsid w:val="35C91F15"/>
    <w:multiLevelType w:val="hybridMultilevel"/>
    <w:tmpl w:val="50F8AA32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85F09"/>
    <w:multiLevelType w:val="hybridMultilevel"/>
    <w:tmpl w:val="46C8B2F2"/>
    <w:lvl w:ilvl="0" w:tplc="FF588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1719E"/>
    <w:multiLevelType w:val="hybridMultilevel"/>
    <w:tmpl w:val="FE441FC4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67011"/>
    <w:multiLevelType w:val="hybridMultilevel"/>
    <w:tmpl w:val="2F5C6470"/>
    <w:lvl w:ilvl="0" w:tplc="B3DC79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CB641EB"/>
    <w:multiLevelType w:val="hybridMultilevel"/>
    <w:tmpl w:val="0D1E8102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5420C"/>
    <w:multiLevelType w:val="hybridMultilevel"/>
    <w:tmpl w:val="21AE5ED0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12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5117B"/>
    <w:rsid w:val="00082C9F"/>
    <w:rsid w:val="000E4923"/>
    <w:rsid w:val="001048EF"/>
    <w:rsid w:val="0010505D"/>
    <w:rsid w:val="00124C0C"/>
    <w:rsid w:val="00191E44"/>
    <w:rsid w:val="001A2CD1"/>
    <w:rsid w:val="001D6A0B"/>
    <w:rsid w:val="001E2C49"/>
    <w:rsid w:val="002316FA"/>
    <w:rsid w:val="0024014F"/>
    <w:rsid w:val="00254351"/>
    <w:rsid w:val="002D5B38"/>
    <w:rsid w:val="00353847"/>
    <w:rsid w:val="003E3016"/>
    <w:rsid w:val="003E59F6"/>
    <w:rsid w:val="00402F9F"/>
    <w:rsid w:val="00441D2E"/>
    <w:rsid w:val="004B01D2"/>
    <w:rsid w:val="004B79C1"/>
    <w:rsid w:val="00502E4F"/>
    <w:rsid w:val="0054486C"/>
    <w:rsid w:val="005566AC"/>
    <w:rsid w:val="00595FC2"/>
    <w:rsid w:val="00596A60"/>
    <w:rsid w:val="005A1F50"/>
    <w:rsid w:val="006238D7"/>
    <w:rsid w:val="006336C1"/>
    <w:rsid w:val="0065210D"/>
    <w:rsid w:val="00676351"/>
    <w:rsid w:val="00760A80"/>
    <w:rsid w:val="00764EC2"/>
    <w:rsid w:val="00807380"/>
    <w:rsid w:val="008608C2"/>
    <w:rsid w:val="008A0FA7"/>
    <w:rsid w:val="008A1DAA"/>
    <w:rsid w:val="008A54EE"/>
    <w:rsid w:val="008B4AB9"/>
    <w:rsid w:val="008D55EF"/>
    <w:rsid w:val="008F04F2"/>
    <w:rsid w:val="00900C1E"/>
    <w:rsid w:val="009101C4"/>
    <w:rsid w:val="00932E9F"/>
    <w:rsid w:val="00935651"/>
    <w:rsid w:val="00946DD7"/>
    <w:rsid w:val="00962B2F"/>
    <w:rsid w:val="009A3481"/>
    <w:rsid w:val="009C68FE"/>
    <w:rsid w:val="009F6FAD"/>
    <w:rsid w:val="00A1350E"/>
    <w:rsid w:val="00A13B83"/>
    <w:rsid w:val="00A37F5F"/>
    <w:rsid w:val="00A416F6"/>
    <w:rsid w:val="00A458AC"/>
    <w:rsid w:val="00A95512"/>
    <w:rsid w:val="00AB640E"/>
    <w:rsid w:val="00AE4FB3"/>
    <w:rsid w:val="00AF32D7"/>
    <w:rsid w:val="00AF38F7"/>
    <w:rsid w:val="00B05377"/>
    <w:rsid w:val="00B100B0"/>
    <w:rsid w:val="00B40C7A"/>
    <w:rsid w:val="00B41D85"/>
    <w:rsid w:val="00B737B1"/>
    <w:rsid w:val="00C04D55"/>
    <w:rsid w:val="00C129A8"/>
    <w:rsid w:val="00CD02A1"/>
    <w:rsid w:val="00CD5C25"/>
    <w:rsid w:val="00D24ECD"/>
    <w:rsid w:val="00D627C4"/>
    <w:rsid w:val="00D651FB"/>
    <w:rsid w:val="00D90647"/>
    <w:rsid w:val="00D95136"/>
    <w:rsid w:val="00DA30DB"/>
    <w:rsid w:val="00E52235"/>
    <w:rsid w:val="00E55EAC"/>
    <w:rsid w:val="00E737BB"/>
    <w:rsid w:val="00E96270"/>
    <w:rsid w:val="00EB2311"/>
    <w:rsid w:val="00EE7C39"/>
    <w:rsid w:val="00EF5075"/>
    <w:rsid w:val="00F61102"/>
    <w:rsid w:val="00F8546C"/>
    <w:rsid w:val="00F85C98"/>
    <w:rsid w:val="00FB1D11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8F2C4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4ECD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4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A30DB"/>
    <w:rPr>
      <w:color w:val="0000FF"/>
      <w:u w:val="single"/>
    </w:rPr>
  </w:style>
  <w:style w:type="paragraph" w:customStyle="1" w:styleId="display-date">
    <w:name w:val="display-date"/>
    <w:basedOn w:val="Normalny"/>
    <w:rsid w:val="00DA30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DA3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5" ma:contentTypeDescription="Utwórz nowy dokument." ma:contentTypeScope="" ma:versionID="a72277dad6fe6e87919e49fe2d1fb8ed">
  <xsd:schema xmlns:xsd="http://www.w3.org/2001/XMLSchema" xmlns:xs="http://www.w3.org/2001/XMLSchema" xmlns:p="http://schemas.microsoft.com/office/2006/metadata/properties" xmlns:ns1="http://schemas.microsoft.com/sharepoint/v3" xmlns:ns3="f4d28e29-4702-4019-8206-5fc8407e523c" xmlns:ns4="02908ac4-817e-4dba-b4fb-5409444525ee" targetNamespace="http://schemas.microsoft.com/office/2006/metadata/properties" ma:root="true" ma:fieldsID="1e4ffcc9b6eaaec706e51cfa6bcf3b37" ns1:_="" ns3:_="" ns4:_="">
    <xsd:import namespace="http://schemas.microsoft.com/sharepoint/v3"/>
    <xsd:import namespace="f4d28e29-4702-4019-8206-5fc8407e523c"/>
    <xsd:import namespace="02908ac4-817e-4dba-b4fb-5409444525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2D26-088E-44AF-B866-6B0F17055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13787-9FE3-437B-B326-09A0B5C5651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schemas.microsoft.com/office/infopath/2007/PartnerControls"/>
    <ds:schemaRef ds:uri="02908ac4-817e-4dba-b4fb-5409444525ee"/>
    <ds:schemaRef ds:uri="f4d28e29-4702-4019-8206-5fc8407e523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4D1391-2FF8-4611-9893-A7BD945A0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d28e29-4702-4019-8206-5fc8407e523c"/>
    <ds:schemaRef ds:uri="02908ac4-817e-4dba-b4fb-540944452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664D12-BBFF-4ECA-A19A-FCBE87E1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Macikowska Monika (BZ)</cp:lastModifiedBy>
  <cp:revision>2</cp:revision>
  <cp:lastPrinted>2022-03-29T10:30:00Z</cp:lastPrinted>
  <dcterms:created xsi:type="dcterms:W3CDTF">2025-03-26T21:48:00Z</dcterms:created>
  <dcterms:modified xsi:type="dcterms:W3CDTF">2025-03-26T21:48:00Z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