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74E8" w14:textId="21A2CA00" w:rsidR="004614F1" w:rsidRDefault="005D01F1" w:rsidP="00160AD8">
      <w:pPr>
        <w:spacing w:before="240" w:line="300" w:lineRule="auto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cstheme="minorHAnsi"/>
          <w:b/>
          <w:lang w:eastAsia="en-US"/>
        </w:rPr>
        <w:t>Informacja o pomocy państwa</w:t>
      </w:r>
      <w:r>
        <w:rPr>
          <w:rFonts w:cstheme="minorHAnsi"/>
          <w:b/>
          <w:lang w:eastAsia="en-US"/>
        </w:rPr>
        <w:br/>
        <w:t>w formie rekompensaty z tytułu świadczenia usług publicznych</w:t>
      </w:r>
    </w:p>
    <w:p w14:paraId="1AE3D18F" w14:textId="77777777" w:rsidR="004614F1" w:rsidRDefault="005D01F1">
      <w:pPr>
        <w:spacing w:after="240" w:line="300" w:lineRule="auto"/>
        <w:jc w:val="center"/>
        <w:rPr>
          <w:rFonts w:asciiTheme="minorHAnsi" w:hAnsiTheme="minorHAnsi" w:cstheme="minorHAnsi"/>
          <w:b/>
          <w:lang w:eastAsia="en-US"/>
        </w:rPr>
      </w:pPr>
      <w:r>
        <w:rPr>
          <w:rFonts w:cstheme="minorHAnsi"/>
          <w:b/>
          <w:lang w:eastAsia="en-US"/>
        </w:rPr>
        <w:t>przyznanej Towarzystwu Budownictwa Społecznego Warszawa Południe Sp. z o.o.</w:t>
      </w:r>
    </w:p>
    <w:p w14:paraId="30EB164B" w14:textId="77777777" w:rsidR="004614F1" w:rsidRDefault="004614F1">
      <w:pPr>
        <w:spacing w:after="240" w:line="300" w:lineRule="auto"/>
        <w:jc w:val="center"/>
        <w:rPr>
          <w:rFonts w:asciiTheme="minorHAnsi" w:hAnsiTheme="minorHAnsi" w:cstheme="minorHAnsi"/>
          <w:b/>
          <w:lang w:eastAsia="en-US"/>
        </w:rPr>
      </w:pPr>
    </w:p>
    <w:p w14:paraId="45C30FB1" w14:textId="77777777" w:rsidR="004614F1" w:rsidRDefault="005D01F1">
      <w:pPr>
        <w:spacing w:after="120" w:line="300" w:lineRule="auto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Działając w oparciu o przepis art. 7 Decyzji Komisji z dnia 20 grudnia 2011 r. w sprawie stosowania art. 106 ust. 2 Traktatu o funkcjonowaniu Unii Europejskiej do pomocy państwa w formie rekompensaty z tytułu świadczenia usług publicznych, przyznawanej przedsiębiorstwom zobowiązanym do wykonywania usług świadczonych w ogólnym interesie gospodarczym (Dz. Urz. UE L 7, 11.1.2012) (dalej jako: „Decyzja”) miasto stołeczne Warszawa informuje, że Towarzystwu Budownictwa Społecznego Warszawa Południe Sp. z o.o. powierzona została przez miasto stołeczne Warszawa realizacja usługi w ogólnym interesie gospodarczym.</w:t>
      </w:r>
    </w:p>
    <w:p w14:paraId="673DC7F9" w14:textId="09275051" w:rsidR="004614F1" w:rsidRDefault="005D01F1">
      <w:pPr>
        <w:spacing w:after="120" w:line="300" w:lineRule="auto"/>
        <w:rPr>
          <w:rFonts w:asciiTheme="minorHAnsi" w:hAnsiTheme="minorHAnsi" w:cstheme="minorHAnsi"/>
        </w:rPr>
      </w:pPr>
      <w:r>
        <w:rPr>
          <w:rFonts w:cstheme="minorHAnsi"/>
        </w:rPr>
        <w:t xml:space="preserve">Usługa w ogólnym interesie gospodarczym polega na realizacji inwestycji w zakresie budownictwa społecznego, zgodnie z art. 2 ust. 1 lit. c Decyzji oraz w związku z art. 7 ust. 1 pkt 7 ustawy z dnia 8 marca 1990 r. </w:t>
      </w:r>
      <w:r>
        <w:rPr>
          <w:rFonts w:cstheme="minorHAnsi"/>
          <w:i/>
        </w:rPr>
        <w:t>o samorządzie gminnym</w:t>
      </w:r>
      <w:r>
        <w:rPr>
          <w:rFonts w:cstheme="minorHAnsi"/>
        </w:rPr>
        <w:t xml:space="preserve"> (</w:t>
      </w:r>
      <w:r w:rsidR="00716546">
        <w:rPr>
          <w:rFonts w:cstheme="minorHAnsi"/>
        </w:rPr>
        <w:t>tekst jedn.: Dz. U. z 2024 r., poz. 1465</w:t>
      </w:r>
      <w:r>
        <w:rPr>
          <w:rFonts w:cstheme="minorHAnsi"/>
        </w:rPr>
        <w:t xml:space="preserve"> ze zm.) i art. 4 ust. 1 ustawy z dnia 21 czerwca 2001 r. </w:t>
      </w:r>
      <w:r>
        <w:rPr>
          <w:rFonts w:cstheme="minorHAnsi"/>
          <w:i/>
        </w:rPr>
        <w:t>o ochronie praw lokatorów, mieszkaniowym zasobie gminy i o zmianie Kodeksu cywilnego</w:t>
      </w:r>
      <w:r>
        <w:rPr>
          <w:rFonts w:cstheme="minorHAnsi"/>
        </w:rPr>
        <w:t xml:space="preserve"> (tekst jedn.: Dz. U. z 2023 r. poz.</w:t>
      </w:r>
      <w:r w:rsidR="00E1185E">
        <w:rPr>
          <w:rFonts w:cstheme="minorHAnsi"/>
        </w:rPr>
        <w:t xml:space="preserve"> </w:t>
      </w:r>
      <w:r>
        <w:rPr>
          <w:rFonts w:cstheme="minorHAnsi"/>
        </w:rPr>
        <w:t xml:space="preserve">725). Świadczenie usługi zostało powierzone bezterminowo, w związku z sukcesywną realizacją inwestycji, które są amortyzowane </w:t>
      </w:r>
      <w:r w:rsidR="00716546">
        <w:rPr>
          <w:rFonts w:cstheme="minorHAnsi"/>
        </w:rPr>
        <w:t xml:space="preserve">    </w:t>
      </w:r>
      <w:r>
        <w:rPr>
          <w:rFonts w:cstheme="minorHAnsi"/>
        </w:rPr>
        <w:t>w długim okresie na podstawie ogólnie przyjętych zasad rachunkowości, zgodnie z art. 2 ust. 2 Decyzji.</w:t>
      </w:r>
    </w:p>
    <w:p w14:paraId="482D9105" w14:textId="77777777" w:rsidR="004614F1" w:rsidRDefault="005D01F1">
      <w:pPr>
        <w:spacing w:after="120" w:line="30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Powierzenie odnosi się do terytorium miasta stołecznego Warszawy.</w:t>
      </w:r>
    </w:p>
    <w:p w14:paraId="1721466F" w14:textId="77777777" w:rsidR="004614F1" w:rsidRDefault="005D01F1">
      <w:pPr>
        <w:spacing w:after="120" w:line="30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Towarzystwo Budownictwa Społecznego Warszawa Południe Sp. z o.o. nie korzysta z praw wyłącznych lub specjalnych przyznanych przez miasto stołeczne Warszawa.</w:t>
      </w:r>
    </w:p>
    <w:p w14:paraId="7297CD17" w14:textId="77777777" w:rsidR="004614F1" w:rsidRDefault="005D01F1">
      <w:pPr>
        <w:spacing w:after="120" w:line="300" w:lineRule="auto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Rekompensata udzielana jest w formie pieniężnej i rzeczowej. Rekompensata służy wyłącznie pokryciu kosztów realizacji usługi w ogólnym interesie gospodarczym. Rekompensata prowadzi do ograniczenia kosztów, które są bezpośrednio związane z realizacją usługi, a które w przeciwnym razie musiałyby zostać pokryte przez lokatorów w postaci opłat czynszowych.</w:t>
      </w:r>
    </w:p>
    <w:p w14:paraId="44A3D11C" w14:textId="77777777" w:rsidR="004614F1" w:rsidRDefault="005D01F1">
      <w:pPr>
        <w:spacing w:after="120" w:line="300" w:lineRule="auto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Miasto stołeczne Warszawa przeprowadza na poziomie każdej inwestycji w zakresie budownictwa społecznego kontrolę prawidłowości ustalania stawek czynszu, z uwzględnieniem, że stawki czynszu nie mogą pokrywać kosztów, które zostały pokryte rekompensatą. Realizacja procedur kontrolnych dokonuje się przy zastosowaniu szczegółowych reguł wskazanych w art. 5 Decyzji odnośnie do definicji kosztów, przychodów, rozsądnego zysku, a także reguł w zakresie zapewnienia rozdzielności kosztów i przychodów z działalności objętej powierzeniem oraz pozostałej.</w:t>
      </w:r>
    </w:p>
    <w:p w14:paraId="5B99EC6C" w14:textId="77777777" w:rsidR="004614F1" w:rsidRDefault="005D01F1">
      <w:pPr>
        <w:spacing w:after="120" w:line="300" w:lineRule="auto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>W przypadku stwierdzenia, że w danym okresie sprawozdawczym doszło do pobrania czynszu w wysokości wykraczającej ponad to co jest niezbędne, aby pokryć koszty realizacji usługi wraz z rozsądnym zyskiem Towarzystwo Budownictwa Społecznego Warszawa Południe sp. z o.o. zobowiązane jest do dokonania rozliczenia z miastem stołecznym Warszawa.</w:t>
      </w:r>
    </w:p>
    <w:p w14:paraId="3B0FCF7D" w14:textId="1B3F6032" w:rsidR="004614F1" w:rsidRDefault="005D01F1">
      <w:pPr>
        <w:spacing w:after="120" w:line="30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</w:rPr>
        <w:t xml:space="preserve">Na dzień niniejszej publikacji tj. </w:t>
      </w:r>
      <w:r w:rsidR="006607D6" w:rsidRPr="00734FBB">
        <w:rPr>
          <w:rFonts w:cstheme="minorHAnsi"/>
        </w:rPr>
        <w:t>31</w:t>
      </w:r>
      <w:r w:rsidR="00716546" w:rsidRPr="00734FBB">
        <w:rPr>
          <w:rFonts w:cstheme="minorHAnsi"/>
        </w:rPr>
        <w:t xml:space="preserve"> </w:t>
      </w:r>
      <w:r w:rsidR="00376CAA">
        <w:rPr>
          <w:rFonts w:cstheme="minorHAnsi"/>
        </w:rPr>
        <w:t>marc</w:t>
      </w:r>
      <w:r w:rsidR="00716546">
        <w:rPr>
          <w:rFonts w:cstheme="minorHAnsi"/>
        </w:rPr>
        <w:t>a 202</w:t>
      </w:r>
      <w:r w:rsidR="00376CAA">
        <w:rPr>
          <w:rFonts w:cstheme="minorHAnsi"/>
        </w:rPr>
        <w:t>5</w:t>
      </w:r>
      <w:r>
        <w:rPr>
          <w:rFonts w:cstheme="minorHAnsi"/>
        </w:rPr>
        <w:t xml:space="preserve"> r. rekompensata dla Towarzystwa Budownictwa Społecznego Warszawa Południe sp. z </w:t>
      </w:r>
      <w:r w:rsidR="00787D55">
        <w:rPr>
          <w:rFonts w:cstheme="minorHAnsi"/>
        </w:rPr>
        <w:t xml:space="preserve">o.o. </w:t>
      </w:r>
      <w:r w:rsidR="00716546">
        <w:rPr>
          <w:rFonts w:cstheme="minorHAnsi"/>
        </w:rPr>
        <w:t>w latach 2015 – 202</w:t>
      </w:r>
      <w:r w:rsidR="00233781">
        <w:rPr>
          <w:rFonts w:cstheme="minorHAnsi"/>
        </w:rPr>
        <w:t>5</w:t>
      </w:r>
      <w:r>
        <w:rPr>
          <w:rFonts w:cstheme="minorHAnsi"/>
        </w:rPr>
        <w:t xml:space="preserve"> wyniosła łącznie </w:t>
      </w:r>
      <w:r w:rsidR="006D3825" w:rsidRPr="006D3825">
        <w:rPr>
          <w:rFonts w:cstheme="minorHAnsi"/>
          <w:color w:val="000000" w:themeColor="text1"/>
        </w:rPr>
        <w:t>254 299 037,48</w:t>
      </w:r>
      <w:r w:rsidR="006D3825">
        <w:rPr>
          <w:rFonts w:cstheme="minorHAnsi"/>
          <w:color w:val="000000" w:themeColor="text1"/>
        </w:rPr>
        <w:t xml:space="preserve"> </w:t>
      </w:r>
      <w:r w:rsidRPr="000017D5">
        <w:rPr>
          <w:rFonts w:cstheme="minorHAnsi"/>
          <w:color w:val="000000" w:themeColor="text1"/>
        </w:rPr>
        <w:t xml:space="preserve">zł </w:t>
      </w:r>
      <w:r w:rsidR="00734FBB">
        <w:rPr>
          <w:rFonts w:cstheme="minorHAnsi"/>
          <w:color w:val="000000" w:themeColor="text1"/>
        </w:rPr>
        <w:t xml:space="preserve"> </w:t>
      </w:r>
      <w:r w:rsidRPr="000017D5">
        <w:rPr>
          <w:rFonts w:cstheme="minorHAnsi"/>
          <w:color w:val="000000" w:themeColor="text1"/>
        </w:rPr>
        <w:t>(</w:t>
      </w:r>
      <w:r w:rsidR="00734FBB" w:rsidRPr="00734FBB">
        <w:rPr>
          <w:rFonts w:cstheme="minorHAnsi"/>
        </w:rPr>
        <w:t>57 878 062,31</w:t>
      </w:r>
      <w:r w:rsidR="000017D5" w:rsidRPr="000017D5">
        <w:rPr>
          <w:rFonts w:cstheme="minorHAnsi"/>
          <w:color w:val="000000" w:themeColor="text1"/>
        </w:rPr>
        <w:t>‬</w:t>
      </w:r>
      <w:r w:rsidRPr="000017D5">
        <w:rPr>
          <w:rFonts w:cstheme="minorHAnsi"/>
          <w:color w:val="000000" w:themeColor="text1"/>
        </w:rPr>
        <w:t xml:space="preserve"> euro).</w:t>
      </w:r>
    </w:p>
    <w:p w14:paraId="230C4F48" w14:textId="77777777" w:rsidR="00160AD8" w:rsidRDefault="00160AD8">
      <w:pPr>
        <w:spacing w:after="120" w:line="300" w:lineRule="auto"/>
        <w:jc w:val="both"/>
        <w:rPr>
          <w:rFonts w:asciiTheme="minorHAnsi" w:hAnsiTheme="minorHAnsi" w:cstheme="minorHAnsi"/>
        </w:rPr>
      </w:pPr>
    </w:p>
    <w:p w14:paraId="6897C999" w14:textId="77777777" w:rsidR="004614F1" w:rsidRDefault="005D01F1">
      <w:pPr>
        <w:spacing w:after="120" w:line="300" w:lineRule="auto"/>
        <w:jc w:val="both"/>
        <w:rPr>
          <w:rFonts w:asciiTheme="minorHAnsi" w:hAnsiTheme="minorHAnsi" w:cstheme="minorHAnsi"/>
          <w:u w:val="single"/>
        </w:rPr>
      </w:pPr>
      <w:r>
        <w:rPr>
          <w:rFonts w:cstheme="minorHAnsi"/>
          <w:u w:val="single"/>
        </w:rPr>
        <w:lastRenderedPageBreak/>
        <w:t>W kolejnych latach rekompensata wyniosła:</w:t>
      </w:r>
    </w:p>
    <w:p w14:paraId="221DCE99" w14:textId="77777777" w:rsidR="004614F1" w:rsidRDefault="004614F1">
      <w:pPr>
        <w:spacing w:after="120" w:line="300" w:lineRule="auto"/>
        <w:jc w:val="both"/>
        <w:rPr>
          <w:rFonts w:asciiTheme="minorHAnsi" w:hAnsiTheme="minorHAnsi" w:cstheme="minorHAnsi"/>
          <w:u w:val="single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614F1" w14:paraId="1BA5CC51" w14:textId="77777777">
        <w:trPr>
          <w:trHeight w:val="881"/>
          <w:jc w:val="center"/>
        </w:trPr>
        <w:tc>
          <w:tcPr>
            <w:tcW w:w="3020" w:type="dxa"/>
            <w:shd w:val="clear" w:color="auto" w:fill="D0CECE" w:themeFill="background2" w:themeFillShade="E6"/>
            <w:vAlign w:val="center"/>
          </w:tcPr>
          <w:p w14:paraId="6C8B7927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Data udzielenia pomocy</w:t>
            </w: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3DB3C880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Wartość udzielonej pomocy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br/>
              <w:t>w złotych</w:t>
            </w:r>
          </w:p>
        </w:tc>
        <w:tc>
          <w:tcPr>
            <w:tcW w:w="3021" w:type="dxa"/>
            <w:shd w:val="clear" w:color="auto" w:fill="D0CECE" w:themeFill="background2" w:themeFillShade="E6"/>
            <w:vAlign w:val="center"/>
          </w:tcPr>
          <w:p w14:paraId="351FAFBE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Wartość udzielonej pomocy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br/>
              <w:t>w euro</w:t>
            </w:r>
          </w:p>
        </w:tc>
      </w:tr>
      <w:tr w:rsidR="004614F1" w14:paraId="00220260" w14:textId="77777777">
        <w:trPr>
          <w:jc w:val="center"/>
        </w:trPr>
        <w:tc>
          <w:tcPr>
            <w:tcW w:w="3020" w:type="dxa"/>
          </w:tcPr>
          <w:p w14:paraId="429BED0F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2015 r.</w:t>
            </w:r>
          </w:p>
        </w:tc>
        <w:tc>
          <w:tcPr>
            <w:tcW w:w="3021" w:type="dxa"/>
          </w:tcPr>
          <w:p w14:paraId="72E223AD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1.205.000,00</w:t>
            </w:r>
          </w:p>
        </w:tc>
        <w:tc>
          <w:tcPr>
            <w:tcW w:w="3021" w:type="dxa"/>
          </w:tcPr>
          <w:p w14:paraId="687F8BC5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286.856,95</w:t>
            </w:r>
          </w:p>
        </w:tc>
      </w:tr>
      <w:tr w:rsidR="004614F1" w14:paraId="0D3271E5" w14:textId="77777777">
        <w:trPr>
          <w:jc w:val="center"/>
        </w:trPr>
        <w:tc>
          <w:tcPr>
            <w:tcW w:w="3020" w:type="dxa"/>
          </w:tcPr>
          <w:p w14:paraId="33C1CF61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2016 r.</w:t>
            </w:r>
          </w:p>
        </w:tc>
        <w:tc>
          <w:tcPr>
            <w:tcW w:w="3021" w:type="dxa"/>
          </w:tcPr>
          <w:p w14:paraId="2D3D800D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33.091.271,48</w:t>
            </w:r>
          </w:p>
        </w:tc>
        <w:tc>
          <w:tcPr>
            <w:tcW w:w="3021" w:type="dxa"/>
          </w:tcPr>
          <w:p w14:paraId="2B664359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7.532.964,32</w:t>
            </w:r>
          </w:p>
        </w:tc>
      </w:tr>
      <w:tr w:rsidR="004614F1" w14:paraId="7C0870D2" w14:textId="77777777">
        <w:trPr>
          <w:jc w:val="center"/>
        </w:trPr>
        <w:tc>
          <w:tcPr>
            <w:tcW w:w="3020" w:type="dxa"/>
          </w:tcPr>
          <w:p w14:paraId="63481962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2017 r.</w:t>
            </w:r>
          </w:p>
        </w:tc>
        <w:tc>
          <w:tcPr>
            <w:tcW w:w="3021" w:type="dxa"/>
          </w:tcPr>
          <w:p w14:paraId="6002B179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30.835.000,00</w:t>
            </w:r>
          </w:p>
        </w:tc>
        <w:tc>
          <w:tcPr>
            <w:tcW w:w="3021" w:type="dxa"/>
          </w:tcPr>
          <w:p w14:paraId="625F45DF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7.291.138,40</w:t>
            </w:r>
          </w:p>
        </w:tc>
      </w:tr>
      <w:tr w:rsidR="004614F1" w14:paraId="04ABAC2B" w14:textId="77777777">
        <w:trPr>
          <w:jc w:val="center"/>
        </w:trPr>
        <w:tc>
          <w:tcPr>
            <w:tcW w:w="3020" w:type="dxa"/>
          </w:tcPr>
          <w:p w14:paraId="6ADD2F4F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2018 r.</w:t>
            </w:r>
          </w:p>
        </w:tc>
        <w:tc>
          <w:tcPr>
            <w:tcW w:w="3021" w:type="dxa"/>
          </w:tcPr>
          <w:p w14:paraId="426CCFD4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18.730.000,00</w:t>
            </w:r>
          </w:p>
        </w:tc>
        <w:tc>
          <w:tcPr>
            <w:tcW w:w="3021" w:type="dxa"/>
          </w:tcPr>
          <w:p w14:paraId="636DC1AB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4.351.448,16</w:t>
            </w:r>
          </w:p>
        </w:tc>
      </w:tr>
      <w:tr w:rsidR="004614F1" w14:paraId="37B59CF6" w14:textId="77777777">
        <w:trPr>
          <w:jc w:val="center"/>
        </w:trPr>
        <w:tc>
          <w:tcPr>
            <w:tcW w:w="3020" w:type="dxa"/>
          </w:tcPr>
          <w:p w14:paraId="48F8A871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2021 r.</w:t>
            </w:r>
          </w:p>
        </w:tc>
        <w:tc>
          <w:tcPr>
            <w:tcW w:w="3021" w:type="dxa"/>
          </w:tcPr>
          <w:p w14:paraId="0662C115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9.314.710,00</w:t>
            </w:r>
          </w:p>
        </w:tc>
        <w:tc>
          <w:tcPr>
            <w:tcW w:w="3021" w:type="dxa"/>
          </w:tcPr>
          <w:p w14:paraId="159607CA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2.043.632,82</w:t>
            </w:r>
          </w:p>
        </w:tc>
      </w:tr>
      <w:tr w:rsidR="004614F1" w14:paraId="598C4DEB" w14:textId="77777777">
        <w:trPr>
          <w:jc w:val="center"/>
        </w:trPr>
        <w:tc>
          <w:tcPr>
            <w:tcW w:w="3020" w:type="dxa"/>
          </w:tcPr>
          <w:p w14:paraId="4D535545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2022 r.</w:t>
            </w:r>
          </w:p>
        </w:tc>
        <w:tc>
          <w:tcPr>
            <w:tcW w:w="3021" w:type="dxa"/>
          </w:tcPr>
          <w:p w14:paraId="10FB11FC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15.375.056,00</w:t>
            </w:r>
          </w:p>
        </w:tc>
        <w:tc>
          <w:tcPr>
            <w:tcW w:w="3021" w:type="dxa"/>
          </w:tcPr>
          <w:p w14:paraId="0AEDA2D4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3.262.888,85</w:t>
            </w:r>
          </w:p>
        </w:tc>
      </w:tr>
      <w:tr w:rsidR="004614F1" w14:paraId="7B810821" w14:textId="77777777">
        <w:trPr>
          <w:jc w:val="center"/>
        </w:trPr>
        <w:tc>
          <w:tcPr>
            <w:tcW w:w="3020" w:type="dxa"/>
          </w:tcPr>
          <w:p w14:paraId="76962555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2023 r.</w:t>
            </w:r>
          </w:p>
        </w:tc>
        <w:tc>
          <w:tcPr>
            <w:tcW w:w="3021" w:type="dxa"/>
          </w:tcPr>
          <w:p w14:paraId="79231C78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17.000.000,00</w:t>
            </w:r>
          </w:p>
        </w:tc>
        <w:tc>
          <w:tcPr>
            <w:tcW w:w="3021" w:type="dxa"/>
          </w:tcPr>
          <w:p w14:paraId="53082BB1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3.672.816,83</w:t>
            </w:r>
          </w:p>
        </w:tc>
      </w:tr>
      <w:tr w:rsidR="004614F1" w14:paraId="29BDDF27" w14:textId="77777777">
        <w:trPr>
          <w:jc w:val="center"/>
        </w:trPr>
        <w:tc>
          <w:tcPr>
            <w:tcW w:w="3020" w:type="dxa"/>
          </w:tcPr>
          <w:p w14:paraId="2021CA3C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2023 r.</w:t>
            </w:r>
          </w:p>
        </w:tc>
        <w:tc>
          <w:tcPr>
            <w:tcW w:w="3021" w:type="dxa"/>
          </w:tcPr>
          <w:p w14:paraId="4B58172B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37.475.000,00</w:t>
            </w:r>
          </w:p>
        </w:tc>
        <w:tc>
          <w:tcPr>
            <w:tcW w:w="3021" w:type="dxa"/>
          </w:tcPr>
          <w:p w14:paraId="0D7DAF61" w14:textId="77777777" w:rsidR="004614F1" w:rsidRDefault="005D01F1">
            <w:pPr>
              <w:widowControl w:val="0"/>
              <w:spacing w:line="300" w:lineRule="auto"/>
              <w:jc w:val="right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8.086.965,90</w:t>
            </w:r>
          </w:p>
        </w:tc>
      </w:tr>
      <w:tr w:rsidR="004614F1" w14:paraId="62ADB1FB" w14:textId="77777777">
        <w:trPr>
          <w:jc w:val="center"/>
        </w:trPr>
        <w:tc>
          <w:tcPr>
            <w:tcW w:w="3020" w:type="dxa"/>
          </w:tcPr>
          <w:p w14:paraId="74269682" w14:textId="77777777" w:rsidR="004614F1" w:rsidRDefault="005D01F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2023 r.</w:t>
            </w:r>
          </w:p>
        </w:tc>
        <w:tc>
          <w:tcPr>
            <w:tcW w:w="3021" w:type="dxa"/>
          </w:tcPr>
          <w:p w14:paraId="0768F40A" w14:textId="77777777" w:rsidR="004614F1" w:rsidRDefault="005D01F1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6.861.000,00</w:t>
            </w:r>
          </w:p>
        </w:tc>
        <w:tc>
          <w:tcPr>
            <w:tcW w:w="3021" w:type="dxa"/>
          </w:tcPr>
          <w:p w14:paraId="6066CC04" w14:textId="77777777" w:rsidR="004614F1" w:rsidRDefault="005D01F1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1.584.124,13</w:t>
            </w:r>
          </w:p>
        </w:tc>
      </w:tr>
      <w:tr w:rsidR="004614F1" w14:paraId="1872FBC7" w14:textId="77777777" w:rsidTr="00E0143C">
        <w:trPr>
          <w:jc w:val="center"/>
        </w:trPr>
        <w:tc>
          <w:tcPr>
            <w:tcW w:w="3020" w:type="dxa"/>
            <w:tcBorders>
              <w:top w:val="nil"/>
              <w:bottom w:val="single" w:sz="4" w:space="0" w:color="auto"/>
            </w:tcBorders>
          </w:tcPr>
          <w:p w14:paraId="3C91E60A" w14:textId="77777777" w:rsidR="004614F1" w:rsidRDefault="00E0143C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04.04.</w:t>
            </w:r>
            <w:r w:rsidR="005D01F1">
              <w:rPr>
                <w:rFonts w:cs="Calibri"/>
                <w:sz w:val="20"/>
                <w:szCs w:val="20"/>
              </w:rPr>
              <w:t>2024 r.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4432F123" w14:textId="77777777" w:rsidR="004614F1" w:rsidRDefault="005D01F1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11.443.000,00</w:t>
            </w:r>
          </w:p>
        </w:tc>
        <w:tc>
          <w:tcPr>
            <w:tcW w:w="3021" w:type="dxa"/>
            <w:tcBorders>
              <w:top w:val="nil"/>
              <w:bottom w:val="single" w:sz="4" w:space="0" w:color="auto"/>
            </w:tcBorders>
          </w:tcPr>
          <w:p w14:paraId="7159ADF1" w14:textId="77777777" w:rsidR="004614F1" w:rsidRDefault="005D01F1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2.665.936,68</w:t>
            </w:r>
          </w:p>
        </w:tc>
      </w:tr>
      <w:tr w:rsidR="004614F1" w14:paraId="6AC86764" w14:textId="77777777" w:rsidTr="00E0143C">
        <w:trPr>
          <w:jc w:val="center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0E31B346" w14:textId="77777777" w:rsidR="004614F1" w:rsidRDefault="00E0143C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04.06.</w:t>
            </w:r>
            <w:r w:rsidR="005D01F1">
              <w:rPr>
                <w:rFonts w:cs="Calibri"/>
                <w:sz w:val="20"/>
                <w:szCs w:val="20"/>
              </w:rPr>
              <w:t>2024 r.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23B73DD4" w14:textId="77777777" w:rsidR="004614F1" w:rsidRDefault="005D01F1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4.401.000,00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47CBA6BC" w14:textId="77777777" w:rsidR="004614F1" w:rsidRDefault="005D01F1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1.027.862,76</w:t>
            </w:r>
          </w:p>
        </w:tc>
      </w:tr>
      <w:tr w:rsidR="00E0143C" w14:paraId="5B59B3FE" w14:textId="77777777" w:rsidTr="00C62D01">
        <w:trPr>
          <w:jc w:val="center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25335327" w14:textId="77777777" w:rsidR="00E0143C" w:rsidRDefault="00E0143C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12.09.2024 r.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3D09C155" w14:textId="77777777" w:rsidR="00E0143C" w:rsidRDefault="00E0143C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10.970.000,00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3A4A9C44" w14:textId="77777777" w:rsidR="00E0143C" w:rsidRDefault="00C008F1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2.551.993,67</w:t>
            </w:r>
          </w:p>
        </w:tc>
      </w:tr>
      <w:tr w:rsidR="00C62D01" w14:paraId="0A87A8A3" w14:textId="77777777" w:rsidTr="00787D55">
        <w:trPr>
          <w:jc w:val="center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1B5B0891" w14:textId="77777777" w:rsidR="00C62D01" w:rsidRDefault="00C62D01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10.10.2024 r.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0E646EBB" w14:textId="77777777" w:rsidR="00C62D01" w:rsidRDefault="00C62D01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31.305.000,00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3DF8BD6C" w14:textId="77777777" w:rsidR="00C62D01" w:rsidRDefault="00577D0B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7.275.325,94</w:t>
            </w:r>
          </w:p>
        </w:tc>
      </w:tr>
      <w:tr w:rsidR="00787D55" w14:paraId="40DC5D4A" w14:textId="77777777" w:rsidTr="008C6446">
        <w:trPr>
          <w:jc w:val="center"/>
        </w:trPr>
        <w:tc>
          <w:tcPr>
            <w:tcW w:w="3020" w:type="dxa"/>
            <w:tcBorders>
              <w:top w:val="single" w:sz="4" w:space="0" w:color="auto"/>
              <w:bottom w:val="single" w:sz="4" w:space="0" w:color="auto"/>
            </w:tcBorders>
          </w:tcPr>
          <w:p w14:paraId="48C92B23" w14:textId="7F2E6A32" w:rsidR="00787D55" w:rsidRDefault="000017D5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</w:t>
            </w:r>
            <w:r w:rsidR="00787D55">
              <w:rPr>
                <w:rFonts w:cs="Calibri"/>
                <w:sz w:val="20"/>
                <w:szCs w:val="20"/>
              </w:rPr>
              <w:t>.12.2024 r.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6888B8FA" w14:textId="2C72163B" w:rsidR="00787D55" w:rsidRDefault="00787D55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8.000.000,00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</w:tcBorders>
          </w:tcPr>
          <w:p w14:paraId="602D31CD" w14:textId="18FFF250" w:rsidR="00787D55" w:rsidRDefault="000017D5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1.871.870,47</w:t>
            </w:r>
            <w:r w:rsidRPr="000017D5">
              <w:rPr>
                <w:sz w:val="20"/>
                <w:szCs w:val="20"/>
              </w:rPr>
              <w:t>‬</w:t>
            </w:r>
          </w:p>
        </w:tc>
      </w:tr>
      <w:tr w:rsidR="008C6446" w14:paraId="2C67D4E1" w14:textId="77777777" w:rsidTr="00E0143C">
        <w:trPr>
          <w:jc w:val="center"/>
        </w:trPr>
        <w:tc>
          <w:tcPr>
            <w:tcW w:w="3020" w:type="dxa"/>
            <w:tcBorders>
              <w:top w:val="single" w:sz="4" w:space="0" w:color="auto"/>
            </w:tcBorders>
          </w:tcPr>
          <w:p w14:paraId="67772A7E" w14:textId="51D645FB" w:rsidR="008C6446" w:rsidRDefault="00376CAA">
            <w:pPr>
              <w:widowControl w:val="0"/>
              <w:spacing w:line="30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31.03.2025 r.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61A61CA2" w14:textId="1883404B" w:rsidR="008C6446" w:rsidRDefault="00376CAA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18.293.000,00</w:t>
            </w: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3CA54C2B" w14:textId="7717BF19" w:rsidR="008C6446" w:rsidRDefault="000A3749">
            <w:pPr>
              <w:widowControl w:val="0"/>
              <w:spacing w:line="300" w:lineRule="auto"/>
              <w:jc w:val="right"/>
              <w:rPr>
                <w:sz w:val="20"/>
                <w:szCs w:val="20"/>
              </w:rPr>
            </w:pPr>
            <w:r w:rsidRPr="000A374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Pr="000A3749">
              <w:rPr>
                <w:sz w:val="20"/>
                <w:szCs w:val="20"/>
              </w:rPr>
              <w:t>372</w:t>
            </w:r>
            <w:r>
              <w:rPr>
                <w:sz w:val="20"/>
                <w:szCs w:val="20"/>
              </w:rPr>
              <w:t>.</w:t>
            </w:r>
            <w:r w:rsidRPr="000A3749">
              <w:rPr>
                <w:sz w:val="20"/>
                <w:szCs w:val="20"/>
              </w:rPr>
              <w:t>236,43</w:t>
            </w:r>
          </w:p>
        </w:tc>
      </w:tr>
    </w:tbl>
    <w:p w14:paraId="115D24DF" w14:textId="77777777" w:rsidR="004614F1" w:rsidRDefault="004614F1">
      <w:pPr>
        <w:spacing w:after="120" w:line="300" w:lineRule="auto"/>
        <w:jc w:val="both"/>
        <w:rPr>
          <w:rFonts w:asciiTheme="minorHAnsi" w:hAnsiTheme="minorHAnsi" w:cstheme="minorHAnsi"/>
          <w:u w:val="single"/>
        </w:rPr>
      </w:pPr>
    </w:p>
    <w:p w14:paraId="3D5C4692" w14:textId="77777777" w:rsidR="004614F1" w:rsidRDefault="005D01F1">
      <w:pPr>
        <w:spacing w:before="240" w:after="240" w:line="300" w:lineRule="auto"/>
        <w:rPr>
          <w:rFonts w:asciiTheme="minorHAnsi" w:hAnsiTheme="minorHAnsi" w:cstheme="minorHAnsi"/>
        </w:rPr>
      </w:pPr>
      <w:r>
        <w:rPr>
          <w:rFonts w:cstheme="minorHAnsi"/>
          <w:lang w:eastAsia="en-US"/>
        </w:rPr>
        <w:t xml:space="preserve">Zgodnie z art. 11 ust. 3 ustawy z dnia 30 kwietnia 2004 r. </w:t>
      </w:r>
      <w:r>
        <w:rPr>
          <w:rFonts w:cstheme="minorHAnsi"/>
          <w:i/>
          <w:lang w:eastAsia="en-US"/>
        </w:rPr>
        <w:t xml:space="preserve">o postępowaniu w sprawach dotyczących pomocy publicznej </w:t>
      </w:r>
      <w:r>
        <w:rPr>
          <w:rFonts w:cstheme="minorHAnsi"/>
          <w:lang w:eastAsia="en-US"/>
        </w:rPr>
        <w:t xml:space="preserve">(tekst jedn.: Dz. U. z 2023 r. poz. 702), </w:t>
      </w:r>
      <w:r>
        <w:rPr>
          <w:rFonts w:cstheme="minorHAnsi"/>
        </w:rPr>
        <w:t>r</w:t>
      </w:r>
      <w:r>
        <w:rPr>
          <w:rFonts w:cstheme="minorHAnsi"/>
          <w:lang w:eastAsia="en-US"/>
        </w:rPr>
        <w:t xml:space="preserve">ównowartość pomocy publicznej w euro </w:t>
      </w:r>
      <w:r>
        <w:rPr>
          <w:rFonts w:cstheme="minorHAnsi"/>
        </w:rPr>
        <w:t>została ustalona</w:t>
      </w:r>
      <w:r>
        <w:rPr>
          <w:rFonts w:cstheme="minorHAnsi"/>
          <w:lang w:eastAsia="en-US"/>
        </w:rPr>
        <w:t xml:space="preserve"> według kursu średniego walut obcych, ogłaszanego przez Narodowy Bank Polski, obowiązującego w dniu udzielenia pomocy</w:t>
      </w:r>
      <w:r>
        <w:rPr>
          <w:rFonts w:cstheme="minorHAnsi"/>
        </w:rPr>
        <w:t>.</w:t>
      </w:r>
    </w:p>
    <w:p w14:paraId="180C146D" w14:textId="77777777" w:rsidR="004614F1" w:rsidRDefault="005D01F1">
      <w:pPr>
        <w:spacing w:before="240" w:after="240" w:line="300" w:lineRule="auto"/>
        <w:rPr>
          <w:rFonts w:asciiTheme="minorHAnsi" w:hAnsiTheme="minorHAnsi" w:cstheme="minorHAnsi"/>
          <w:color w:val="000000"/>
        </w:rPr>
      </w:pPr>
      <w:r>
        <w:rPr>
          <w:rFonts w:cstheme="minorHAnsi"/>
        </w:rPr>
        <w:t xml:space="preserve">Niniejsza informacja odnosi się do rekompensat udzielonych </w:t>
      </w:r>
      <w:r>
        <w:rPr>
          <w:rFonts w:cstheme="minorHAnsi"/>
          <w:color w:val="000000"/>
        </w:rPr>
        <w:t xml:space="preserve">Towarzystwu Budownictwa Społecznego Warszawa Południe Sp. z o.o. </w:t>
      </w:r>
      <w:r>
        <w:rPr>
          <w:rFonts w:cstheme="minorHAnsi"/>
        </w:rPr>
        <w:t xml:space="preserve">przez </w:t>
      </w:r>
      <w:r>
        <w:rPr>
          <w:rFonts w:cstheme="minorHAnsi"/>
          <w:color w:val="000000"/>
        </w:rPr>
        <w:t>miasto stołeczne Warszawa.</w:t>
      </w:r>
    </w:p>
    <w:sectPr w:rsidR="004614F1">
      <w:pgSz w:w="11906" w:h="16838"/>
      <w:pgMar w:top="851" w:right="1417" w:bottom="709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4F1"/>
    <w:rsid w:val="000017D5"/>
    <w:rsid w:val="000A3749"/>
    <w:rsid w:val="000E3594"/>
    <w:rsid w:val="00160AD8"/>
    <w:rsid w:val="00233781"/>
    <w:rsid w:val="00376CAA"/>
    <w:rsid w:val="004614F1"/>
    <w:rsid w:val="00577D0B"/>
    <w:rsid w:val="005D01F1"/>
    <w:rsid w:val="005E6328"/>
    <w:rsid w:val="006607D6"/>
    <w:rsid w:val="006D3825"/>
    <w:rsid w:val="00716546"/>
    <w:rsid w:val="00734FBB"/>
    <w:rsid w:val="00787D55"/>
    <w:rsid w:val="008C6446"/>
    <w:rsid w:val="00AC3CA9"/>
    <w:rsid w:val="00C008F1"/>
    <w:rsid w:val="00C62D01"/>
    <w:rsid w:val="00C63E1A"/>
    <w:rsid w:val="00E0143C"/>
    <w:rsid w:val="00E1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F9C87"/>
  <w15:docId w15:val="{829888B6-4735-4105-9798-D4303760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97F"/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C738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24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624A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24A3"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D409DB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38F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624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24A3"/>
    <w:rPr>
      <w:b/>
      <w:bCs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8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3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58D28B5E87E440811E64A67573662A" ma:contentTypeVersion="13" ma:contentTypeDescription="Utwórz nowy dokument." ma:contentTypeScope="" ma:versionID="56d71a9e0c894cfd8dba095e6f970ac1">
  <xsd:schema xmlns:xsd="http://www.w3.org/2001/XMLSchema" xmlns:xs="http://www.w3.org/2001/XMLSchema" xmlns:p="http://schemas.microsoft.com/office/2006/metadata/properties" xmlns:ns2="cf47e20c-2ac3-4e44-b380-e34884b458d5" xmlns:ns3="bee9c55c-895e-45f2-9d11-3c0d5f364067" targetNamespace="http://schemas.microsoft.com/office/2006/metadata/properties" ma:root="true" ma:fieldsID="2d90487a833f07cbefc28e452c5ec24f" ns2:_="" ns3:_="">
    <xsd:import namespace="cf47e20c-2ac3-4e44-b380-e34884b458d5"/>
    <xsd:import namespace="bee9c55c-895e-45f2-9d11-3c0d5f364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7e20c-2ac3-4e44-b380-e34884b45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c55c-895e-45f2-9d11-3c0d5f36406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399150-2661-4831-8802-82791f61f3c5}" ma:internalName="TaxCatchAll" ma:showField="CatchAllData" ma:web="bee9c55c-895e-45f2-9d11-3c0d5f3640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e9c55c-895e-45f2-9d11-3c0d5f364067" xsi:nil="true"/>
    <lcf76f155ced4ddcb4097134ff3c332f xmlns="cf47e20c-2ac3-4e44-b380-e34884b458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E56C-5C47-4A43-8C06-FB1C099FB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7e20c-2ac3-4e44-b380-e34884b458d5"/>
    <ds:schemaRef ds:uri="bee9c55c-895e-45f2-9d11-3c0d5f364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8487B-DF42-4F49-ABEE-522382C605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48584-2D2B-4933-9786-C868B8959A86}">
  <ds:schemaRefs>
    <ds:schemaRef ds:uri="http://schemas.microsoft.com/office/2006/metadata/properties"/>
    <ds:schemaRef ds:uri="http://schemas.microsoft.com/office/infopath/2007/PartnerControls"/>
    <ds:schemaRef ds:uri="bee9c55c-895e-45f2-9d11-3c0d5f364067"/>
    <ds:schemaRef ds:uri="cf47e20c-2ac3-4e44-b380-e34884b458d5"/>
  </ds:schemaRefs>
</ds:datastoreItem>
</file>

<file path=customXml/itemProps4.xml><?xml version="1.0" encoding="utf-8"?>
<ds:datastoreItem xmlns:ds="http://schemas.openxmlformats.org/officeDocument/2006/customXml" ds:itemID="{11319EEC-5A41-4A5C-AEF6-FF283AFA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inowakowska</dc:creator>
  <dc:description/>
  <cp:lastModifiedBy>Żółciński Piotr (ŁK)</cp:lastModifiedBy>
  <cp:revision>27</cp:revision>
  <cp:lastPrinted>2024-04-05T07:44:00Z</cp:lastPrinted>
  <dcterms:created xsi:type="dcterms:W3CDTF">2024-04-05T07:48:00Z</dcterms:created>
  <dcterms:modified xsi:type="dcterms:W3CDTF">2025-04-01T07:41:00Z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0x0101002D58D28B5E87E440811E64A67573662A</vt:lpwstr>
  </property>
  <property fmtid="{D5CDD505-2E9C-101B-9397-08002B2CF9AE}" pid="3" name="MediaServiceImageTags">
    <vt:lpwstr/>
  </property>
</Properties>
</file>