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9675C5">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580B0DAF" w14:textId="77777777" w:rsidR="006E53F6" w:rsidRPr="00A841BB" w:rsidRDefault="006E53F6" w:rsidP="009675C5">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16ED2DC1" w14:textId="77777777" w:rsidR="00E46C80" w:rsidRPr="00A841BB" w:rsidRDefault="00E46C80" w:rsidP="00E46C8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w:t>
      </w:r>
      <w:r>
        <w:rPr>
          <w:rFonts w:ascii="Calibri" w:hAnsi="Calibri" w:cs="Calibri"/>
          <w:sz w:val="22"/>
          <w:szCs w:val="22"/>
          <w:lang w:val="pl-PL"/>
        </w:rPr>
        <w:t>o Urząd Dzielnicy Wesoła</w:t>
      </w:r>
      <w:r w:rsidRPr="00A841BB">
        <w:rPr>
          <w:rFonts w:ascii="Calibri" w:hAnsi="Calibri" w:cs="Calibri"/>
          <w:sz w:val="22"/>
          <w:szCs w:val="22"/>
          <w:lang w:val="pl-PL"/>
        </w:rPr>
        <w:t xml:space="preserve"> </w:t>
      </w:r>
    </w:p>
    <w:p w14:paraId="240111D8" w14:textId="77777777" w:rsidR="00E46C80" w:rsidRDefault="00E46C80" w:rsidP="00E46C80">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Pr="00A841BB">
        <w:rPr>
          <w:rFonts w:ascii="Calibri" w:hAnsi="Calibri" w:cs="Calibri"/>
          <w:sz w:val="22"/>
          <w:szCs w:val="22"/>
          <w:lang w:val="pl-PL" w:bidi="ar-TN"/>
        </w:rPr>
        <w:t xml:space="preserve"> </w:t>
      </w:r>
    </w:p>
    <w:p w14:paraId="58163EF1" w14:textId="77777777" w:rsidR="00E46C80" w:rsidRPr="00A841BB" w:rsidRDefault="00E46C80" w:rsidP="00E46C80">
      <w:pPr>
        <w:pStyle w:val="Tekstpodstawowy"/>
        <w:keepLines/>
        <w:widowControl w:val="0"/>
        <w:adjustRightInd w:val="0"/>
        <w:spacing w:after="240" w:line="300" w:lineRule="auto"/>
        <w:jc w:val="left"/>
        <w:textAlignment w:val="baseline"/>
        <w:rPr>
          <w:rFonts w:ascii="Calibri" w:hAnsi="Calibri" w:cs="Calibri"/>
          <w:sz w:val="22"/>
          <w:szCs w:val="22"/>
          <w:lang w:val="pl-PL" w:bidi="ar-TN"/>
        </w:rPr>
      </w:pPr>
      <w:r>
        <w:rPr>
          <w:rFonts w:ascii="Calibri" w:hAnsi="Calibri" w:cs="Calibri"/>
          <w:sz w:val="22"/>
          <w:szCs w:val="22"/>
          <w:lang w:val="pl-PL" w:bidi="ar-TN"/>
        </w:rPr>
        <w:t>Urząd Dzielnicy Wesoła m.st. Warszawy</w:t>
      </w:r>
    </w:p>
    <w:p w14:paraId="68799B95" w14:textId="77777777" w:rsidR="00E46C80" w:rsidRDefault="00E46C80" w:rsidP="00E46C80">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Pr>
          <w:rFonts w:ascii="Calibri" w:hAnsi="Calibri" w:cs="Calibri"/>
          <w:color w:val="auto"/>
          <w:sz w:val="22"/>
          <w:szCs w:val="22"/>
          <w:lang w:val="pl-PL"/>
        </w:rPr>
        <w:t xml:space="preserve"> </w:t>
      </w:r>
    </w:p>
    <w:p w14:paraId="1C52A2E2" w14:textId="77777777" w:rsidR="00E46C80" w:rsidRPr="00A841BB" w:rsidRDefault="00E46C80" w:rsidP="00E46C80">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w:t>
      </w:r>
    </w:p>
    <w:p w14:paraId="293F8654" w14:textId="77777777" w:rsidR="00E46C80" w:rsidRDefault="00E46C80" w:rsidP="00E46C80">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r>
        <w:rPr>
          <w:rFonts w:ascii="Calibri" w:hAnsi="Calibri" w:cs="Calibri"/>
          <w:color w:val="auto"/>
          <w:sz w:val="22"/>
          <w:szCs w:val="22"/>
          <w:lang w:val="pl-PL"/>
        </w:rPr>
        <w:t xml:space="preserve"> </w:t>
      </w:r>
    </w:p>
    <w:p w14:paraId="05111046" w14:textId="77777777" w:rsidR="00E46C80" w:rsidRPr="00A841BB" w:rsidRDefault="00E46C80" w:rsidP="00E46C80">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 05-075 Warszawa</w:t>
      </w:r>
    </w:p>
    <w:p w14:paraId="7AA9F30A" w14:textId="77777777" w:rsidR="00E46C80" w:rsidRDefault="00E46C80" w:rsidP="006238C0">
      <w:pPr>
        <w:pStyle w:val="Tekstpodstawowy"/>
        <w:keepLines/>
        <w:widowControl w:val="0"/>
        <w:numPr>
          <w:ilvl w:val="1"/>
          <w:numId w:val="5"/>
        </w:numPr>
        <w:adjustRightInd w:val="0"/>
        <w:spacing w:after="240" w:line="300" w:lineRule="auto"/>
        <w:ind w:left="992" w:hanging="425"/>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2C300555" w14:textId="3FE8B40E" w:rsidR="00E46C80" w:rsidRPr="00114B89" w:rsidRDefault="00E46C80" w:rsidP="006238C0">
      <w:pPr>
        <w:pStyle w:val="Akapitzlist"/>
        <w:spacing w:after="240"/>
        <w:ind w:left="0"/>
        <w:rPr>
          <w:rFonts w:asciiTheme="minorHAnsi" w:hAnsiTheme="minorHAnsi" w:cstheme="minorHAnsi"/>
          <w:sz w:val="22"/>
          <w:szCs w:val="22"/>
        </w:rPr>
      </w:pPr>
      <w:r w:rsidRPr="00114B89">
        <w:rPr>
          <w:rFonts w:asciiTheme="minorHAnsi" w:hAnsiTheme="minorHAnsi" w:cstheme="minorHAnsi"/>
          <w:color w:val="000000"/>
          <w:sz w:val="22"/>
          <w:szCs w:val="22"/>
        </w:rPr>
        <w:t xml:space="preserve">Dzielnica </w:t>
      </w:r>
      <w:r w:rsidRPr="00114B89">
        <w:rPr>
          <w:rFonts w:asciiTheme="minorHAnsi" w:hAnsiTheme="minorHAnsi" w:cstheme="minorHAnsi"/>
          <w:sz w:val="22"/>
          <w:szCs w:val="22"/>
        </w:rPr>
        <w:t>Wesoła jest jednostką pomocniczą miasta stołecznego Warszawy.</w:t>
      </w:r>
    </w:p>
    <w:p w14:paraId="20872ABC" w14:textId="51CDF781" w:rsidR="00E46C80" w:rsidRPr="00114B89" w:rsidRDefault="00E46C80" w:rsidP="006238C0">
      <w:pPr>
        <w:pStyle w:val="NormalnyWeb"/>
        <w:spacing w:before="0" w:beforeAutospacing="0" w:after="240" w:afterAutospacing="0"/>
        <w:rPr>
          <w:rFonts w:asciiTheme="minorHAnsi" w:hAnsiTheme="minorHAnsi" w:cstheme="minorHAnsi"/>
          <w:sz w:val="22"/>
          <w:szCs w:val="22"/>
        </w:rPr>
      </w:pPr>
      <w:r w:rsidRPr="00114B89">
        <w:rPr>
          <w:rFonts w:asciiTheme="minorHAnsi" w:hAnsiTheme="minorHAnsi" w:cstheme="minorHAnsi"/>
          <w:sz w:val="22"/>
          <w:szCs w:val="22"/>
        </w:rPr>
        <w:t xml:space="preserve">Dzielnica wykonuje zadania działając na podstawie ustaw, Statutu m.st. Warszawy, Statutu i innych uchwał Rady Miasta. </w:t>
      </w:r>
    </w:p>
    <w:p w14:paraId="7C7F224B" w14:textId="77777777" w:rsidR="00E46C80" w:rsidRPr="00114B89" w:rsidRDefault="00E46C80" w:rsidP="006238C0">
      <w:pPr>
        <w:widowControl w:val="0"/>
        <w:shd w:val="clear" w:color="auto" w:fill="FFFFFF"/>
        <w:tabs>
          <w:tab w:val="left" w:pos="0"/>
          <w:tab w:val="left" w:pos="567"/>
        </w:tabs>
        <w:suppressAutoHyphens/>
        <w:autoSpaceDE w:val="0"/>
        <w:spacing w:after="240"/>
        <w:rPr>
          <w:rFonts w:asciiTheme="minorHAnsi" w:hAnsiTheme="minorHAnsi" w:cstheme="minorHAnsi"/>
          <w:sz w:val="22"/>
          <w:szCs w:val="22"/>
        </w:rPr>
      </w:pPr>
      <w:r w:rsidRPr="00114B89">
        <w:rPr>
          <w:rFonts w:asciiTheme="minorHAnsi" w:hAnsiTheme="minorHAnsi" w:cstheme="minorHAnsi"/>
          <w:sz w:val="22"/>
          <w:szCs w:val="22"/>
        </w:rPr>
        <w:t>Do zakresu działania Dzielnicy należą, niezastrzeżone dla organów Miasta, sprawy lokalne  o zasięgu dzielnicowym:</w:t>
      </w:r>
    </w:p>
    <w:p w14:paraId="345399B3" w14:textId="77777777" w:rsidR="00E46C80" w:rsidRPr="00114B89"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inwestycji; </w:t>
      </w:r>
    </w:p>
    <w:p w14:paraId="063C24A6" w14:textId="77777777" w:rsidR="00E46C80" w:rsidRPr="00114B89"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gminnych zasobów lokalowych położonych na obszarze Dzielnicy;</w:t>
      </w:r>
    </w:p>
    <w:p w14:paraId="4E1D67DD" w14:textId="77777777" w:rsidR="001B2FD5"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nieruchomości Miasta położonych na obszarze Dzielnicy; </w:t>
      </w:r>
    </w:p>
    <w:p w14:paraId="1C171193" w14:textId="77777777" w:rsidR="001B2FD5"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B2FD5">
        <w:rPr>
          <w:rFonts w:asciiTheme="minorHAnsi" w:hAnsiTheme="minorHAnsi" w:cstheme="minorHAnsi"/>
          <w:sz w:val="22"/>
          <w:szCs w:val="22"/>
        </w:rPr>
        <w:t>nabywania i zbywania nieruchomości Miasta, położonych na obszarze Dzielnicy, w zakresie i trybie określonym zarządzeniem Prezydenta;</w:t>
      </w:r>
    </w:p>
    <w:p w14:paraId="3487C5DC" w14:textId="634D0072" w:rsidR="00E46C80" w:rsidRPr="001B2FD5"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B2FD5">
        <w:rPr>
          <w:rFonts w:asciiTheme="minorHAnsi" w:hAnsiTheme="minorHAnsi" w:cstheme="minorHAnsi"/>
          <w:sz w:val="22"/>
          <w:szCs w:val="22"/>
        </w:rPr>
        <w:t xml:space="preserve">jednostek organizacyjnych Miasta położonych na obszarze Dzielnicy i niezaliczonych do podmiotów o znaczeniu </w:t>
      </w:r>
      <w:proofErr w:type="spellStart"/>
      <w:r w:rsidRPr="001B2FD5">
        <w:rPr>
          <w:rFonts w:asciiTheme="minorHAnsi" w:hAnsiTheme="minorHAnsi" w:cstheme="minorHAnsi"/>
          <w:sz w:val="22"/>
          <w:szCs w:val="22"/>
        </w:rPr>
        <w:t>ponaddzielnicowym</w:t>
      </w:r>
      <w:proofErr w:type="spellEnd"/>
      <w:r w:rsidRPr="001B2FD5">
        <w:rPr>
          <w:rFonts w:asciiTheme="minorHAnsi" w:hAnsiTheme="minorHAnsi" w:cstheme="minorHAnsi"/>
          <w:sz w:val="22"/>
          <w:szCs w:val="22"/>
        </w:rPr>
        <w:t xml:space="preserve"> uchwałą Rady Miasta:</w:t>
      </w:r>
    </w:p>
    <w:p w14:paraId="57BE4D08"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placówek oświaty i wychowania, </w:t>
      </w:r>
    </w:p>
    <w:p w14:paraId="3A9E0A04"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których działalność statutowa dotyczy obsługi finansowej w zakresie oświaty,</w:t>
      </w:r>
    </w:p>
    <w:p w14:paraId="5BF31AB0"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lastRenderedPageBreak/>
        <w:t>żłobków,</w:t>
      </w:r>
    </w:p>
    <w:p w14:paraId="1853A69C"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pomocy społecznej,</w:t>
      </w:r>
    </w:p>
    <w:p w14:paraId="5C2B6BE3"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domów kultury, </w:t>
      </w:r>
    </w:p>
    <w:p w14:paraId="08D6CCAB"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bibliotek,</w:t>
      </w:r>
    </w:p>
    <w:p w14:paraId="3376707F"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ośrodków sportu i rekreacji,</w:t>
      </w:r>
    </w:p>
    <w:p w14:paraId="61C690B3"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Miasta, których działalność statutowa dotyczy zarządu zasobem mieszkaniowym,</w:t>
      </w:r>
    </w:p>
    <w:p w14:paraId="19AA17B1"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innych jednostek określonych w uchwale Rady Miasta;</w:t>
      </w:r>
    </w:p>
    <w:p w14:paraId="203188BB"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zieleni oraz dróg wewnętrznych będących własnością Miasta, z wyłączeniem terenów zielonych i dróg przekazanych w zarząd innym podmiotom;</w:t>
      </w:r>
    </w:p>
    <w:p w14:paraId="44328EB3"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dzielnicowych obiektów administracyjnych;</w:t>
      </w:r>
    </w:p>
    <w:p w14:paraId="52C0423C"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jednostek niższego rzędu utworzonych na obszarze Dzielnicy;</w:t>
      </w:r>
    </w:p>
    <w:p w14:paraId="0A52217B"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geodezji i kartografii;</w:t>
      </w:r>
    </w:p>
    <w:p w14:paraId="6C1925EF"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ochrony praw lokatorów i dodatków mieszkaniowych;</w:t>
      </w:r>
    </w:p>
    <w:p w14:paraId="63BD8AFB"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działalności kulturalnej;</w:t>
      </w:r>
    </w:p>
    <w:p w14:paraId="17E04604"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och</w:t>
      </w:r>
      <w:r w:rsidR="001B2FD5">
        <w:rPr>
          <w:rFonts w:asciiTheme="minorHAnsi" w:hAnsiTheme="minorHAnsi" w:cstheme="minorHAnsi"/>
          <w:sz w:val="22"/>
          <w:szCs w:val="22"/>
        </w:rPr>
        <w:t>rony środowiska, odpadów i wód;</w:t>
      </w:r>
    </w:p>
    <w:p w14:paraId="1717F2DE"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 xml:space="preserve">dróg publicznych, z wyłączeniem dróg przekazanych innym podmiotom, </w:t>
      </w:r>
      <w:r w:rsidRPr="001B2FD5">
        <w:rPr>
          <w:rFonts w:asciiTheme="minorHAnsi" w:hAnsiTheme="minorHAnsi" w:cstheme="minorHAnsi"/>
          <w:sz w:val="22"/>
          <w:szCs w:val="22"/>
        </w:rPr>
        <w:br/>
        <w:t>a także transportu drogowego, ruchu drogowego i przewozów;</w:t>
      </w:r>
    </w:p>
    <w:p w14:paraId="3F646DAE"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 xml:space="preserve">architektury i budownictwa; </w:t>
      </w:r>
    </w:p>
    <w:p w14:paraId="14719302"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ewidencji działalności gospodarczej;</w:t>
      </w:r>
    </w:p>
    <w:p w14:paraId="6DEF107F"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 xml:space="preserve">ewidencji ludności i dowodów osobistych; </w:t>
      </w:r>
    </w:p>
    <w:p w14:paraId="00A10B67"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praw jazdy i rejestracji pojazdów;</w:t>
      </w:r>
    </w:p>
    <w:p w14:paraId="3E7B67CE"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 xml:space="preserve">pobierania podatków i opłat lokalnych oraz opłaty skarbowej, podatku rolnego i leśnego, a także ubezpieczenia społecznego rolników; </w:t>
      </w:r>
    </w:p>
    <w:p w14:paraId="24EB8CEE"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promocji dzielnicy;</w:t>
      </w:r>
    </w:p>
    <w:p w14:paraId="476E6958" w14:textId="77777777" w:rsid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miejsc pamięci narodowej;</w:t>
      </w:r>
    </w:p>
    <w:p w14:paraId="1401F7D1" w14:textId="68CACEDA" w:rsidR="00E46C80" w:rsidRPr="001B2FD5"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284"/>
        <w:rPr>
          <w:rFonts w:asciiTheme="minorHAnsi" w:hAnsiTheme="minorHAnsi" w:cstheme="minorHAnsi"/>
          <w:sz w:val="22"/>
          <w:szCs w:val="22"/>
        </w:rPr>
      </w:pPr>
      <w:r w:rsidRPr="001B2FD5">
        <w:rPr>
          <w:rFonts w:asciiTheme="minorHAnsi" w:hAnsiTheme="minorHAnsi" w:cstheme="minorHAnsi"/>
          <w:sz w:val="22"/>
          <w:szCs w:val="22"/>
        </w:rPr>
        <w:t>innych spraw przekazanych Dzielnicy uchwałą Rady Miasta.</w:t>
      </w:r>
    </w:p>
    <w:p w14:paraId="2A8CD7B5" w14:textId="77777777" w:rsidR="00E46C80" w:rsidRPr="00114B89" w:rsidRDefault="00E46C80" w:rsidP="006238C0">
      <w:pPr>
        <w:pStyle w:val="NormalnyWeb"/>
        <w:widowControl w:val="0"/>
        <w:tabs>
          <w:tab w:val="left" w:pos="0"/>
        </w:tabs>
        <w:suppressAutoHyphens/>
        <w:spacing w:before="0" w:beforeAutospacing="0" w:after="240" w:afterAutospacing="0" w:line="360" w:lineRule="auto"/>
        <w:rPr>
          <w:rFonts w:asciiTheme="minorHAnsi" w:hAnsiTheme="minorHAnsi" w:cstheme="minorHAnsi"/>
          <w:sz w:val="22"/>
          <w:szCs w:val="22"/>
        </w:rPr>
      </w:pPr>
      <w:r w:rsidRPr="00114B89">
        <w:rPr>
          <w:rFonts w:asciiTheme="minorHAnsi" w:hAnsiTheme="minorHAnsi" w:cstheme="minorHAnsi"/>
          <w:sz w:val="22"/>
          <w:szCs w:val="22"/>
        </w:rPr>
        <w:t xml:space="preserve">Dzielnicy mogą być również przekazywane </w:t>
      </w:r>
      <w:r>
        <w:rPr>
          <w:rFonts w:asciiTheme="minorHAnsi" w:hAnsiTheme="minorHAnsi" w:cstheme="minorHAnsi"/>
          <w:sz w:val="22"/>
          <w:szCs w:val="22"/>
        </w:rPr>
        <w:t>inne zadania należące do Miasta.</w:t>
      </w:r>
    </w:p>
    <w:p w14:paraId="783BF8DE" w14:textId="77777777" w:rsidR="00E46C80" w:rsidRDefault="00E46C80" w:rsidP="006238C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lastRenderedPageBreak/>
        <w:t>Wskazanie okresu objętego sprawozdaniem</w:t>
      </w:r>
    </w:p>
    <w:p w14:paraId="0BD7E4AD" w14:textId="1BC041A9" w:rsidR="00E46C80" w:rsidRPr="006238C0"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Sprawozdanie obejmuje okres od 1 stycznia 202</w:t>
      </w:r>
      <w:r w:rsidR="003A1E52">
        <w:rPr>
          <w:rFonts w:asciiTheme="minorHAnsi" w:hAnsiTheme="minorHAnsi" w:cstheme="minorHAnsi"/>
          <w:sz w:val="22"/>
          <w:szCs w:val="22"/>
        </w:rPr>
        <w:t>3</w:t>
      </w:r>
      <w:r w:rsidRPr="00114B89">
        <w:rPr>
          <w:rFonts w:asciiTheme="minorHAnsi" w:hAnsiTheme="minorHAnsi" w:cstheme="minorHAnsi"/>
          <w:sz w:val="22"/>
          <w:szCs w:val="22"/>
        </w:rPr>
        <w:t xml:space="preserve"> roku do 31 grudnia 202</w:t>
      </w:r>
      <w:r w:rsidR="003A1E52">
        <w:rPr>
          <w:rFonts w:asciiTheme="minorHAnsi" w:hAnsiTheme="minorHAnsi" w:cstheme="minorHAnsi"/>
          <w:sz w:val="22"/>
          <w:szCs w:val="22"/>
        </w:rPr>
        <w:t>3</w:t>
      </w:r>
      <w:r w:rsidRPr="00114B89">
        <w:rPr>
          <w:rFonts w:asciiTheme="minorHAnsi" w:hAnsiTheme="minorHAnsi" w:cstheme="minorHAnsi"/>
          <w:sz w:val="22"/>
          <w:szCs w:val="22"/>
        </w:rPr>
        <w:t xml:space="preserve"> roku</w:t>
      </w:r>
      <w:r>
        <w:rPr>
          <w:rFonts w:asciiTheme="minorHAnsi" w:hAnsiTheme="minorHAnsi" w:cstheme="minorHAnsi"/>
          <w:sz w:val="22"/>
          <w:szCs w:val="22"/>
        </w:rPr>
        <w:t>.</w:t>
      </w:r>
    </w:p>
    <w:p w14:paraId="746C778B" w14:textId="77777777" w:rsidR="00E46C80" w:rsidRDefault="00E46C80" w:rsidP="006238C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Wskazanie, że sprawozdanie zawiera dane łączne</w:t>
      </w:r>
    </w:p>
    <w:p w14:paraId="3F9DF26A" w14:textId="576D8130" w:rsidR="00E46C80" w:rsidRPr="006238C0"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Urząd Dzielnicy Wesoła sporządza sprawozdanie jednostkowe.</w:t>
      </w:r>
    </w:p>
    <w:p w14:paraId="2969B1D0" w14:textId="77777777" w:rsidR="00E46C80" w:rsidRPr="00114B89" w:rsidRDefault="00E46C80" w:rsidP="006238C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A841BB">
        <w:rPr>
          <w:rFonts w:ascii="Calibri" w:hAnsi="Calibri" w:cs="Calibri"/>
          <w:sz w:val="22"/>
          <w:szCs w:val="22"/>
          <w:lang w:val="pl-PL"/>
        </w:rPr>
        <w:t xml:space="preserve">Przyjęte zasady (polityki) rachunkowości, w tym metody wyceny aktywów i pasywów </w:t>
      </w:r>
    </w:p>
    <w:p w14:paraId="56D7509A" w14:textId="5641A8BF" w:rsidR="00E46C80" w:rsidRPr="00114B89" w:rsidRDefault="00E46C80" w:rsidP="006238C0">
      <w:pPr>
        <w:numPr>
          <w:ilvl w:val="0"/>
          <w:numId w:val="30"/>
        </w:numPr>
        <w:tabs>
          <w:tab w:val="left" w:pos="360"/>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Księgi rachunkowe</w:t>
      </w:r>
      <w:r w:rsidRPr="00114B89">
        <w:rPr>
          <w:rFonts w:asciiTheme="minorHAnsi" w:hAnsiTheme="minorHAnsi" w:cstheme="minorHAnsi"/>
          <w:sz w:val="22"/>
          <w:szCs w:val="22"/>
        </w:rPr>
        <w:t xml:space="preserve"> Urzędu Dzielnicy Wesoła m.st. Warszawy prowadzone są</w:t>
      </w:r>
      <w:r>
        <w:rPr>
          <w:rFonts w:asciiTheme="minorHAnsi" w:hAnsiTheme="minorHAnsi" w:cstheme="minorHAnsi"/>
          <w:sz w:val="22"/>
          <w:szCs w:val="22"/>
        </w:rPr>
        <w:t xml:space="preserve"> </w:t>
      </w:r>
      <w:r w:rsidRPr="00114B89">
        <w:rPr>
          <w:rFonts w:asciiTheme="minorHAnsi" w:hAnsiTheme="minorHAnsi" w:cstheme="minorHAnsi"/>
          <w:sz w:val="22"/>
          <w:szCs w:val="22"/>
        </w:rPr>
        <w:t>w Wydziale Budżetowo-Księgowym dla Dzielnicy Wesoła. Księgi rachunkowe prowadzone są zgodnie z przepisami ustawy z dnia 29 września 1994</w:t>
      </w:r>
      <w:r>
        <w:rPr>
          <w:rFonts w:asciiTheme="minorHAnsi" w:hAnsiTheme="minorHAnsi" w:cstheme="minorHAnsi"/>
          <w:sz w:val="22"/>
          <w:szCs w:val="22"/>
        </w:rPr>
        <w:t xml:space="preserve"> </w:t>
      </w:r>
      <w:r w:rsidRPr="00114B89">
        <w:rPr>
          <w:rFonts w:asciiTheme="minorHAnsi" w:hAnsiTheme="minorHAnsi" w:cstheme="minorHAnsi"/>
          <w:sz w:val="22"/>
          <w:szCs w:val="22"/>
        </w:rPr>
        <w:t>r. o rachunkowości (</w:t>
      </w:r>
      <w:proofErr w:type="spellStart"/>
      <w:r w:rsidRPr="00114B89">
        <w:rPr>
          <w:rFonts w:asciiTheme="minorHAnsi" w:hAnsiTheme="minorHAnsi" w:cstheme="minorHAnsi"/>
          <w:sz w:val="22"/>
          <w:szCs w:val="22"/>
        </w:rPr>
        <w:t>t</w:t>
      </w:r>
      <w:r>
        <w:rPr>
          <w:rFonts w:asciiTheme="minorHAnsi" w:hAnsiTheme="minorHAnsi" w:cstheme="minorHAnsi"/>
          <w:sz w:val="22"/>
          <w:szCs w:val="22"/>
        </w:rPr>
        <w:t>.</w:t>
      </w:r>
      <w:r w:rsidRPr="00114B89">
        <w:rPr>
          <w:rFonts w:asciiTheme="minorHAnsi" w:hAnsiTheme="minorHAnsi" w:cstheme="minorHAnsi"/>
          <w:sz w:val="22"/>
          <w:szCs w:val="22"/>
        </w:rPr>
        <w:t>j</w:t>
      </w:r>
      <w:proofErr w:type="spellEnd"/>
      <w:r w:rsidRPr="00114B89">
        <w:rPr>
          <w:rFonts w:asciiTheme="minorHAnsi" w:hAnsiTheme="minorHAnsi" w:cstheme="minorHAnsi"/>
          <w:sz w:val="22"/>
          <w:szCs w:val="22"/>
        </w:rPr>
        <w:t>. Dz. U. 20</w:t>
      </w:r>
      <w:r>
        <w:rPr>
          <w:rFonts w:asciiTheme="minorHAnsi" w:hAnsiTheme="minorHAnsi" w:cstheme="minorHAnsi"/>
          <w:sz w:val="22"/>
          <w:szCs w:val="22"/>
        </w:rPr>
        <w:t>23</w:t>
      </w:r>
      <w:r w:rsidRPr="00114B89">
        <w:rPr>
          <w:rFonts w:asciiTheme="minorHAnsi" w:hAnsiTheme="minorHAnsi" w:cstheme="minorHAnsi"/>
          <w:sz w:val="22"/>
          <w:szCs w:val="22"/>
        </w:rPr>
        <w:t xml:space="preserve">r. poz. </w:t>
      </w:r>
      <w:r>
        <w:rPr>
          <w:rFonts w:asciiTheme="minorHAnsi" w:hAnsiTheme="minorHAnsi" w:cstheme="minorHAnsi"/>
          <w:sz w:val="22"/>
          <w:szCs w:val="22"/>
        </w:rPr>
        <w:t>120</w:t>
      </w:r>
      <w:r w:rsidRPr="00114B89">
        <w:rPr>
          <w:rFonts w:asciiTheme="minorHAnsi" w:hAnsiTheme="minorHAnsi" w:cstheme="minorHAnsi"/>
          <w:sz w:val="22"/>
          <w:szCs w:val="22"/>
        </w:rPr>
        <w:t xml:space="preserve">), </w:t>
      </w:r>
      <w:r w:rsidRPr="00114B89">
        <w:rPr>
          <w:rFonts w:asciiTheme="minorHAnsi" w:hAnsiTheme="minorHAnsi" w:cstheme="minorHAnsi"/>
          <w:color w:val="000000"/>
          <w:sz w:val="22"/>
          <w:szCs w:val="22"/>
        </w:rPr>
        <w:t>ustawy z dnia 27 sierpnia 2009</w:t>
      </w:r>
      <w:r>
        <w:rPr>
          <w:rFonts w:asciiTheme="minorHAnsi" w:hAnsiTheme="minorHAnsi" w:cstheme="minorHAnsi"/>
          <w:color w:val="000000"/>
          <w:sz w:val="22"/>
          <w:szCs w:val="22"/>
        </w:rPr>
        <w:t xml:space="preserve"> </w:t>
      </w:r>
      <w:r w:rsidRPr="00114B89">
        <w:rPr>
          <w:rFonts w:asciiTheme="minorHAnsi" w:hAnsiTheme="minorHAnsi" w:cstheme="minorHAnsi"/>
          <w:color w:val="000000"/>
          <w:sz w:val="22"/>
          <w:szCs w:val="22"/>
        </w:rPr>
        <w:t>r. o finansach publicznych (</w:t>
      </w:r>
      <w:proofErr w:type="spellStart"/>
      <w:r>
        <w:rPr>
          <w:rFonts w:asciiTheme="minorHAnsi" w:hAnsiTheme="minorHAnsi" w:cstheme="minorHAnsi"/>
          <w:color w:val="000000"/>
          <w:sz w:val="22"/>
          <w:szCs w:val="22"/>
        </w:rPr>
        <w:t>t.j</w:t>
      </w:r>
      <w:proofErr w:type="spellEnd"/>
      <w:r>
        <w:rPr>
          <w:rFonts w:asciiTheme="minorHAnsi" w:hAnsiTheme="minorHAnsi" w:cstheme="minorHAnsi"/>
          <w:color w:val="000000"/>
          <w:sz w:val="22"/>
          <w:szCs w:val="22"/>
        </w:rPr>
        <w:t xml:space="preserve">. </w:t>
      </w:r>
      <w:r w:rsidRPr="00114B89">
        <w:rPr>
          <w:rFonts w:asciiTheme="minorHAnsi" w:hAnsiTheme="minorHAnsi" w:cstheme="minorHAnsi"/>
          <w:color w:val="000000"/>
          <w:sz w:val="22"/>
          <w:szCs w:val="22"/>
        </w:rPr>
        <w:t>Dz. U. z 202</w:t>
      </w:r>
      <w:r w:rsidR="00FF7594">
        <w:rPr>
          <w:rFonts w:asciiTheme="minorHAnsi" w:hAnsiTheme="minorHAnsi" w:cstheme="minorHAnsi"/>
          <w:color w:val="000000"/>
          <w:sz w:val="22"/>
          <w:szCs w:val="22"/>
        </w:rPr>
        <w:t>3</w:t>
      </w:r>
      <w:r w:rsidRPr="00114B89">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1</w:t>
      </w:r>
      <w:r w:rsidR="00FF7594">
        <w:rPr>
          <w:rFonts w:asciiTheme="minorHAnsi" w:hAnsiTheme="minorHAnsi" w:cstheme="minorHAnsi"/>
          <w:color w:val="000000"/>
          <w:sz w:val="22"/>
          <w:szCs w:val="22"/>
        </w:rPr>
        <w:t>270</w:t>
      </w:r>
      <w:r w:rsidRPr="00114B89">
        <w:rPr>
          <w:rFonts w:asciiTheme="minorHAnsi" w:hAnsiTheme="minorHAnsi" w:cstheme="minorHAnsi"/>
          <w:color w:val="000000"/>
          <w:sz w:val="22"/>
          <w:szCs w:val="22"/>
        </w:rPr>
        <w:t>)</w:t>
      </w:r>
      <w:r w:rsidRPr="00114B89">
        <w:rPr>
          <w:rFonts w:asciiTheme="minorHAnsi" w:hAnsiTheme="minorHAnsi" w:cstheme="minorHAnsi"/>
          <w:sz w:val="22"/>
          <w:szCs w:val="22"/>
        </w:rPr>
        <w:t xml:space="preserve"> oraz wydan</w:t>
      </w:r>
      <w:r>
        <w:rPr>
          <w:rFonts w:asciiTheme="minorHAnsi" w:hAnsiTheme="minorHAnsi" w:cstheme="minorHAnsi"/>
          <w:sz w:val="22"/>
          <w:szCs w:val="22"/>
        </w:rPr>
        <w:t>ymi</w:t>
      </w:r>
      <w:r w:rsidRPr="00114B89">
        <w:rPr>
          <w:rFonts w:asciiTheme="minorHAnsi" w:hAnsiTheme="minorHAnsi" w:cstheme="minorHAnsi"/>
          <w:sz w:val="22"/>
          <w:szCs w:val="22"/>
        </w:rPr>
        <w:t xml:space="preserve"> na ich podstawie obowiązującymi rozporządzeniami Ministra Finansów</w:t>
      </w:r>
      <w:r w:rsidRPr="00114B89">
        <w:rPr>
          <w:rFonts w:asciiTheme="minorHAnsi" w:hAnsiTheme="minorHAnsi" w:cstheme="minorHAnsi"/>
          <w:color w:val="000000"/>
          <w:sz w:val="22"/>
          <w:szCs w:val="22"/>
        </w:rPr>
        <w:t>.</w:t>
      </w:r>
    </w:p>
    <w:p w14:paraId="23F95D5F" w14:textId="2AD373F4" w:rsidR="00E46C80" w:rsidRPr="00114B89"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Podstawą zapisu w księgach rachunkowych są zatwierdzone dowody księgowe, stwierdzające dokonanie operacji gospodarczych zgodnie ze stanem faktycznym. Stany aktywów i pasywów wykazane na dzień zamknięcia ksiąg rachunkowych wykazywane są</w:t>
      </w:r>
      <w:r>
        <w:rPr>
          <w:rFonts w:asciiTheme="minorHAnsi" w:hAnsiTheme="minorHAnsi" w:cstheme="minorHAnsi"/>
          <w:sz w:val="22"/>
          <w:szCs w:val="22"/>
        </w:rPr>
        <w:t xml:space="preserve"> </w:t>
      </w:r>
      <w:r w:rsidRPr="00114B89">
        <w:rPr>
          <w:rFonts w:asciiTheme="minorHAnsi" w:hAnsiTheme="minorHAnsi" w:cstheme="minorHAnsi"/>
          <w:sz w:val="22"/>
          <w:szCs w:val="22"/>
        </w:rPr>
        <w:t>w tej samej wysokości jako bilans otwarcia na dzień otwarcia ksiąg rachunkowych.</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W księgach rachunkowych ujmuje się wszystkie przychody i koszty danego okresu obrachunkowego w momencie ich wystąpienia. </w:t>
      </w:r>
    </w:p>
    <w:p w14:paraId="3191D4EF" w14:textId="7064E62D"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Urzędzie Dzielnicy Wesoła nie jest prowadzona gospodarka magazynowa.</w:t>
      </w:r>
    </w:p>
    <w:p w14:paraId="735EC098" w14:textId="01D553B1"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 o wartości powyżej 500 zł do 10 000 zł i okresie używania dłuższym niż 1 rok</w:t>
      </w:r>
      <w:r w:rsidRPr="00114B89">
        <w:rPr>
          <w:rFonts w:asciiTheme="minorHAnsi" w:hAnsiTheme="minorHAnsi" w:cstheme="minorHAnsi"/>
          <w:sz w:val="22"/>
          <w:szCs w:val="22"/>
        </w:rPr>
        <w:t xml:space="preserve"> są:</w:t>
      </w:r>
    </w:p>
    <w:p w14:paraId="150F82B4" w14:textId="77777777" w:rsidR="00E46C80" w:rsidRPr="00114B89" w:rsidRDefault="00E46C80" w:rsidP="006238C0">
      <w:pPr>
        <w:numPr>
          <w:ilvl w:val="0"/>
          <w:numId w:val="10"/>
        </w:numPr>
        <w:tabs>
          <w:tab w:val="clear" w:pos="794"/>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finansowane ze środków obrotowych,</w:t>
      </w:r>
    </w:p>
    <w:p w14:paraId="58408D8F" w14:textId="51700874" w:rsidR="00E46C80" w:rsidRPr="006238C0" w:rsidRDefault="00E46C80" w:rsidP="006238C0">
      <w:pPr>
        <w:numPr>
          <w:ilvl w:val="0"/>
          <w:numId w:val="10"/>
        </w:numPr>
        <w:tabs>
          <w:tab w:val="clear" w:pos="794"/>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ewidencjonowane jako pozostałe środki trwałe w używaniu na koncie 013 i wartości niematerialne i prawne na koncie 020 w miesiącu przekazania ich do używania po zakupie.</w:t>
      </w:r>
    </w:p>
    <w:p w14:paraId="336951A0" w14:textId="20AC2D7F"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Pozostałe środki trwałe w używaniu o wartości mniejszej/równej 500 zł</w:t>
      </w:r>
      <w:r>
        <w:rPr>
          <w:rFonts w:asciiTheme="minorHAnsi" w:hAnsiTheme="minorHAnsi" w:cstheme="minorHAnsi"/>
          <w:b/>
          <w:sz w:val="22"/>
          <w:szCs w:val="22"/>
        </w:rPr>
        <w:t xml:space="preserve"> </w:t>
      </w:r>
      <w:r w:rsidRPr="00114B89">
        <w:rPr>
          <w:rFonts w:asciiTheme="minorHAnsi" w:hAnsiTheme="minorHAnsi" w:cstheme="minorHAnsi"/>
          <w:b/>
          <w:sz w:val="22"/>
          <w:szCs w:val="22"/>
        </w:rPr>
        <w:t>o charakterze wyposażenia biura</w:t>
      </w:r>
      <w:r w:rsidRPr="00114B89">
        <w:rPr>
          <w:rFonts w:asciiTheme="minorHAnsi" w:hAnsiTheme="minorHAnsi" w:cstheme="minorHAnsi"/>
          <w:sz w:val="22"/>
          <w:szCs w:val="22"/>
        </w:rPr>
        <w:t>:</w:t>
      </w:r>
    </w:p>
    <w:p w14:paraId="6A6D2CE2" w14:textId="77777777" w:rsidR="00E46C80" w:rsidRPr="00114B89" w:rsidRDefault="00E46C80" w:rsidP="006238C0">
      <w:pPr>
        <w:numPr>
          <w:ilvl w:val="0"/>
          <w:numId w:val="11"/>
        </w:numPr>
        <w:tabs>
          <w:tab w:val="clear" w:pos="794"/>
          <w:tab w:val="left" w:pos="426"/>
          <w:tab w:val="num" w:pos="900"/>
          <w:tab w:val="num" w:pos="414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kosze, zasłony, firany, karnisze, wykładziny - księgowane są bezpośrednio </w:t>
      </w:r>
      <w:r w:rsidRPr="00114B89">
        <w:rPr>
          <w:rFonts w:asciiTheme="minorHAnsi" w:hAnsiTheme="minorHAnsi" w:cstheme="minorHAnsi"/>
          <w:bCs/>
          <w:color w:val="000000"/>
          <w:sz w:val="22"/>
          <w:szCs w:val="22"/>
        </w:rPr>
        <w:br/>
        <w:t>w koszty w momencie oddania ich do użytkowania</w:t>
      </w:r>
      <w:r w:rsidRPr="00114B89">
        <w:rPr>
          <w:rFonts w:asciiTheme="minorHAnsi" w:hAnsiTheme="minorHAnsi" w:cstheme="minorHAnsi"/>
          <w:sz w:val="22"/>
          <w:szCs w:val="22"/>
        </w:rPr>
        <w:t>,</w:t>
      </w:r>
    </w:p>
    <w:p w14:paraId="795FB80F" w14:textId="77777777" w:rsidR="00E46C80" w:rsidRPr="00114B89" w:rsidRDefault="00E46C80" w:rsidP="006238C0">
      <w:pPr>
        <w:numPr>
          <w:ilvl w:val="0"/>
          <w:numId w:val="11"/>
        </w:numPr>
        <w:tabs>
          <w:tab w:val="clear" w:pos="794"/>
          <w:tab w:val="left" w:pos="426"/>
          <w:tab w:val="num" w:pos="90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lampki biurowe, czajniki elektryczne, lustra, tablice korkowe księgowane są </w:t>
      </w:r>
      <w:r w:rsidRPr="00114B89">
        <w:rPr>
          <w:rFonts w:asciiTheme="minorHAnsi" w:hAnsiTheme="minorHAnsi" w:cstheme="minorHAnsi"/>
          <w:bCs/>
          <w:color w:val="000000"/>
          <w:sz w:val="22"/>
          <w:szCs w:val="22"/>
        </w:rPr>
        <w:br/>
        <w:t xml:space="preserve">w koszty w momencie oddania ich do użytkowania. </w:t>
      </w:r>
    </w:p>
    <w:p w14:paraId="70C18228" w14:textId="1136DD6C" w:rsidR="00E46C80" w:rsidRPr="006238C0" w:rsidRDefault="00E46C80" w:rsidP="006238C0">
      <w:pPr>
        <w:numPr>
          <w:ilvl w:val="0"/>
          <w:numId w:val="11"/>
        </w:numPr>
        <w:tabs>
          <w:tab w:val="clear" w:pos="794"/>
          <w:tab w:val="left" w:pos="426"/>
          <w:tab w:val="num" w:pos="90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drobne akcesoria komputerowe </w:t>
      </w:r>
      <w:r w:rsidRPr="00114B89">
        <w:rPr>
          <w:rFonts w:asciiTheme="minorHAnsi" w:hAnsiTheme="minorHAnsi" w:cstheme="minorHAnsi"/>
          <w:bCs/>
          <w:color w:val="000000"/>
          <w:sz w:val="22"/>
          <w:szCs w:val="22"/>
        </w:rPr>
        <w:t>księgowane są w koszty w momencie oddania ich do użytkowania.</w:t>
      </w:r>
    </w:p>
    <w:p w14:paraId="2250DCA4" w14:textId="67FCA8DE" w:rsidR="00E46C80" w:rsidRPr="006238C0" w:rsidRDefault="00E46C80" w:rsidP="006238C0">
      <w:pPr>
        <w:numPr>
          <w:ilvl w:val="0"/>
          <w:numId w:val="30"/>
        </w:numPr>
        <w:tabs>
          <w:tab w:val="num"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 xml:space="preserve">Pozostałe środki trwałe </w:t>
      </w:r>
      <w:r w:rsidRPr="00114B89">
        <w:rPr>
          <w:rFonts w:asciiTheme="minorHAnsi" w:hAnsiTheme="minorHAnsi" w:cstheme="minorHAnsi"/>
          <w:b/>
          <w:bCs/>
          <w:color w:val="000000"/>
          <w:sz w:val="22"/>
          <w:szCs w:val="22"/>
        </w:rPr>
        <w:t>w używaniu bez względu na ich wartość początkową i okres użytkowania kupowane są ze środków obrotowych i ewidencjonowane</w:t>
      </w:r>
      <w:r w:rsidRPr="00114B89">
        <w:rPr>
          <w:rFonts w:asciiTheme="minorHAnsi" w:hAnsiTheme="minorHAnsi" w:cstheme="minorHAnsi"/>
          <w:bCs/>
          <w:color w:val="000000"/>
          <w:sz w:val="22"/>
          <w:szCs w:val="22"/>
        </w:rPr>
        <w:t>:</w:t>
      </w:r>
    </w:p>
    <w:p w14:paraId="132D372E" w14:textId="77777777" w:rsidR="00E46C80" w:rsidRPr="00114B89" w:rsidRDefault="00E46C80" w:rsidP="006238C0">
      <w:pPr>
        <w:numPr>
          <w:ilvl w:val="0"/>
          <w:numId w:val="12"/>
        </w:numPr>
        <w:shd w:val="clear" w:color="auto" w:fill="FFFFFF"/>
        <w:tabs>
          <w:tab w:val="clear" w:pos="794"/>
          <w:tab w:val="left" w:pos="360"/>
          <w:tab w:val="num" w:pos="90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meble, dywany, telefony, środki dydaktyczne na koncie 013,</w:t>
      </w:r>
    </w:p>
    <w:p w14:paraId="5195B8DA" w14:textId="7516F5D8" w:rsidR="00E46C80" w:rsidRPr="006238C0" w:rsidRDefault="00E46C80" w:rsidP="006238C0">
      <w:pPr>
        <w:numPr>
          <w:ilvl w:val="0"/>
          <w:numId w:val="12"/>
        </w:numPr>
        <w:shd w:val="clear" w:color="auto" w:fill="FFFFFF"/>
        <w:tabs>
          <w:tab w:val="clear" w:pos="794"/>
          <w:tab w:val="left" w:pos="360"/>
          <w:tab w:val="num" w:pos="90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książki (literatura fachowa) księgowane są bezpośrednio w koszty w momencie ich przekazania do użytkowania. Ponadto  podlegają wpisowi do kart ewidencyjnych wyposażenia pracowników.</w:t>
      </w:r>
    </w:p>
    <w:p w14:paraId="1D13E46D" w14:textId="42ACE2E3"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lastRenderedPageBreak/>
        <w:t>Środki trwałe oraz wartości niematerialne i prawne</w:t>
      </w:r>
      <w:r w:rsidRPr="00114B89">
        <w:rPr>
          <w:rFonts w:asciiTheme="minorHAnsi" w:hAnsiTheme="minorHAnsi" w:cstheme="minorHAnsi"/>
          <w:sz w:val="22"/>
          <w:szCs w:val="22"/>
        </w:rPr>
        <w:t>, np. licencje na oprogramowanie komputerowe, o wartości jednostkowej powyżej 10 000 zł i okresie używania dłuższym niż rok są kupowane ze środków inwestycyjnych.</w:t>
      </w:r>
    </w:p>
    <w:p w14:paraId="64796CD9" w14:textId="6280CB6F"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wartości niematerialne i prawne (z wyjątkiem wymienionych wyżej oraz gruntów stanowiących własność m.st. Warszawy i przysługującego m.st. Warszawie prawa użytkowania wieczystego)</w:t>
      </w:r>
      <w:r w:rsidRPr="00114B89">
        <w:rPr>
          <w:rFonts w:asciiTheme="minorHAnsi" w:hAnsiTheme="minorHAnsi" w:cstheme="minorHAnsi"/>
          <w:sz w:val="22"/>
          <w:szCs w:val="22"/>
        </w:rPr>
        <w:t xml:space="preserve"> podlegają ewidencji wartościowej w księgach rachunkowych oraz ewidencji ilościowo-wartościowej w księgach inwentarzowych prowadzonych przez wydziały merytoryczne.</w:t>
      </w:r>
    </w:p>
    <w:p w14:paraId="54F7AF84" w14:textId="65CEE2B1"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Ewidencja ilościowo-wartościowa gruntów stanowiących własność m.st. Warszawy</w:t>
      </w: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(w tym oddanych w użytkowanie wieczyste innym podmiotom)</w:t>
      </w:r>
      <w:r w:rsidRPr="00114B89">
        <w:rPr>
          <w:rFonts w:asciiTheme="minorHAnsi" w:hAnsiTheme="minorHAnsi" w:cstheme="minorHAnsi"/>
          <w:sz w:val="22"/>
          <w:szCs w:val="22"/>
        </w:rPr>
        <w:t xml:space="preserve"> oraz przysługującego m.st. Warszawie prawa użytkowania wieczystego, prowadzona jest w księgach inwentarzowych przez Wydział Gospodarki Nieruchomościami, czyli wewnętrzną komórkę organizacyjną urzędu dzielnicy właściwą do prowadzenia zasobu nieruchomości m.st. Warszawy</w:t>
      </w:r>
      <w:r>
        <w:rPr>
          <w:rFonts w:asciiTheme="minorHAnsi" w:hAnsiTheme="minorHAnsi" w:cstheme="minorHAnsi"/>
          <w:sz w:val="22"/>
          <w:szCs w:val="22"/>
        </w:rPr>
        <w:t xml:space="preserve"> </w:t>
      </w:r>
      <w:r w:rsidRPr="00114B89">
        <w:rPr>
          <w:rFonts w:asciiTheme="minorHAnsi" w:hAnsiTheme="minorHAnsi" w:cstheme="minorHAnsi"/>
          <w:sz w:val="22"/>
          <w:szCs w:val="22"/>
        </w:rPr>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Pr>
          <w:rFonts w:asciiTheme="minorHAnsi" w:hAnsiTheme="minorHAnsi" w:cstheme="minorHAnsi"/>
          <w:sz w:val="22"/>
          <w:szCs w:val="22"/>
        </w:rPr>
        <w:t xml:space="preserve"> </w:t>
      </w:r>
      <w:r w:rsidRPr="00114B89">
        <w:rPr>
          <w:rFonts w:asciiTheme="minorHAnsi" w:hAnsiTheme="minorHAnsi" w:cstheme="minorHAnsi"/>
          <w:sz w:val="22"/>
          <w:szCs w:val="22"/>
        </w:rPr>
        <w:t>w ramach zadań inwestycyjnych, darowizny).</w:t>
      </w:r>
    </w:p>
    <w:p w14:paraId="3D152F66" w14:textId="77777777" w:rsidR="00E46C80" w:rsidRPr="00114B89" w:rsidRDefault="00E46C80" w:rsidP="006238C0">
      <w:pPr>
        <w:numPr>
          <w:ilvl w:val="0"/>
          <w:numId w:val="30"/>
        </w:numPr>
        <w:tabs>
          <w:tab w:val="left" w:pos="426"/>
          <w:tab w:val="left" w:pos="709"/>
          <w:tab w:val="left" w:pos="127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Grunty stanowiące własność m.st. Warszawy (w tym oddane w użytkowanie wieczyste innym podmiotom)</w:t>
      </w:r>
      <w:r w:rsidRPr="00114B89">
        <w:rPr>
          <w:rFonts w:asciiTheme="minorHAnsi" w:hAnsiTheme="minorHAnsi" w:cstheme="minorHAnsi"/>
          <w:sz w:val="22"/>
          <w:szCs w:val="22"/>
        </w:rPr>
        <w:t xml:space="preserve"> podlegają ewidencji syntetycznej i analitycznej. Ewidencję syntetyczną wartościową w ww. zakresie prowadzi Wydział Budżetowo-Księgowy,</w:t>
      </w:r>
      <w:r>
        <w:rPr>
          <w:rFonts w:asciiTheme="minorHAnsi" w:hAnsiTheme="minorHAnsi" w:cstheme="minorHAnsi"/>
          <w:sz w:val="22"/>
          <w:szCs w:val="22"/>
        </w:rPr>
        <w:t xml:space="preserve"> </w:t>
      </w:r>
      <w:r w:rsidRPr="00114B89">
        <w:rPr>
          <w:rFonts w:asciiTheme="minorHAnsi" w:hAnsiTheme="minorHAnsi" w:cstheme="minorHAnsi"/>
          <w:sz w:val="22"/>
          <w:szCs w:val="22"/>
        </w:rPr>
        <w:t>w oparciu o dokumenty dostarczane przez Wydział Gospodarki Nieruchomościami. Ewidencję analityczną ilościowo-wartościową gruntów stanowiących własność m.st. Warszawy (w tym oddanych w użytkowanie wieczyste  innym podmiotom) w księgach inwentarzowych prowadzi Wydział Gospodarki Nieruchomościami, w ramach baz danych dotyczących gruntów w oparciu o wartości wynikające z:</w:t>
      </w:r>
    </w:p>
    <w:p w14:paraId="70C82ABA" w14:textId="77777777" w:rsidR="00E46C80" w:rsidRPr="00114B89" w:rsidRDefault="00E46C80" w:rsidP="006238C0">
      <w:pPr>
        <w:pStyle w:val="Akapitzlist"/>
        <w:numPr>
          <w:ilvl w:val="0"/>
          <w:numId w:val="13"/>
        </w:numPr>
        <w:tabs>
          <w:tab w:val="left" w:pos="426"/>
          <w:tab w:val="left" w:pos="567"/>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kart inwentarzowych nieruchomości objętych decyzjami Wojewody Mazowieckiego,</w:t>
      </w:r>
    </w:p>
    <w:p w14:paraId="4A1C1722" w14:textId="77777777" w:rsidR="00E46C80" w:rsidRPr="00114B89" w:rsidRDefault="00E46C80" w:rsidP="006238C0">
      <w:pPr>
        <w:pStyle w:val="Akapitzlist"/>
        <w:numPr>
          <w:ilvl w:val="0"/>
          <w:numId w:val="13"/>
        </w:numPr>
        <w:tabs>
          <w:tab w:val="left" w:pos="426"/>
          <w:tab w:val="left" w:pos="709"/>
          <w:tab w:val="left" w:pos="113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decyzji administracyjnych, aktów notarialnych, umów sprzedaży, wyroków sądowych (powiększone o koszty związane z zakupem),</w:t>
      </w:r>
    </w:p>
    <w:p w14:paraId="32B04D0B" w14:textId="77777777" w:rsidR="00E46C80" w:rsidRPr="00114B89" w:rsidRDefault="00E46C80" w:rsidP="006238C0">
      <w:pPr>
        <w:pStyle w:val="Akapitzlist"/>
        <w:numPr>
          <w:ilvl w:val="0"/>
          <w:numId w:val="13"/>
        </w:numPr>
        <w:tabs>
          <w:tab w:val="left" w:pos="426"/>
          <w:tab w:val="left" w:pos="709"/>
          <w:tab w:val="left" w:pos="113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innych kosztów związanych z nabyciem gruntów (np. sporządzenie map, wyrysów, wypisów).</w:t>
      </w:r>
    </w:p>
    <w:p w14:paraId="308862BC" w14:textId="77777777" w:rsidR="00E46C80" w:rsidRPr="00114B89" w:rsidRDefault="00E46C80" w:rsidP="006238C0">
      <w:pPr>
        <w:pStyle w:val="Teksttreci0"/>
        <w:shd w:val="clear" w:color="auto" w:fill="auto"/>
        <w:spacing w:line="240" w:lineRule="auto"/>
        <w:ind w:firstLine="0"/>
        <w:jc w:val="left"/>
        <w:rPr>
          <w:rFonts w:asciiTheme="minorHAnsi" w:hAnsiTheme="minorHAnsi" w:cstheme="minorHAnsi"/>
        </w:rPr>
      </w:pPr>
      <w:r w:rsidRPr="00114B89">
        <w:rPr>
          <w:rFonts w:asciiTheme="minorHAnsi" w:hAnsiTheme="minorHAnsi" w:cstheme="minorHAnsi"/>
        </w:rPr>
        <w:t xml:space="preserve">Ewidencja nw. majątku w księgach rachunkowych, jak i w księgach inwentarzowych </w:t>
      </w:r>
      <w:r w:rsidRPr="00114B89">
        <w:rPr>
          <w:rFonts w:asciiTheme="minorHAnsi" w:hAnsiTheme="minorHAnsi" w:cstheme="minorHAnsi"/>
          <w:lang w:val="pl-PL"/>
        </w:rPr>
        <w:t>zapewnia</w:t>
      </w:r>
      <w:r w:rsidRPr="00114B89">
        <w:rPr>
          <w:rFonts w:asciiTheme="minorHAnsi" w:hAnsiTheme="minorHAnsi" w:cstheme="minorHAnsi"/>
        </w:rPr>
        <w:t xml:space="preserve"> możliwość pozyskania informacji m.in. w zakresie prezentowania wartości:</w:t>
      </w:r>
    </w:p>
    <w:p w14:paraId="7B408190" w14:textId="77777777" w:rsidR="00E46C80" w:rsidRPr="00114B89" w:rsidRDefault="00E46C80" w:rsidP="006238C0">
      <w:pPr>
        <w:pStyle w:val="Teksttreci0"/>
        <w:shd w:val="clear" w:color="auto" w:fill="auto"/>
        <w:spacing w:line="240" w:lineRule="auto"/>
        <w:ind w:firstLine="0"/>
        <w:contextualSpacing/>
        <w:jc w:val="left"/>
        <w:rPr>
          <w:rFonts w:asciiTheme="minorHAnsi" w:hAnsiTheme="minorHAnsi" w:cstheme="minorHAnsi"/>
          <w:strike/>
        </w:rPr>
      </w:pPr>
      <w:r w:rsidRPr="00114B89">
        <w:rPr>
          <w:rFonts w:asciiTheme="minorHAnsi" w:hAnsiTheme="minorHAnsi" w:cstheme="minorHAnsi"/>
        </w:rPr>
        <w:t xml:space="preserve">- gruntów stanowiących własność m.st. Warszawy z wyłączeniem gruntów stanowiących własność m.st. Warszawy oddanych w użytkowanie wieczyste </w:t>
      </w:r>
      <w:r w:rsidRPr="00114B89">
        <w:rPr>
          <w:rFonts w:asciiTheme="minorHAnsi" w:hAnsiTheme="minorHAnsi" w:cstheme="minorHAnsi"/>
          <w:strike/>
        </w:rPr>
        <w:t xml:space="preserve"> </w:t>
      </w:r>
      <w:r w:rsidRPr="00114B89">
        <w:rPr>
          <w:rFonts w:asciiTheme="minorHAnsi" w:hAnsiTheme="minorHAnsi" w:cstheme="minorHAnsi"/>
        </w:rPr>
        <w:t xml:space="preserve">innym podmiotom, </w:t>
      </w:r>
    </w:p>
    <w:p w14:paraId="74B76526" w14:textId="77777777" w:rsidR="00E46C80" w:rsidRPr="00114B89" w:rsidRDefault="00E46C80" w:rsidP="006238C0">
      <w:pPr>
        <w:pStyle w:val="Teksttreci0"/>
        <w:shd w:val="clear" w:color="auto" w:fill="auto"/>
        <w:spacing w:line="240" w:lineRule="auto"/>
        <w:ind w:firstLine="0"/>
        <w:contextualSpacing/>
        <w:jc w:val="left"/>
        <w:rPr>
          <w:rFonts w:asciiTheme="minorHAnsi" w:hAnsiTheme="minorHAnsi" w:cstheme="minorHAnsi"/>
          <w:lang w:val="pl-PL"/>
        </w:rPr>
      </w:pPr>
      <w:r w:rsidRPr="00114B89">
        <w:rPr>
          <w:rFonts w:asciiTheme="minorHAnsi" w:hAnsiTheme="minorHAnsi" w:cstheme="minorHAnsi"/>
        </w:rPr>
        <w:t>- gruntów stanowiących własność m.st. Warszawy oddanych w wieczyste użytkowanie innym podmiotom,</w:t>
      </w:r>
    </w:p>
    <w:p w14:paraId="165379AA" w14:textId="36A48D4D" w:rsidR="003A1E52" w:rsidRDefault="00E46C80" w:rsidP="006238C0">
      <w:pPr>
        <w:pStyle w:val="Teksttreci0"/>
        <w:shd w:val="clear" w:color="auto" w:fill="auto"/>
        <w:spacing w:before="240" w:line="240" w:lineRule="auto"/>
        <w:ind w:firstLine="0"/>
        <w:jc w:val="left"/>
        <w:rPr>
          <w:rFonts w:asciiTheme="minorHAnsi" w:hAnsiTheme="minorHAnsi" w:cstheme="minorHAnsi"/>
        </w:rPr>
      </w:pPr>
      <w:r w:rsidRPr="00114B89">
        <w:rPr>
          <w:rFonts w:asciiTheme="minorHAnsi" w:hAnsiTheme="minorHAnsi" w:cstheme="minorHAnsi"/>
        </w:rPr>
        <w:t>- przysługującego m.st. Warszawie prawa użytkowania wieczystego.</w:t>
      </w:r>
    </w:p>
    <w:p w14:paraId="1ACAA160" w14:textId="5E4E1AEF" w:rsidR="00E46C80" w:rsidRPr="006238C0" w:rsidRDefault="00227C4E" w:rsidP="006238C0">
      <w:pPr>
        <w:pStyle w:val="Teksttreci0"/>
        <w:shd w:val="clear" w:color="auto" w:fill="auto"/>
        <w:spacing w:before="240" w:line="240" w:lineRule="auto"/>
        <w:ind w:firstLine="0"/>
        <w:jc w:val="left"/>
        <w:rPr>
          <w:rFonts w:asciiTheme="minorHAnsi" w:hAnsiTheme="minorHAnsi" w:cstheme="minorHAnsi"/>
          <w:lang w:val="pl-PL"/>
        </w:rPr>
      </w:pPr>
      <w:r>
        <w:rPr>
          <w:rFonts w:asciiTheme="minorHAnsi" w:hAnsiTheme="minorHAnsi" w:cstheme="minorHAnsi"/>
          <w:lang w:val="pl-PL"/>
        </w:rPr>
        <w:t>Nieruchomości przekazane na podstawie umowy nieodpłatnego użytkowania podmiotom leczniczym prowadzonym w formie samodzielnych publicznych zakładów opieki zdrowotnej, dla których podmiotem tworzącym jest m.st. Warszawa podlegają wyksięgowaniu w cenach nabycia z kont bilansowych i z ksiąg pomocniczych, a następnie zaksięgowaniu w cenach nabycia w ewidencji pozabilansowej w księgach rachunkowych prowadzonych przez Wydział Budżetowo-Księgowy. Ewidencja pozabilansowa prowadzona jest z podziałem na poszczególne SPZOZ.</w:t>
      </w:r>
    </w:p>
    <w:p w14:paraId="3A7851E0" w14:textId="3EE2808B"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lastRenderedPageBreak/>
        <w:t>Środki trwałe oraz wartości niematerialne i prawne wycenia się</w:t>
      </w:r>
      <w:r w:rsidRPr="00114B89">
        <w:rPr>
          <w:rFonts w:asciiTheme="minorHAnsi" w:hAnsiTheme="minorHAnsi" w:cstheme="minorHAnsi"/>
          <w:sz w:val="22"/>
          <w:szCs w:val="22"/>
        </w:rPr>
        <w:t xml:space="preserve"> według cen nabycia lub kosztów wytworzenia, pomniejszonej o dotychczasowe dokonane odpisy umorzeniowe a także odpisy z tytułu ewentualnej utraty wartości oraz skorygowanej o przeszacowania dokonane na podstawie odrębnych przepisów.</w:t>
      </w:r>
    </w:p>
    <w:p w14:paraId="0A99E1D6" w14:textId="0CF3BCC4"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W przypadku zaistnienia przyczyn powodujących trwałą utratę wartości środka trwałego, wartości niematerialnych i prawnych oraz środków trwałych w budowie dokonuje się  odpisu aktualizującego jego wartość. Odpisu aktualizującego wartość gruntu należy dokonać w sytuacji, gdy jego wartość księgowa jest wyższa od jego wartości użytkowej, czyli możliwych do uzyskania wpływów pieniężnych związanych z tym gruntem.</w:t>
      </w:r>
      <w:r>
        <w:rPr>
          <w:rFonts w:asciiTheme="minorHAnsi" w:hAnsiTheme="minorHAnsi" w:cstheme="minorHAnsi"/>
          <w:sz w:val="22"/>
          <w:szCs w:val="22"/>
        </w:rPr>
        <w:t xml:space="preserve"> </w:t>
      </w:r>
      <w:r w:rsidRPr="00114B89">
        <w:rPr>
          <w:rFonts w:asciiTheme="minorHAnsi" w:hAnsiTheme="minorHAnsi" w:cstheme="minorHAnsi"/>
          <w:b/>
          <w:sz w:val="22"/>
          <w:szCs w:val="22"/>
        </w:rPr>
        <w:t>Odpis aktualizujący gruntów</w:t>
      </w:r>
      <w:r w:rsidRPr="00114B89">
        <w:rPr>
          <w:rFonts w:asciiTheme="minorHAnsi" w:hAnsiTheme="minorHAnsi" w:cstheme="minorHAnsi"/>
          <w:sz w:val="22"/>
          <w:szCs w:val="22"/>
        </w:rPr>
        <w:t xml:space="preserve"> oddanych w użytkowanie wieczyste odnosi się w ciężar konta 800 „Fundusz jednostki”.</w:t>
      </w:r>
    </w:p>
    <w:p w14:paraId="6D6885CC" w14:textId="0AFE4727"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w budowie</w:t>
      </w:r>
      <w:r w:rsidRPr="00114B89">
        <w:rPr>
          <w:rFonts w:asciiTheme="minorHAnsi" w:hAnsiTheme="minorHAnsi" w:cstheme="minorHAnsi"/>
          <w:sz w:val="22"/>
          <w:szCs w:val="22"/>
        </w:rPr>
        <w:t xml:space="preserve"> wycenia się w cenie nabycia lub po koszcie wytworzenia, pomniejszonych o odpisy z tytułu trwałej utraty wartości. </w:t>
      </w:r>
    </w:p>
    <w:p w14:paraId="5DE1D034"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Rezerwy</w:t>
      </w:r>
      <w:r w:rsidRPr="00114B89">
        <w:rPr>
          <w:rFonts w:asciiTheme="minorHAnsi" w:hAnsiTheme="minorHAnsi" w:cstheme="minorHAnsi"/>
          <w:sz w:val="22"/>
          <w:szCs w:val="22"/>
        </w:rPr>
        <w:t xml:space="preserve"> to wynikający z przeszłych zdarzeń obowiązek wykonania świadczeń</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o wiarygodnie określonej wartości, które spowodują wykorzystanie już posiadanych lub przyszłych aktywów jednostki, których termin wymagalności lub kwota nie są pewne. </w:t>
      </w:r>
    </w:p>
    <w:p w14:paraId="3AFD46B7"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218E9C92"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 xml:space="preserve">Rezerwy tworzy się wtedy, gdy występuje na tyle duże prawdopodobieństwo, że zajdzie konieczność wywiązania się z ciążących na nich obowiązków, a koszty lub straty wymagające poniesienia dla wywiązania się z tego obowiązku są na tyle znaczące, że ich nieuwzględnienie w wyniku finansowym tego okresu, w którym obowiązek powstał, spowodowałoby istotne zniekształcenie sprawozdawczości. </w:t>
      </w:r>
    </w:p>
    <w:p w14:paraId="77194874"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Rezerwy tworzy się w związku ze zdarzeniami związanymi:</w:t>
      </w:r>
    </w:p>
    <w:p w14:paraId="1FFD8BEB" w14:textId="77777777" w:rsidR="00E46C80" w:rsidRPr="00114B89" w:rsidRDefault="00E46C80" w:rsidP="006238C0">
      <w:pPr>
        <w:pStyle w:val="ListParagraph1"/>
        <w:numPr>
          <w:ilvl w:val="0"/>
          <w:numId w:val="16"/>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bezpośrednio z działalnością operacyjną;</w:t>
      </w:r>
    </w:p>
    <w:p w14:paraId="5CED80EC" w14:textId="77777777" w:rsidR="00E46C80" w:rsidRPr="00114B89" w:rsidRDefault="00E46C80" w:rsidP="006238C0">
      <w:pPr>
        <w:pStyle w:val="ListParagraph1"/>
        <w:numPr>
          <w:ilvl w:val="0"/>
          <w:numId w:val="16"/>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pośrednio z działalnością operacyjną;</w:t>
      </w:r>
    </w:p>
    <w:p w14:paraId="76004393" w14:textId="4458C277" w:rsidR="00E46C80" w:rsidRPr="006238C0" w:rsidRDefault="00E46C80" w:rsidP="006238C0">
      <w:pPr>
        <w:pStyle w:val="ListParagraph1"/>
        <w:numPr>
          <w:ilvl w:val="0"/>
          <w:numId w:val="16"/>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z operacjami finansowymi.</w:t>
      </w:r>
    </w:p>
    <w:p w14:paraId="032D534B" w14:textId="77777777" w:rsidR="00E46C80" w:rsidRPr="00114B89" w:rsidRDefault="00E46C80" w:rsidP="006238C0">
      <w:pPr>
        <w:pStyle w:val="Teksttreci0"/>
        <w:shd w:val="clear" w:color="auto" w:fill="auto"/>
        <w:spacing w:line="240" w:lineRule="auto"/>
        <w:ind w:firstLine="0"/>
        <w:jc w:val="left"/>
        <w:rPr>
          <w:rFonts w:asciiTheme="minorHAnsi" w:hAnsiTheme="minorHAnsi" w:cstheme="minorHAnsi"/>
          <w:lang w:val="pl-PL"/>
        </w:rPr>
      </w:pPr>
      <w:r w:rsidRPr="00114B89">
        <w:rPr>
          <w:rFonts w:asciiTheme="minorHAnsi" w:hAnsiTheme="minorHAnsi" w:cstheme="minorHAnsi"/>
        </w:rPr>
        <w:t>Rezerwy tworzy się w szczególności</w:t>
      </w:r>
      <w:r w:rsidRPr="00114B89">
        <w:rPr>
          <w:rFonts w:asciiTheme="minorHAnsi" w:hAnsiTheme="minorHAnsi" w:cstheme="minorHAnsi"/>
          <w:lang w:val="pl-PL"/>
        </w:rPr>
        <w:t>:</w:t>
      </w:r>
    </w:p>
    <w:p w14:paraId="7CE12581" w14:textId="77777777" w:rsidR="00E46C80" w:rsidRPr="00114B89" w:rsidRDefault="00E46C80" w:rsidP="006238C0">
      <w:pPr>
        <w:numPr>
          <w:ilvl w:val="1"/>
          <w:numId w:val="4"/>
        </w:numPr>
        <w:tabs>
          <w:tab w:val="clear" w:pos="1440"/>
          <w:tab w:val="left" w:pos="426"/>
          <w:tab w:val="num" w:pos="1134"/>
        </w:tabs>
        <w:autoSpaceDE w:val="0"/>
        <w:autoSpaceDN w:val="0"/>
        <w:adjustRightInd w:val="0"/>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sprawy sądowe m.in.: z tytułu </w:t>
      </w:r>
      <w:proofErr w:type="spellStart"/>
      <w:r w:rsidRPr="00114B89">
        <w:rPr>
          <w:rFonts w:asciiTheme="minorHAnsi" w:hAnsiTheme="minorHAnsi" w:cstheme="minorHAnsi"/>
          <w:sz w:val="22"/>
          <w:szCs w:val="22"/>
        </w:rPr>
        <w:t>zasiedzeń</w:t>
      </w:r>
      <w:proofErr w:type="spellEnd"/>
      <w:r w:rsidRPr="00114B89">
        <w:rPr>
          <w:rFonts w:asciiTheme="minorHAnsi" w:hAnsiTheme="minorHAnsi" w:cstheme="minorHAnsi"/>
          <w:sz w:val="22"/>
          <w:szCs w:val="22"/>
        </w:rPr>
        <w:t>, z tytułu roszczeń pracowniczych</w:t>
      </w:r>
      <w:r>
        <w:rPr>
          <w:rFonts w:asciiTheme="minorHAnsi" w:hAnsiTheme="minorHAnsi" w:cstheme="minorHAnsi"/>
          <w:sz w:val="22"/>
          <w:szCs w:val="22"/>
        </w:rPr>
        <w:t xml:space="preserve"> </w:t>
      </w:r>
      <w:r w:rsidRPr="00114B89">
        <w:rPr>
          <w:rFonts w:asciiTheme="minorHAnsi" w:hAnsiTheme="minorHAnsi" w:cstheme="minorHAnsi"/>
          <w:sz w:val="22"/>
          <w:szCs w:val="22"/>
        </w:rPr>
        <w:t>o rozwiązanie umowy, wypadku (szkoda komunikacyjna, osobowa), uszczerbku na zdrowiu, o zapłatę za wykonanie usługi, o zapłatę wynagrodzenia za bezumowne korzystanie z nieruchomości itd. Rezerwy na sprawy sądowe tworzy się w przypadku postępowań sądowych, w których m.st. Warszawa występuje jako pozwany</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a prawdopodobieństwo wyroku niekorzystnego jest większe niż prawdopodobieństwo wyroku korzystnego. Jako podstawę oceny prawdopodobieństwa wyroku niekorzystnego dla Urzędu m.st. Warszawy i urzędów dzielnic przyjmuje się przebieg postępowania sądowego i opinie radców prawnych. </w:t>
      </w:r>
    </w:p>
    <w:p w14:paraId="6468CE15" w14:textId="77777777" w:rsidR="00E46C80" w:rsidRPr="00114B89" w:rsidRDefault="00E46C80" w:rsidP="006238C0">
      <w:pPr>
        <w:tabs>
          <w:tab w:val="left" w:pos="567"/>
        </w:tabs>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Rezerwy tworzy się na sprawy sądowe, w których radcy prawni określają rokowania co do wyniku sprawy w wartościach oszacowanych:</w:t>
      </w:r>
    </w:p>
    <w:p w14:paraId="23B6F517" w14:textId="76FDBA2B" w:rsidR="00E46C80" w:rsidRPr="00CE07AD" w:rsidRDefault="00E46C80" w:rsidP="00CE07AD">
      <w:pPr>
        <w:pStyle w:val="Akapitzlist"/>
        <w:numPr>
          <w:ilvl w:val="2"/>
          <w:numId w:val="33"/>
        </w:numPr>
        <w:tabs>
          <w:tab w:val="left" w:pos="284"/>
        </w:tabs>
        <w:autoSpaceDE w:val="0"/>
        <w:autoSpaceDN w:val="0"/>
        <w:adjustRightInd w:val="0"/>
        <w:spacing w:after="240"/>
        <w:ind w:left="709"/>
        <w:rPr>
          <w:rFonts w:asciiTheme="minorHAnsi" w:hAnsiTheme="minorHAnsi" w:cstheme="minorHAnsi"/>
          <w:sz w:val="22"/>
          <w:szCs w:val="22"/>
        </w:rPr>
      </w:pPr>
      <w:r w:rsidRPr="00CE07AD">
        <w:rPr>
          <w:rFonts w:asciiTheme="minorHAnsi" w:hAnsiTheme="minorHAnsi" w:cstheme="minorHAnsi"/>
          <w:sz w:val="22"/>
          <w:szCs w:val="22"/>
        </w:rPr>
        <w:lastRenderedPageBreak/>
        <w:t>jako bardzo prawdopodobne – w 100% wartości sporu;</w:t>
      </w:r>
    </w:p>
    <w:p w14:paraId="3CE537B1" w14:textId="23303B04" w:rsidR="00E46C80" w:rsidRPr="00CE07AD" w:rsidRDefault="00E46C80" w:rsidP="00CE07AD">
      <w:pPr>
        <w:pStyle w:val="Akapitzlist"/>
        <w:numPr>
          <w:ilvl w:val="0"/>
          <w:numId w:val="33"/>
        </w:numPr>
        <w:tabs>
          <w:tab w:val="left" w:pos="284"/>
        </w:tabs>
        <w:autoSpaceDE w:val="0"/>
        <w:autoSpaceDN w:val="0"/>
        <w:adjustRightInd w:val="0"/>
        <w:spacing w:after="240"/>
        <w:rPr>
          <w:rFonts w:asciiTheme="minorHAnsi" w:eastAsia="Arial" w:hAnsiTheme="minorHAnsi" w:cstheme="minorHAnsi"/>
          <w:sz w:val="22"/>
          <w:szCs w:val="22"/>
        </w:rPr>
      </w:pPr>
      <w:r w:rsidRPr="00CE07AD">
        <w:rPr>
          <w:rFonts w:asciiTheme="minorHAnsi" w:eastAsia="Arial" w:hAnsiTheme="minorHAnsi" w:cstheme="minorHAnsi"/>
          <w:sz w:val="22"/>
          <w:szCs w:val="22"/>
        </w:rPr>
        <w:t>jako prawdopodobne – w 50% wartości sporu.</w:t>
      </w:r>
    </w:p>
    <w:p w14:paraId="40964DF4" w14:textId="2920D39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Przy ustalaniu wartości tworzonych rezerw należy uwzględnić dodatkowo koszty sądowe (ustalone przez radcę prawnego prowadzącego daną sprawę) i odsetki (naliczane przez biuro merytoryczne/wydziały merytoryczne dla dzielnic od momentu, od którego powstaje roszczenie o zapłatę odsetek), jakie Urząd m.st. Warszawy i urzędy dzielnic mogą być zobowiązane zapłacić.</w:t>
      </w:r>
    </w:p>
    <w:p w14:paraId="61395C82" w14:textId="2C834B10"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Radcy prawni zatrudnieni w Biurze Prawnym zobowiązani są do przekazywania, na bieżąco, do biur merytorycznych/wydziałów merytorycznych dla dzielnic informacji</w:t>
      </w:r>
      <w:r>
        <w:rPr>
          <w:rFonts w:asciiTheme="minorHAnsi" w:hAnsiTheme="minorHAnsi" w:cstheme="minorHAnsi"/>
          <w:sz w:val="22"/>
          <w:szCs w:val="22"/>
        </w:rPr>
        <w:t xml:space="preserve"> </w:t>
      </w:r>
      <w:r w:rsidRPr="00114B89">
        <w:rPr>
          <w:rFonts w:asciiTheme="minorHAnsi" w:hAnsiTheme="minorHAnsi" w:cstheme="minorHAnsi"/>
          <w:sz w:val="22"/>
          <w:szCs w:val="22"/>
        </w:rPr>
        <w:t>o wszczęciu postępowania, jego zakończeniu oraz istotnych zmianach w toku postepowania m</w:t>
      </w:r>
      <w:r w:rsidR="002209E7">
        <w:rPr>
          <w:rFonts w:asciiTheme="minorHAnsi" w:hAnsiTheme="minorHAnsi" w:cstheme="minorHAnsi"/>
          <w:sz w:val="22"/>
          <w:szCs w:val="22"/>
        </w:rPr>
        <w:t xml:space="preserve">ających wpływ na stan rezerw w </w:t>
      </w:r>
      <w:r w:rsidRPr="00114B89">
        <w:rPr>
          <w:rFonts w:asciiTheme="minorHAnsi" w:hAnsiTheme="minorHAnsi" w:cstheme="minorHAnsi"/>
          <w:sz w:val="22"/>
          <w:szCs w:val="22"/>
        </w:rPr>
        <w:t>szczególności obejmujących:</w:t>
      </w:r>
    </w:p>
    <w:p w14:paraId="709EE361" w14:textId="0697188C" w:rsidR="00E46C80" w:rsidRPr="00CE07AD" w:rsidRDefault="00E46C80" w:rsidP="00CE07AD">
      <w:pPr>
        <w:pStyle w:val="Akapitzlist"/>
        <w:numPr>
          <w:ilvl w:val="0"/>
          <w:numId w:val="34"/>
        </w:numPr>
        <w:autoSpaceDE w:val="0"/>
        <w:autoSpaceDN w:val="0"/>
        <w:adjustRightInd w:val="0"/>
        <w:spacing w:after="240"/>
        <w:rPr>
          <w:rFonts w:asciiTheme="minorHAnsi" w:hAnsiTheme="minorHAnsi" w:cstheme="minorHAnsi"/>
          <w:sz w:val="22"/>
          <w:szCs w:val="22"/>
        </w:rPr>
      </w:pPr>
      <w:r w:rsidRPr="00CE07AD">
        <w:rPr>
          <w:rFonts w:asciiTheme="minorHAnsi" w:hAnsiTheme="minorHAnsi" w:cstheme="minorHAnsi"/>
          <w:sz w:val="22"/>
          <w:szCs w:val="22"/>
        </w:rPr>
        <w:t>kwotę roszczenia;</w:t>
      </w:r>
    </w:p>
    <w:p w14:paraId="1A85FF9E" w14:textId="79C7586E" w:rsidR="00E46C80" w:rsidRPr="00CE07AD" w:rsidRDefault="00E46C80" w:rsidP="00CE07AD">
      <w:pPr>
        <w:pStyle w:val="Akapitzlist"/>
        <w:numPr>
          <w:ilvl w:val="0"/>
          <w:numId w:val="34"/>
        </w:numPr>
        <w:autoSpaceDE w:val="0"/>
        <w:autoSpaceDN w:val="0"/>
        <w:adjustRightInd w:val="0"/>
        <w:spacing w:after="240"/>
        <w:rPr>
          <w:rFonts w:asciiTheme="minorHAnsi" w:hAnsiTheme="minorHAnsi" w:cstheme="minorHAnsi"/>
          <w:sz w:val="22"/>
          <w:szCs w:val="22"/>
        </w:rPr>
      </w:pPr>
      <w:r w:rsidRPr="00CE07AD">
        <w:rPr>
          <w:rFonts w:asciiTheme="minorHAnsi" w:hAnsiTheme="minorHAnsi" w:cstheme="minorHAnsi"/>
          <w:sz w:val="22"/>
          <w:szCs w:val="22"/>
        </w:rPr>
        <w:t>kwotę kosztów sądowych;</w:t>
      </w:r>
    </w:p>
    <w:p w14:paraId="21AC2226" w14:textId="50BAAA45" w:rsidR="00E46C80" w:rsidRPr="00CE07AD" w:rsidRDefault="00E46C80" w:rsidP="00CE07AD">
      <w:pPr>
        <w:pStyle w:val="Akapitzlist"/>
        <w:numPr>
          <w:ilvl w:val="0"/>
          <w:numId w:val="34"/>
        </w:numPr>
        <w:autoSpaceDE w:val="0"/>
        <w:autoSpaceDN w:val="0"/>
        <w:adjustRightInd w:val="0"/>
        <w:spacing w:after="240"/>
        <w:rPr>
          <w:rFonts w:asciiTheme="minorHAnsi" w:hAnsiTheme="minorHAnsi" w:cstheme="minorHAnsi"/>
          <w:sz w:val="22"/>
          <w:szCs w:val="22"/>
        </w:rPr>
      </w:pPr>
      <w:r w:rsidRPr="00CE07AD">
        <w:rPr>
          <w:rFonts w:asciiTheme="minorHAnsi" w:hAnsiTheme="minorHAnsi" w:cstheme="minorHAnsi"/>
          <w:sz w:val="22"/>
          <w:szCs w:val="22"/>
        </w:rPr>
        <w:t>tytuł zobowiązania;</w:t>
      </w:r>
    </w:p>
    <w:p w14:paraId="63A6C5CC" w14:textId="198C59AF" w:rsidR="00E46C80" w:rsidRPr="00CE07AD" w:rsidRDefault="00E46C80" w:rsidP="00CE07AD">
      <w:pPr>
        <w:pStyle w:val="Akapitzlist"/>
        <w:numPr>
          <w:ilvl w:val="0"/>
          <w:numId w:val="34"/>
        </w:numPr>
        <w:autoSpaceDE w:val="0"/>
        <w:autoSpaceDN w:val="0"/>
        <w:adjustRightInd w:val="0"/>
        <w:spacing w:after="240"/>
        <w:rPr>
          <w:rFonts w:asciiTheme="minorHAnsi" w:hAnsiTheme="minorHAnsi" w:cstheme="minorHAnsi"/>
          <w:sz w:val="22"/>
          <w:szCs w:val="22"/>
        </w:rPr>
      </w:pPr>
      <w:r w:rsidRPr="00CE07AD">
        <w:rPr>
          <w:rFonts w:asciiTheme="minorHAnsi" w:hAnsiTheme="minorHAnsi" w:cstheme="minorHAnsi"/>
          <w:sz w:val="22"/>
          <w:szCs w:val="22"/>
        </w:rPr>
        <w:t>termin, od którego naliczane są odsetki oraz podstawę prawną ich naliczania;</w:t>
      </w:r>
    </w:p>
    <w:p w14:paraId="0FFF1394" w14:textId="2B156CB6" w:rsidR="00E46C80" w:rsidRPr="00CE07AD" w:rsidRDefault="00E46C80" w:rsidP="00CE07AD">
      <w:pPr>
        <w:pStyle w:val="Akapitzlist"/>
        <w:numPr>
          <w:ilvl w:val="0"/>
          <w:numId w:val="34"/>
        </w:numPr>
        <w:autoSpaceDE w:val="0"/>
        <w:autoSpaceDN w:val="0"/>
        <w:adjustRightInd w:val="0"/>
        <w:spacing w:after="240"/>
        <w:rPr>
          <w:rFonts w:asciiTheme="minorHAnsi" w:hAnsiTheme="minorHAnsi" w:cstheme="minorHAnsi"/>
          <w:sz w:val="22"/>
          <w:szCs w:val="22"/>
        </w:rPr>
      </w:pPr>
      <w:r w:rsidRPr="00CE07AD">
        <w:rPr>
          <w:rFonts w:asciiTheme="minorHAnsi" w:hAnsiTheme="minorHAnsi" w:cstheme="minorHAnsi"/>
          <w:sz w:val="22"/>
          <w:szCs w:val="22"/>
        </w:rPr>
        <w:t>nazwę powoda;</w:t>
      </w:r>
    </w:p>
    <w:p w14:paraId="479EE0E5" w14:textId="7DFC7462" w:rsidR="00E46C80" w:rsidRPr="00CE07AD" w:rsidRDefault="00E46C80" w:rsidP="00CE07AD">
      <w:pPr>
        <w:pStyle w:val="Akapitzlist"/>
        <w:numPr>
          <w:ilvl w:val="0"/>
          <w:numId w:val="34"/>
        </w:numPr>
        <w:autoSpaceDE w:val="0"/>
        <w:autoSpaceDN w:val="0"/>
        <w:adjustRightInd w:val="0"/>
        <w:spacing w:after="240"/>
        <w:rPr>
          <w:rFonts w:asciiTheme="minorHAnsi" w:hAnsiTheme="minorHAnsi" w:cstheme="minorHAnsi"/>
          <w:sz w:val="22"/>
          <w:szCs w:val="22"/>
        </w:rPr>
      </w:pPr>
      <w:r w:rsidRPr="00CE07AD">
        <w:rPr>
          <w:rFonts w:asciiTheme="minorHAnsi" w:hAnsiTheme="minorHAnsi" w:cstheme="minorHAnsi"/>
          <w:sz w:val="22"/>
          <w:szCs w:val="22"/>
        </w:rPr>
        <w:t>sygnaturę akt;</w:t>
      </w:r>
    </w:p>
    <w:p w14:paraId="352679A6" w14:textId="5909E171" w:rsidR="00E46C80" w:rsidRPr="00CE07AD" w:rsidRDefault="00E46C80" w:rsidP="00CE07AD">
      <w:pPr>
        <w:pStyle w:val="Akapitzlist"/>
        <w:numPr>
          <w:ilvl w:val="0"/>
          <w:numId w:val="34"/>
        </w:numPr>
        <w:autoSpaceDE w:val="0"/>
        <w:autoSpaceDN w:val="0"/>
        <w:adjustRightInd w:val="0"/>
        <w:spacing w:after="240"/>
        <w:rPr>
          <w:rFonts w:asciiTheme="minorHAnsi" w:hAnsiTheme="minorHAnsi" w:cstheme="minorHAnsi"/>
          <w:sz w:val="22"/>
          <w:szCs w:val="22"/>
        </w:rPr>
      </w:pPr>
      <w:r w:rsidRPr="00CE07AD">
        <w:rPr>
          <w:rFonts w:asciiTheme="minorHAnsi" w:hAnsiTheme="minorHAnsi" w:cstheme="minorHAnsi"/>
          <w:sz w:val="22"/>
          <w:szCs w:val="22"/>
        </w:rPr>
        <w:t>stopień prawdopodobieństwa niekorzystnego wyroku.</w:t>
      </w:r>
    </w:p>
    <w:p w14:paraId="2015A195"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Wyliczenie wysokości rezerw dokonywane jest przez wydziały merytoryczne dla dzielnic przy współpracy z radcami prawnymi w zakresie określenia stopnia prawdopodobieństwa niekorzystnego wyroku.</w:t>
      </w:r>
    </w:p>
    <w:p w14:paraId="78E4A785" w14:textId="77777777" w:rsidR="00E46C80" w:rsidRPr="00114B89" w:rsidRDefault="00E46C80" w:rsidP="006238C0">
      <w:pPr>
        <w:pStyle w:val="Akapitzlist"/>
        <w:numPr>
          <w:ilvl w:val="1"/>
          <w:numId w:val="4"/>
        </w:numPr>
        <w:tabs>
          <w:tab w:val="clear" w:pos="1440"/>
          <w:tab w:val="left" w:pos="426"/>
          <w:tab w:val="left" w:pos="1276"/>
        </w:tabs>
        <w:autoSpaceDE w:val="0"/>
        <w:autoSpaceDN w:val="0"/>
        <w:adjustRightInd w:val="0"/>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odszkodowania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gruntu, decyzji sprzedażowych lokali oraz utraty wartości sprzedanych lokali, zapłaty wykupu lokalu użytkowego, za naruszenia dóbr osobistych, uchwalenia planu miejscowego zagospodarowania, szkody wyrządzonej - nie wykorzystanie prawa pierwokupu, 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 naruszeniem prawa lub nieważności decyzji, zbycia wywłaszczonej nieruchomości. </w:t>
      </w:r>
    </w:p>
    <w:p w14:paraId="29F8DAA0" w14:textId="73445BC2" w:rsidR="00E46C80" w:rsidRPr="00114B89" w:rsidRDefault="00E46C80" w:rsidP="006238C0">
      <w:pPr>
        <w:tabs>
          <w:tab w:val="left" w:pos="993"/>
        </w:tabs>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Zapłata części z powyższych odszkodowań wynika wprost z obowiązujących przepisów prawa (np. za nieruchomości warszawskie – Dekret Bieruta, za grunty zajęte pod drogi) –</w:t>
      </w:r>
      <w:r>
        <w:rPr>
          <w:rFonts w:asciiTheme="minorHAnsi" w:hAnsiTheme="minorHAnsi" w:cstheme="minorHAnsi"/>
          <w:sz w:val="22"/>
          <w:szCs w:val="22"/>
        </w:rPr>
        <w:t xml:space="preserve"> </w:t>
      </w:r>
      <w:r w:rsidRPr="00114B89">
        <w:rPr>
          <w:rFonts w:asciiTheme="minorHAnsi" w:hAnsiTheme="minorHAnsi" w:cstheme="minorHAnsi"/>
          <w:sz w:val="22"/>
          <w:szCs w:val="22"/>
        </w:rPr>
        <w:t>w przypadku tych odszkodowań, których wypłaty są pewne, rezerwę tworzy się w 100% szacowanej wartości odszkodowania. Odszkodowania, których wypłata zależna jest od rozstrzygnięcia sprawy sądowej, tworzy się na tych samych zasadach, co rezerwy na sprawy sądowe.</w:t>
      </w:r>
    </w:p>
    <w:p w14:paraId="4AE7E931" w14:textId="77777777" w:rsidR="00E46C80" w:rsidRPr="00114B89" w:rsidRDefault="00E46C80" w:rsidP="006238C0">
      <w:pPr>
        <w:pStyle w:val="Akapitzlist"/>
        <w:autoSpaceDE w:val="0"/>
        <w:autoSpaceDN w:val="0"/>
        <w:adjustRightInd w:val="0"/>
        <w:spacing w:after="240"/>
        <w:ind w:left="0"/>
        <w:contextualSpacing/>
        <w:rPr>
          <w:rFonts w:asciiTheme="minorHAnsi" w:hAnsiTheme="minorHAnsi" w:cstheme="minorHAnsi"/>
          <w:sz w:val="22"/>
          <w:szCs w:val="22"/>
        </w:rPr>
      </w:pPr>
      <w:r w:rsidRPr="00114B89">
        <w:rPr>
          <w:rFonts w:asciiTheme="minorHAnsi" w:hAnsiTheme="minorHAnsi" w:cstheme="minorHAnsi"/>
          <w:sz w:val="22"/>
          <w:szCs w:val="22"/>
        </w:rPr>
        <w:lastRenderedPageBreak/>
        <w:t xml:space="preserve">Rezerwy drugostronnie ujmuje się w ciężar kosztów bieżącego okresu lub w ciężar funduszu, w zależności od rodzaju tworzonej rezerwy. </w:t>
      </w:r>
    </w:p>
    <w:p w14:paraId="3DE9D810"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Ewidencja księgowa rezerwy w ciężar kosztów polega na:</w:t>
      </w:r>
    </w:p>
    <w:p w14:paraId="4F12C0CB" w14:textId="78D73272" w:rsidR="00E46C80" w:rsidRPr="00114B89" w:rsidRDefault="00E46C80" w:rsidP="00CE07AD">
      <w:pPr>
        <w:pStyle w:val="ListParagraph1"/>
        <w:numPr>
          <w:ilvl w:val="0"/>
          <w:numId w:val="35"/>
        </w:numPr>
        <w:autoSpaceDE w:val="0"/>
        <w:autoSpaceDN w:val="0"/>
        <w:adjustRightInd w:val="0"/>
        <w:spacing w:after="240" w:line="240" w:lineRule="auto"/>
        <w:contextualSpacing w:val="0"/>
        <w:rPr>
          <w:rFonts w:asciiTheme="minorHAnsi" w:hAnsiTheme="minorHAnsi" w:cstheme="minorHAnsi"/>
          <w:sz w:val="22"/>
          <w:lang w:val="pl-PL"/>
        </w:rPr>
      </w:pPr>
      <w:r w:rsidRPr="00114B89">
        <w:rPr>
          <w:rFonts w:asciiTheme="minorHAnsi" w:hAnsiTheme="minorHAnsi" w:cstheme="minorHAnsi"/>
          <w:sz w:val="22"/>
          <w:lang w:val="pl-PL"/>
        </w:rPr>
        <w:t>zwiększeniu pozostałych kosztów operacyjnych i rezerw – jeżeli dotyczy ona pośrednio działalności operacyjnej lub dotyczy ona zdarzeń losowych,</w:t>
      </w:r>
    </w:p>
    <w:p w14:paraId="1D7B0391" w14:textId="2539FFA4" w:rsidR="00E46C80" w:rsidRPr="00114B89" w:rsidRDefault="00E46C80" w:rsidP="00CE07AD">
      <w:pPr>
        <w:pStyle w:val="ListParagraph1"/>
        <w:numPr>
          <w:ilvl w:val="0"/>
          <w:numId w:val="35"/>
        </w:numPr>
        <w:autoSpaceDE w:val="0"/>
        <w:autoSpaceDN w:val="0"/>
        <w:adjustRightInd w:val="0"/>
        <w:spacing w:after="240" w:line="240" w:lineRule="auto"/>
        <w:contextualSpacing w:val="0"/>
        <w:rPr>
          <w:rFonts w:asciiTheme="minorHAnsi" w:hAnsiTheme="minorHAnsi" w:cstheme="minorHAnsi"/>
          <w:sz w:val="22"/>
          <w:lang w:val="pl-PL"/>
        </w:rPr>
      </w:pPr>
      <w:r w:rsidRPr="00114B89">
        <w:rPr>
          <w:rFonts w:asciiTheme="minorHAnsi" w:hAnsiTheme="minorHAnsi" w:cstheme="minorHAnsi"/>
          <w:sz w:val="22"/>
          <w:lang w:val="pl-PL"/>
        </w:rPr>
        <w:t>zwiększeniu kosztów finansowych i rezerw – jeżeli dotyczy ona operacji finansowych.</w:t>
      </w:r>
    </w:p>
    <w:p w14:paraId="46088299" w14:textId="13E7AE1E"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W ciężar funduszu ujmuje się w szczególności rezerwy dotyczące nieruchomości lub gruntów w sprawach o zasiedzenie i wydanie nieruchomości.</w:t>
      </w:r>
    </w:p>
    <w:p w14:paraId="0BCC8133" w14:textId="7DADCAD3" w:rsidR="00E46C80" w:rsidRPr="00114B89" w:rsidRDefault="00E46C80" w:rsidP="006238C0">
      <w:pPr>
        <w:pStyle w:val="Akapitzlist"/>
        <w:spacing w:after="240"/>
        <w:ind w:left="0"/>
        <w:rPr>
          <w:rFonts w:asciiTheme="minorHAnsi" w:hAnsiTheme="minorHAnsi" w:cstheme="minorHAnsi"/>
          <w:sz w:val="22"/>
          <w:szCs w:val="22"/>
        </w:rPr>
      </w:pPr>
      <w:r w:rsidRPr="00114B89">
        <w:rPr>
          <w:rFonts w:asciiTheme="minorHAnsi" w:hAnsiTheme="minorHAnsi" w:cstheme="minorHAns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3F853A66" w14:textId="77777777" w:rsidR="00E46C80" w:rsidRPr="00114B89" w:rsidRDefault="00E46C80" w:rsidP="006238C0">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751E2FB9" w14:textId="72E531A9" w:rsidR="00E46C80" w:rsidRPr="00CE07AD" w:rsidRDefault="00E46C80" w:rsidP="00CE07AD">
      <w:pPr>
        <w:pStyle w:val="Akapitzlist"/>
        <w:numPr>
          <w:ilvl w:val="0"/>
          <w:numId w:val="36"/>
        </w:numPr>
        <w:tabs>
          <w:tab w:val="left" w:pos="426"/>
        </w:tabs>
        <w:autoSpaceDE w:val="0"/>
        <w:autoSpaceDN w:val="0"/>
        <w:adjustRightInd w:val="0"/>
        <w:spacing w:after="240"/>
        <w:rPr>
          <w:rFonts w:asciiTheme="minorHAnsi" w:eastAsia="Arial" w:hAnsiTheme="minorHAnsi" w:cstheme="minorHAnsi"/>
          <w:sz w:val="22"/>
          <w:szCs w:val="22"/>
        </w:rPr>
      </w:pPr>
      <w:r w:rsidRPr="00CE07AD">
        <w:rPr>
          <w:rFonts w:asciiTheme="minorHAnsi" w:eastAsia="Arial" w:hAnsiTheme="minorHAnsi" w:cstheme="minorHAnsi"/>
          <w:sz w:val="22"/>
          <w:szCs w:val="22"/>
        </w:rPr>
        <w:t>funduszu jednostki – w przypadkach szczególnych, gdy rezerwa uprzednio została zawiązana w ciężar funduszu;</w:t>
      </w:r>
    </w:p>
    <w:p w14:paraId="2219AFCA" w14:textId="16E1F67E" w:rsidR="00E46C80" w:rsidRPr="00CE07AD" w:rsidRDefault="00E46C80" w:rsidP="00CE07AD">
      <w:pPr>
        <w:pStyle w:val="Akapitzlist"/>
        <w:numPr>
          <w:ilvl w:val="0"/>
          <w:numId w:val="36"/>
        </w:numPr>
        <w:tabs>
          <w:tab w:val="left" w:pos="426"/>
        </w:tabs>
        <w:autoSpaceDE w:val="0"/>
        <w:autoSpaceDN w:val="0"/>
        <w:adjustRightInd w:val="0"/>
        <w:spacing w:after="240"/>
        <w:rPr>
          <w:rFonts w:asciiTheme="minorHAnsi" w:eastAsia="Arial" w:hAnsiTheme="minorHAnsi" w:cstheme="minorHAnsi"/>
          <w:sz w:val="22"/>
          <w:szCs w:val="22"/>
        </w:rPr>
      </w:pPr>
      <w:r w:rsidRPr="00CE07AD">
        <w:rPr>
          <w:rFonts w:asciiTheme="minorHAnsi" w:eastAsia="Arial" w:hAnsiTheme="minorHAnsi" w:cstheme="minorHAnsi"/>
          <w:sz w:val="22"/>
          <w:szCs w:val="22"/>
        </w:rPr>
        <w:t>pozostałych przychodów operacyjnych – jeżeli rezerwa dotyczy pośrednio działalności operacyjnej lub zdarzeń losowych;</w:t>
      </w:r>
    </w:p>
    <w:p w14:paraId="4E799B4B" w14:textId="75BA0B99" w:rsidR="00E46C80" w:rsidRPr="00CE07AD" w:rsidRDefault="00E46C80" w:rsidP="00CE07AD">
      <w:pPr>
        <w:pStyle w:val="Akapitzlist"/>
        <w:numPr>
          <w:ilvl w:val="0"/>
          <w:numId w:val="36"/>
        </w:numPr>
        <w:tabs>
          <w:tab w:val="left" w:pos="426"/>
        </w:tabs>
        <w:autoSpaceDE w:val="0"/>
        <w:autoSpaceDN w:val="0"/>
        <w:adjustRightInd w:val="0"/>
        <w:spacing w:after="240"/>
        <w:rPr>
          <w:rFonts w:asciiTheme="minorHAnsi" w:eastAsia="Arial" w:hAnsiTheme="minorHAnsi" w:cstheme="minorHAnsi"/>
          <w:sz w:val="22"/>
          <w:szCs w:val="22"/>
        </w:rPr>
      </w:pPr>
      <w:r w:rsidRPr="00CE07AD">
        <w:rPr>
          <w:rFonts w:asciiTheme="minorHAnsi" w:eastAsia="Arial" w:hAnsiTheme="minorHAnsi" w:cstheme="minorHAnsi"/>
          <w:sz w:val="22"/>
          <w:szCs w:val="22"/>
        </w:rPr>
        <w:t>przychodów finansowych – jeżeli rezerwa dotyczy operacji finansowych.</w:t>
      </w:r>
    </w:p>
    <w:p w14:paraId="1151FE17" w14:textId="270EAD7D" w:rsidR="00E46C80" w:rsidRPr="00114B89" w:rsidRDefault="00E46C80" w:rsidP="006238C0">
      <w:pPr>
        <w:tabs>
          <w:tab w:val="left" w:pos="426"/>
        </w:tabs>
        <w:autoSpaceDE w:val="0"/>
        <w:autoSpaceDN w:val="0"/>
        <w:adjustRightInd w:val="0"/>
        <w:spacing w:after="240"/>
        <w:rPr>
          <w:rFonts w:asciiTheme="minorHAnsi" w:eastAsia="Arial" w:hAnsiTheme="minorHAnsi" w:cstheme="minorHAnsi"/>
          <w:sz w:val="22"/>
          <w:szCs w:val="22"/>
        </w:rPr>
      </w:pPr>
      <w:r w:rsidRPr="00114B89">
        <w:rPr>
          <w:rFonts w:asciiTheme="minorHAnsi" w:eastAsia="Arial" w:hAnsiTheme="minorHAnsi" w:cstheme="minorHAnsi"/>
          <w:sz w:val="22"/>
          <w:szCs w:val="22"/>
        </w:rPr>
        <w:t>Powstałe pozostałe przychody operacyjne i przychody finansowe oraz pozostałe koszty operacyjne i koszty finansowe wynikające z powyższych księgowań rezerw nie podlegają kompensacie w rachunku zysków i strat.</w:t>
      </w:r>
    </w:p>
    <w:p w14:paraId="118D60AC" w14:textId="77777777" w:rsidR="00E46C80" w:rsidRPr="00114B89" w:rsidRDefault="00E46C80" w:rsidP="006238C0">
      <w:pPr>
        <w:pStyle w:val="Akapitzlist"/>
        <w:tabs>
          <w:tab w:val="left" w:pos="426"/>
          <w:tab w:val="left" w:pos="709"/>
        </w:tabs>
        <w:autoSpaceDE w:val="0"/>
        <w:autoSpaceDN w:val="0"/>
        <w:adjustRightInd w:val="0"/>
        <w:spacing w:after="240"/>
        <w:ind w:left="0"/>
        <w:contextualSpacing/>
        <w:rPr>
          <w:rFonts w:asciiTheme="minorHAnsi" w:eastAsia="Arial" w:hAnsiTheme="minorHAnsi" w:cstheme="minorHAnsi"/>
          <w:sz w:val="22"/>
          <w:szCs w:val="22"/>
        </w:rPr>
      </w:pPr>
      <w:r w:rsidRPr="00114B89">
        <w:rPr>
          <w:rFonts w:asciiTheme="minorHAnsi" w:eastAsia="Arial" w:hAnsiTheme="minorHAnsi" w:cstheme="minorHAnsi"/>
          <w:sz w:val="22"/>
          <w:szCs w:val="22"/>
        </w:rPr>
        <w:t>Każda z rezerw rozpatrywana jest indywidualnie na poziomie konkretnych pozycji, tzn. na poziomie konkretnej sprawy sądowej.</w:t>
      </w:r>
    </w:p>
    <w:p w14:paraId="7469D667" w14:textId="36FDF52B" w:rsidR="00E46C80" w:rsidRPr="00114B89" w:rsidRDefault="00E46C80" w:rsidP="006238C0">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Wydział Budżetowo-Księgowy  rezerwę ujmuje w księgach rachunkowych w wartości syntetycznej na podstawnie otrzymanej informacji z podziałem na tytuły/podstawę prawną.</w:t>
      </w:r>
    </w:p>
    <w:p w14:paraId="5CAEB0AF" w14:textId="417B3FB7"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Rezerwy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497D6B8A" w14:textId="5588AA99"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Zobowiązania warunkowe</w:t>
      </w:r>
      <w:r w:rsidRPr="00114B89">
        <w:rPr>
          <w:rFonts w:asciiTheme="minorHAnsi" w:hAnsiTheme="minorHAnsi" w:cstheme="minorHAnsi"/>
          <w:sz w:val="22"/>
          <w:szCs w:val="22"/>
        </w:rPr>
        <w:t xml:space="preserve"> ujmuje się w księgach rachunkowych jeśli powstaje obowiązek wykonania świadczeń, których powstanie jest uzależnione od zaistnienia określonych zdarzeń. Zobowiązania, jak długo mają charakter warunkowych, nie są ujmowane w bilansie oraz w rachunku zysków i strat, ujmowane są w informacji dodatkowej do sprawozdania finansowego m.st. Warszawy.</w:t>
      </w:r>
    </w:p>
    <w:p w14:paraId="1091B3C1" w14:textId="57CF6F7C"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lastRenderedPageBreak/>
        <w:t>Odsetki od należności i zobowiązań</w:t>
      </w:r>
      <w:r w:rsidRPr="00114B89">
        <w:rPr>
          <w:rFonts w:asciiTheme="minorHAnsi" w:hAnsiTheme="minorHAnsi" w:cstheme="minorHAnsi"/>
          <w:sz w:val="22"/>
          <w:szCs w:val="22"/>
        </w:rPr>
        <w:t xml:space="preserve">, w tym również tych, do których stosuje się przepisy dotyczące zobowiązań podatkowych, ujmuje się w księgach rachunkowych w momencie ich zapłaty, lecz nie później niż pod datą ostatniego dnia kwartału w wysokości odsetek należnych na koniec tego kwartału. </w:t>
      </w:r>
    </w:p>
    <w:p w14:paraId="40A9A697" w14:textId="05936EB8" w:rsidR="00E46C80" w:rsidRPr="00114B89" w:rsidRDefault="00E46C80" w:rsidP="006238C0">
      <w:pPr>
        <w:numPr>
          <w:ilvl w:val="0"/>
          <w:numId w:val="30"/>
        </w:numPr>
        <w:tabs>
          <w:tab w:val="left" w:pos="426"/>
        </w:tabs>
        <w:spacing w:after="240"/>
        <w:ind w:left="0" w:firstLine="0"/>
        <w:rPr>
          <w:rFonts w:asciiTheme="minorHAnsi" w:hAnsiTheme="minorHAnsi" w:cstheme="minorHAnsi"/>
          <w:b/>
          <w:sz w:val="22"/>
          <w:szCs w:val="22"/>
        </w:rPr>
      </w:pPr>
      <w:r w:rsidRPr="00114B89">
        <w:rPr>
          <w:rFonts w:asciiTheme="minorHAnsi" w:hAnsiTheme="minorHAnsi" w:cstheme="minorHAnsi"/>
          <w:b/>
          <w:sz w:val="22"/>
          <w:szCs w:val="22"/>
        </w:rPr>
        <w:t xml:space="preserve">Zasady dokonywania odpisów aktualizujących wartość należności. </w:t>
      </w:r>
    </w:p>
    <w:p w14:paraId="4768C087" w14:textId="77777777" w:rsidR="00E46C80" w:rsidRPr="00114B89" w:rsidRDefault="00E46C80" w:rsidP="006238C0">
      <w:pPr>
        <w:pStyle w:val="Akapitzlist"/>
        <w:numPr>
          <w:ilvl w:val="0"/>
          <w:numId w:val="19"/>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Wartość należności aktualizuje się uwzględniając stopień prawdopodobieństwa ich zapłaty poprzez dokonanie odpisu aktualizującego, nie później niż na dzień bilansowy w odniesieniu do: </w:t>
      </w:r>
    </w:p>
    <w:p w14:paraId="18AED46F"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0618748E"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733C10F9"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kwestionowanych przez dłużników, oraz z których zapłatą dłużnik zalega,</w:t>
      </w:r>
      <w:r>
        <w:rPr>
          <w:rFonts w:asciiTheme="minorHAnsi" w:hAnsiTheme="minorHAnsi" w:cstheme="minorHAnsi"/>
          <w:sz w:val="22"/>
          <w:szCs w:val="22"/>
        </w:rPr>
        <w:t xml:space="preserve"> </w:t>
      </w:r>
      <w:r w:rsidRPr="00114B89">
        <w:rPr>
          <w:rFonts w:asciiTheme="minorHAnsi" w:hAnsiTheme="minorHAnsi" w:cstheme="minorHAnsi"/>
          <w:sz w:val="22"/>
          <w:szCs w:val="22"/>
        </w:rPr>
        <w:t>a według oceny sytuacji majątkowej i finansowej dłużnika spłata należności w umownej kwocie nie jest prawdopodobna – do wysokości kwoty niepokrytej gwarancją lub innym zabezpieczeniem należności,</w:t>
      </w:r>
    </w:p>
    <w:p w14:paraId="626412CC"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3431FD24"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nieprzeterminowanych od stron trzecich, w przypadku których utworzono już dla wcześniejszych należności odpisy aktualizujące,</w:t>
      </w:r>
    </w:p>
    <w:p w14:paraId="7CC93088"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przeterminowanych o znacznym stopniu prawdopodobieństwa nieściągalności – dokonuje się:</w:t>
      </w:r>
    </w:p>
    <w:p w14:paraId="4D57C52C" w14:textId="2FC44436" w:rsidR="00E46C80" w:rsidRPr="00CE07AD" w:rsidRDefault="00CE07AD" w:rsidP="00CE07AD">
      <w:pPr>
        <w:pStyle w:val="Akapitzlist"/>
        <w:numPr>
          <w:ilvl w:val="0"/>
          <w:numId w:val="37"/>
        </w:numPr>
        <w:tabs>
          <w:tab w:val="left" w:pos="426"/>
        </w:tabs>
        <w:spacing w:after="240"/>
        <w:rPr>
          <w:rFonts w:asciiTheme="minorHAnsi" w:hAnsiTheme="minorHAnsi" w:cstheme="minorHAnsi"/>
          <w:sz w:val="22"/>
          <w:szCs w:val="22"/>
        </w:rPr>
      </w:pPr>
      <w:r>
        <w:rPr>
          <w:rFonts w:asciiTheme="minorHAnsi" w:hAnsiTheme="minorHAnsi" w:cstheme="minorHAnsi"/>
          <w:sz w:val="22"/>
          <w:szCs w:val="22"/>
        </w:rPr>
        <w:t>i</w:t>
      </w:r>
      <w:r w:rsidR="00E46C80" w:rsidRPr="00CE07AD">
        <w:rPr>
          <w:rFonts w:asciiTheme="minorHAnsi" w:hAnsiTheme="minorHAnsi" w:cstheme="minorHAnsi"/>
          <w:sz w:val="22"/>
          <w:szCs w:val="22"/>
        </w:rPr>
        <w:t>ndywidualnego odpisu aktualizującego dla należności od dłużników,  których kwota zaległości jest równa lub wyższa od kwoty 500.000 zł,</w:t>
      </w:r>
    </w:p>
    <w:p w14:paraId="3B33F4E3" w14:textId="71A3893F" w:rsidR="00E46C80" w:rsidRPr="00CE07AD" w:rsidRDefault="00E46C80" w:rsidP="00CE07AD">
      <w:pPr>
        <w:pStyle w:val="Akapitzlist"/>
        <w:numPr>
          <w:ilvl w:val="0"/>
          <w:numId w:val="37"/>
        </w:numPr>
        <w:tabs>
          <w:tab w:val="left" w:pos="426"/>
        </w:tabs>
        <w:spacing w:after="240"/>
        <w:rPr>
          <w:rFonts w:asciiTheme="minorHAnsi" w:hAnsiTheme="minorHAnsi" w:cstheme="minorHAnsi"/>
          <w:sz w:val="22"/>
          <w:szCs w:val="22"/>
        </w:rPr>
      </w:pPr>
      <w:r w:rsidRPr="00CE07AD">
        <w:rPr>
          <w:rFonts w:asciiTheme="minorHAnsi" w:hAnsiTheme="minorHAnsi" w:cstheme="minorHAnsi"/>
          <w:sz w:val="22"/>
          <w:szCs w:val="22"/>
        </w:rPr>
        <w:t>ogólnego odpisu aktualizującego dla pozostałych należności, według zasad opisanych poniżej.</w:t>
      </w:r>
    </w:p>
    <w:p w14:paraId="53049BE1" w14:textId="6FB03FFF" w:rsidR="00E46C80" w:rsidRPr="00114B89" w:rsidRDefault="00E46C80" w:rsidP="00CE07AD">
      <w:pPr>
        <w:pStyle w:val="Akapitzlist"/>
        <w:numPr>
          <w:ilvl w:val="0"/>
          <w:numId w:val="20"/>
        </w:numPr>
        <w:tabs>
          <w:tab w:val="left" w:pos="426"/>
          <w:tab w:val="left" w:pos="1069"/>
        </w:tabs>
        <w:spacing w:after="240"/>
        <w:ind w:left="426"/>
        <w:rPr>
          <w:rFonts w:asciiTheme="minorHAnsi" w:hAnsiTheme="minorHAnsi" w:cstheme="minorHAnsi"/>
          <w:sz w:val="22"/>
          <w:szCs w:val="22"/>
        </w:rPr>
      </w:pPr>
      <w:r w:rsidRPr="00114B89">
        <w:rPr>
          <w:rFonts w:asciiTheme="minorHAnsi" w:hAnsiTheme="minorHAnsi" w:cstheme="minorHAnsi"/>
          <w:sz w:val="22"/>
          <w:szCs w:val="22"/>
        </w:rPr>
        <w:t xml:space="preserve">należności nieprzeterminowanych o znacznym stopniu prawdopodobieństwa nieściągalności  – dokonuje się indywidualnego odpisu aktualizującego. </w:t>
      </w:r>
    </w:p>
    <w:p w14:paraId="28FBDAA3" w14:textId="77777777" w:rsidR="00F619DA" w:rsidRDefault="00E46C80" w:rsidP="00F619DA">
      <w:pPr>
        <w:pStyle w:val="Akapitzlist"/>
        <w:numPr>
          <w:ilvl w:val="0"/>
          <w:numId w:val="19"/>
        </w:numPr>
        <w:tabs>
          <w:tab w:val="left" w:pos="142"/>
        </w:tabs>
        <w:spacing w:after="240"/>
        <w:ind w:left="0" w:firstLine="66"/>
        <w:rPr>
          <w:rFonts w:asciiTheme="minorHAnsi" w:hAnsiTheme="minorHAnsi" w:cstheme="minorHAnsi"/>
          <w:sz w:val="22"/>
          <w:szCs w:val="22"/>
        </w:rPr>
      </w:pPr>
      <w:r w:rsidRPr="00CE07AD">
        <w:rPr>
          <w:rFonts w:asciiTheme="minorHAnsi" w:hAnsiTheme="minorHAnsi" w:cstheme="minorHAnsi"/>
          <w:sz w:val="22"/>
          <w:szCs w:val="22"/>
        </w:rPr>
        <w:t>W przypadku utworzenia indywidualnego odpisu aktualizującego wartość należności, 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1DF10754" w14:textId="16251DFB" w:rsidR="00E46C80" w:rsidRPr="00F619DA" w:rsidRDefault="00E46C80" w:rsidP="00F619DA">
      <w:pPr>
        <w:pStyle w:val="Akapitzlist"/>
        <w:numPr>
          <w:ilvl w:val="0"/>
          <w:numId w:val="19"/>
        </w:numPr>
        <w:tabs>
          <w:tab w:val="left" w:pos="142"/>
        </w:tabs>
        <w:spacing w:after="240"/>
        <w:ind w:left="0" w:firstLine="66"/>
        <w:rPr>
          <w:rFonts w:asciiTheme="minorHAnsi" w:hAnsiTheme="minorHAnsi" w:cstheme="minorHAnsi"/>
          <w:sz w:val="22"/>
          <w:szCs w:val="22"/>
        </w:rPr>
      </w:pPr>
      <w:r w:rsidRPr="00F619DA">
        <w:rPr>
          <w:rFonts w:asciiTheme="minorHAnsi" w:hAnsiTheme="minorHAnsi" w:cstheme="minorHAnsi"/>
          <w:sz w:val="22"/>
          <w:szCs w:val="22"/>
        </w:rPr>
        <w:t>Ogólny odpis aktualizujący wartość należności, dokonywany jest metodą wiekowania należności. Przy tworzeniu odpisu ogólnego nie uwzględnia się już należności objętych odpisem indywidualnym i postępuje się według następujących zasad:</w:t>
      </w:r>
    </w:p>
    <w:p w14:paraId="42B2E9D2" w14:textId="77777777" w:rsidR="00E46C80" w:rsidRPr="00114B89" w:rsidRDefault="00E46C80" w:rsidP="006238C0">
      <w:pPr>
        <w:pStyle w:val="ListParagraph1"/>
        <w:numPr>
          <w:ilvl w:val="0"/>
          <w:numId w:val="17"/>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należności przeterminowane poniżej 180 dni włącznie – nie są objęte odpisem;</w:t>
      </w:r>
    </w:p>
    <w:p w14:paraId="64C101FE" w14:textId="77777777" w:rsidR="00E46C80" w:rsidRPr="00114B89" w:rsidRDefault="00E46C80" w:rsidP="006238C0">
      <w:pPr>
        <w:pStyle w:val="ListParagraph1"/>
        <w:numPr>
          <w:ilvl w:val="0"/>
          <w:numId w:val="17"/>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lastRenderedPageBreak/>
        <w:t>należności przeterminowane od 181 do 365 dni włącznie – objęte są odpisem aktualizującym w wysokości 50% wartości tych należności;</w:t>
      </w:r>
    </w:p>
    <w:p w14:paraId="5B764BE8" w14:textId="77777777" w:rsidR="00E46C80" w:rsidRPr="00114B89" w:rsidRDefault="00E46C80" w:rsidP="006238C0">
      <w:pPr>
        <w:pStyle w:val="ListParagraph1"/>
        <w:numPr>
          <w:ilvl w:val="0"/>
          <w:numId w:val="17"/>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należności przeterminowane powyżej 365 dni – objęte są odpisem aktualizującym w wysokości 100% wartości tych należności.</w:t>
      </w:r>
    </w:p>
    <w:p w14:paraId="496BF83F" w14:textId="4E1F5BC2" w:rsidR="00F619DA" w:rsidRDefault="00E46C80" w:rsidP="00F619DA">
      <w:pPr>
        <w:pStyle w:val="Default"/>
        <w:numPr>
          <w:ilvl w:val="0"/>
          <w:numId w:val="19"/>
        </w:numPr>
        <w:tabs>
          <w:tab w:val="left" w:pos="142"/>
        </w:tabs>
        <w:spacing w:after="240"/>
        <w:ind w:left="0" w:firstLine="0"/>
        <w:rPr>
          <w:rFonts w:asciiTheme="minorHAnsi" w:hAnsiTheme="minorHAnsi" w:cstheme="minorHAnsi"/>
          <w:color w:val="auto"/>
          <w:sz w:val="22"/>
          <w:szCs w:val="22"/>
        </w:rPr>
      </w:pPr>
      <w:r w:rsidRPr="00114B89">
        <w:rPr>
          <w:rFonts w:asciiTheme="minorHAnsi" w:hAnsiTheme="minorHAnsi" w:cstheme="minorHAnsi"/>
          <w:sz w:val="22"/>
          <w:szCs w:val="22"/>
        </w:rPr>
        <w:t>Odpisu aktualizującego dla odsetek za zwłokę dokonuje się w pełnej wysokości naliczonych odsetek za zwłokę, zarówno do odsetek naliczonych od należności objętych indywidualnym i ogólnym odpisem</w:t>
      </w:r>
      <w:r w:rsidRPr="00114B89">
        <w:rPr>
          <w:rFonts w:asciiTheme="minorHAnsi" w:hAnsiTheme="minorHAnsi" w:cstheme="minorHAnsi"/>
          <w:color w:val="auto"/>
          <w:sz w:val="22"/>
          <w:szCs w:val="22"/>
        </w:rPr>
        <w:t xml:space="preserve"> aktualizującym.</w:t>
      </w:r>
    </w:p>
    <w:p w14:paraId="297044A6" w14:textId="224EF078" w:rsidR="00E46C80" w:rsidRPr="00F619DA" w:rsidRDefault="00E46C80" w:rsidP="00F619DA">
      <w:pPr>
        <w:pStyle w:val="Default"/>
        <w:numPr>
          <w:ilvl w:val="0"/>
          <w:numId w:val="19"/>
        </w:numPr>
        <w:tabs>
          <w:tab w:val="left" w:pos="142"/>
        </w:tabs>
        <w:spacing w:after="240"/>
        <w:ind w:left="0" w:firstLine="0"/>
        <w:rPr>
          <w:rFonts w:asciiTheme="minorHAnsi" w:hAnsiTheme="minorHAnsi" w:cstheme="minorHAnsi"/>
          <w:color w:val="auto"/>
          <w:sz w:val="22"/>
          <w:szCs w:val="22"/>
        </w:rPr>
      </w:pPr>
      <w:r w:rsidRPr="00114B89">
        <w:rPr>
          <w:rFonts w:asciiTheme="minorHAnsi" w:hAnsiTheme="minorHAnsi" w:cstheme="minorHAnsi"/>
          <w:sz w:val="22"/>
          <w:szCs w:val="22"/>
        </w:rPr>
        <w:t>W przypadku szczególnych grup należności tj. z tytułu opłat za wycinkę drzew</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i krzewów, należności z tytułu opłat za odpady komunalne oraz należności z tytułu opłat za korzystanie z zezwoleń na sprzedaż napojów alkoholowych, odpisu aktualizującego wartość należności dokonuje się następująco: </w:t>
      </w:r>
    </w:p>
    <w:p w14:paraId="53065425" w14:textId="77777777" w:rsidR="00E46C80" w:rsidRPr="00114B89" w:rsidRDefault="00E46C80" w:rsidP="006238C0">
      <w:pPr>
        <w:pStyle w:val="ListParagraph1"/>
        <w:numPr>
          <w:ilvl w:val="0"/>
          <w:numId w:val="18"/>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34D6DFFE" w14:textId="77777777" w:rsidR="00E46C80" w:rsidRPr="00114B89" w:rsidRDefault="00E46C80" w:rsidP="006238C0">
      <w:pPr>
        <w:pStyle w:val="ListParagraph1"/>
        <w:numPr>
          <w:ilvl w:val="0"/>
          <w:numId w:val="18"/>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w:t>
      </w:r>
      <w:r>
        <w:rPr>
          <w:rFonts w:asciiTheme="minorHAnsi" w:hAnsiTheme="minorHAnsi" w:cstheme="minorHAnsi"/>
          <w:sz w:val="22"/>
          <w:lang w:val="pl-PL"/>
        </w:rPr>
        <w:t xml:space="preserve"> </w:t>
      </w:r>
      <w:r w:rsidRPr="00114B89">
        <w:rPr>
          <w:rFonts w:asciiTheme="minorHAnsi" w:hAnsiTheme="minorHAnsi" w:cstheme="minorHAnsi"/>
          <w:sz w:val="22"/>
          <w:lang w:val="pl-PL"/>
        </w:rPr>
        <w:t>z zezwoleń na sprzedaż napojów alkoholowych.</w:t>
      </w:r>
    </w:p>
    <w:p w14:paraId="325BD0DE" w14:textId="6946BB26" w:rsidR="00E46C80" w:rsidRPr="00F619DA" w:rsidRDefault="00E46C80" w:rsidP="009F0514">
      <w:pPr>
        <w:pStyle w:val="Akapitzlist"/>
        <w:numPr>
          <w:ilvl w:val="0"/>
          <w:numId w:val="19"/>
        </w:numPr>
        <w:tabs>
          <w:tab w:val="left" w:pos="142"/>
          <w:tab w:val="left" w:pos="567"/>
        </w:tabs>
        <w:autoSpaceDE w:val="0"/>
        <w:autoSpaceDN w:val="0"/>
        <w:adjustRightInd w:val="0"/>
        <w:spacing w:after="240"/>
        <w:ind w:left="0" w:firstLine="0"/>
        <w:rPr>
          <w:rFonts w:asciiTheme="minorHAnsi" w:hAnsiTheme="minorHAnsi" w:cstheme="minorHAnsi"/>
          <w:sz w:val="22"/>
          <w:szCs w:val="22"/>
        </w:rPr>
      </w:pPr>
      <w:r w:rsidRPr="00F619DA">
        <w:rPr>
          <w:rFonts w:asciiTheme="minorHAnsi" w:hAnsiTheme="minorHAnsi" w:cstheme="minorHAnsi"/>
          <w:sz w:val="22"/>
          <w:szCs w:val="22"/>
        </w:rPr>
        <w:t>Odpis aktualizujący dla należności z tytułu zaliczki alimentacyjnej i funduszu alimentacyjnego dokonywany jest:</w:t>
      </w:r>
    </w:p>
    <w:p w14:paraId="076893F7" w14:textId="4CB4813D" w:rsidR="00E46C80" w:rsidRPr="00114B89" w:rsidRDefault="00E46C80" w:rsidP="00F619DA">
      <w:pPr>
        <w:pStyle w:val="Akapitzlist"/>
        <w:numPr>
          <w:ilvl w:val="2"/>
          <w:numId w:val="8"/>
        </w:numPr>
        <w:tabs>
          <w:tab w:val="clear" w:pos="1080"/>
          <w:tab w:val="left" w:pos="426"/>
          <w:tab w:val="num" w:pos="720"/>
        </w:tabs>
        <w:autoSpaceDE w:val="0"/>
        <w:autoSpaceDN w:val="0"/>
        <w:adjustRightInd w:val="0"/>
        <w:spacing w:after="240"/>
        <w:ind w:left="284"/>
        <w:rPr>
          <w:rFonts w:asciiTheme="minorHAnsi" w:hAnsiTheme="minorHAnsi" w:cstheme="minorHAnsi"/>
          <w:sz w:val="22"/>
          <w:szCs w:val="22"/>
        </w:rPr>
      </w:pPr>
      <w:r w:rsidRPr="00114B89">
        <w:rPr>
          <w:rFonts w:asciiTheme="minorHAnsi" w:hAnsiTheme="minorHAnsi" w:cstheme="minorHAnsi"/>
          <w:sz w:val="22"/>
          <w:szCs w:val="22"/>
        </w:rPr>
        <w:t>indywidualnie - na podstawie otrzymanych od komornika sądowego informacji określających stopień ich nieściągalności w odniesieniu do poszczególnych dłużników alimentacyjnych,</w:t>
      </w:r>
    </w:p>
    <w:p w14:paraId="520130DD" w14:textId="43CECC3D" w:rsidR="00E46C80" w:rsidRPr="00114B89" w:rsidRDefault="00E46C80" w:rsidP="00F619DA">
      <w:pPr>
        <w:pStyle w:val="Akapitzlist"/>
        <w:numPr>
          <w:ilvl w:val="2"/>
          <w:numId w:val="8"/>
        </w:numPr>
        <w:tabs>
          <w:tab w:val="clear" w:pos="1080"/>
          <w:tab w:val="left" w:pos="426"/>
          <w:tab w:val="num" w:pos="720"/>
        </w:tabs>
        <w:autoSpaceDE w:val="0"/>
        <w:autoSpaceDN w:val="0"/>
        <w:adjustRightInd w:val="0"/>
        <w:spacing w:after="240"/>
        <w:ind w:left="284"/>
        <w:rPr>
          <w:rFonts w:asciiTheme="minorHAnsi" w:hAnsiTheme="minorHAnsi" w:cstheme="minorHAnsi"/>
          <w:sz w:val="22"/>
          <w:szCs w:val="22"/>
        </w:rPr>
      </w:pPr>
      <w:r w:rsidRPr="00114B89">
        <w:rPr>
          <w:rFonts w:asciiTheme="minorHAnsi" w:hAnsiTheme="minorHAnsi" w:cstheme="minorHAnsi"/>
          <w:sz w:val="22"/>
          <w:szCs w:val="22"/>
        </w:rPr>
        <w:t>dla pozostałych należności (do których nie otrzymano informacji od komorników sądowych) – ogólnym odpisem według  raportu wiekowania.</w:t>
      </w:r>
    </w:p>
    <w:p w14:paraId="610A6443" w14:textId="3BF440B4" w:rsidR="00E46C80" w:rsidRPr="00114B89" w:rsidRDefault="00E46C80" w:rsidP="006238C0">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Księgowanie odpisu aktualizującego dla należności z tytułu zaliczki alimentacyjnej i funduszu alimentacyjnego dokonywane jest</w:t>
      </w:r>
      <w:r w:rsidR="006238C0">
        <w:rPr>
          <w:rFonts w:asciiTheme="minorHAnsi" w:hAnsiTheme="minorHAnsi" w:cstheme="minorHAnsi"/>
          <w:sz w:val="22"/>
          <w:szCs w:val="22"/>
        </w:rPr>
        <w:t xml:space="preserve"> </w:t>
      </w:r>
      <w:r w:rsidRPr="00114B89">
        <w:rPr>
          <w:rFonts w:asciiTheme="minorHAnsi" w:hAnsiTheme="minorHAnsi" w:cstheme="minorHAnsi"/>
          <w:sz w:val="22"/>
          <w:szCs w:val="22"/>
        </w:rPr>
        <w:t>przez wydziały dla dzielnic właściwe w </w:t>
      </w:r>
      <w:r w:rsidR="00B42412">
        <w:rPr>
          <w:rFonts w:asciiTheme="minorHAnsi" w:hAnsiTheme="minorHAnsi" w:cstheme="minorHAnsi"/>
          <w:sz w:val="22"/>
          <w:szCs w:val="22"/>
        </w:rPr>
        <w:t>sprawach budżetowo – księgowych w części należnej Skarbowi Państwa i w części należnej m.st. Warszawa.</w:t>
      </w:r>
    </w:p>
    <w:p w14:paraId="51F6C5D9" w14:textId="5165323B" w:rsidR="00E46C80" w:rsidRPr="00114B89" w:rsidRDefault="00E46C80" w:rsidP="009F0514">
      <w:pPr>
        <w:pStyle w:val="Default"/>
        <w:numPr>
          <w:ilvl w:val="0"/>
          <w:numId w:val="19"/>
        </w:numPr>
        <w:tabs>
          <w:tab w:val="left" w:pos="567"/>
        </w:tabs>
        <w:spacing w:after="240"/>
        <w:ind w:left="0" w:firstLine="0"/>
        <w:rPr>
          <w:rFonts w:asciiTheme="minorHAnsi" w:hAnsiTheme="minorHAnsi" w:cstheme="minorHAnsi"/>
          <w:color w:val="auto"/>
          <w:sz w:val="22"/>
          <w:szCs w:val="22"/>
        </w:rPr>
      </w:pPr>
      <w:r w:rsidRPr="00114B89">
        <w:rPr>
          <w:rFonts w:asciiTheme="minorHAnsi" w:hAnsiTheme="minorHAnsi" w:cstheme="minorHAnsi"/>
          <w:color w:val="auto"/>
          <w:sz w:val="22"/>
          <w:szCs w:val="22"/>
        </w:rPr>
        <w:t>Zgodnie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3B31F1E2" w14:textId="21AF76FD" w:rsidR="00E46C80" w:rsidRPr="00114B89" w:rsidRDefault="00E46C80" w:rsidP="006238C0">
      <w:pPr>
        <w:pStyle w:val="Default"/>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w:t>
      </w:r>
      <w:r w:rsidRPr="00114B89">
        <w:rPr>
          <w:rFonts w:asciiTheme="minorHAnsi" w:hAnsiTheme="minorHAnsi" w:cstheme="minorHAnsi"/>
          <w:sz w:val="22"/>
          <w:szCs w:val="22"/>
        </w:rPr>
        <w:lastRenderedPageBreak/>
        <w:t xml:space="preserve">ile łączny wpływ tych zdarzeń powodowałby zmianę wartości odpisu o nie więcej niż 0,5% wartości odpisów aktualizujących należności za rok poprzedni. </w:t>
      </w:r>
    </w:p>
    <w:p w14:paraId="0619349D" w14:textId="069BF20E" w:rsidR="00E46C80" w:rsidRPr="00114B89" w:rsidRDefault="00E46C80" w:rsidP="006238C0">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Ewidencja w księgach rachunkowych odpisu aktualizującego wartość należności</w:t>
      </w:r>
      <w:r w:rsidR="00B42412">
        <w:rPr>
          <w:rFonts w:asciiTheme="minorHAnsi" w:hAnsiTheme="minorHAnsi" w:cstheme="minorHAnsi"/>
          <w:b/>
          <w:sz w:val="22"/>
          <w:szCs w:val="22"/>
        </w:rPr>
        <w:t xml:space="preserve"> </w:t>
      </w:r>
      <w:r w:rsidRPr="00114B89">
        <w:rPr>
          <w:rFonts w:asciiTheme="minorHAnsi" w:hAnsiTheme="minorHAnsi" w:cstheme="minorHAnsi"/>
          <w:b/>
          <w:sz w:val="22"/>
          <w:szCs w:val="22"/>
        </w:rPr>
        <w:t>i prezentacja w rachunku zysków i strat</w:t>
      </w:r>
      <w:r w:rsidRPr="00114B89">
        <w:rPr>
          <w:rFonts w:asciiTheme="minorHAnsi" w:hAnsiTheme="minorHAnsi" w:cstheme="minorHAnsi"/>
          <w:sz w:val="22"/>
          <w:szCs w:val="22"/>
        </w:rPr>
        <w:t>.</w:t>
      </w:r>
    </w:p>
    <w:p w14:paraId="1004166C" w14:textId="77777777" w:rsidR="00E46C80" w:rsidRPr="00114B89" w:rsidRDefault="00E46C80" w:rsidP="006238C0">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07DCE73C" w14:textId="77777777" w:rsidR="00E46C80" w:rsidRPr="00114B89" w:rsidRDefault="00E46C80" w:rsidP="006238C0">
      <w:pPr>
        <w:pStyle w:val="Akapitzlist"/>
        <w:numPr>
          <w:ilvl w:val="0"/>
          <w:numId w:val="22"/>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odpisy aktualizujące wartość należności z tytułu rozchodów budżetu zalicza się do wyników na pozostałych operacjach </w:t>
      </w:r>
      <w:proofErr w:type="spellStart"/>
      <w:r w:rsidRPr="00114B89">
        <w:rPr>
          <w:rFonts w:asciiTheme="minorHAnsi" w:hAnsiTheme="minorHAnsi" w:cstheme="minorHAnsi"/>
          <w:sz w:val="22"/>
          <w:szCs w:val="22"/>
        </w:rPr>
        <w:t>niekasowych</w:t>
      </w:r>
      <w:proofErr w:type="spellEnd"/>
      <w:r w:rsidRPr="00114B89">
        <w:rPr>
          <w:rFonts w:asciiTheme="minorHAnsi" w:hAnsiTheme="minorHAnsi" w:cstheme="minorHAnsi"/>
          <w:sz w:val="22"/>
          <w:szCs w:val="22"/>
        </w:rPr>
        <w:t>,</w:t>
      </w:r>
    </w:p>
    <w:p w14:paraId="409F8C8A" w14:textId="77777777" w:rsidR="00E46C80" w:rsidRPr="00114B89" w:rsidRDefault="00E46C80" w:rsidP="006238C0">
      <w:pPr>
        <w:pStyle w:val="Akapitzlist"/>
        <w:numPr>
          <w:ilvl w:val="0"/>
          <w:numId w:val="22"/>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dotyczących funduszy tworzonych na podstawie ustaw obciążają fundusze.</w:t>
      </w:r>
    </w:p>
    <w:p w14:paraId="43DF5643" w14:textId="77777777" w:rsidR="00E46C80" w:rsidRPr="00114B89" w:rsidRDefault="00E46C80" w:rsidP="006238C0">
      <w:pPr>
        <w:pStyle w:val="Akapitzlist"/>
        <w:numPr>
          <w:ilvl w:val="0"/>
          <w:numId w:val="21"/>
        </w:numPr>
        <w:tabs>
          <w:tab w:val="left" w:pos="426"/>
        </w:tabs>
        <w:spacing w:after="240" w:line="259" w:lineRule="auto"/>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Wykorzystanie odpisu aktualizującego następuje w wyniku zmniejszenia wartości odpisu aktualizacyjnego w przypadku umorzenia, przedawnienia, nieściągalności należności.</w:t>
      </w:r>
    </w:p>
    <w:p w14:paraId="69FD10CB" w14:textId="77777777" w:rsidR="00E46C80" w:rsidRPr="00114B89" w:rsidRDefault="00E46C80" w:rsidP="006238C0">
      <w:pPr>
        <w:pStyle w:val="Akapitzlist"/>
        <w:numPr>
          <w:ilvl w:val="0"/>
          <w:numId w:val="21"/>
        </w:numPr>
        <w:tabs>
          <w:tab w:val="left" w:pos="426"/>
        </w:tabs>
        <w:spacing w:after="240"/>
        <w:ind w:left="0" w:firstLine="0"/>
        <w:contextualSpacing/>
        <w:rPr>
          <w:rFonts w:asciiTheme="minorHAnsi" w:hAnsiTheme="minorHAnsi" w:cstheme="minorHAnsi"/>
          <w:color w:val="000000"/>
          <w:sz w:val="22"/>
          <w:szCs w:val="22"/>
        </w:rPr>
      </w:pPr>
      <w:r w:rsidRPr="00114B89">
        <w:rPr>
          <w:rFonts w:asciiTheme="minorHAnsi" w:hAnsiTheme="minorHAnsi" w:cstheme="minorHAnsi"/>
          <w:sz w:val="22"/>
          <w:szCs w:val="22"/>
        </w:rPr>
        <w:t xml:space="preserve">Rozwiązanie odpisu aktualizującego następuje w wyniku </w:t>
      </w:r>
      <w:r w:rsidRPr="00114B89">
        <w:rPr>
          <w:rFonts w:asciiTheme="minorHAnsi" w:hAnsiTheme="minorHAnsi" w:cstheme="minorHAnsi"/>
          <w:color w:val="000000"/>
          <w:sz w:val="22"/>
          <w:szCs w:val="22"/>
        </w:rPr>
        <w:t xml:space="preserve">ustania przyczyny, dla której dokonano odpisu aktualizacyjnego należności, tj. dokonania zapłaty przez dłużnika. </w:t>
      </w:r>
    </w:p>
    <w:p w14:paraId="2C7A2E63" w14:textId="77777777" w:rsidR="00E46C80" w:rsidRPr="00114B89" w:rsidRDefault="00E46C80" w:rsidP="006238C0">
      <w:pPr>
        <w:pStyle w:val="Default"/>
        <w:numPr>
          <w:ilvl w:val="0"/>
          <w:numId w:val="21"/>
        </w:numPr>
        <w:tabs>
          <w:tab w:val="left" w:pos="426"/>
        </w:tabs>
        <w:spacing w:after="240"/>
        <w:ind w:left="0" w:firstLine="0"/>
        <w:rPr>
          <w:rFonts w:asciiTheme="minorHAnsi" w:hAnsiTheme="minorHAnsi" w:cstheme="minorHAnsi"/>
          <w:sz w:val="22"/>
          <w:szCs w:val="22"/>
        </w:rPr>
      </w:pPr>
      <w:r w:rsidRPr="00114B89">
        <w:rPr>
          <w:rFonts w:asciiTheme="minorHAnsi" w:eastAsia="Times New Roman" w:hAnsiTheme="minorHAnsi" w:cstheme="minorHAnsi"/>
          <w:color w:val="auto"/>
          <w:sz w:val="22"/>
          <w:szCs w:val="22"/>
          <w:lang w:eastAsia="pl-PL"/>
        </w:rPr>
        <w:t xml:space="preserve">Odpis aktualizujący księguje się poprzez zmniejszenie </w:t>
      </w:r>
      <w:r w:rsidRPr="00114B89">
        <w:rPr>
          <w:rFonts w:asciiTheme="minorHAnsi" w:hAnsiTheme="minorHAnsi" w:cstheme="minorHAnsi"/>
          <w:sz w:val="22"/>
          <w:szCs w:val="22"/>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6652625B" w14:textId="43E365A0" w:rsidR="00E46C80" w:rsidRPr="00114B89" w:rsidRDefault="00E46C80" w:rsidP="00731464">
      <w:pPr>
        <w:pStyle w:val="Akapitzlist"/>
        <w:numPr>
          <w:ilvl w:val="0"/>
          <w:numId w:val="21"/>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w:t>
      </w:r>
      <w:bookmarkStart w:id="0" w:name="_GoBack"/>
      <w:bookmarkEnd w:id="0"/>
      <w:r w:rsidRPr="00114B89">
        <w:rPr>
          <w:rFonts w:asciiTheme="minorHAnsi" w:hAnsiTheme="minorHAnsi" w:cstheme="minorHAnsi"/>
          <w:sz w:val="22"/>
          <w:szCs w:val="22"/>
        </w:rPr>
        <w:t xml:space="preserve">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1942776" w14:textId="77777777" w:rsidR="00E46C80" w:rsidRPr="00114B89" w:rsidRDefault="00E46C80" w:rsidP="00731464">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Dokonując prezentacji w rachunku zysków i strat, powstałe przychody i koszty wynikające z powyższych księgowań nie podlegają kompensacie tj.: </w:t>
      </w:r>
    </w:p>
    <w:p w14:paraId="2BBA8AA6" w14:textId="77777777" w:rsidR="00E46C80" w:rsidRPr="00114B89" w:rsidRDefault="00E46C80" w:rsidP="00731464">
      <w:pPr>
        <w:pStyle w:val="Akapitzlist"/>
        <w:numPr>
          <w:ilvl w:val="0"/>
          <w:numId w:val="23"/>
        </w:numPr>
        <w:tabs>
          <w:tab w:val="left" w:pos="426"/>
          <w:tab w:val="left" w:pos="113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przyrost wartości odpisu aktualizującego należności od danego kontrahenta prezentowany jest w rachunku zysków i strat w pozostałych kosztach operacyjnych lub kosztach finansowych,</w:t>
      </w:r>
    </w:p>
    <w:p w14:paraId="2E65BF4D" w14:textId="77777777" w:rsidR="00E46C80" w:rsidRPr="00114B89" w:rsidRDefault="00E46C80" w:rsidP="006238C0">
      <w:pPr>
        <w:pStyle w:val="Akapitzlist"/>
        <w:numPr>
          <w:ilvl w:val="0"/>
          <w:numId w:val="23"/>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brak zmiany wartości odpisu aktualizującego należności od danego kontrahenta skutkuje brakiem wpływu na rachunek zysków i strat, </w:t>
      </w:r>
    </w:p>
    <w:p w14:paraId="1068A669" w14:textId="77777777" w:rsidR="00E46C80" w:rsidRPr="00114B89" w:rsidRDefault="00E46C80" w:rsidP="00731464">
      <w:pPr>
        <w:pStyle w:val="Akapitzlist"/>
        <w:numPr>
          <w:ilvl w:val="0"/>
          <w:numId w:val="23"/>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zmniejszenie wartości odpisu aktualizującego należności od danego kontrahenta prezentowane jest w rachunku zysków i strat w pozostałych przychodach operacyjnych lub przychodach finansowych. </w:t>
      </w:r>
    </w:p>
    <w:p w14:paraId="19C4B32C" w14:textId="77777777" w:rsidR="00E46C80" w:rsidRPr="00114B89" w:rsidRDefault="00E46C80" w:rsidP="00731464">
      <w:pPr>
        <w:pStyle w:val="Akapitzlist"/>
        <w:numPr>
          <w:ilvl w:val="0"/>
          <w:numId w:val="21"/>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w:t>
      </w:r>
      <w:r>
        <w:rPr>
          <w:rFonts w:asciiTheme="minorHAnsi" w:hAnsiTheme="minorHAnsi" w:cstheme="minorHAnsi"/>
          <w:sz w:val="22"/>
          <w:szCs w:val="22"/>
        </w:rPr>
        <w:t xml:space="preserve"> </w:t>
      </w:r>
      <w:r w:rsidRPr="00114B89">
        <w:rPr>
          <w:rFonts w:asciiTheme="minorHAnsi" w:hAnsiTheme="minorHAnsi" w:cstheme="minorHAnsi"/>
          <w:sz w:val="22"/>
          <w:szCs w:val="22"/>
        </w:rPr>
        <w:t>w wysokości skalkulowanej na 31 grudnia roku, za który sporządzane jest sprawozdanie finansowe w pozostałe koszty operacyjne lub koszty finansowe.</w:t>
      </w:r>
    </w:p>
    <w:p w14:paraId="2A1A507A" w14:textId="77777777" w:rsidR="00E46C80" w:rsidRPr="00114B89" w:rsidRDefault="00E46C80" w:rsidP="00731464">
      <w:pPr>
        <w:tabs>
          <w:tab w:val="left" w:pos="426"/>
        </w:tabs>
        <w:rPr>
          <w:rFonts w:asciiTheme="minorHAnsi" w:hAnsiTheme="minorHAnsi" w:cstheme="minorHAnsi"/>
          <w:sz w:val="22"/>
          <w:szCs w:val="22"/>
        </w:rPr>
      </w:pPr>
      <w:r w:rsidRPr="00114B89">
        <w:rPr>
          <w:rFonts w:asciiTheme="minorHAnsi" w:hAnsiTheme="minorHAnsi" w:cstheme="minorHAnsi"/>
          <w:sz w:val="22"/>
          <w:szCs w:val="22"/>
        </w:rPr>
        <w:lastRenderedPageBreak/>
        <w:t>Dokonując prezentacji w rachunku zysków i strat prezentuje się różnicę pomiędzy ogólną wartością na dzień ustalenia nowej aktualizacji a wartością uprzednio zaksięgowanego odpisu aktualizującego należności tj.:</w:t>
      </w:r>
    </w:p>
    <w:p w14:paraId="4E8E1DF7" w14:textId="77777777" w:rsidR="00E46C80" w:rsidRPr="00114B89" w:rsidRDefault="00E46C80" w:rsidP="00731464">
      <w:pPr>
        <w:pStyle w:val="Akapitzlist"/>
        <w:numPr>
          <w:ilvl w:val="0"/>
          <w:numId w:val="24"/>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przyrost odpisu aktualizującego należności prezentowany jest w rachunku zysków i strat w pozostałych kosztach operacyjnych lub kosztach finansowych;</w:t>
      </w:r>
    </w:p>
    <w:p w14:paraId="20F8BA92" w14:textId="4AA6217F" w:rsidR="00E46C80" w:rsidRPr="006238C0" w:rsidRDefault="00E46C80" w:rsidP="006238C0">
      <w:pPr>
        <w:pStyle w:val="Akapitzlist"/>
        <w:numPr>
          <w:ilvl w:val="0"/>
          <w:numId w:val="24"/>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zmniejszenie odpisu aktualizującego należności prezentowane jest w rachunku zysków    i strat w pozostałych przychodach operacyjnych lub przychodach finansowych.</w:t>
      </w:r>
    </w:p>
    <w:p w14:paraId="011A3FB2" w14:textId="77777777"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Należności przedawnione, umorzone zmniejszają wartość dokonanych uprzednio odpisów aktualizujących.</w:t>
      </w:r>
    </w:p>
    <w:p w14:paraId="0EB339C8" w14:textId="138F67C5"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 xml:space="preserve">Należności przedawnione, umorzone, od których nie dokonano odpisów aktualizujących ich wartość lub dokonano ich w niepełnej wysokości, zalicza się odpowiednio do pozostałych kosztów operacyjnych lub kosztów finansowych. </w:t>
      </w:r>
    </w:p>
    <w:p w14:paraId="337F54A9" w14:textId="6E419D23" w:rsidR="00E46C80" w:rsidRPr="006238C0" w:rsidRDefault="00E46C80" w:rsidP="00731464">
      <w:pPr>
        <w:numPr>
          <w:ilvl w:val="0"/>
          <w:numId w:val="30"/>
        </w:numPr>
        <w:tabs>
          <w:tab w:val="left" w:pos="0"/>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Odpisane, przedawnione i umorzone zobowiązania</w:t>
      </w:r>
      <w:r w:rsidRPr="00114B89">
        <w:rPr>
          <w:rFonts w:asciiTheme="minorHAnsi" w:hAnsiTheme="minorHAnsi" w:cstheme="minorHAnsi"/>
          <w:sz w:val="22"/>
          <w:szCs w:val="22"/>
        </w:rPr>
        <w:t xml:space="preserve"> wycenia się w kwocie wymagającej zapłaty i odnosi w pozostałe przychody operacyjne.</w:t>
      </w:r>
    </w:p>
    <w:p w14:paraId="3D182E0F" w14:textId="4C752A34" w:rsidR="00E46C80" w:rsidRPr="006238C0" w:rsidRDefault="00E46C80" w:rsidP="006238C0">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Należne odszkodowania, grzywny i kary</w:t>
      </w:r>
      <w:r w:rsidRPr="00114B89">
        <w:rPr>
          <w:rFonts w:asciiTheme="minorHAnsi" w:hAnsiTheme="minorHAnsi" w:cstheme="minorHAnsi"/>
          <w:sz w:val="22"/>
          <w:szCs w:val="22"/>
        </w:rPr>
        <w:t xml:space="preserve"> wycenia się w kwocie wymagalnej zapłaty.</w:t>
      </w:r>
    </w:p>
    <w:p w14:paraId="4EEBF632" w14:textId="151434F0" w:rsidR="00E46C80" w:rsidRPr="006238C0" w:rsidRDefault="00E46C80" w:rsidP="006238C0">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Rzeczowe składniki majątku</w:t>
      </w:r>
      <w:r w:rsidRPr="00114B89">
        <w:rPr>
          <w:rFonts w:asciiTheme="minorHAnsi" w:hAnsiTheme="minorHAnsi" w:cstheme="minorHAnsi"/>
          <w:sz w:val="22"/>
          <w:szCs w:val="22"/>
        </w:rPr>
        <w:t xml:space="preserve"> obrotowego wycenia się na dzień bilansowy według ich wartości wynikającej z ewidencji.</w:t>
      </w:r>
    </w:p>
    <w:p w14:paraId="2D0F8E47" w14:textId="3D7C6933"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Fundusze własne, rozliczenia międzyokresowe kosztów oraz pozostałe nie wymienione</w:t>
      </w:r>
      <w:r w:rsidRPr="00114B89">
        <w:rPr>
          <w:rFonts w:asciiTheme="minorHAnsi" w:hAnsiTheme="minorHAnsi" w:cstheme="minorHAnsi"/>
          <w:sz w:val="22"/>
          <w:szCs w:val="22"/>
        </w:rPr>
        <w:t xml:space="preserve"> wyżej aktywa i pasywa wycenia się w wartości nominalnej.</w:t>
      </w:r>
    </w:p>
    <w:p w14:paraId="48D20219"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b/>
          <w:sz w:val="22"/>
          <w:szCs w:val="22"/>
        </w:rPr>
      </w:pPr>
      <w:r w:rsidRPr="00114B89">
        <w:rPr>
          <w:rFonts w:asciiTheme="minorHAnsi" w:hAnsiTheme="minorHAnsi" w:cstheme="minorHAnsi"/>
          <w:b/>
          <w:sz w:val="22"/>
          <w:szCs w:val="22"/>
        </w:rPr>
        <w:t>Wartości poszczególnych składników aktywów i pasywów, przychodów i kosztów ustala się oddzielnie i nie można ich ze sobą kompensować.</w:t>
      </w:r>
    </w:p>
    <w:p w14:paraId="1EC5C6A8" w14:textId="41565C54" w:rsidR="00E46C80" w:rsidRPr="00114B89" w:rsidRDefault="00E46C80" w:rsidP="006238C0">
      <w:pPr>
        <w:tabs>
          <w:tab w:val="left" w:pos="567"/>
        </w:tabs>
        <w:spacing w:after="240"/>
        <w:rPr>
          <w:rFonts w:asciiTheme="minorHAnsi" w:hAnsiTheme="minorHAnsi" w:cstheme="minorHAnsi"/>
          <w:sz w:val="22"/>
          <w:szCs w:val="22"/>
        </w:rPr>
      </w:pPr>
      <w:r w:rsidRPr="00114B89">
        <w:rPr>
          <w:rFonts w:asciiTheme="minorHAnsi" w:hAnsiTheme="minorHAnsi" w:cstheme="minorHAnsi"/>
          <w:sz w:val="22"/>
          <w:szCs w:val="22"/>
        </w:rPr>
        <w:t>W przypadku, gdy na dzień bilansowy w księgach występują należności i zobowiązania od tego i wobec tego samego kontrahenta, wartości te w bilansie wykazuje się rozłącznie</w:t>
      </w:r>
      <w:r>
        <w:rPr>
          <w:rFonts w:asciiTheme="minorHAnsi" w:hAnsiTheme="minorHAnsi" w:cstheme="minorHAnsi"/>
          <w:sz w:val="22"/>
          <w:szCs w:val="22"/>
        </w:rPr>
        <w:t xml:space="preserve"> </w:t>
      </w:r>
      <w:r w:rsidRPr="00114B89">
        <w:rPr>
          <w:rFonts w:asciiTheme="minorHAnsi" w:hAnsiTheme="minorHAnsi" w:cstheme="minorHAnsi"/>
          <w:sz w:val="22"/>
          <w:szCs w:val="22"/>
        </w:rPr>
        <w:t>(w szyku rozwartym).</w:t>
      </w:r>
    </w:p>
    <w:p w14:paraId="2462DE52"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Ustalenie wyniku finansowego jednostki</w:t>
      </w:r>
      <w:r w:rsidRPr="00114B89">
        <w:rPr>
          <w:rFonts w:asciiTheme="minorHAnsi" w:hAnsiTheme="minorHAnsi" w:cstheme="minorHAnsi"/>
          <w:sz w:val="22"/>
          <w:szCs w:val="22"/>
        </w:rPr>
        <w:t xml:space="preserve"> następuje poprzez przeksięgowanie</w:t>
      </w:r>
      <w:r>
        <w:rPr>
          <w:rFonts w:asciiTheme="minorHAnsi" w:hAnsiTheme="minorHAnsi" w:cstheme="minorHAnsi"/>
          <w:sz w:val="22"/>
          <w:szCs w:val="22"/>
        </w:rPr>
        <w:t xml:space="preserve"> </w:t>
      </w:r>
      <w:r w:rsidRPr="00114B89">
        <w:rPr>
          <w:rFonts w:asciiTheme="minorHAnsi" w:hAnsiTheme="minorHAnsi" w:cstheme="minorHAnsi"/>
          <w:sz w:val="22"/>
          <w:szCs w:val="22"/>
        </w:rPr>
        <w:t>w końcu roku obrotowego:</w:t>
      </w:r>
    </w:p>
    <w:p w14:paraId="7FF7A79B" w14:textId="77777777" w:rsidR="00E46C80" w:rsidRPr="00114B89" w:rsidRDefault="00E46C80" w:rsidP="00731464">
      <w:pPr>
        <w:numPr>
          <w:ilvl w:val="0"/>
          <w:numId w:val="25"/>
        </w:numPr>
        <w:tabs>
          <w:tab w:val="clear" w:pos="79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stronie </w:t>
      </w:r>
      <w:proofErr w:type="spellStart"/>
      <w:r w:rsidRPr="00114B89">
        <w:rPr>
          <w:rFonts w:asciiTheme="minorHAnsi" w:hAnsiTheme="minorHAnsi" w:cstheme="minorHAnsi"/>
          <w:sz w:val="22"/>
          <w:szCs w:val="22"/>
        </w:rPr>
        <w:t>Wn</w:t>
      </w:r>
      <w:proofErr w:type="spellEnd"/>
      <w:r w:rsidRPr="00114B89">
        <w:rPr>
          <w:rFonts w:asciiTheme="minorHAnsi" w:hAnsiTheme="minorHAnsi" w:cstheme="minorHAnsi"/>
          <w:sz w:val="22"/>
          <w:szCs w:val="22"/>
        </w:rPr>
        <w:t xml:space="preserve"> konta 860 „Wynik finansowy”:</w:t>
      </w:r>
    </w:p>
    <w:p w14:paraId="5AE5F1DF" w14:textId="77777777" w:rsidR="00E46C80" w:rsidRPr="00114B89" w:rsidRDefault="00E46C80" w:rsidP="00731464">
      <w:pPr>
        <w:numPr>
          <w:ilvl w:val="0"/>
          <w:numId w:val="26"/>
        </w:numPr>
        <w:tabs>
          <w:tab w:val="clear" w:pos="135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sumy poniesionych kosztów operacyjnych w korespondencji z kontami zespołu 4 „Koszty według rodzajów i ich rozliczenie”,</w:t>
      </w:r>
    </w:p>
    <w:p w14:paraId="427CEEEC" w14:textId="77777777" w:rsidR="00E46C80" w:rsidRPr="00114B89" w:rsidRDefault="00E46C80" w:rsidP="00731464">
      <w:pPr>
        <w:numPr>
          <w:ilvl w:val="0"/>
          <w:numId w:val="26"/>
        </w:numPr>
        <w:tabs>
          <w:tab w:val="clear" w:pos="135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4DE6B7B0" w14:textId="77777777" w:rsidR="00E46C80" w:rsidRPr="00114B89" w:rsidRDefault="00E46C80" w:rsidP="00731464">
      <w:pPr>
        <w:numPr>
          <w:ilvl w:val="0"/>
          <w:numId w:val="26"/>
        </w:numPr>
        <w:tabs>
          <w:tab w:val="clear" w:pos="1354"/>
          <w:tab w:val="num" w:pos="284"/>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sumy poniesionych kosztów w korespondencji z poszczególnymi kontami zespołu 7</w:t>
      </w:r>
    </w:p>
    <w:p w14:paraId="2721C09E" w14:textId="77777777" w:rsidR="00E46C80" w:rsidRPr="00114B89" w:rsidRDefault="00E46C80" w:rsidP="00731464">
      <w:pPr>
        <w:numPr>
          <w:ilvl w:val="0"/>
          <w:numId w:val="25"/>
        </w:numPr>
        <w:tabs>
          <w:tab w:val="clear" w:pos="794"/>
          <w:tab w:val="num" w:pos="284"/>
          <w:tab w:val="num" w:pos="900"/>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 stronie Ma konta 860 „Wynik finansowy”:</w:t>
      </w:r>
    </w:p>
    <w:p w14:paraId="54E73388" w14:textId="77777777" w:rsidR="00E46C80" w:rsidRPr="00114B89" w:rsidRDefault="00E46C80" w:rsidP="00731464">
      <w:pPr>
        <w:numPr>
          <w:ilvl w:val="1"/>
          <w:numId w:val="26"/>
        </w:numPr>
        <w:tabs>
          <w:tab w:val="clear" w:pos="45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sumy uzyskanych przychodów w korespondencji z poszczególnymi kontami zespołu 7,</w:t>
      </w:r>
    </w:p>
    <w:p w14:paraId="4C2FBB86" w14:textId="5E49CAF6" w:rsidR="00E46C80" w:rsidRPr="006238C0" w:rsidRDefault="00E46C80" w:rsidP="00731464">
      <w:pPr>
        <w:numPr>
          <w:ilvl w:val="1"/>
          <w:numId w:val="26"/>
        </w:numPr>
        <w:tabs>
          <w:tab w:val="clear" w:pos="454"/>
          <w:tab w:val="num" w:pos="284"/>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6DB1C073" w14:textId="0206CF82" w:rsidR="00E46C80" w:rsidRPr="006238C0" w:rsidRDefault="00E46C80" w:rsidP="00731464">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Urząd m.st. Warszawy nie dokonuje biernych rozliczeń międzyokresowych kosztów wynikających z obowiązku wykonania przyszłych świadczeń na rzecz pracowników, w tym świadczeń emerytalnych.</w:t>
      </w:r>
    </w:p>
    <w:p w14:paraId="0CAA24A9" w14:textId="46DA16DD" w:rsidR="00E46C80" w:rsidRPr="006238C0" w:rsidRDefault="00E46C80" w:rsidP="006238C0">
      <w:pPr>
        <w:numPr>
          <w:ilvl w:val="0"/>
          <w:numId w:val="30"/>
        </w:numPr>
        <w:tabs>
          <w:tab w:val="left" w:pos="426"/>
          <w:tab w:val="left" w:pos="1701"/>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lastRenderedPageBreak/>
        <w:t>W sprawozdaniu finansowym ujmowane są salda wynikające z dochodów budżetowych nie ujętych w załączniku dzielnicowym do budżetu m.st. Warszawy</w:t>
      </w:r>
      <w:r>
        <w:rPr>
          <w:rFonts w:asciiTheme="minorHAnsi" w:hAnsiTheme="minorHAnsi" w:cstheme="minorHAnsi"/>
          <w:sz w:val="22"/>
          <w:szCs w:val="22"/>
        </w:rPr>
        <w:t xml:space="preserve"> </w:t>
      </w:r>
      <w:r w:rsidRPr="00114B89">
        <w:rPr>
          <w:rFonts w:asciiTheme="minorHAnsi" w:hAnsiTheme="minorHAnsi" w:cstheme="minorHAnsi"/>
          <w:sz w:val="22"/>
          <w:szCs w:val="22"/>
        </w:rPr>
        <w:t>a dotyc</w:t>
      </w:r>
      <w:r w:rsidR="00731464">
        <w:rPr>
          <w:rFonts w:asciiTheme="minorHAnsi" w:hAnsiTheme="minorHAnsi" w:cstheme="minorHAnsi"/>
          <w:sz w:val="22"/>
          <w:szCs w:val="22"/>
        </w:rPr>
        <w:t>zące m.in. opłaty komunikacyjnej</w:t>
      </w:r>
      <w:r w:rsidRPr="00114B89">
        <w:rPr>
          <w:rFonts w:asciiTheme="minorHAnsi" w:hAnsiTheme="minorHAnsi" w:cstheme="minorHAnsi"/>
          <w:sz w:val="22"/>
          <w:szCs w:val="22"/>
        </w:rPr>
        <w:t>, opłaty skarbowej, opłat geodezyjno-kartograficznych, a także salda z tytułu opłat i kar za usuwanie drzew</w:t>
      </w:r>
      <w:r>
        <w:rPr>
          <w:rFonts w:asciiTheme="minorHAnsi" w:hAnsiTheme="minorHAnsi" w:cstheme="minorHAnsi"/>
          <w:sz w:val="22"/>
          <w:szCs w:val="22"/>
        </w:rPr>
        <w:t xml:space="preserve"> </w:t>
      </w:r>
      <w:r w:rsidRPr="00415D6D">
        <w:rPr>
          <w:rFonts w:asciiTheme="minorHAnsi" w:hAnsiTheme="minorHAnsi" w:cstheme="minorHAnsi"/>
          <w:sz w:val="22"/>
          <w:szCs w:val="22"/>
        </w:rPr>
        <w:t>i krzewów oraz opłat za odpady komunalne, stanowiących dochód Urzędu m.st. Warszawy.</w:t>
      </w:r>
    </w:p>
    <w:p w14:paraId="764D1180" w14:textId="4B5F814B" w:rsidR="00E46C80" w:rsidRPr="00114B89" w:rsidRDefault="00E46C80" w:rsidP="006238C0">
      <w:pPr>
        <w:numPr>
          <w:ilvl w:val="0"/>
          <w:numId w:val="30"/>
        </w:numPr>
        <w:tabs>
          <w:tab w:val="left" w:pos="426"/>
          <w:tab w:val="left" w:pos="1701"/>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Rachunek zysków i strat (wariant porównawczy) Urzędu Dzielnicy Wesoła zawiera informacje w zakresie ustalonym w załączniku nr 10 do Rozporządzenia Ministra Rozwoju i </w:t>
      </w:r>
      <w:r w:rsidR="00AA1C60">
        <w:rPr>
          <w:rFonts w:asciiTheme="minorHAnsi" w:hAnsiTheme="minorHAnsi" w:cstheme="minorHAnsi"/>
          <w:sz w:val="22"/>
          <w:szCs w:val="22"/>
        </w:rPr>
        <w:t>Finansów z dnia 13 września 2017</w:t>
      </w:r>
      <w:r w:rsidRPr="00114B89">
        <w:rPr>
          <w:rFonts w:asciiTheme="minorHAnsi" w:hAnsiTheme="minorHAnsi" w:cstheme="minorHAnsi"/>
          <w:sz w:val="22"/>
          <w:szCs w:val="22"/>
        </w:rPr>
        <w:t xml:space="preserve">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 </w:t>
      </w:r>
    </w:p>
    <w:p w14:paraId="05A55EDA" w14:textId="77777777" w:rsidR="00E46C80" w:rsidRPr="00114B89"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Ponoszone koszty rozliczane są według następujących etapów:</w:t>
      </w:r>
    </w:p>
    <w:p w14:paraId="343494B5" w14:textId="77777777" w:rsidR="00E46C80" w:rsidRPr="00114B89" w:rsidRDefault="00E46C80" w:rsidP="00731464">
      <w:pPr>
        <w:numPr>
          <w:ilvl w:val="1"/>
          <w:numId w:val="14"/>
        </w:numPr>
        <w:tabs>
          <w:tab w:val="clear" w:pos="1590"/>
          <w:tab w:val="num"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ewidencja kosztów:</w:t>
      </w:r>
    </w:p>
    <w:p w14:paraId="6039B07B" w14:textId="77777777" w:rsidR="00E46C80" w:rsidRPr="00114B89" w:rsidRDefault="00E46C80" w:rsidP="00731464">
      <w:pPr>
        <w:numPr>
          <w:ilvl w:val="0"/>
          <w:numId w:val="15"/>
        </w:numPr>
        <w:tabs>
          <w:tab w:val="clear" w:pos="1364"/>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w układzie rodzajowym (zespół 4),</w:t>
      </w:r>
    </w:p>
    <w:p w14:paraId="20343886" w14:textId="77777777" w:rsidR="00E46C80" w:rsidRPr="00114B89" w:rsidRDefault="00E46C80" w:rsidP="00731464">
      <w:pPr>
        <w:numPr>
          <w:ilvl w:val="0"/>
          <w:numId w:val="15"/>
        </w:numPr>
        <w:tabs>
          <w:tab w:val="clear" w:pos="1364"/>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zespole 7,</w:t>
      </w:r>
    </w:p>
    <w:p w14:paraId="0E693E5B" w14:textId="77777777" w:rsidR="00E46C80" w:rsidRPr="00114B89" w:rsidRDefault="00E46C80" w:rsidP="00731464">
      <w:pPr>
        <w:numPr>
          <w:ilvl w:val="3"/>
          <w:numId w:val="14"/>
        </w:numPr>
        <w:tabs>
          <w:tab w:val="clear" w:pos="340"/>
          <w:tab w:val="num"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rozliczenie międzyokresowych kosztów,</w:t>
      </w:r>
    </w:p>
    <w:p w14:paraId="7689DC15" w14:textId="77777777" w:rsidR="00E46C80" w:rsidRPr="00114B89" w:rsidRDefault="00E46C80" w:rsidP="00731464">
      <w:pPr>
        <w:numPr>
          <w:ilvl w:val="3"/>
          <w:numId w:val="14"/>
        </w:numPr>
        <w:tabs>
          <w:tab w:val="clear" w:pos="340"/>
          <w:tab w:val="num"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rozliczenie wyniku finansowego w oparciu o konta zespołu 4 i 7.</w:t>
      </w:r>
    </w:p>
    <w:p w14:paraId="51745E18" w14:textId="7043C38C" w:rsidR="00E46C80" w:rsidRPr="00114B89"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Do kont syntetycznych kosztów zespołu 4 i 7 prowadzi się ewidencję analityczną według podziałek klasyfikacji budżetowej występującą w planach finansowych z dokładnością: dział, rozdział, paragraf.</w:t>
      </w:r>
    </w:p>
    <w:p w14:paraId="784AB10E"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Przy sporządzaniu sprawozdania finansowego dokonywane są wyłączenia</w:t>
      </w:r>
      <w:r w:rsidRPr="00114B89">
        <w:rPr>
          <w:rFonts w:asciiTheme="minorHAnsi" w:hAnsiTheme="minorHAnsi" w:cstheme="minorHAnsi"/>
          <w:sz w:val="22"/>
          <w:szCs w:val="22"/>
        </w:rPr>
        <w:t>:</w:t>
      </w:r>
    </w:p>
    <w:p w14:paraId="64776D54" w14:textId="77777777" w:rsidR="00E46C80" w:rsidRPr="00114B89" w:rsidRDefault="00E46C80" w:rsidP="006238C0">
      <w:pPr>
        <w:numPr>
          <w:ilvl w:val="3"/>
          <w:numId w:val="27"/>
        </w:numPr>
        <w:tabs>
          <w:tab w:val="left" w:pos="709"/>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wzajemnych należności i zobowiązań między jednostkami,</w:t>
      </w:r>
    </w:p>
    <w:p w14:paraId="54AA2A79" w14:textId="77777777" w:rsidR="00E46C80" w:rsidRPr="00114B89" w:rsidRDefault="00E46C80" w:rsidP="006238C0">
      <w:pPr>
        <w:numPr>
          <w:ilvl w:val="3"/>
          <w:numId w:val="27"/>
        </w:numPr>
        <w:tabs>
          <w:tab w:val="left" w:pos="709"/>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przychodów i kosztów z tytułu operacji dokonywanych między jednostkami,</w:t>
      </w:r>
    </w:p>
    <w:p w14:paraId="1F2C4092" w14:textId="77777777" w:rsidR="00E46C80" w:rsidRPr="00114B89" w:rsidRDefault="00E46C80" w:rsidP="006238C0">
      <w:pPr>
        <w:numPr>
          <w:ilvl w:val="3"/>
          <w:numId w:val="27"/>
        </w:numPr>
        <w:tabs>
          <w:tab w:val="clear" w:pos="397"/>
          <w:tab w:val="left" w:pos="426"/>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nieodpłatne przekazanie/otrzymanie środków trwałych/inwestycji między jednostkami,</w:t>
      </w:r>
    </w:p>
    <w:p w14:paraId="0091FC01" w14:textId="004DDE1C" w:rsidR="00E46C80" w:rsidRPr="006238C0" w:rsidRDefault="00E46C80" w:rsidP="006238C0">
      <w:pPr>
        <w:numPr>
          <w:ilvl w:val="3"/>
          <w:numId w:val="27"/>
        </w:numPr>
        <w:tabs>
          <w:tab w:val="clear" w:pos="397"/>
          <w:tab w:val="left" w:pos="426"/>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aktywów przekazanych/otrzymanych w ramach centralnego zaopatrzenia między jednostkami.</w:t>
      </w:r>
    </w:p>
    <w:p w14:paraId="7B7D683C" w14:textId="77777777" w:rsidR="00E46C80" w:rsidRPr="00114B89" w:rsidRDefault="00E46C80" w:rsidP="006238C0">
      <w:pPr>
        <w:pStyle w:val="Default"/>
        <w:numPr>
          <w:ilvl w:val="0"/>
          <w:numId w:val="30"/>
        </w:numPr>
        <w:tabs>
          <w:tab w:val="left" w:pos="426"/>
          <w:tab w:val="num" w:pos="851"/>
        </w:tabs>
        <w:spacing w:after="240"/>
        <w:ind w:left="0" w:firstLine="0"/>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bieżącym roku obrotowym</w:t>
      </w:r>
      <w:r w:rsidRPr="00114B89">
        <w:rPr>
          <w:rFonts w:asciiTheme="minorHAnsi" w:hAnsiTheme="minorHAnsi" w:cstheme="minorHAnsi"/>
          <w:color w:val="auto"/>
          <w:sz w:val="22"/>
          <w:szCs w:val="22"/>
        </w:rPr>
        <w:t xml:space="preserve">, wykryte przed sporządzeniem rocznego sprawozdania finansowego, koryguje się w księgach rachunkowych bieżącego roku obrotowego. </w:t>
      </w:r>
    </w:p>
    <w:p w14:paraId="1514B6A5" w14:textId="77777777" w:rsidR="00E46C80" w:rsidRPr="00114B89" w:rsidRDefault="00E46C80" w:rsidP="006238C0">
      <w:pPr>
        <w:pStyle w:val="Default"/>
        <w:numPr>
          <w:ilvl w:val="0"/>
          <w:numId w:val="30"/>
        </w:numPr>
        <w:tabs>
          <w:tab w:val="left" w:pos="426"/>
          <w:tab w:val="left" w:pos="851"/>
        </w:tabs>
        <w:spacing w:after="240"/>
        <w:ind w:left="0" w:firstLine="0"/>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poprzednich latach obrotowych</w:t>
      </w:r>
      <w:r w:rsidRPr="00114B89">
        <w:rPr>
          <w:rFonts w:asciiTheme="minorHAnsi" w:hAnsiTheme="minorHAnsi" w:cstheme="minorHAnsi"/>
          <w:color w:val="auto"/>
          <w:sz w:val="22"/>
          <w:szCs w:val="22"/>
        </w:rPr>
        <w:t xml:space="preserve">, zawarte w zatwierdzonych 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56AF85B9" w14:textId="77777777" w:rsidR="00E46C80" w:rsidRPr="00114B89" w:rsidRDefault="00E46C80" w:rsidP="006238C0">
      <w:pPr>
        <w:pStyle w:val="Default"/>
        <w:tabs>
          <w:tab w:val="num" w:pos="426"/>
        </w:tabs>
        <w:spacing w:after="240"/>
        <w:rPr>
          <w:rFonts w:asciiTheme="minorHAnsi" w:hAnsiTheme="minorHAnsi" w:cstheme="minorHAnsi"/>
          <w:color w:val="auto"/>
          <w:sz w:val="22"/>
          <w:szCs w:val="22"/>
        </w:rPr>
      </w:pPr>
      <w:r w:rsidRPr="00114B89">
        <w:rPr>
          <w:rFonts w:asciiTheme="minorHAnsi" w:hAnsiTheme="minorHAnsi" w:cstheme="minorHAnsi"/>
          <w:color w:val="auto"/>
          <w:sz w:val="22"/>
          <w:szCs w:val="22"/>
        </w:rPr>
        <w:t xml:space="preserve">Korekty błędu popełnionego w poprzednich latach obrotowych, uznanego za istotny: </w:t>
      </w:r>
    </w:p>
    <w:p w14:paraId="26A9E360" w14:textId="77777777" w:rsidR="00E46C80" w:rsidRPr="00114B89" w:rsidRDefault="00E46C80" w:rsidP="006238C0">
      <w:pPr>
        <w:pStyle w:val="ListParagraph1"/>
        <w:numPr>
          <w:ilvl w:val="0"/>
          <w:numId w:val="28"/>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ujmuje się w funduszu jednostki,</w:t>
      </w:r>
    </w:p>
    <w:p w14:paraId="1F0FBD48" w14:textId="45B37948" w:rsidR="00E46C80" w:rsidRPr="006238C0" w:rsidRDefault="00E46C80" w:rsidP="006238C0">
      <w:pPr>
        <w:pStyle w:val="ListParagraph1"/>
        <w:numPr>
          <w:ilvl w:val="0"/>
          <w:numId w:val="28"/>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wykazuje się w odpowiedniej pozycji zestawienia zmian w funduszu jednostki.</w:t>
      </w:r>
    </w:p>
    <w:p w14:paraId="39DD3E03" w14:textId="77777777" w:rsidR="00E46C80" w:rsidRPr="00114B89" w:rsidRDefault="00E46C80" w:rsidP="006238C0">
      <w:pPr>
        <w:pStyle w:val="Default"/>
        <w:tabs>
          <w:tab w:val="num" w:pos="851"/>
        </w:tabs>
        <w:spacing w:after="240"/>
        <w:rPr>
          <w:rFonts w:asciiTheme="minorHAnsi" w:hAnsiTheme="minorHAnsi" w:cstheme="minorHAnsi"/>
          <w:color w:val="auto"/>
          <w:sz w:val="22"/>
          <w:szCs w:val="22"/>
        </w:rPr>
      </w:pPr>
      <w:r w:rsidRPr="00114B89">
        <w:rPr>
          <w:rFonts w:asciiTheme="minorHAnsi" w:hAnsiTheme="minorHAnsi" w:cstheme="minorHAnsi"/>
          <w:color w:val="auto"/>
          <w:sz w:val="22"/>
          <w:szCs w:val="22"/>
        </w:rPr>
        <w:lastRenderedPageBreak/>
        <w:t xml:space="preserve">W dodatkowych informacjach i objaśnieniach ujawniane są następujące informacje dotyczące korekty błędów popełnionych w poprzednich latach obrotowych: </w:t>
      </w:r>
    </w:p>
    <w:p w14:paraId="77A0BE2C" w14:textId="77777777" w:rsidR="00E46C80" w:rsidRPr="00114B89" w:rsidRDefault="00E46C80" w:rsidP="006238C0">
      <w:pPr>
        <w:pStyle w:val="ListParagraph1"/>
        <w:numPr>
          <w:ilvl w:val="0"/>
          <w:numId w:val="29"/>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rodzaj błędu popełnionego w poprzednich latach,</w:t>
      </w:r>
    </w:p>
    <w:p w14:paraId="32354C1A" w14:textId="0F01DA74" w:rsidR="00E46C80" w:rsidRPr="006238C0" w:rsidRDefault="00E46C80" w:rsidP="006238C0">
      <w:pPr>
        <w:pStyle w:val="ListParagraph1"/>
        <w:numPr>
          <w:ilvl w:val="0"/>
          <w:numId w:val="29"/>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kwotę korekty dotyczącej bieżącego roku obrotowego i każdej korekty dotyczącej lat poprzednich.</w:t>
      </w:r>
    </w:p>
    <w:p w14:paraId="41B56207" w14:textId="77777777" w:rsidR="00E46C80" w:rsidRDefault="00E46C80" w:rsidP="006238C0">
      <w:pPr>
        <w:numPr>
          <w:ilvl w:val="0"/>
          <w:numId w:val="30"/>
        </w:numPr>
        <w:tabs>
          <w:tab w:val="left" w:pos="426"/>
          <w:tab w:val="left" w:pos="993"/>
          <w:tab w:val="left" w:pos="3195"/>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W przypadku zakłócenia porównywalności danych</w:t>
      </w:r>
      <w:r w:rsidRPr="00114B89">
        <w:rPr>
          <w:rFonts w:asciiTheme="minorHAnsi" w:hAnsiTheme="minorHAnsi" w:cstheme="minorHAnsi"/>
          <w:sz w:val="22"/>
          <w:szCs w:val="22"/>
        </w:rPr>
        <w:t xml:space="preserve"> sprawozdawczych i porównawczych w wyniku zmian przyjętych zasad (polityki) rachunkowości lub korekt błędów popełnionych w poprzednich latach obrotowych, dla zapewnienia porównywalności retrospektywnie przekształcone dane porównawcze wykazuje się uzupełniająco w odrębnej tabeli dla bilansu, w rachunku zysków i strat oraz w zestawieniu zmian funduszu jednostki.</w:t>
      </w:r>
    </w:p>
    <w:p w14:paraId="2729D57B" w14:textId="77777777" w:rsidR="00765D4F" w:rsidRPr="00A841BB" w:rsidRDefault="007A35A7" w:rsidP="006238C0">
      <w:pPr>
        <w:pStyle w:val="Nagwek2"/>
        <w:widowControl w:val="0"/>
        <w:numPr>
          <w:ilvl w:val="0"/>
          <w:numId w:val="4"/>
        </w:numPr>
        <w:tabs>
          <w:tab w:val="clear" w:pos="720"/>
        </w:tabs>
        <w:adjustRightInd w:val="0"/>
        <w:spacing w:after="240" w:line="300" w:lineRule="auto"/>
        <w:ind w:left="851" w:hanging="284"/>
        <w:contextualSpacing/>
        <w:textAlignment w:val="baseline"/>
        <w:rPr>
          <w:rFonts w:ascii="Calibri" w:hAnsi="Calibri" w:cs="Calibri"/>
          <w:sz w:val="22"/>
          <w:szCs w:val="22"/>
          <w:lang w:val="pl-PL"/>
        </w:rPr>
      </w:pPr>
      <w:r w:rsidRPr="00A841BB">
        <w:rPr>
          <w:rFonts w:ascii="Calibri" w:hAnsi="Calibri" w:cs="Calibri"/>
          <w:sz w:val="22"/>
          <w:szCs w:val="22"/>
          <w:lang w:val="pl-PL"/>
        </w:rPr>
        <w:t>Inne informacje</w:t>
      </w:r>
    </w:p>
    <w:p w14:paraId="0AEF8E8D" w14:textId="47680BE1" w:rsidR="007A35A7" w:rsidRPr="00A841BB" w:rsidRDefault="007A35A7" w:rsidP="006238C0">
      <w:pPr>
        <w:pStyle w:val="Nagwek3"/>
        <w:keepLines/>
        <w:widowControl w:val="0"/>
        <w:numPr>
          <w:ilvl w:val="0"/>
          <w:numId w:val="6"/>
        </w:numPr>
        <w:tabs>
          <w:tab w:val="clear" w:pos="709"/>
        </w:tabs>
        <w:adjustRightInd w:val="0"/>
        <w:spacing w:after="240" w:line="300" w:lineRule="auto"/>
        <w:ind w:left="851" w:hanging="284"/>
        <w:contextualSpacing/>
        <w:textAlignment w:val="baseline"/>
        <w:rPr>
          <w:rFonts w:ascii="Calibri" w:hAnsi="Calibri" w:cs="Calibri"/>
          <w:b w:val="0"/>
          <w:sz w:val="22"/>
          <w:szCs w:val="22"/>
          <w:lang w:val="pl-PL"/>
        </w:rPr>
      </w:pPr>
      <w:r w:rsidRPr="00A841BB">
        <w:rPr>
          <w:rFonts w:ascii="Calibri" w:hAnsi="Calibri" w:cs="Calibri"/>
          <w:b w:val="0"/>
          <w:sz w:val="22"/>
          <w:szCs w:val="22"/>
          <w:lang w:val="pl-PL"/>
        </w:rPr>
        <w:t xml:space="preserve">Informacje </w:t>
      </w:r>
      <w:r w:rsidR="00E0116F" w:rsidRPr="00A841BB">
        <w:rPr>
          <w:rFonts w:ascii="Calibri" w:hAnsi="Calibri" w:cs="Calibri"/>
          <w:b w:val="0"/>
          <w:sz w:val="22"/>
          <w:szCs w:val="22"/>
          <w:lang w:val="pl-PL"/>
        </w:rPr>
        <w:t>o korekcie bilansu otwarcia 20</w:t>
      </w:r>
      <w:r w:rsidR="003A1E52">
        <w:rPr>
          <w:rFonts w:ascii="Calibri" w:hAnsi="Calibri" w:cs="Calibri"/>
          <w:b w:val="0"/>
          <w:sz w:val="22"/>
          <w:szCs w:val="22"/>
          <w:lang w:val="pl-PL"/>
        </w:rPr>
        <w:t>2</w:t>
      </w:r>
      <w:r w:rsidR="00483D6E">
        <w:rPr>
          <w:rFonts w:ascii="Calibri" w:hAnsi="Calibri" w:cs="Calibri"/>
          <w:b w:val="0"/>
          <w:sz w:val="22"/>
          <w:szCs w:val="22"/>
          <w:lang w:val="pl-PL"/>
        </w:rPr>
        <w:t>3</w:t>
      </w:r>
      <w:r w:rsidRPr="00A841BB">
        <w:rPr>
          <w:rFonts w:ascii="Calibri" w:hAnsi="Calibri" w:cs="Calibri"/>
          <w:b w:val="0"/>
          <w:sz w:val="22"/>
          <w:szCs w:val="22"/>
          <w:lang w:val="pl-PL"/>
        </w:rPr>
        <w:t xml:space="preserve"> roku w związku ze zmianą prezentacji pozycji i korektami.</w:t>
      </w:r>
    </w:p>
    <w:tbl>
      <w:tblPr>
        <w:tblW w:w="9147" w:type="dxa"/>
        <w:tblInd w:w="-5" w:type="dxa"/>
        <w:tblCellMar>
          <w:left w:w="70" w:type="dxa"/>
          <w:right w:w="70" w:type="dxa"/>
        </w:tblCellMar>
        <w:tblLook w:val="0000" w:firstRow="0" w:lastRow="0" w:firstColumn="0" w:lastColumn="0" w:noHBand="0" w:noVBand="0"/>
      </w:tblPr>
      <w:tblGrid>
        <w:gridCol w:w="865"/>
        <w:gridCol w:w="1445"/>
        <w:gridCol w:w="1660"/>
        <w:gridCol w:w="1580"/>
        <w:gridCol w:w="1265"/>
        <w:gridCol w:w="2332"/>
      </w:tblGrid>
      <w:tr w:rsidR="00664118" w:rsidRPr="00A841BB" w14:paraId="2B812ADE" w14:textId="77777777" w:rsidTr="00AE35BD">
        <w:trPr>
          <w:trHeight w:val="96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33C79E9" w14:textId="77777777"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Pozycja w bilansie</w:t>
            </w:r>
          </w:p>
        </w:tc>
        <w:tc>
          <w:tcPr>
            <w:tcW w:w="1445" w:type="dxa"/>
            <w:tcBorders>
              <w:top w:val="single" w:sz="4" w:space="0" w:color="auto"/>
              <w:left w:val="nil"/>
              <w:bottom w:val="single" w:sz="4" w:space="0" w:color="auto"/>
              <w:right w:val="single" w:sz="4" w:space="0" w:color="auto"/>
            </w:tcBorders>
            <w:shd w:val="clear" w:color="auto" w:fill="auto"/>
            <w:vAlign w:val="center"/>
          </w:tcPr>
          <w:p w14:paraId="621DAC72" w14:textId="77777777"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Zmienione pozycje</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2CC3C242" w14:textId="1519DC31" w:rsidR="00664118" w:rsidRPr="00A841BB" w:rsidRDefault="00664118" w:rsidP="00F54008">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Zatwierdzone sprawozdanie za rok 20</w:t>
            </w:r>
            <w:r w:rsidR="00F54008">
              <w:rPr>
                <w:rFonts w:ascii="Calibri" w:hAnsi="Calibri" w:cs="Calibri"/>
                <w:b/>
                <w:bCs/>
                <w:sz w:val="22"/>
                <w:szCs w:val="22"/>
                <w:lang w:eastAsia="pl-PL"/>
              </w:rPr>
              <w:t>22</w:t>
            </w:r>
            <w:r w:rsidR="009675C5">
              <w:rPr>
                <w:rFonts w:ascii="Calibri" w:hAnsi="Calibri" w:cs="Calibri"/>
                <w:b/>
                <w:bCs/>
                <w:sz w:val="22"/>
                <w:szCs w:val="22"/>
                <w:lang w:eastAsia="pl-PL"/>
              </w:rPr>
              <w:t xml:space="preserve"> </w:t>
            </w:r>
            <w:r w:rsidRPr="00A841BB">
              <w:rPr>
                <w:rFonts w:ascii="Calibri" w:hAnsi="Calibri" w:cs="Calibri"/>
                <w:b/>
                <w:bCs/>
                <w:sz w:val="22"/>
                <w:szCs w:val="22"/>
                <w:lang w:eastAsia="pl-PL"/>
              </w:rPr>
              <w:t>zł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C673EBA" w14:textId="480A819B"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Zmniejszenia zł</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DE4327" w14:textId="77777777"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Zwiększenia zł</w:t>
            </w:r>
          </w:p>
        </w:tc>
        <w:tc>
          <w:tcPr>
            <w:tcW w:w="2332" w:type="dxa"/>
            <w:tcBorders>
              <w:top w:val="single" w:sz="4" w:space="0" w:color="auto"/>
              <w:left w:val="nil"/>
              <w:bottom w:val="single" w:sz="4" w:space="0" w:color="auto"/>
              <w:right w:val="single" w:sz="4" w:space="0" w:color="auto"/>
            </w:tcBorders>
            <w:shd w:val="clear" w:color="auto" w:fill="auto"/>
            <w:noWrap/>
            <w:vAlign w:val="center"/>
          </w:tcPr>
          <w:p w14:paraId="163C89DA" w14:textId="1D2A4BCD" w:rsidR="00664118" w:rsidRPr="00A841BB" w:rsidRDefault="00664118" w:rsidP="00F54008">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Sprawozdanie finansowe za rok 20</w:t>
            </w:r>
            <w:r w:rsidR="00F54008">
              <w:rPr>
                <w:rFonts w:ascii="Calibri" w:hAnsi="Calibri" w:cs="Calibri"/>
                <w:b/>
                <w:bCs/>
                <w:sz w:val="22"/>
                <w:szCs w:val="22"/>
                <w:lang w:eastAsia="pl-PL"/>
              </w:rPr>
              <w:t xml:space="preserve">22 </w:t>
            </w:r>
            <w:r w:rsidRPr="00A841BB">
              <w:rPr>
                <w:rFonts w:ascii="Calibri" w:hAnsi="Calibri" w:cs="Calibri"/>
                <w:b/>
                <w:bCs/>
                <w:sz w:val="22"/>
                <w:szCs w:val="22"/>
                <w:lang w:eastAsia="pl-PL"/>
              </w:rPr>
              <w:t>po uwzględnieniu korekt</w:t>
            </w:r>
            <w:r w:rsidR="009675C5">
              <w:rPr>
                <w:rFonts w:ascii="Calibri" w:hAnsi="Calibri" w:cs="Calibri"/>
                <w:b/>
                <w:bCs/>
                <w:sz w:val="22"/>
                <w:szCs w:val="22"/>
                <w:lang w:eastAsia="pl-PL"/>
              </w:rPr>
              <w:t xml:space="preserve"> </w:t>
            </w:r>
            <w:r w:rsidRPr="00A841BB">
              <w:rPr>
                <w:rFonts w:ascii="Calibri" w:hAnsi="Calibri" w:cs="Calibri"/>
                <w:b/>
                <w:bCs/>
                <w:sz w:val="22"/>
                <w:szCs w:val="22"/>
                <w:lang w:eastAsia="pl-PL"/>
              </w:rPr>
              <w:t>zł</w:t>
            </w:r>
          </w:p>
        </w:tc>
      </w:tr>
      <w:tr w:rsidR="00664118" w:rsidRPr="00A841BB" w14:paraId="4D6B1E20" w14:textId="77777777" w:rsidTr="00CF0979">
        <w:trPr>
          <w:trHeight w:val="480"/>
        </w:trPr>
        <w:tc>
          <w:tcPr>
            <w:tcW w:w="865" w:type="dxa"/>
            <w:tcBorders>
              <w:top w:val="nil"/>
              <w:left w:val="single" w:sz="4" w:space="0" w:color="auto"/>
              <w:bottom w:val="single" w:sz="4" w:space="0" w:color="auto"/>
              <w:right w:val="single" w:sz="4" w:space="0" w:color="auto"/>
            </w:tcBorders>
            <w:shd w:val="clear" w:color="auto" w:fill="auto"/>
            <w:noWrap/>
            <w:vAlign w:val="bottom"/>
          </w:tcPr>
          <w:p w14:paraId="155642BE" w14:textId="77777777" w:rsidR="00664118" w:rsidRPr="00A841BB" w:rsidRDefault="00664118" w:rsidP="006238C0">
            <w:pPr>
              <w:spacing w:after="240" w:line="300" w:lineRule="auto"/>
              <w:rPr>
                <w:rFonts w:ascii="Calibri" w:hAnsi="Calibri" w:cs="Calibri"/>
                <w:sz w:val="22"/>
                <w:szCs w:val="22"/>
                <w:lang w:eastAsia="pl-PL"/>
              </w:rPr>
            </w:pPr>
          </w:p>
        </w:tc>
        <w:tc>
          <w:tcPr>
            <w:tcW w:w="1445" w:type="dxa"/>
            <w:tcBorders>
              <w:top w:val="nil"/>
              <w:left w:val="nil"/>
              <w:bottom w:val="single" w:sz="4" w:space="0" w:color="auto"/>
              <w:right w:val="single" w:sz="4" w:space="0" w:color="auto"/>
            </w:tcBorders>
            <w:shd w:val="clear" w:color="auto" w:fill="auto"/>
            <w:vAlign w:val="bottom"/>
          </w:tcPr>
          <w:p w14:paraId="294B406D" w14:textId="77777777" w:rsidR="00664118" w:rsidRPr="00A841BB" w:rsidRDefault="00664118" w:rsidP="006238C0">
            <w:pPr>
              <w:spacing w:after="240" w:line="300" w:lineRule="auto"/>
              <w:rPr>
                <w:rFonts w:ascii="Calibri" w:hAnsi="Calibri" w:cs="Calibri"/>
                <w:sz w:val="22"/>
                <w:szCs w:val="22"/>
                <w:lang w:eastAsia="pl-PL"/>
              </w:rPr>
            </w:pPr>
          </w:p>
        </w:tc>
        <w:tc>
          <w:tcPr>
            <w:tcW w:w="1660" w:type="dxa"/>
            <w:tcBorders>
              <w:top w:val="nil"/>
              <w:left w:val="nil"/>
              <w:bottom w:val="single" w:sz="4" w:space="0" w:color="auto"/>
              <w:right w:val="single" w:sz="4" w:space="0" w:color="auto"/>
            </w:tcBorders>
            <w:shd w:val="clear" w:color="auto" w:fill="auto"/>
            <w:noWrap/>
            <w:vAlign w:val="bottom"/>
          </w:tcPr>
          <w:p w14:paraId="46F3616D"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bottom"/>
          </w:tcPr>
          <w:p w14:paraId="01ED658C"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265" w:type="dxa"/>
            <w:tcBorders>
              <w:top w:val="nil"/>
              <w:left w:val="nil"/>
              <w:bottom w:val="single" w:sz="4" w:space="0" w:color="auto"/>
              <w:right w:val="single" w:sz="4" w:space="0" w:color="auto"/>
            </w:tcBorders>
            <w:shd w:val="clear" w:color="auto" w:fill="auto"/>
            <w:noWrap/>
            <w:vAlign w:val="bottom"/>
          </w:tcPr>
          <w:p w14:paraId="0B5D6243" w14:textId="77777777" w:rsidR="00664118" w:rsidRPr="00A841BB" w:rsidRDefault="00664118" w:rsidP="006238C0">
            <w:pPr>
              <w:spacing w:after="240" w:line="300" w:lineRule="auto"/>
              <w:jc w:val="right"/>
              <w:rPr>
                <w:rFonts w:ascii="Calibri" w:hAnsi="Calibri" w:cs="Calibri"/>
                <w:sz w:val="22"/>
                <w:szCs w:val="22"/>
                <w:lang w:eastAsia="pl-PL"/>
              </w:rPr>
            </w:pPr>
          </w:p>
        </w:tc>
        <w:tc>
          <w:tcPr>
            <w:tcW w:w="2332" w:type="dxa"/>
            <w:tcBorders>
              <w:top w:val="nil"/>
              <w:left w:val="nil"/>
              <w:bottom w:val="single" w:sz="4" w:space="0" w:color="auto"/>
              <w:right w:val="single" w:sz="4" w:space="0" w:color="auto"/>
            </w:tcBorders>
            <w:shd w:val="clear" w:color="auto" w:fill="auto"/>
            <w:noWrap/>
            <w:vAlign w:val="bottom"/>
          </w:tcPr>
          <w:p w14:paraId="188F52E0" w14:textId="77777777" w:rsidR="00664118" w:rsidRPr="00A841BB" w:rsidRDefault="00664118" w:rsidP="006238C0">
            <w:pPr>
              <w:spacing w:after="240" w:line="300" w:lineRule="auto"/>
              <w:jc w:val="right"/>
              <w:rPr>
                <w:rFonts w:ascii="Calibri" w:hAnsi="Calibri" w:cs="Calibri"/>
                <w:sz w:val="22"/>
                <w:szCs w:val="22"/>
                <w:lang w:eastAsia="pl-PL"/>
              </w:rPr>
            </w:pPr>
          </w:p>
        </w:tc>
      </w:tr>
      <w:tr w:rsidR="00664118" w:rsidRPr="00A841BB" w14:paraId="5EFF3B75" w14:textId="77777777" w:rsidTr="00CF0979">
        <w:trPr>
          <w:trHeight w:val="4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9C83" w14:textId="77777777" w:rsidR="00664118" w:rsidRPr="00A841BB" w:rsidRDefault="00664118" w:rsidP="006238C0">
            <w:pPr>
              <w:spacing w:after="240" w:line="300" w:lineRule="auto"/>
              <w:rPr>
                <w:rFonts w:ascii="Calibri" w:hAnsi="Calibri" w:cs="Calibri"/>
                <w:i/>
                <w:sz w:val="22"/>
                <w:szCs w:val="22"/>
                <w:lang w:eastAsia="pl-PL"/>
              </w:rPr>
            </w:pPr>
          </w:p>
        </w:tc>
        <w:tc>
          <w:tcPr>
            <w:tcW w:w="1445" w:type="dxa"/>
            <w:tcBorders>
              <w:top w:val="single" w:sz="4" w:space="0" w:color="auto"/>
              <w:left w:val="nil"/>
              <w:bottom w:val="single" w:sz="4" w:space="0" w:color="auto"/>
              <w:right w:val="single" w:sz="4" w:space="0" w:color="auto"/>
            </w:tcBorders>
            <w:shd w:val="clear" w:color="auto" w:fill="auto"/>
            <w:vAlign w:val="bottom"/>
          </w:tcPr>
          <w:p w14:paraId="51D41884" w14:textId="77777777" w:rsidR="00664118" w:rsidRPr="00A841BB" w:rsidRDefault="00664118" w:rsidP="006238C0">
            <w:pPr>
              <w:spacing w:after="240" w:line="300" w:lineRule="auto"/>
              <w:rPr>
                <w:rFonts w:ascii="Calibri" w:hAnsi="Calibri" w:cs="Calibri"/>
                <w:sz w:val="22"/>
                <w:szCs w:val="22"/>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0BD725E"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0ED96801"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45779866" w14:textId="77777777" w:rsidR="00664118" w:rsidRPr="00A841BB" w:rsidRDefault="00664118" w:rsidP="006238C0">
            <w:pPr>
              <w:spacing w:after="240" w:line="300" w:lineRule="auto"/>
              <w:jc w:val="right"/>
              <w:rPr>
                <w:rFonts w:ascii="Calibri" w:hAnsi="Calibri" w:cs="Calibri"/>
                <w:sz w:val="22"/>
                <w:szCs w:val="22"/>
                <w:lang w:eastAsia="pl-PL"/>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181E5713" w14:textId="77777777" w:rsidR="00664118" w:rsidRPr="00A841BB" w:rsidRDefault="00664118" w:rsidP="006238C0">
            <w:pPr>
              <w:spacing w:after="240" w:line="300" w:lineRule="auto"/>
              <w:jc w:val="right"/>
              <w:rPr>
                <w:rFonts w:ascii="Calibri" w:hAnsi="Calibri" w:cs="Calibri"/>
                <w:sz w:val="22"/>
                <w:szCs w:val="22"/>
                <w:lang w:eastAsia="pl-PL"/>
              </w:rPr>
            </w:pPr>
          </w:p>
        </w:tc>
      </w:tr>
    </w:tbl>
    <w:p w14:paraId="0098E341" w14:textId="77777777" w:rsidR="00CF5F24" w:rsidRPr="00A841BB" w:rsidRDefault="00CF5F24" w:rsidP="006238C0">
      <w:pPr>
        <w:spacing w:after="240" w:line="300" w:lineRule="auto"/>
        <w:rPr>
          <w:rFonts w:ascii="Calibri" w:hAnsi="Calibri" w:cs="Calibri"/>
          <w:sz w:val="22"/>
          <w:szCs w:val="22"/>
        </w:rPr>
      </w:pPr>
    </w:p>
    <w:sectPr w:rsidR="00CF5F24" w:rsidRPr="00A841BB"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B79D" w14:textId="77777777" w:rsidR="008175F0" w:rsidRDefault="008175F0">
      <w:r>
        <w:separator/>
      </w:r>
    </w:p>
  </w:endnote>
  <w:endnote w:type="continuationSeparator" w:id="0">
    <w:p w14:paraId="2A579B16" w14:textId="77777777" w:rsidR="008175F0" w:rsidRDefault="008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unga">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D40C" w14:textId="7844943A" w:rsidR="005F1C24" w:rsidRPr="009675C5" w:rsidRDefault="005F1C24" w:rsidP="009675C5">
    <w:pPr>
      <w:pStyle w:val="Stopka"/>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EFBC" w14:textId="77777777" w:rsidR="008175F0" w:rsidRDefault="008175F0">
      <w:r>
        <w:separator/>
      </w:r>
    </w:p>
  </w:footnote>
  <w:footnote w:type="continuationSeparator" w:id="0">
    <w:p w14:paraId="7C7CFE46" w14:textId="77777777" w:rsidR="008175F0" w:rsidRDefault="0081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22C15DFC" w:rsidR="00A905BD" w:rsidRPr="009675C5" w:rsidRDefault="00E46C80" w:rsidP="009D1313">
    <w:pPr>
      <w:pStyle w:val="Nagwek"/>
      <w:tabs>
        <w:tab w:val="clear" w:pos="8306"/>
      </w:tabs>
      <w:ind w:right="360"/>
      <w:rPr>
        <w:rFonts w:ascii="Calibri" w:hAnsi="Calibri" w:cs="Calibri"/>
        <w:b/>
        <w:sz w:val="22"/>
        <w:szCs w:val="22"/>
        <w:lang w:val="pl-PL"/>
      </w:rPr>
    </w:pPr>
    <w:r>
      <w:rPr>
        <w:rFonts w:ascii="Calibri" w:hAnsi="Calibri" w:cs="Calibri"/>
        <w:b/>
        <w:color w:val="000000"/>
        <w:sz w:val="22"/>
        <w:szCs w:val="22"/>
        <w:lang w:val="pl-PL"/>
      </w:rPr>
      <w:t>Urząd Dzielnicy Wesoła m.st. Warszawy</w:t>
    </w:r>
  </w:p>
  <w:p w14:paraId="065E7C7A" w14:textId="22DC2D01" w:rsidR="00A905BD" w:rsidRPr="009675C5" w:rsidRDefault="001C1428" w:rsidP="009D1313">
    <w:pPr>
      <w:pStyle w:val="Nagwek"/>
      <w:pBdr>
        <w:bottom w:val="single" w:sz="6" w:space="1" w:color="auto"/>
      </w:pBdr>
      <w:tabs>
        <w:tab w:val="clear" w:pos="8306"/>
      </w:tabs>
      <w:ind w:right="45"/>
      <w:rPr>
        <w:rFonts w:ascii="Calibri" w:hAnsi="Calibri" w:cs="Calibri"/>
        <w:b/>
        <w:sz w:val="22"/>
        <w:szCs w:val="22"/>
        <w:lang w:val="pl-PL"/>
      </w:rPr>
    </w:pPr>
    <w:r w:rsidRPr="009675C5">
      <w:rPr>
        <w:rFonts w:ascii="Calibri" w:hAnsi="Calibri" w:cs="Calibri"/>
        <w:b/>
        <w:sz w:val="22"/>
        <w:szCs w:val="22"/>
        <w:lang w:val="pl-PL"/>
      </w:rPr>
      <w:t>Informacja dodatkowa do sprawozdania</w:t>
    </w:r>
    <w:r w:rsidR="00A905BD" w:rsidRPr="009675C5">
      <w:rPr>
        <w:rFonts w:ascii="Calibri" w:hAnsi="Calibri" w:cs="Calibri"/>
        <w:b/>
        <w:sz w:val="22"/>
        <w:szCs w:val="22"/>
        <w:lang w:val="pl-PL"/>
      </w:rPr>
      <w:t xml:space="preserve"> finansowe</w:t>
    </w:r>
    <w:r w:rsidRPr="009675C5">
      <w:rPr>
        <w:rFonts w:ascii="Calibri" w:hAnsi="Calibri" w:cs="Calibri"/>
        <w:b/>
        <w:sz w:val="22"/>
        <w:szCs w:val="22"/>
        <w:lang w:val="pl-PL"/>
      </w:rPr>
      <w:t>go</w:t>
    </w:r>
    <w:r w:rsidR="00A905BD" w:rsidRPr="009675C5">
      <w:rPr>
        <w:rFonts w:ascii="Calibri" w:hAnsi="Calibri" w:cs="Calibri"/>
        <w:b/>
        <w:sz w:val="22"/>
        <w:szCs w:val="22"/>
        <w:lang w:val="pl-PL"/>
      </w:rPr>
      <w:t xml:space="preserve"> za rok obrotowy zakończony 31</w:t>
    </w:r>
    <w:r w:rsidR="00013FD1" w:rsidRPr="009675C5">
      <w:rPr>
        <w:rFonts w:ascii="Calibri" w:hAnsi="Calibri" w:cs="Calibri"/>
        <w:b/>
        <w:sz w:val="22"/>
        <w:szCs w:val="22"/>
        <w:lang w:val="pl-PL"/>
      </w:rPr>
      <w:t> </w:t>
    </w:r>
    <w:r w:rsidR="00D71F0D" w:rsidRPr="009675C5">
      <w:rPr>
        <w:rFonts w:ascii="Calibri" w:hAnsi="Calibri" w:cs="Calibri"/>
        <w:b/>
        <w:sz w:val="22"/>
        <w:szCs w:val="22"/>
        <w:lang w:val="pl-PL"/>
      </w:rPr>
      <w:t>grudnia 20</w:t>
    </w:r>
    <w:r w:rsidR="00E46C80">
      <w:rPr>
        <w:rFonts w:ascii="Calibri" w:hAnsi="Calibri" w:cs="Calibri"/>
        <w:b/>
        <w:sz w:val="22"/>
        <w:szCs w:val="22"/>
        <w:lang w:val="pl-PL"/>
      </w:rPr>
      <w:t>23</w:t>
    </w:r>
    <w:r w:rsidR="009675C5">
      <w:rPr>
        <w:rFonts w:ascii="Calibri" w:hAnsi="Calibri" w:cs="Calibri"/>
        <w:b/>
        <w:sz w:val="22"/>
        <w:szCs w:val="22"/>
        <w:lang w:val="pl-PL"/>
      </w:rPr>
      <w:t xml:space="preserve"> </w:t>
    </w:r>
    <w:r w:rsidR="00A905BD" w:rsidRPr="009675C5">
      <w:rPr>
        <w:rFonts w:ascii="Calibri" w:hAnsi="Calibri" w:cs="Calibri"/>
        <w:b/>
        <w:sz w:val="22"/>
        <w:szCs w:val="22"/>
        <w:lang w:val="pl-PL"/>
      </w:rPr>
      <w:t>r.</w:t>
    </w:r>
  </w:p>
  <w:p w14:paraId="71D9F67C" w14:textId="77777777" w:rsidR="00CF5F24" w:rsidRPr="009675C5" w:rsidRDefault="00CF5F24" w:rsidP="00E46C80">
    <w:pPr>
      <w:pStyle w:val="Nagwek"/>
      <w:numPr>
        <w:ilvl w:val="0"/>
        <w:numId w:val="7"/>
      </w:numPr>
      <w:pBdr>
        <w:bottom w:val="single" w:sz="6" w:space="1" w:color="auto"/>
      </w:pBdr>
      <w:tabs>
        <w:tab w:val="clear" w:pos="4153"/>
        <w:tab w:val="clear" w:pos="8306"/>
        <w:tab w:val="center" w:pos="284"/>
      </w:tabs>
      <w:ind w:left="426" w:right="45" w:hanging="426"/>
      <w:rPr>
        <w:rFonts w:ascii="Calibri" w:hAnsi="Calibri" w:cs="Calibri"/>
        <w:b/>
        <w:sz w:val="22"/>
        <w:szCs w:val="22"/>
        <w:lang w:val="pl-PL"/>
      </w:rPr>
    </w:pPr>
    <w:r w:rsidRPr="009675C5">
      <w:rPr>
        <w:rFonts w:ascii="Calibri" w:hAnsi="Calibri" w:cs="Calibri"/>
        <w:b/>
        <w:sz w:val="22"/>
        <w:szCs w:val="22"/>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3D9C"/>
    <w:multiLevelType w:val="hybridMultilevel"/>
    <w:tmpl w:val="2EF262EC"/>
    <w:lvl w:ilvl="0" w:tplc="B31EF96E">
      <w:start w:val="1"/>
      <w:numFmt w:val="bullet"/>
      <w:lvlText w:val="­"/>
      <w:lvlJc w:val="left"/>
      <w:pPr>
        <w:ind w:left="720" w:hanging="360"/>
      </w:pPr>
      <w:rPr>
        <w:rFonts w:ascii="Arial Unicode MS" w:eastAsia="Arial Unicode MS" w:hAnsi="Arial Unicode MS"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397"/>
        </w:tabs>
        <w:ind w:left="397"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6301CB"/>
    <w:multiLevelType w:val="hybridMultilevel"/>
    <w:tmpl w:val="FDB6B1FA"/>
    <w:lvl w:ilvl="0" w:tplc="B31EF96E">
      <w:start w:val="1"/>
      <w:numFmt w:val="bullet"/>
      <w:lvlText w:val="­"/>
      <w:lvlJc w:val="left"/>
      <w:pPr>
        <w:ind w:left="720" w:hanging="360"/>
      </w:pPr>
      <w:rPr>
        <w:rFonts w:ascii="Arial Unicode MS" w:eastAsia="Arial Unicode MS" w:hAnsi="Arial Unicode MS"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B31EF96E">
      <w:start w:val="1"/>
      <w:numFmt w:val="bullet"/>
      <w:lvlText w:val="­"/>
      <w:lvlJc w:val="left"/>
      <w:pPr>
        <w:ind w:left="2160" w:hanging="360"/>
      </w:pPr>
      <w:rPr>
        <w:rFonts w:ascii="Arial Unicode MS" w:eastAsia="Arial Unicode MS" w:hAnsi="Arial Unicode MS" w:hint="default"/>
        <w:b w:val="0"/>
        <w:i w:val="0"/>
        <w:color w:val="auto"/>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EB15C2"/>
    <w:multiLevelType w:val="hybridMultilevel"/>
    <w:tmpl w:val="33362C80"/>
    <w:lvl w:ilvl="0" w:tplc="512C70F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9014B47"/>
    <w:multiLevelType w:val="hybridMultilevel"/>
    <w:tmpl w:val="D7EADEA4"/>
    <w:lvl w:ilvl="0" w:tplc="B3E6081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D47071"/>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C76068"/>
    <w:multiLevelType w:val="hybridMultilevel"/>
    <w:tmpl w:val="D632E55C"/>
    <w:lvl w:ilvl="0" w:tplc="B31EF96E">
      <w:start w:val="1"/>
      <w:numFmt w:val="bullet"/>
      <w:lvlText w:val="­"/>
      <w:lvlJc w:val="left"/>
      <w:pPr>
        <w:ind w:left="720" w:hanging="360"/>
      </w:pPr>
      <w:rPr>
        <w:rFonts w:ascii="Arial Unicode MS" w:eastAsia="Arial Unicode MS" w:hAnsi="Arial Unicode MS"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CA1BB9"/>
    <w:multiLevelType w:val="hybridMultilevel"/>
    <w:tmpl w:val="748CC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3BFA2483"/>
    <w:multiLevelType w:val="hybridMultilevel"/>
    <w:tmpl w:val="F3DE4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04FB8"/>
    <w:multiLevelType w:val="hybridMultilevel"/>
    <w:tmpl w:val="FAB4931C"/>
    <w:lvl w:ilvl="0" w:tplc="B31EF96E">
      <w:start w:val="1"/>
      <w:numFmt w:val="bullet"/>
      <w:lvlText w:val="­"/>
      <w:lvlJc w:val="left"/>
      <w:pPr>
        <w:ind w:left="720" w:hanging="360"/>
      </w:pPr>
      <w:rPr>
        <w:rFonts w:ascii="Arial Unicode MS" w:eastAsia="Arial Unicode MS" w:hAnsi="Arial Unicode MS"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2" w15:restartNumberingAfterBreak="0">
    <w:nsid w:val="4D0D40E0"/>
    <w:multiLevelType w:val="hybridMultilevel"/>
    <w:tmpl w:val="A6E8879E"/>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4F1E0469"/>
    <w:multiLevelType w:val="hybridMultilevel"/>
    <w:tmpl w:val="E544FD5C"/>
    <w:lvl w:ilvl="0" w:tplc="E62CA6A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4564DA"/>
    <w:multiLevelType w:val="hybridMultilevel"/>
    <w:tmpl w:val="7FEE47DE"/>
    <w:lvl w:ilvl="0" w:tplc="2D927FC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7"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8" w15:restartNumberingAfterBreak="0">
    <w:nsid w:val="5D4E4BC9"/>
    <w:multiLevelType w:val="hybridMultilevel"/>
    <w:tmpl w:val="5D5CE614"/>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F3B2A1F"/>
    <w:multiLevelType w:val="hybridMultilevel"/>
    <w:tmpl w:val="6FCA22BC"/>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0" w15:restartNumberingAfterBreak="0">
    <w:nsid w:val="68BB2DC0"/>
    <w:multiLevelType w:val="hybridMultilevel"/>
    <w:tmpl w:val="648834F8"/>
    <w:lvl w:ilvl="0" w:tplc="1C08CA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A7B3F1F"/>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EBF5811"/>
    <w:multiLevelType w:val="hybridMultilevel"/>
    <w:tmpl w:val="F288F664"/>
    <w:lvl w:ilvl="0" w:tplc="A4AC0692">
      <w:start w:val="1"/>
      <w:numFmt w:val="lowerLetter"/>
      <w:lvlText w:val="%1)"/>
      <w:lvlJc w:val="left"/>
      <w:pPr>
        <w:tabs>
          <w:tab w:val="num" w:pos="624"/>
        </w:tabs>
        <w:ind w:left="624" w:hanging="397"/>
      </w:pPr>
      <w:rPr>
        <w:rFonts w:ascii="Book Antiqua" w:hAnsi="Book Antiqua" w:hint="default"/>
        <w:b w:val="0"/>
        <w:i w:val="0"/>
      </w:rPr>
    </w:lvl>
    <w:lvl w:ilvl="1" w:tplc="580AE7E8">
      <w:start w:val="1"/>
      <w:numFmt w:val="decimal"/>
      <w:lvlText w:val="%2)"/>
      <w:lvlJc w:val="left"/>
      <w:pPr>
        <w:tabs>
          <w:tab w:val="num" w:pos="1590"/>
        </w:tabs>
        <w:ind w:left="1590" w:hanging="510"/>
      </w:pPr>
      <w:rPr>
        <w:rFonts w:hint="default"/>
        <w:b w:val="0"/>
        <w:i w:val="0"/>
        <w:sz w:val="24"/>
        <w:szCs w:val="24"/>
      </w:rPr>
    </w:lvl>
    <w:lvl w:ilvl="2" w:tplc="5FDAA54E">
      <w:start w:val="1"/>
      <w:numFmt w:val="lowerLetter"/>
      <w:lvlText w:val="%3)"/>
      <w:lvlJc w:val="left"/>
      <w:pPr>
        <w:tabs>
          <w:tab w:val="num" w:pos="397"/>
        </w:tabs>
        <w:ind w:left="340" w:hanging="340"/>
      </w:pPr>
      <w:rPr>
        <w:rFonts w:ascii="Tunga" w:hAnsi="Tunga" w:hint="default"/>
        <w:b w:val="0"/>
        <w:i w:val="0"/>
        <w:sz w:val="20"/>
      </w:rPr>
    </w:lvl>
    <w:lvl w:ilvl="3" w:tplc="A5D467DE">
      <w:start w:val="2"/>
      <w:numFmt w:val="decimal"/>
      <w:lvlText w:val="%4)"/>
      <w:lvlJc w:val="left"/>
      <w:pPr>
        <w:tabs>
          <w:tab w:val="num" w:pos="340"/>
        </w:tabs>
        <w:ind w:left="340" w:hanging="340"/>
      </w:pPr>
      <w:rPr>
        <w:rFonts w:hint="default"/>
        <w:b w:val="0"/>
        <w:i w:val="0"/>
        <w:sz w:val="24"/>
        <w:szCs w:val="24"/>
      </w:rPr>
    </w:lvl>
    <w:lvl w:ilvl="4" w:tplc="16449C48">
      <w:start w:val="7"/>
      <w:numFmt w:val="lowerLetter"/>
      <w:lvlText w:val="%5)"/>
      <w:lvlJc w:val="left"/>
      <w:pPr>
        <w:tabs>
          <w:tab w:val="num" w:pos="397"/>
        </w:tabs>
        <w:ind w:left="397" w:hanging="397"/>
      </w:pPr>
      <w:rPr>
        <w:rFonts w:ascii="Book Antiqua" w:hAnsi="Book Antiqua"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472F0D"/>
    <w:multiLevelType w:val="hybridMultilevel"/>
    <w:tmpl w:val="E56CF2E8"/>
    <w:lvl w:ilvl="0" w:tplc="B31EF96E">
      <w:start w:val="1"/>
      <w:numFmt w:val="bullet"/>
      <w:lvlText w:val="­"/>
      <w:lvlJc w:val="left"/>
      <w:pPr>
        <w:ind w:left="720" w:hanging="360"/>
      </w:pPr>
      <w:rPr>
        <w:rFonts w:ascii="Arial Unicode MS" w:eastAsia="Arial Unicode MS" w:hAnsi="Arial Unicode MS"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36" w15:restartNumberingAfterBreak="0">
    <w:nsid w:val="7719527B"/>
    <w:multiLevelType w:val="hybridMultilevel"/>
    <w:tmpl w:val="110EA41C"/>
    <w:lvl w:ilvl="0" w:tplc="7A20AC8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255E79"/>
    <w:multiLevelType w:val="hybridMultilevel"/>
    <w:tmpl w:val="31528AD6"/>
    <w:lvl w:ilvl="0" w:tplc="32EE4538">
      <w:start w:val="1"/>
      <w:numFmt w:val="lowerLetter"/>
      <w:lvlText w:val="%1)"/>
      <w:lvlJc w:val="left"/>
      <w:pPr>
        <w:tabs>
          <w:tab w:val="num" w:pos="1364"/>
        </w:tabs>
        <w:ind w:left="1364" w:hanging="284"/>
      </w:pPr>
      <w:rPr>
        <w:rFonts w:ascii="Times New Roman" w:hAnsi="Times New Roman" w:hint="default"/>
        <w:b w:val="0"/>
        <w:i w:val="0"/>
        <w:sz w:val="24"/>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221FE0"/>
    <w:multiLevelType w:val="hybridMultilevel"/>
    <w:tmpl w:val="F5D0BA60"/>
    <w:lvl w:ilvl="0" w:tplc="1C08CA2A">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FD6BB9"/>
    <w:multiLevelType w:val="hybridMultilevel"/>
    <w:tmpl w:val="CDA48BC0"/>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17"/>
  </w:num>
  <w:num w:numId="4">
    <w:abstractNumId w:val="2"/>
  </w:num>
  <w:num w:numId="5">
    <w:abstractNumId w:val="21"/>
  </w:num>
  <w:num w:numId="6">
    <w:abstractNumId w:val="5"/>
  </w:num>
  <w:num w:numId="7">
    <w:abstractNumId w:val="25"/>
  </w:num>
  <w:num w:numId="8">
    <w:abstractNumId w:val="0"/>
  </w:num>
  <w:num w:numId="9">
    <w:abstractNumId w:val="1"/>
  </w:num>
  <w:num w:numId="10">
    <w:abstractNumId w:val="39"/>
  </w:num>
  <w:num w:numId="11">
    <w:abstractNumId w:val="28"/>
  </w:num>
  <w:num w:numId="12">
    <w:abstractNumId w:val="7"/>
  </w:num>
  <w:num w:numId="13">
    <w:abstractNumId w:val="36"/>
  </w:num>
  <w:num w:numId="14">
    <w:abstractNumId w:val="33"/>
  </w:num>
  <w:num w:numId="15">
    <w:abstractNumId w:val="37"/>
  </w:num>
  <w:num w:numId="16">
    <w:abstractNumId w:val="26"/>
  </w:num>
  <w:num w:numId="17">
    <w:abstractNumId w:val="20"/>
  </w:num>
  <w:num w:numId="18">
    <w:abstractNumId w:val="29"/>
  </w:num>
  <w:num w:numId="19">
    <w:abstractNumId w:val="30"/>
  </w:num>
  <w:num w:numId="20">
    <w:abstractNumId w:val="22"/>
  </w:num>
  <w:num w:numId="21">
    <w:abstractNumId w:val="14"/>
  </w:num>
  <w:num w:numId="22">
    <w:abstractNumId w:val="32"/>
  </w:num>
  <w:num w:numId="23">
    <w:abstractNumId w:val="13"/>
  </w:num>
  <w:num w:numId="24">
    <w:abstractNumId w:val="10"/>
  </w:num>
  <w:num w:numId="25">
    <w:abstractNumId w:val="4"/>
  </w:num>
  <w:num w:numId="26">
    <w:abstractNumId w:val="12"/>
  </w:num>
  <w:num w:numId="27">
    <w:abstractNumId w:val="6"/>
  </w:num>
  <w:num w:numId="28">
    <w:abstractNumId w:val="24"/>
  </w:num>
  <w:num w:numId="29">
    <w:abstractNumId w:val="9"/>
  </w:num>
  <w:num w:numId="30">
    <w:abstractNumId w:val="23"/>
  </w:num>
  <w:num w:numId="31">
    <w:abstractNumId w:val="18"/>
  </w:num>
  <w:num w:numId="32">
    <w:abstractNumId w:val="16"/>
  </w:num>
  <w:num w:numId="33">
    <w:abstractNumId w:val="8"/>
  </w:num>
  <w:num w:numId="34">
    <w:abstractNumId w:val="15"/>
  </w:num>
  <w:num w:numId="35">
    <w:abstractNumId w:val="34"/>
  </w:num>
  <w:num w:numId="36">
    <w:abstractNumId w:val="19"/>
  </w:num>
  <w:num w:numId="37">
    <w:abstractNumId w:val="3"/>
  </w:num>
  <w:num w:numId="38">
    <w:abstractNumId w:val="11"/>
  </w:num>
  <w:num w:numId="39">
    <w:abstractNumId w:val="38"/>
  </w:num>
  <w:num w:numId="40">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04F0"/>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56E"/>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2FD5"/>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593"/>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09E7"/>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C4E"/>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0959"/>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1E52"/>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3D6E"/>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8C0"/>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464"/>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5C5"/>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514"/>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C60"/>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57A"/>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88D"/>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412"/>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7AD"/>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6C80"/>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008"/>
    <w:rsid w:val="00F54136"/>
    <w:rsid w:val="00F54DA6"/>
    <w:rsid w:val="00F54DCE"/>
    <w:rsid w:val="00F559F1"/>
    <w:rsid w:val="00F55C68"/>
    <w:rsid w:val="00F55F3B"/>
    <w:rsid w:val="00F57D74"/>
    <w:rsid w:val="00F57DA3"/>
    <w:rsid w:val="00F601F0"/>
    <w:rsid w:val="00F60388"/>
    <w:rsid w:val="00F60862"/>
    <w:rsid w:val="00F615FF"/>
    <w:rsid w:val="00F6190C"/>
    <w:rsid w:val="00F619DA"/>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594"/>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E46C80"/>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7CD9B-077A-4772-9D73-E248EC21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4171</Words>
  <Characters>28029</Characters>
  <Application>Microsoft Office Word</Application>
  <DocSecurity>0</DocSecurity>
  <Lines>233</Lines>
  <Paragraphs>64</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Lange Monika</cp:lastModifiedBy>
  <cp:revision>17</cp:revision>
  <cp:lastPrinted>2024-03-15T07:24:00Z</cp:lastPrinted>
  <dcterms:created xsi:type="dcterms:W3CDTF">2024-03-04T07:18:00Z</dcterms:created>
  <dcterms:modified xsi:type="dcterms:W3CDTF">2024-05-07T08:14:00Z</dcterms:modified>
</cp:coreProperties>
</file>