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D97319" w:rsidRDefault="007A35A7" w:rsidP="00254EC5">
      <w:pPr>
        <w:pStyle w:val="Nagwek1"/>
        <w:ind w:firstLine="5245"/>
        <w:rPr>
          <w:rFonts w:asciiTheme="minorHAnsi" w:hAnsiTheme="minorHAnsi" w:cstheme="minorHAnsi"/>
          <w:b w:val="0"/>
          <w:bCs/>
          <w:sz w:val="22"/>
          <w:szCs w:val="22"/>
          <w:lang w:eastAsia="pl-PL"/>
        </w:rPr>
      </w:pPr>
      <w:r w:rsidRPr="00D97319">
        <w:rPr>
          <w:rFonts w:asciiTheme="minorHAnsi" w:hAnsiTheme="minorHAnsi" w:cstheme="minorHAnsi"/>
          <w:b w:val="0"/>
          <w:bCs/>
          <w:sz w:val="22"/>
          <w:szCs w:val="22"/>
        </w:rPr>
        <w:t>Załącznik nr 20</w:t>
      </w:r>
    </w:p>
    <w:p w14:paraId="580B0DAF" w14:textId="3BA91836" w:rsidR="006E53F6" w:rsidRPr="00D97319" w:rsidRDefault="006E53F6" w:rsidP="00254EC5">
      <w:pPr>
        <w:pStyle w:val="Nagwek1"/>
        <w:ind w:left="5245"/>
        <w:rPr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do Zasad obiegu oraz kontroli sprawozdań budżetowych, sprawozdań w zakresie operacji finansowych i sprawozdań finansowych w Urzędzie m.st. Warszawy </w:t>
      </w:r>
      <w:r w:rsidR="00D97319" w:rsidRPr="00D97319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I </w:t>
      </w:r>
      <w:r w:rsidRPr="00D97319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jednostkach organizacyjnych m.st. Warszawy</w:t>
      </w:r>
    </w:p>
    <w:p w14:paraId="3B18D3AF" w14:textId="77777777" w:rsidR="009D1313" w:rsidRPr="00D97319" w:rsidRDefault="009D1313" w:rsidP="00D97319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before="240"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370043" w:rsidRPr="00D97319">
        <w:rPr>
          <w:rFonts w:asciiTheme="minorHAnsi" w:hAnsiTheme="minorHAnsi" w:cstheme="minorHAnsi"/>
          <w:sz w:val="22"/>
          <w:szCs w:val="22"/>
          <w:lang w:val="pl-PL"/>
        </w:rPr>
        <w:t>&lt;nazwa jednostki&gt;</w:t>
      </w:r>
      <w:r w:rsidRPr="00D9731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77777777" w:rsidR="009D1313" w:rsidRPr="00D97319" w:rsidRDefault="002B7FB2" w:rsidP="00254E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D97319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30383153" w14:textId="3B9A9B66" w:rsidR="008727DC" w:rsidRPr="00D97319" w:rsidRDefault="008727DC" w:rsidP="00254EC5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D97319">
        <w:rPr>
          <w:rFonts w:asciiTheme="minorHAnsi" w:hAnsiTheme="minorHAnsi" w:cstheme="minorHAnsi"/>
          <w:sz w:val="22"/>
          <w:szCs w:val="22"/>
          <w:lang w:val="pl-PL" w:bidi="ar-TN"/>
        </w:rPr>
        <w:t>Urząd Dzielnicy Śródmieście</w:t>
      </w:r>
    </w:p>
    <w:p w14:paraId="68FB6D7E" w14:textId="77777777" w:rsidR="005E5664" w:rsidRPr="00D97319" w:rsidRDefault="002B7FB2" w:rsidP="00254E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37B36AF3" w14:textId="4BBDD446" w:rsidR="008727DC" w:rsidRPr="00D97319" w:rsidRDefault="008727DC" w:rsidP="00254EC5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Warszawa</w:t>
      </w:r>
    </w:p>
    <w:p w14:paraId="10A46D58" w14:textId="77777777" w:rsidR="009D1313" w:rsidRPr="00D97319" w:rsidRDefault="002B7FB2" w:rsidP="00254E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33E2CE0A" w14:textId="73CBF654" w:rsidR="008727DC" w:rsidRPr="00D97319" w:rsidRDefault="008727DC" w:rsidP="00254EC5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ul. Nowogrodzka 43, 00-691 Warszawa</w:t>
      </w:r>
    </w:p>
    <w:p w14:paraId="0F037208" w14:textId="77777777" w:rsidR="009D1313" w:rsidRPr="00D97319" w:rsidRDefault="002B7FB2" w:rsidP="00254EC5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49D60474" w14:textId="7E453022" w:rsidR="008727DC" w:rsidRPr="00D97319" w:rsidRDefault="008727DC" w:rsidP="00254EC5">
      <w:pPr>
        <w:pStyle w:val="Tekstpodstawowy"/>
        <w:keepLines/>
        <w:widowControl w:val="0"/>
        <w:adjustRightInd w:val="0"/>
        <w:spacing w:after="240" w:line="300" w:lineRule="auto"/>
        <w:ind w:left="992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color w:val="auto"/>
          <w:sz w:val="22"/>
          <w:szCs w:val="22"/>
          <w:lang w:val="pl-PL"/>
        </w:rPr>
        <w:t>Kierowanie podstawowymi rodzajami działalności publicznej</w:t>
      </w:r>
    </w:p>
    <w:p w14:paraId="123A6511" w14:textId="77777777" w:rsidR="002B7FB2" w:rsidRPr="00D97319" w:rsidRDefault="002B7FB2" w:rsidP="00254EC5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064EA40A" w14:textId="0A640F3C" w:rsidR="00DA36FD" w:rsidRPr="00D97319" w:rsidRDefault="00DA36FD" w:rsidP="00D97319">
      <w:pPr>
        <w:tabs>
          <w:tab w:val="left" w:pos="975"/>
        </w:tabs>
        <w:spacing w:line="30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01.01.2023</w:t>
      </w:r>
      <w:r w:rsidR="00771A14">
        <w:rPr>
          <w:rFonts w:asciiTheme="minorHAnsi" w:hAnsiTheme="minorHAnsi" w:cstheme="minorHAnsi"/>
          <w:sz w:val="22"/>
          <w:szCs w:val="22"/>
        </w:rPr>
        <w:t xml:space="preserve"> </w:t>
      </w:r>
      <w:r w:rsidRPr="00D97319">
        <w:rPr>
          <w:rFonts w:asciiTheme="minorHAnsi" w:hAnsiTheme="minorHAnsi" w:cstheme="minorHAnsi"/>
          <w:sz w:val="22"/>
          <w:szCs w:val="22"/>
        </w:rPr>
        <w:t>r</w:t>
      </w:r>
      <w:r w:rsidR="00771A14">
        <w:rPr>
          <w:rFonts w:asciiTheme="minorHAnsi" w:hAnsiTheme="minorHAnsi" w:cstheme="minorHAnsi"/>
          <w:sz w:val="22"/>
          <w:szCs w:val="22"/>
        </w:rPr>
        <w:t>.</w:t>
      </w:r>
      <w:r w:rsidRPr="00D97319">
        <w:rPr>
          <w:rFonts w:asciiTheme="minorHAnsi" w:hAnsiTheme="minorHAnsi" w:cstheme="minorHAnsi"/>
          <w:sz w:val="22"/>
          <w:szCs w:val="22"/>
        </w:rPr>
        <w:t xml:space="preserve"> – 31.12.2023</w:t>
      </w:r>
      <w:r w:rsidR="00771A14">
        <w:rPr>
          <w:rFonts w:asciiTheme="minorHAnsi" w:hAnsiTheme="minorHAnsi" w:cstheme="minorHAnsi"/>
          <w:sz w:val="22"/>
          <w:szCs w:val="22"/>
        </w:rPr>
        <w:t xml:space="preserve"> </w:t>
      </w:r>
      <w:r w:rsidRPr="00D97319">
        <w:rPr>
          <w:rFonts w:asciiTheme="minorHAnsi" w:hAnsiTheme="minorHAnsi" w:cstheme="minorHAnsi"/>
          <w:sz w:val="22"/>
          <w:szCs w:val="22"/>
        </w:rPr>
        <w:t>r</w:t>
      </w:r>
      <w:r w:rsidR="00771A14">
        <w:rPr>
          <w:rFonts w:asciiTheme="minorHAnsi" w:hAnsiTheme="minorHAnsi" w:cstheme="minorHAnsi"/>
          <w:sz w:val="22"/>
          <w:szCs w:val="22"/>
        </w:rPr>
        <w:t>.</w:t>
      </w:r>
    </w:p>
    <w:p w14:paraId="687EDBC6" w14:textId="4D3F8BFF" w:rsidR="00DA36FD" w:rsidRPr="00D97319" w:rsidRDefault="002B7FB2" w:rsidP="00D97319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before="240"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D97319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D97319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5D533BB0" w14:textId="77777777" w:rsidR="00DA36FD" w:rsidRPr="00D97319" w:rsidRDefault="003007CE" w:rsidP="00254EC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8E6924" w:rsidRPr="00D9731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36FD"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>Księgi rachunkowe w Urzędzie Dzielnicy Śródmieście prowadzone są przy</w:t>
      </w:r>
      <w:r w:rsidR="00DA36FD" w:rsidRPr="00D9731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36FD"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>użyciu techniki komputerowej z zastosowaniem następującego oprogramowania:</w:t>
      </w:r>
    </w:p>
    <w:p w14:paraId="5D25C53F" w14:textId="5379EE54" w:rsidR="00DA36FD" w:rsidRPr="00D97319" w:rsidRDefault="00DA36FD" w:rsidP="00D97319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 xml:space="preserve">System OTAGO </w:t>
      </w:r>
      <w:r w:rsidR="00D97319" w:rsidRPr="00D97319">
        <w:rPr>
          <w:rFonts w:asciiTheme="minorHAnsi" w:hAnsiTheme="minorHAnsi" w:cstheme="minorHAnsi"/>
          <w:sz w:val="22"/>
          <w:szCs w:val="22"/>
        </w:rPr>
        <w:t>–</w:t>
      </w:r>
      <w:r w:rsidRPr="00D97319">
        <w:rPr>
          <w:rFonts w:asciiTheme="minorHAnsi" w:hAnsiTheme="minorHAnsi" w:cstheme="minorHAnsi"/>
          <w:sz w:val="22"/>
          <w:szCs w:val="22"/>
        </w:rPr>
        <w:t xml:space="preserve"> księgowość budżetu, wieczyste użytkowanie, opłata przekształceniowa, kasa).</w:t>
      </w:r>
    </w:p>
    <w:p w14:paraId="0D0CFAD3" w14:textId="77777777" w:rsidR="00DA36FD" w:rsidRPr="00D97319" w:rsidRDefault="00DA36FD" w:rsidP="00D97319">
      <w:pPr>
        <w:numPr>
          <w:ilvl w:val="1"/>
          <w:numId w:val="49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MILLENIUM firmy Bomark – księgowość jednostki, magazyn, środki trwałe, kredyty mieszkaniowe.</w:t>
      </w:r>
    </w:p>
    <w:p w14:paraId="45FF2A92" w14:textId="29FAE5E7" w:rsidR="00DA36FD" w:rsidRPr="00D97319" w:rsidRDefault="00DA36FD" w:rsidP="00254EC5">
      <w:pPr>
        <w:numPr>
          <w:ilvl w:val="1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CESARZ – sprawozdawczość budżetowa</w:t>
      </w:r>
      <w:r w:rsidR="003D38FE">
        <w:rPr>
          <w:rFonts w:asciiTheme="minorHAnsi" w:hAnsiTheme="minorHAnsi" w:cstheme="minorHAnsi"/>
          <w:sz w:val="22"/>
          <w:szCs w:val="22"/>
        </w:rPr>
        <w:t>.</w:t>
      </w:r>
    </w:p>
    <w:p w14:paraId="69110C89" w14:textId="195296DA" w:rsidR="00DA36FD" w:rsidRPr="00D97319" w:rsidRDefault="00DA36FD" w:rsidP="00254EC5">
      <w:pPr>
        <w:numPr>
          <w:ilvl w:val="1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SIGOK – księgowość opłat za odpady komunalne</w:t>
      </w:r>
      <w:r w:rsidR="003D38FE">
        <w:rPr>
          <w:rFonts w:asciiTheme="minorHAnsi" w:hAnsiTheme="minorHAnsi" w:cstheme="minorHAnsi"/>
          <w:sz w:val="22"/>
          <w:szCs w:val="22"/>
        </w:rPr>
        <w:t>.</w:t>
      </w:r>
    </w:p>
    <w:p w14:paraId="7738A9AE" w14:textId="799244E4" w:rsidR="00DA36FD" w:rsidRPr="00771A14" w:rsidRDefault="00DA36FD" w:rsidP="00771A14">
      <w:pPr>
        <w:numPr>
          <w:ilvl w:val="1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STRATEG – ewidencja nieruchomości</w:t>
      </w:r>
      <w:r w:rsidR="003D38FE">
        <w:rPr>
          <w:rFonts w:asciiTheme="minorHAnsi" w:hAnsiTheme="minorHAnsi" w:cstheme="minorHAnsi"/>
          <w:sz w:val="22"/>
          <w:szCs w:val="22"/>
        </w:rPr>
        <w:t>.</w:t>
      </w:r>
    </w:p>
    <w:p w14:paraId="53D26E5F" w14:textId="77777777" w:rsidR="00DA36FD" w:rsidRPr="00D97319" w:rsidRDefault="00DA36FD" w:rsidP="00771A14">
      <w:pPr>
        <w:spacing w:before="240" w:line="300" w:lineRule="auto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Stosowane systemy informatyczne tworzą następujące zbiory:</w:t>
      </w:r>
    </w:p>
    <w:p w14:paraId="4AE11D95" w14:textId="7D536B52" w:rsidR="00DA36FD" w:rsidRPr="00D97319" w:rsidRDefault="00DA36FD" w:rsidP="00254EC5">
      <w:pPr>
        <w:numPr>
          <w:ilvl w:val="2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dziennik poprzez chronologiczne grupowanie zapisów</w:t>
      </w:r>
      <w:r w:rsidR="003D38FE">
        <w:rPr>
          <w:rFonts w:asciiTheme="minorHAnsi" w:hAnsiTheme="minorHAnsi" w:cstheme="minorHAnsi"/>
          <w:sz w:val="22"/>
          <w:szCs w:val="22"/>
        </w:rPr>
        <w:t>,</w:t>
      </w:r>
    </w:p>
    <w:p w14:paraId="3938CC9F" w14:textId="044936EF" w:rsidR="00DA36FD" w:rsidRPr="00D97319" w:rsidRDefault="00DA36FD" w:rsidP="00254EC5">
      <w:pPr>
        <w:numPr>
          <w:ilvl w:val="2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lastRenderedPageBreak/>
        <w:t>księgę główną i księgi pomocnicze poprzez grupowanie zapisów w porządku systematycznym</w:t>
      </w:r>
      <w:r w:rsidR="003D38FE">
        <w:rPr>
          <w:rFonts w:asciiTheme="minorHAnsi" w:hAnsiTheme="minorHAnsi" w:cstheme="minorHAnsi"/>
          <w:sz w:val="22"/>
          <w:szCs w:val="22"/>
        </w:rPr>
        <w:t>,</w:t>
      </w:r>
    </w:p>
    <w:p w14:paraId="530ED464" w14:textId="07CD11F8" w:rsidR="00DA36FD" w:rsidRPr="00D97319" w:rsidRDefault="00DA36FD" w:rsidP="00254EC5">
      <w:pPr>
        <w:numPr>
          <w:ilvl w:val="2"/>
          <w:numId w:val="4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zestawienie obrotów i sald księgi głównej i ksiąg pomocniczych</w:t>
      </w:r>
      <w:r w:rsidR="003D38FE">
        <w:rPr>
          <w:rFonts w:asciiTheme="minorHAnsi" w:hAnsiTheme="minorHAnsi" w:cstheme="minorHAnsi"/>
          <w:sz w:val="22"/>
          <w:szCs w:val="22"/>
        </w:rPr>
        <w:t>.</w:t>
      </w:r>
    </w:p>
    <w:p w14:paraId="7AF6D7FE" w14:textId="02197B6A" w:rsidR="00DA36FD" w:rsidRPr="00D97319" w:rsidRDefault="00DA36FD" w:rsidP="003D38FE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Systemy posiadają funkcję automatycznej kontroli ciągłości zapisów, tworzenia bilansu zamknięcia i</w:t>
      </w:r>
      <w:r w:rsidR="003D38FE">
        <w:rPr>
          <w:rFonts w:asciiTheme="minorHAnsi" w:hAnsiTheme="minorHAnsi" w:cstheme="minorHAnsi"/>
          <w:sz w:val="22"/>
          <w:szCs w:val="22"/>
        </w:rPr>
        <w:t> </w:t>
      </w:r>
      <w:r w:rsidRPr="00D97319">
        <w:rPr>
          <w:rFonts w:asciiTheme="minorHAnsi" w:hAnsiTheme="minorHAnsi" w:cstheme="minorHAnsi"/>
          <w:sz w:val="22"/>
          <w:szCs w:val="22"/>
        </w:rPr>
        <w:t>otwarcia, automatycznej numeracji rekordów, identyfikacji użytkownika, prowadzenia zapisów księgowych oraz przetwarzania ich zgodnie z wymogami ustawy o rachunkowości.</w:t>
      </w:r>
    </w:p>
    <w:p w14:paraId="6AC9190B" w14:textId="77777777" w:rsidR="00DA36FD" w:rsidRPr="00D97319" w:rsidRDefault="00DA36FD" w:rsidP="003D38FE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Zasady wyceny:</w:t>
      </w:r>
    </w:p>
    <w:p w14:paraId="3FD298E2" w14:textId="5BBA7D03" w:rsidR="00DA36FD" w:rsidRPr="00D97319" w:rsidRDefault="00DA36FD" w:rsidP="003D38F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Zapasy magazynowe materiałów wycenia się według cen nabycia, powiększone o nie podlegający odliczeniu podatek VAT. Rozchód materiałów z magazynu wycenia się według zasady „pierwsze przyszło – pierwsze wyszło” tj. w cenie zakupu materiałów nabytych najwcześniej. Środki trwałe oraz wartości niematerialne i prawne wycenia się według cen nabycia lub kosztów wytworzenia, pomniejszonej o dotychczasowe dokonane odpisy umorzeniowe a także odpisy z tytułu ewentualnej utraty wartości oraz skorygowanej o przeszacowania dokonane na podstawie odrębnych przepisów. W przypadku zaistnienia przyczyn powodujących trwałą utratę wartości środka trwałego, wartości niematerialnych i prawnych oraz środków trwałych w budowie dokonuje się odpisu aktualizującego jego wartość. Ustalanie odpisu aktualizującego wycenę środków trwałych, wartości niematerialnych i</w:t>
      </w:r>
      <w:r w:rsidR="003D38FE">
        <w:rPr>
          <w:rFonts w:asciiTheme="minorHAnsi" w:hAnsiTheme="minorHAnsi" w:cstheme="minorHAnsi"/>
          <w:sz w:val="22"/>
          <w:szCs w:val="22"/>
        </w:rPr>
        <w:t> </w:t>
      </w:r>
      <w:r w:rsidRPr="00D97319">
        <w:rPr>
          <w:rFonts w:asciiTheme="minorHAnsi" w:hAnsiTheme="minorHAnsi" w:cstheme="minorHAnsi"/>
          <w:sz w:val="22"/>
          <w:szCs w:val="22"/>
        </w:rPr>
        <w:t>prawnych oraz środków trwałych w budowie spowodowaną trwałą utratą przez nie wartości, odbywa się nie rzadziej niż raz w roku, na dzień 31 grudnia. Odpisy odnoszone są w pozostałe koszty operacyjne. Środki trwałe w budowie wycenia się w cenie nabycia lub po koszcie wytworzenia, pomniejszonych o odpisy z tytułu trwałej utraty wartości. Odsetki od należności i zobowiązań, w tym również tych, do których stosuje się przepisy dotyczące zobowiązań podatkowych, ujmuje się w</w:t>
      </w:r>
      <w:r w:rsidR="003D38FE">
        <w:rPr>
          <w:rFonts w:asciiTheme="minorHAnsi" w:hAnsiTheme="minorHAnsi" w:cstheme="minorHAnsi"/>
          <w:sz w:val="22"/>
          <w:szCs w:val="22"/>
        </w:rPr>
        <w:t> </w:t>
      </w:r>
      <w:r w:rsidRPr="00D97319">
        <w:rPr>
          <w:rFonts w:asciiTheme="minorHAnsi" w:hAnsiTheme="minorHAnsi" w:cstheme="minorHAnsi"/>
          <w:sz w:val="22"/>
          <w:szCs w:val="22"/>
        </w:rPr>
        <w:t>księgach rachunkowych w momencie ich zapłaty, lecz nie później niż pod datą ostatniego dnia kwartału w wysokości odsetek należnych na koniec tego kwartału. Wartość należności aktualizuje się uwzględniając stopień prawdopodobieństwa ich zapłaty poprzez dokonanie odpisu aktualizującego, nie później niż na dzień bilansowy. Odpisane, przedawnione i umorzone zobowiązania wycenia się w</w:t>
      </w:r>
      <w:r w:rsidR="003D38FE">
        <w:rPr>
          <w:rFonts w:asciiTheme="minorHAnsi" w:hAnsiTheme="minorHAnsi" w:cstheme="minorHAnsi"/>
          <w:sz w:val="22"/>
          <w:szCs w:val="22"/>
        </w:rPr>
        <w:t> </w:t>
      </w:r>
      <w:r w:rsidRPr="00D97319">
        <w:rPr>
          <w:rFonts w:asciiTheme="minorHAnsi" w:hAnsiTheme="minorHAnsi" w:cstheme="minorHAnsi"/>
          <w:sz w:val="22"/>
          <w:szCs w:val="22"/>
        </w:rPr>
        <w:t>kwocie wymagającej zapłaty i odnosi w pozostałe przychody operacyjne. Otrzymane darowizny w</w:t>
      </w:r>
      <w:r w:rsidR="00771A14">
        <w:rPr>
          <w:rFonts w:asciiTheme="minorHAnsi" w:hAnsiTheme="minorHAnsi" w:cstheme="minorHAnsi"/>
          <w:sz w:val="22"/>
          <w:szCs w:val="22"/>
        </w:rPr>
        <w:t> </w:t>
      </w:r>
      <w:r w:rsidRPr="00D97319">
        <w:rPr>
          <w:rFonts w:asciiTheme="minorHAnsi" w:hAnsiTheme="minorHAnsi" w:cstheme="minorHAnsi"/>
          <w:sz w:val="22"/>
          <w:szCs w:val="22"/>
        </w:rPr>
        <w:t>postaci rzeczowych składników aktywów obrotowych wycenia się w kwocie nie wyższej od ich cen rynkowych w momencie otrzymania. Należne odszkodowania, grzywny i kary wycenia się w kwocie wymagalnej zapłaty. Rzeczowe składniki majątku obrotowego wycenia się na dzień bilansowy według ich wartości wynikającej z ewidencji. Rezerwy na zobowiązania wycenia się nie rzadziej niż na dzień bilansowy w uzasadnionej wiarygodnie oszacowanej wartości.</w:t>
      </w:r>
    </w:p>
    <w:p w14:paraId="66949CDD" w14:textId="77777777" w:rsidR="00DA36FD" w:rsidRPr="00D97319" w:rsidRDefault="00DA36FD" w:rsidP="003D38FE">
      <w:pPr>
        <w:tabs>
          <w:tab w:val="num" w:pos="1620"/>
        </w:tabs>
        <w:spacing w:before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Ustalenie wyniku finansowego następuje poprzez przeksięgowanie w końcu roku obrotowego:</w:t>
      </w:r>
    </w:p>
    <w:p w14:paraId="6E52A89E" w14:textId="77777777" w:rsidR="00DA36FD" w:rsidRPr="00D97319" w:rsidRDefault="00DA36FD" w:rsidP="00254EC5">
      <w:pPr>
        <w:numPr>
          <w:ilvl w:val="0"/>
          <w:numId w:val="47"/>
        </w:numPr>
        <w:tabs>
          <w:tab w:val="clear" w:pos="794"/>
          <w:tab w:val="num" w:pos="900"/>
        </w:tabs>
        <w:spacing w:line="300" w:lineRule="auto"/>
        <w:ind w:left="9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na stronie Wn konta 860 „Wynik finansowy”:</w:t>
      </w:r>
    </w:p>
    <w:p w14:paraId="741BA989" w14:textId="77777777" w:rsidR="00DA36FD" w:rsidRPr="00D97319" w:rsidRDefault="00DA36FD" w:rsidP="00254EC5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sumy poniesionych kosztów operacyjnych w korespondencji z kontami zespołu 4 „Koszty według rodzajów i ich rozliczenie”,</w:t>
      </w:r>
    </w:p>
    <w:p w14:paraId="6443DB96" w14:textId="77777777" w:rsidR="00DA36FD" w:rsidRPr="00D97319" w:rsidRDefault="00DA36FD" w:rsidP="00254EC5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03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kosztów”,</w:t>
      </w:r>
    </w:p>
    <w:p w14:paraId="1A4BFC36" w14:textId="77777777" w:rsidR="00DA36FD" w:rsidRPr="00D97319" w:rsidRDefault="00DA36FD" w:rsidP="00254EC5">
      <w:pPr>
        <w:numPr>
          <w:ilvl w:val="0"/>
          <w:numId w:val="48"/>
        </w:numPr>
        <w:tabs>
          <w:tab w:val="clear" w:pos="1354"/>
          <w:tab w:val="num" w:pos="1260"/>
        </w:tabs>
        <w:spacing w:line="300" w:lineRule="auto"/>
        <w:ind w:left="1260" w:hanging="303"/>
        <w:jc w:val="both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sumy poniesionych kosztów w korespondencji z poszczególnymi kontami zespołu 7</w:t>
      </w:r>
    </w:p>
    <w:p w14:paraId="70175A9D" w14:textId="77777777" w:rsidR="00DA36FD" w:rsidRPr="00D97319" w:rsidRDefault="00DA36FD" w:rsidP="00771A14">
      <w:pPr>
        <w:numPr>
          <w:ilvl w:val="0"/>
          <w:numId w:val="47"/>
        </w:numPr>
        <w:tabs>
          <w:tab w:val="clear" w:pos="794"/>
          <w:tab w:val="num" w:pos="900"/>
        </w:tabs>
        <w:spacing w:line="300" w:lineRule="auto"/>
        <w:ind w:left="900" w:hanging="360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lastRenderedPageBreak/>
        <w:t>na stronie Ma konta 860 „Wynik finansowy”:</w:t>
      </w:r>
    </w:p>
    <w:p w14:paraId="4AFC1F50" w14:textId="77777777" w:rsidR="00DA36FD" w:rsidRPr="00D97319" w:rsidRDefault="00DA36FD" w:rsidP="00771A14">
      <w:pPr>
        <w:numPr>
          <w:ilvl w:val="1"/>
          <w:numId w:val="48"/>
        </w:numPr>
        <w:tabs>
          <w:tab w:val="clear" w:pos="454"/>
          <w:tab w:val="num" w:pos="1260"/>
        </w:tabs>
        <w:spacing w:line="300" w:lineRule="auto"/>
        <w:ind w:left="1260" w:hanging="360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sumy uzyskanych przychodów w korespondencji z poszczególnymi kontami zespołu 7,</w:t>
      </w:r>
    </w:p>
    <w:p w14:paraId="79FE2DA4" w14:textId="7BD6495C" w:rsidR="009D1313" w:rsidRPr="00D97319" w:rsidRDefault="00DA36FD" w:rsidP="00771A14">
      <w:pPr>
        <w:numPr>
          <w:ilvl w:val="1"/>
          <w:numId w:val="48"/>
        </w:numPr>
        <w:tabs>
          <w:tab w:val="clear" w:pos="454"/>
          <w:tab w:val="num" w:pos="1260"/>
        </w:tabs>
        <w:spacing w:line="300" w:lineRule="auto"/>
        <w:ind w:left="1260" w:hanging="360"/>
        <w:rPr>
          <w:rFonts w:asciiTheme="minorHAnsi" w:hAnsiTheme="minorHAnsi" w:cstheme="minorHAnsi"/>
          <w:sz w:val="22"/>
          <w:szCs w:val="22"/>
        </w:rPr>
      </w:pPr>
      <w:r w:rsidRPr="00D97319">
        <w:rPr>
          <w:rFonts w:asciiTheme="minorHAnsi" w:hAnsiTheme="minorHAnsi" w:cstheme="minorHAnsi"/>
          <w:sz w:val="22"/>
          <w:szCs w:val="22"/>
        </w:rPr>
        <w:t>zmianę stanu międzyokresowych rozliczeń kosztów w korespondencji z kontem 490 „Rozliczenie kosztów”.</w:t>
      </w:r>
    </w:p>
    <w:p w14:paraId="2729D57B" w14:textId="77777777" w:rsidR="00765D4F" w:rsidRPr="00D97319" w:rsidRDefault="007A35A7" w:rsidP="003132CA">
      <w:pPr>
        <w:pStyle w:val="Nagwek2"/>
        <w:widowControl w:val="0"/>
        <w:numPr>
          <w:ilvl w:val="0"/>
          <w:numId w:val="6"/>
        </w:numPr>
        <w:tabs>
          <w:tab w:val="clear" w:pos="720"/>
        </w:tabs>
        <w:adjustRightInd w:val="0"/>
        <w:spacing w:before="240" w:after="240" w:line="300" w:lineRule="auto"/>
        <w:ind w:left="851" w:hanging="284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653741B8" w:rsidR="007A35A7" w:rsidRPr="00D97319" w:rsidRDefault="007A35A7" w:rsidP="00254EC5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</w:tabs>
        <w:adjustRightInd w:val="0"/>
        <w:spacing w:after="240" w:line="300" w:lineRule="auto"/>
        <w:ind w:left="851" w:hanging="284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20…</w:t>
      </w:r>
      <w:r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roku w związku ze zmianą prezentacji pozycji i</w:t>
      </w:r>
      <w:r w:rsidR="00771A14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>korektami</w:t>
      </w:r>
      <w:r w:rsidR="00DA6382" w:rsidRPr="00D97319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– brak korekt.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ezentacja pozycji w bilansie"/>
        <w:tblDescription w:val="Tabela zawiera 6 kolumnk - pozycja w bilansie, zmienione pozycje, zatwierdzone sprawozdanie za rok, zmniejszenia w zł, zwiększenia w zł oraz sprawozdanie finansowe za rok po uwzględnieniu korekt w zł.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D97319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C242" w14:textId="65B5AD0A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  <w:r w:rsidR="009675C5"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3EBA" w14:textId="480A819B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Zmniejszenia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89DA" w14:textId="2782D307" w:rsidR="00664118" w:rsidRPr="00D97319" w:rsidRDefault="00664118" w:rsidP="00254EC5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Sprawozdanie finansowe za rok 20…..</w:t>
            </w:r>
            <w:r w:rsidR="003132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 uwzględnieniu korekt</w:t>
            </w:r>
            <w:r w:rsidR="009675C5"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D9731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D97319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D97319" w:rsidRDefault="00664118" w:rsidP="00254E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D97319" w:rsidRDefault="00664118" w:rsidP="00254E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D97319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D97319" w:rsidRDefault="00664118" w:rsidP="00254EC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D97319" w:rsidRDefault="00664118" w:rsidP="00254E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D97319" w:rsidRDefault="00664118" w:rsidP="00254EC5">
            <w:pPr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D97319" w:rsidRDefault="00CF5F24" w:rsidP="00254EC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CF5F24" w:rsidRPr="00D97319" w:rsidSect="00CE2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FCBF" w14:textId="77777777" w:rsidR="00B70143" w:rsidRDefault="00B70143">
      <w:r>
        <w:separator/>
      </w:r>
    </w:p>
  </w:endnote>
  <w:endnote w:type="continuationSeparator" w:id="0">
    <w:p w14:paraId="6E9B9E3B" w14:textId="77777777" w:rsidR="00B70143" w:rsidRDefault="00B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5556" w14:textId="77777777" w:rsidR="00625BB8" w:rsidRDefault="00625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D40C" w14:textId="7844943A" w:rsidR="005F1C24" w:rsidRPr="009675C5" w:rsidRDefault="005F1C24" w:rsidP="009675C5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9D33" w14:textId="77777777" w:rsidR="00625BB8" w:rsidRDefault="00625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55C5" w14:textId="77777777" w:rsidR="00B70143" w:rsidRDefault="00B70143">
      <w:r>
        <w:separator/>
      </w:r>
    </w:p>
  </w:footnote>
  <w:footnote w:type="continuationSeparator" w:id="0">
    <w:p w14:paraId="4125D0F5" w14:textId="77777777" w:rsidR="00B70143" w:rsidRDefault="00B7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9A82" w14:textId="77777777" w:rsidR="00625BB8" w:rsidRDefault="00625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77777777" w:rsidR="00A905BD" w:rsidRPr="009675C5" w:rsidRDefault="001C1428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color w:val="000000"/>
        <w:sz w:val="22"/>
        <w:szCs w:val="22"/>
        <w:lang w:val="pl-PL"/>
      </w:rPr>
      <w:t>&lt;Nazwa jednostki&gt;</w:t>
    </w:r>
  </w:p>
  <w:p w14:paraId="065E7C7A" w14:textId="46C3EC03" w:rsidR="00A905BD" w:rsidRPr="009675C5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Informacja dodatkowa do sprawozdania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finansowe</w:t>
    </w:r>
    <w:r w:rsidRPr="009675C5">
      <w:rPr>
        <w:rFonts w:ascii="Calibri" w:hAnsi="Calibri" w:cs="Calibri"/>
        <w:b/>
        <w:sz w:val="22"/>
        <w:szCs w:val="22"/>
        <w:lang w:val="pl-PL"/>
      </w:rPr>
      <w:t>go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 xml:space="preserve"> za rok obrotowy zakończony 31</w:t>
    </w:r>
    <w:r w:rsidR="00013FD1" w:rsidRPr="009675C5">
      <w:rPr>
        <w:rFonts w:ascii="Calibri" w:hAnsi="Calibri" w:cs="Calibri"/>
        <w:b/>
        <w:sz w:val="22"/>
        <w:szCs w:val="22"/>
        <w:lang w:val="pl-PL"/>
      </w:rPr>
      <w:t> </w:t>
    </w:r>
    <w:r w:rsidR="00D71F0D" w:rsidRPr="009675C5">
      <w:rPr>
        <w:rFonts w:ascii="Calibri" w:hAnsi="Calibri" w:cs="Calibri"/>
        <w:b/>
        <w:sz w:val="22"/>
        <w:szCs w:val="22"/>
        <w:lang w:val="pl-PL"/>
      </w:rPr>
      <w:t>grudnia 20</w:t>
    </w:r>
    <w:r w:rsidR="008727DC">
      <w:rPr>
        <w:rFonts w:ascii="Calibri" w:hAnsi="Calibri" w:cs="Calibri"/>
        <w:b/>
        <w:sz w:val="22"/>
        <w:szCs w:val="22"/>
        <w:lang w:val="pl-PL"/>
      </w:rPr>
      <w:t>23</w:t>
    </w:r>
    <w:r w:rsidR="009675C5">
      <w:rPr>
        <w:rFonts w:ascii="Calibri" w:hAnsi="Calibri" w:cs="Calibri"/>
        <w:b/>
        <w:sz w:val="22"/>
        <w:szCs w:val="22"/>
        <w:lang w:val="pl-PL"/>
      </w:rPr>
      <w:t xml:space="preserve"> </w:t>
    </w:r>
    <w:r w:rsidR="00A905BD" w:rsidRPr="009675C5">
      <w:rPr>
        <w:rFonts w:ascii="Calibri" w:hAnsi="Calibri" w:cs="Calibri"/>
        <w:b/>
        <w:sz w:val="22"/>
        <w:szCs w:val="22"/>
        <w:lang w:val="pl-PL"/>
      </w:rPr>
      <w:t>r.</w:t>
    </w:r>
  </w:p>
  <w:p w14:paraId="71D9F67C" w14:textId="77777777" w:rsidR="00CF5F24" w:rsidRPr="009675C5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szCs w:val="22"/>
        <w:lang w:val="pl-PL"/>
      </w:rPr>
    </w:pPr>
    <w:r w:rsidRPr="009675C5">
      <w:rPr>
        <w:rFonts w:ascii="Calibri" w:hAnsi="Calibri" w:cs="Calibri"/>
        <w:b/>
        <w:sz w:val="22"/>
        <w:szCs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2CA6" w14:textId="77777777" w:rsidR="00625BB8" w:rsidRDefault="00625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33C6C266"/>
    <w:lvl w:ilvl="0" w:tplc="23A014E8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="Times New Roman" w:hAnsi="Times New Roman" w:hint="default"/>
        <w:b w:val="0"/>
        <w:i w:val="0"/>
      </w:rPr>
    </w:lvl>
    <w:lvl w:ilvl="1" w:tplc="C38680F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="Times New (W1)" w:hAnsi="Times New (W1)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76E58C8"/>
    <w:multiLevelType w:val="hybridMultilevel"/>
    <w:tmpl w:val="C804CC7C"/>
    <w:lvl w:ilvl="0" w:tplc="AC62E1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D02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6A8B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2098668574">
    <w:abstractNumId w:val="38"/>
  </w:num>
  <w:num w:numId="2" w16cid:durableId="1336498086">
    <w:abstractNumId w:val="44"/>
  </w:num>
  <w:num w:numId="3" w16cid:durableId="920869270">
    <w:abstractNumId w:val="19"/>
  </w:num>
  <w:num w:numId="4" w16cid:durableId="1238518210">
    <w:abstractNumId w:val="20"/>
  </w:num>
  <w:num w:numId="5" w16cid:durableId="765881175">
    <w:abstractNumId w:val="17"/>
  </w:num>
  <w:num w:numId="6" w16cid:durableId="1865904139">
    <w:abstractNumId w:val="0"/>
  </w:num>
  <w:num w:numId="7" w16cid:durableId="723024455">
    <w:abstractNumId w:val="45"/>
  </w:num>
  <w:num w:numId="8" w16cid:durableId="2017344201">
    <w:abstractNumId w:val="7"/>
  </w:num>
  <w:num w:numId="9" w16cid:durableId="1961569654">
    <w:abstractNumId w:val="23"/>
  </w:num>
  <w:num w:numId="10" w16cid:durableId="40060787">
    <w:abstractNumId w:val="33"/>
  </w:num>
  <w:num w:numId="11" w16cid:durableId="2009139104">
    <w:abstractNumId w:val="12"/>
  </w:num>
  <w:num w:numId="12" w16cid:durableId="1371684777">
    <w:abstractNumId w:val="8"/>
  </w:num>
  <w:num w:numId="13" w16cid:durableId="287396451">
    <w:abstractNumId w:val="29"/>
  </w:num>
  <w:num w:numId="14" w16cid:durableId="1532112960">
    <w:abstractNumId w:val="14"/>
  </w:num>
  <w:num w:numId="15" w16cid:durableId="463736313">
    <w:abstractNumId w:val="24"/>
  </w:num>
  <w:num w:numId="16" w16cid:durableId="97336760">
    <w:abstractNumId w:val="9"/>
  </w:num>
  <w:num w:numId="17" w16cid:durableId="156000693">
    <w:abstractNumId w:val="18"/>
  </w:num>
  <w:num w:numId="18" w16cid:durableId="601454195">
    <w:abstractNumId w:val="27"/>
  </w:num>
  <w:num w:numId="19" w16cid:durableId="501894276">
    <w:abstractNumId w:val="28"/>
  </w:num>
  <w:num w:numId="20" w16cid:durableId="1961644360">
    <w:abstractNumId w:val="46"/>
  </w:num>
  <w:num w:numId="21" w16cid:durableId="2061244102">
    <w:abstractNumId w:val="3"/>
  </w:num>
  <w:num w:numId="22" w16cid:durableId="1452823944">
    <w:abstractNumId w:val="16"/>
  </w:num>
  <w:num w:numId="23" w16cid:durableId="1974210013">
    <w:abstractNumId w:val="13"/>
  </w:num>
  <w:num w:numId="24" w16cid:durableId="2136408763">
    <w:abstractNumId w:val="41"/>
  </w:num>
  <w:num w:numId="25" w16cid:durableId="64884422">
    <w:abstractNumId w:val="40"/>
  </w:num>
  <w:num w:numId="26" w16cid:durableId="1380089215">
    <w:abstractNumId w:val="6"/>
  </w:num>
  <w:num w:numId="27" w16cid:durableId="228227918">
    <w:abstractNumId w:val="34"/>
  </w:num>
  <w:num w:numId="28" w16cid:durableId="2061435890">
    <w:abstractNumId w:val="1"/>
  </w:num>
  <w:num w:numId="29" w16cid:durableId="1621255972">
    <w:abstractNumId w:val="39"/>
  </w:num>
  <w:num w:numId="30" w16cid:durableId="304626757">
    <w:abstractNumId w:val="43"/>
  </w:num>
  <w:num w:numId="31" w16cid:durableId="1529103308">
    <w:abstractNumId w:val="30"/>
  </w:num>
  <w:num w:numId="32" w16cid:durableId="97022704">
    <w:abstractNumId w:val="31"/>
  </w:num>
  <w:num w:numId="33" w16cid:durableId="1028525793">
    <w:abstractNumId w:val="2"/>
  </w:num>
  <w:num w:numId="34" w16cid:durableId="858658947">
    <w:abstractNumId w:val="25"/>
  </w:num>
  <w:num w:numId="35" w16cid:durableId="1905484585">
    <w:abstractNumId w:val="42"/>
  </w:num>
  <w:num w:numId="36" w16cid:durableId="310984907">
    <w:abstractNumId w:val="22"/>
  </w:num>
  <w:num w:numId="37" w16cid:durableId="1228416359">
    <w:abstractNumId w:val="37"/>
  </w:num>
  <w:num w:numId="38" w16cid:durableId="1802962683">
    <w:abstractNumId w:val="10"/>
  </w:num>
  <w:num w:numId="39" w16cid:durableId="1566573050">
    <w:abstractNumId w:val="21"/>
  </w:num>
  <w:num w:numId="40" w16cid:durableId="1364136491">
    <w:abstractNumId w:val="11"/>
  </w:num>
  <w:num w:numId="41" w16cid:durableId="1399326710">
    <w:abstractNumId w:val="26"/>
  </w:num>
  <w:num w:numId="42" w16cid:durableId="409694109">
    <w:abstractNumId w:val="19"/>
  </w:num>
  <w:num w:numId="43" w16cid:durableId="803351068">
    <w:abstractNumId w:val="32"/>
  </w:num>
  <w:num w:numId="44" w16cid:durableId="543829769">
    <w:abstractNumId w:val="19"/>
  </w:num>
  <w:num w:numId="45" w16cid:durableId="1177227912">
    <w:abstractNumId w:val="5"/>
  </w:num>
  <w:num w:numId="46" w16cid:durableId="463743136">
    <w:abstractNumId w:val="36"/>
  </w:num>
  <w:num w:numId="47" w16cid:durableId="1670913139">
    <w:abstractNumId w:val="4"/>
  </w:num>
  <w:num w:numId="48" w16cid:durableId="1905483621">
    <w:abstractNumId w:val="15"/>
  </w:num>
  <w:num w:numId="49" w16cid:durableId="1217552155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04F0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593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4EC5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0959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2CA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38FE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5964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5BB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A14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7DC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4D45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5C5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7A0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6803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57A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143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1F07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28F3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19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36FD"/>
    <w:rsid w:val="00DA406F"/>
    <w:rsid w:val="00DA4077"/>
    <w:rsid w:val="00DA41FA"/>
    <w:rsid w:val="00DA458C"/>
    <w:rsid w:val="00DA542F"/>
    <w:rsid w:val="00DA5448"/>
    <w:rsid w:val="00DA5A4C"/>
    <w:rsid w:val="00DA6382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A7CFC-BC69-45AD-8E1C-73943B83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Piekarzewska Paulina</cp:lastModifiedBy>
  <cp:revision>5</cp:revision>
  <cp:lastPrinted>2024-02-28T11:58:00Z</cp:lastPrinted>
  <dcterms:created xsi:type="dcterms:W3CDTF">2024-03-01T14:45:00Z</dcterms:created>
  <dcterms:modified xsi:type="dcterms:W3CDTF">2024-05-06T07:54:00Z</dcterms:modified>
</cp:coreProperties>
</file>