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A3D" w14:textId="77777777" w:rsidR="008533A8" w:rsidRPr="00CD2732" w:rsidRDefault="008533A8" w:rsidP="00CD2732">
      <w:pPr>
        <w:spacing w:before="120" w:after="120" w:line="360" w:lineRule="auto"/>
        <w:ind w:left="4395" w:firstLine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D2732">
        <w:rPr>
          <w:rFonts w:asciiTheme="minorHAnsi" w:hAnsiTheme="minorHAnsi" w:cstheme="minorHAnsi"/>
          <w:b/>
          <w:bCs/>
          <w:sz w:val="22"/>
          <w:szCs w:val="22"/>
        </w:rPr>
        <w:t>Załącznik nr 20</w:t>
      </w:r>
    </w:p>
    <w:p w14:paraId="6330DFD9" w14:textId="77777777" w:rsidR="008533A8" w:rsidRPr="00CD2732" w:rsidRDefault="008533A8" w:rsidP="00CD2732">
      <w:pPr>
        <w:ind w:left="510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7B6F67EF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 xml:space="preserve">Informacje o Urzędzie m.st. Warszawy dla Dzielnicy Białołęka </w:t>
      </w:r>
    </w:p>
    <w:p w14:paraId="2718BF83" w14:textId="77777777" w:rsidR="00CA7506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Pr="00CD2732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7E782C79" w14:textId="7B77DD3A" w:rsidR="008533A8" w:rsidRPr="00CD2732" w:rsidRDefault="008533A8" w:rsidP="00CD2732">
      <w:pPr>
        <w:pStyle w:val="Tekstpodstawowy"/>
        <w:keepLines/>
        <w:widowControl w:val="0"/>
        <w:adjustRightInd w:val="0"/>
        <w:spacing w:after="0" w:line="360" w:lineRule="auto"/>
        <w:ind w:left="567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CD2732">
        <w:rPr>
          <w:rFonts w:asciiTheme="minorHAnsi" w:hAnsiTheme="minorHAnsi" w:cstheme="minorHAnsi"/>
          <w:sz w:val="22"/>
          <w:szCs w:val="22"/>
          <w:lang w:val="pl-PL" w:bidi="ar-TN"/>
        </w:rPr>
        <w:t>Urząd m.st. Warszawy dla Dzielnicy Białołęka</w:t>
      </w:r>
    </w:p>
    <w:p w14:paraId="6CD1E1D0" w14:textId="77777777" w:rsidR="008533A8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486DBC55" w14:textId="77777777" w:rsidR="008533A8" w:rsidRPr="00CD2732" w:rsidRDefault="008533A8" w:rsidP="00CD2732">
      <w:pPr>
        <w:pStyle w:val="Tekstpodstawowy"/>
        <w:keepLines/>
        <w:widowControl w:val="0"/>
        <w:adjustRightInd w:val="0"/>
        <w:spacing w:after="0" w:line="360" w:lineRule="auto"/>
        <w:ind w:left="567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Ul. Modlińska 197, 03-122 Warszawa</w:t>
      </w:r>
    </w:p>
    <w:p w14:paraId="63D233DA" w14:textId="77777777" w:rsidR="008533A8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5D1FB7BC" w14:textId="77777777" w:rsidR="008533A8" w:rsidRPr="00CD2732" w:rsidRDefault="008533A8" w:rsidP="00CD2732">
      <w:pPr>
        <w:pStyle w:val="Tekstpodstawowy"/>
        <w:keepLines/>
        <w:widowControl w:val="0"/>
        <w:adjustRightInd w:val="0"/>
        <w:spacing w:after="0" w:line="360" w:lineRule="auto"/>
        <w:ind w:left="567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Ul. Modlińska 197, 03-122 Warszawa</w:t>
      </w:r>
    </w:p>
    <w:p w14:paraId="2559D9CA" w14:textId="77777777" w:rsidR="008533A8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5460907B" w14:textId="77777777" w:rsidR="00264868" w:rsidRPr="00CD2732" w:rsidRDefault="008533A8" w:rsidP="00CD2732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zakresu działania Urzędu m.st. Warszawy dla Dzielnicy Białołęka należą wszystkie sprawy publiczne o znaczeniu lokalnym, niezastrzeżone ustawami na rzecz innych podmiotów.</w:t>
      </w:r>
    </w:p>
    <w:p w14:paraId="78CD9527" w14:textId="1793A39D" w:rsidR="008533A8" w:rsidRPr="00CD2732" w:rsidRDefault="008533A8" w:rsidP="00CD2732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zakresu działania Dzielnicy należą, niezastrzeżone dla organów Miasta, sprawy lokalne o zasięgu dzielnicowym:</w:t>
      </w:r>
    </w:p>
    <w:p w14:paraId="01DFEA77" w14:textId="34682104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inwestycji; </w:t>
      </w:r>
    </w:p>
    <w:p w14:paraId="06327CEC" w14:textId="3FB4995D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gminnych zasobów lokalowych położonych na obszarze Dzielnicy;</w:t>
      </w:r>
    </w:p>
    <w:p w14:paraId="59EF2B39" w14:textId="0E6C5988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nieruchomości Miasta położonych na obszarze Dzielnicy; </w:t>
      </w:r>
    </w:p>
    <w:p w14:paraId="475A1119" w14:textId="2AABF361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nabywania i zbywania nieruchomości Mias</w:t>
      </w:r>
      <w:r w:rsidR="00D41A54">
        <w:rPr>
          <w:rFonts w:asciiTheme="minorHAnsi" w:hAnsiTheme="minorHAnsi" w:cstheme="minorHAnsi"/>
          <w:sz w:val="22"/>
          <w:szCs w:val="22"/>
        </w:rPr>
        <w:t xml:space="preserve">ta, położonych na obszarze </w:t>
      </w:r>
      <w:r w:rsidRPr="00CD2732">
        <w:rPr>
          <w:rFonts w:asciiTheme="minorHAnsi" w:hAnsiTheme="minorHAnsi" w:cstheme="minorHAnsi"/>
          <w:sz w:val="22"/>
          <w:szCs w:val="22"/>
        </w:rPr>
        <w:t>Dzielnicy, w zakresie i trybie określonym zarządzeniem Prezydenta;</w:t>
      </w:r>
    </w:p>
    <w:p w14:paraId="654ED01C" w14:textId="1972D7F0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jednostek organizacyjnych Miasta położonych na obszarze Dzielnicy i niezaliczonych do podmiotów o znaczeniu </w:t>
      </w:r>
      <w:r w:rsidR="007B10F8" w:rsidRPr="00CD2732">
        <w:rPr>
          <w:rFonts w:asciiTheme="minorHAnsi" w:hAnsiTheme="minorHAnsi" w:cstheme="minorHAnsi"/>
          <w:sz w:val="22"/>
          <w:szCs w:val="22"/>
        </w:rPr>
        <w:t>ponad dzielnicowym</w:t>
      </w:r>
      <w:r w:rsidRPr="00CD2732">
        <w:rPr>
          <w:rFonts w:asciiTheme="minorHAnsi" w:hAnsiTheme="minorHAnsi" w:cstheme="minorHAnsi"/>
          <w:sz w:val="22"/>
          <w:szCs w:val="22"/>
        </w:rPr>
        <w:t xml:space="preserve"> uchwałą Rady Miasta:</w:t>
      </w:r>
    </w:p>
    <w:p w14:paraId="1B92AED2" w14:textId="255EEEAF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placówek oświaty i wychowania, </w:t>
      </w:r>
    </w:p>
    <w:p w14:paraId="6549704D" w14:textId="0CA705D0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jednostek organizacyjnych, których działalność statutowa dotyczy obsługi finansowej w zakresie oświaty,</w:t>
      </w:r>
    </w:p>
    <w:p w14:paraId="4D6614C9" w14:textId="7E96B3DB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żłobków,</w:t>
      </w:r>
    </w:p>
    <w:p w14:paraId="6038428D" w14:textId="767EDAB5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jednostek organizacyjnych pomocy społecznej,</w:t>
      </w:r>
    </w:p>
    <w:p w14:paraId="695E0BC3" w14:textId="7B993F39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domów kultury, </w:t>
      </w:r>
    </w:p>
    <w:p w14:paraId="57F6314C" w14:textId="411B5615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bibliotek,</w:t>
      </w:r>
    </w:p>
    <w:p w14:paraId="1ACE1B4F" w14:textId="50C23E84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ośrodków sportu i rekreacji,</w:t>
      </w:r>
    </w:p>
    <w:p w14:paraId="6FFA7259" w14:textId="46E53474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lastRenderedPageBreak/>
        <w:t>jednostek organizacyjnych Miasta, których działalność statutowa dotyczy zarządu zasobem mieszkaniowym,</w:t>
      </w:r>
    </w:p>
    <w:p w14:paraId="7601B990" w14:textId="621A328F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innych jednostek określonych w uchwale Rady Miasta;</w:t>
      </w:r>
    </w:p>
    <w:p w14:paraId="3B38C59F" w14:textId="21909EF4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6)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zieleni oraz dróg wewnętrznych będących własnością Miasta, z wyłączeniem terenów zielonych i dróg przekazanych w zarząd innym podmiotom;</w:t>
      </w:r>
    </w:p>
    <w:p w14:paraId="0C02256E" w14:textId="442EA7F2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7)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dzielnicowych obiektów administracyjnych;</w:t>
      </w:r>
    </w:p>
    <w:p w14:paraId="49629712" w14:textId="4CEDB652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8)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jednostek niższego rzędu utworzonych na obszarze Dzielnicy;</w:t>
      </w:r>
    </w:p>
    <w:p w14:paraId="664A6A86" w14:textId="56784599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9)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geodezji i kartografii;</w:t>
      </w:r>
    </w:p>
    <w:p w14:paraId="4FE5807A" w14:textId="5F12E84E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10)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ochrony praw lokatorów i dodatków mieszkaniowych;</w:t>
      </w:r>
    </w:p>
    <w:p w14:paraId="327EB471" w14:textId="7366DD7C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11)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działalności kulturalnej;</w:t>
      </w:r>
    </w:p>
    <w:p w14:paraId="41DD3103" w14:textId="4C4BE67E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12)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ochrony środowiska, odpadów i wód; </w:t>
      </w:r>
    </w:p>
    <w:p w14:paraId="5DAE1163" w14:textId="16D640C6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13)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dróg publicznych, z wyłączeniem dróg przekazanych innym podmiotom, </w:t>
      </w:r>
    </w:p>
    <w:p w14:paraId="79DDDFDF" w14:textId="77777777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a także transportu drogowego, ruchu drogowego i przewozów;</w:t>
      </w:r>
    </w:p>
    <w:p w14:paraId="4FE27734" w14:textId="347FACF8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14)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architektury i budownictwa; </w:t>
      </w:r>
    </w:p>
    <w:p w14:paraId="3E03F635" w14:textId="211B730C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15)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ewidencji działalności gospodarczej;</w:t>
      </w:r>
    </w:p>
    <w:p w14:paraId="390933CF" w14:textId="35195BBE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16)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ewidencji ludności i dowodów osobistych; </w:t>
      </w:r>
    </w:p>
    <w:p w14:paraId="31155CE6" w14:textId="28E14D55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17)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praw jazdy i rejestracji pojazdów;</w:t>
      </w:r>
    </w:p>
    <w:p w14:paraId="1B99AF16" w14:textId="66609064" w:rsidR="00127ABA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18)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pobierani</w:t>
      </w:r>
      <w:r w:rsidR="00A33772" w:rsidRPr="00CD2732">
        <w:rPr>
          <w:rFonts w:asciiTheme="minorHAnsi" w:hAnsiTheme="minorHAnsi" w:cstheme="minorHAnsi"/>
          <w:sz w:val="22"/>
          <w:szCs w:val="22"/>
        </w:rPr>
        <w:t>a podatków,</w:t>
      </w:r>
      <w:r w:rsidRPr="00CD2732">
        <w:rPr>
          <w:rFonts w:asciiTheme="minorHAnsi" w:hAnsiTheme="minorHAnsi" w:cstheme="minorHAnsi"/>
          <w:sz w:val="22"/>
          <w:szCs w:val="22"/>
        </w:rPr>
        <w:t xml:space="preserve"> opłat lokalnych oraz opłaty skarbowej, </w:t>
      </w:r>
    </w:p>
    <w:p w14:paraId="71DE9610" w14:textId="2190365B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19)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promocji dzielnicy;</w:t>
      </w:r>
    </w:p>
    <w:p w14:paraId="032FD110" w14:textId="3481F55C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20)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miejsc pamięci narodowej;</w:t>
      </w:r>
    </w:p>
    <w:p w14:paraId="5C73FFFE" w14:textId="78AE9C04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21)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innych spraw przekazanych Dzielnicy uchwałą Rady Miasta.</w:t>
      </w:r>
    </w:p>
    <w:p w14:paraId="09AD772B" w14:textId="77777777" w:rsidR="008533A8" w:rsidRPr="00CD2732" w:rsidRDefault="008533A8" w:rsidP="00CD2732">
      <w:pPr>
        <w:pStyle w:val="Akapitzlist"/>
        <w:spacing w:before="120" w:after="120" w:line="360" w:lineRule="auto"/>
        <w:ind w:left="992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Ponadto Dzielnica Białołęka wykonuje inne zadania należące do Miasta.</w:t>
      </w:r>
    </w:p>
    <w:p w14:paraId="397F888D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44C8FEC8" w14:textId="55D6652C" w:rsidR="008533A8" w:rsidRPr="00CD2732" w:rsidRDefault="008533A8" w:rsidP="00F33D0A">
      <w:pPr>
        <w:spacing w:after="100" w:afterAutospacing="1"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Roczne sprawozdanie finansowe Urzędu m.st. Warszawy dla Dzielnicy Białołęka obejmuje rok obrotowy trwający : </w:t>
      </w:r>
      <w:r w:rsidR="00B16B77" w:rsidRPr="00CD2732">
        <w:rPr>
          <w:rFonts w:asciiTheme="minorHAnsi" w:hAnsiTheme="minorHAnsi" w:cstheme="minorHAnsi"/>
          <w:sz w:val="22"/>
          <w:szCs w:val="22"/>
        </w:rPr>
        <w:t>od 01 stycznia 20</w:t>
      </w:r>
      <w:r w:rsidR="007B10F8" w:rsidRPr="00CD2732">
        <w:rPr>
          <w:rFonts w:asciiTheme="minorHAnsi" w:hAnsiTheme="minorHAnsi" w:cstheme="minorHAnsi"/>
          <w:sz w:val="22"/>
          <w:szCs w:val="22"/>
        </w:rPr>
        <w:t>2</w:t>
      </w:r>
      <w:r w:rsidR="00787E47">
        <w:rPr>
          <w:rFonts w:asciiTheme="minorHAnsi" w:hAnsiTheme="minorHAnsi" w:cstheme="minorHAnsi"/>
          <w:sz w:val="22"/>
          <w:szCs w:val="22"/>
        </w:rPr>
        <w:t>4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 do 3</w:t>
      </w:r>
      <w:r w:rsidR="00B16B77" w:rsidRPr="00CD2732">
        <w:rPr>
          <w:rFonts w:asciiTheme="minorHAnsi" w:hAnsiTheme="minorHAnsi" w:cstheme="minorHAnsi"/>
          <w:sz w:val="22"/>
          <w:szCs w:val="22"/>
        </w:rPr>
        <w:t>1</w:t>
      </w:r>
      <w:r w:rsidR="00F573A6"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="00B16B77" w:rsidRPr="00CD2732">
        <w:rPr>
          <w:rFonts w:asciiTheme="minorHAnsi" w:hAnsiTheme="minorHAnsi" w:cstheme="minorHAnsi"/>
          <w:sz w:val="22"/>
          <w:szCs w:val="22"/>
        </w:rPr>
        <w:t>grudnia 20</w:t>
      </w:r>
      <w:r w:rsidR="007B10F8" w:rsidRPr="00CD2732">
        <w:rPr>
          <w:rFonts w:asciiTheme="minorHAnsi" w:hAnsiTheme="minorHAnsi" w:cstheme="minorHAnsi"/>
          <w:sz w:val="22"/>
          <w:szCs w:val="22"/>
        </w:rPr>
        <w:t>2</w:t>
      </w:r>
      <w:r w:rsidR="00787E47">
        <w:rPr>
          <w:rFonts w:asciiTheme="minorHAnsi" w:hAnsiTheme="minorHAnsi" w:cstheme="minorHAnsi"/>
          <w:sz w:val="22"/>
          <w:szCs w:val="22"/>
        </w:rPr>
        <w:t>4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CDC9E6A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Wskazanie, że sprawozdanie zawiera dane łączne</w:t>
      </w:r>
      <w:r w:rsidR="000B3528" w:rsidRPr="00CD273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90F818E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0B3528" w:rsidRPr="00CD273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EF2724F" w14:textId="7F163281" w:rsidR="008533A8" w:rsidRPr="00CD2732" w:rsidRDefault="008533A8" w:rsidP="00CD2732">
      <w:pPr>
        <w:spacing w:after="100" w:afterAutospacing="1"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Księgi rachunkowe Urzędu Dzielnicy Białołęka prowadzone są w oparciu</w:t>
      </w:r>
      <w:r w:rsidR="00DD00D4"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Pr="00CD2732">
        <w:rPr>
          <w:rFonts w:asciiTheme="minorHAnsi" w:hAnsiTheme="minorHAnsi" w:cstheme="minorHAnsi"/>
          <w:sz w:val="22"/>
          <w:szCs w:val="22"/>
        </w:rPr>
        <w:t xml:space="preserve">o obowiązującą politykę rachunkowości, która została wprowadzona zarządzeniem Prezydenta m.s.t Warszawy nr 3222/2012 z dnia 13-08-2012 r. w sprawie przyjętych zasad rachunkowości w Urzędzie m.st. Warszawy (z późniejszymi zmianami) i obejmuje zasady prowadzenia ksiąg rachunkowych, </w:t>
      </w:r>
      <w:r w:rsidRPr="00CD2732">
        <w:rPr>
          <w:rFonts w:asciiTheme="minorHAnsi" w:hAnsiTheme="minorHAnsi" w:cstheme="minorHAnsi"/>
          <w:sz w:val="22"/>
          <w:szCs w:val="22"/>
        </w:rPr>
        <w:lastRenderedPageBreak/>
        <w:t>metody wyceny aktywów i pasywów oraz ustalania wyniku finansowego i wyniku wykonania budżetu m.st. Warszawy”.</w:t>
      </w:r>
    </w:p>
    <w:p w14:paraId="7506FA14" w14:textId="5F930E88" w:rsidR="008533A8" w:rsidRPr="00CD2732" w:rsidRDefault="008533A8" w:rsidP="00CD2732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Księgi rachunkowe prowadzi się w Wydziale Budżetowo-Księgowym, oraz w przypadku prowadzenia ksiąg pomocniczych w zakresie ewidencji majątku prowadzi się we właściwych wydziałach merytorycznych.</w:t>
      </w:r>
    </w:p>
    <w:p w14:paraId="7ABC879D" w14:textId="4EC7FA25" w:rsidR="008533A8" w:rsidRPr="00CD2732" w:rsidRDefault="008533A8" w:rsidP="00CD2732">
      <w:pPr>
        <w:keepNext/>
        <w:keepLines/>
        <w:tabs>
          <w:tab w:val="left" w:pos="1978"/>
        </w:tabs>
        <w:spacing w:before="360" w:line="360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D2732">
        <w:rPr>
          <w:rFonts w:asciiTheme="minorHAnsi" w:hAnsiTheme="minorHAnsi" w:cstheme="minorHAnsi"/>
          <w:b/>
          <w:sz w:val="22"/>
          <w:szCs w:val="22"/>
        </w:rPr>
        <w:t>Ważniejsze zasady rachunkowości:</w:t>
      </w:r>
    </w:p>
    <w:p w14:paraId="2DAB8EA4" w14:textId="1F599A32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W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>artości</w:t>
      </w:r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niematerialne i prawne </w:t>
      </w:r>
      <w:r w:rsidRPr="00CD2732">
        <w:rPr>
          <w:rFonts w:asciiTheme="minorHAnsi" w:hAnsiTheme="minorHAnsi" w:cstheme="minorHAnsi"/>
          <w:sz w:val="22"/>
          <w:szCs w:val="22"/>
        </w:rPr>
        <w:t>ujmowane są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 według cen nabycia lub kosztów wytworzenia, pomniejszonej o dotychczasowe dokonane odpisy umorzeniowe a także odpisy z tytułu ewentualnej utraty wartości</w:t>
      </w:r>
      <w:r w:rsidRPr="00CD2732">
        <w:rPr>
          <w:rFonts w:asciiTheme="minorHAnsi" w:hAnsiTheme="minorHAnsi" w:cstheme="minorHAnsi"/>
          <w:sz w:val="22"/>
          <w:szCs w:val="22"/>
        </w:rPr>
        <w:t xml:space="preserve">. Wartości niematerialne i prawne o wartości do 10.000 zł i okresie używanie dłuższym niż 1 rok podlegają umorzeniu w pełnej wartości w miesiącu wydania do używania. Wartości niematerialne i prawne, o wartości jednostkowej powyżej 10.000 zł i okresie używania dłuższym niż rok podlegają umorzeniu </w:t>
      </w:r>
      <w:r w:rsidR="00CD2732">
        <w:rPr>
          <w:rFonts w:asciiTheme="minorHAnsi" w:hAnsiTheme="minorHAnsi" w:cstheme="minorHAnsi"/>
          <w:sz w:val="22"/>
          <w:szCs w:val="22"/>
        </w:rPr>
        <w:t>nie rzadziej niż raz w roku.</w:t>
      </w:r>
    </w:p>
    <w:p w14:paraId="298C061E" w14:textId="0D2D144C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  <w:lang w:val="x-none"/>
        </w:rPr>
        <w:t>Środki trwałe</w:t>
      </w:r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>wycenia się według cen nabycia lub kosztów wytworzenia, pomniejszonej o dotychczasowe dokonane odpisy umorzeniowe a także odpisy z tytułu ewentualnej utraty wartości</w:t>
      </w:r>
      <w:r w:rsidRPr="00CD2732">
        <w:rPr>
          <w:rFonts w:asciiTheme="minorHAnsi" w:hAnsiTheme="minorHAnsi" w:cstheme="minorHAnsi"/>
          <w:sz w:val="22"/>
          <w:szCs w:val="22"/>
        </w:rPr>
        <w:t>. Środki trwałe otrzymane nieodpłatnie wyceniane są w wartości określonej w decyzji o przekazaniu, pomniejszonych o odpisy umorzeniowe i odpisy z t</w:t>
      </w:r>
      <w:r w:rsidR="00CD2732">
        <w:rPr>
          <w:rFonts w:asciiTheme="minorHAnsi" w:hAnsiTheme="minorHAnsi" w:cstheme="minorHAnsi"/>
          <w:sz w:val="22"/>
          <w:szCs w:val="22"/>
        </w:rPr>
        <w:t>ytułu trwałej utraty wartości.</w:t>
      </w:r>
    </w:p>
    <w:p w14:paraId="7BD36CE2" w14:textId="10A2C0D8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Środki trwałe w budowie wycenia się w cenie nabycia lub po koszcie wytworzenia, pomniejszonych o odpisy z tytułu trwałej utraty wartości. </w:t>
      </w:r>
      <w:r w:rsidRPr="00CD2732">
        <w:rPr>
          <w:rFonts w:asciiTheme="minorHAnsi" w:hAnsiTheme="minorHAnsi" w:cstheme="minorHAnsi"/>
          <w:sz w:val="22"/>
          <w:szCs w:val="22"/>
        </w:rPr>
        <w:t>Cena nabycia i koszt wytworzenia środków trwałych w budowie obejmuje ogół kosztów poniesionych przez jednostkę w okresie budowy, montażu, przystosowania i ulepszenia do dnia bilansowego lub przyjęcia użytkowania, łącznie z nie podlegającym odliczeniu podatkiem od towarów i usług, kosztem obsługi zobowiązań zaciągniętych w celu ich finansowania wraz z różnicami kursowymi, pomniejs</w:t>
      </w:r>
      <w:r w:rsidR="00CD2732">
        <w:rPr>
          <w:rFonts w:asciiTheme="minorHAnsi" w:hAnsiTheme="minorHAnsi" w:cstheme="minorHAnsi"/>
          <w:sz w:val="22"/>
          <w:szCs w:val="22"/>
        </w:rPr>
        <w:t>zone o przychody z tego tytułu.</w:t>
      </w:r>
    </w:p>
    <w:p w14:paraId="79051EF2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Należności krótko- i długoterminowe. Należności wykazane są w kwocie wymaganej zapłaty, z zachowaniem zasady ostrożnej wyceny i wykazane w wartości netto (po pomniejszeniu o odpisy aktualizujące).</w:t>
      </w:r>
    </w:p>
    <w:p w14:paraId="54812C10" w14:textId="151E0541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należności długoterminowych zalicza są należności, których termin płatności przekracza rok obrotowy. Nie dotyczy należności z tytułu dostaw i usług, które zawsze prezentowane są jako należności krótkoterminowe.</w:t>
      </w:r>
    </w:p>
    <w:p w14:paraId="7A844F48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lastRenderedPageBreak/>
        <w:t>Środki trwałe będące w użytkowaniu Spółki do czasu wniesienia ich aportem do Spółki ujmowane jako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 nieruchomości inwestycyjne wycenia się według cen nabycia lub kosztów wytworzenia, pomniejszonej o dotychczasowe dokonane odpisy umorzeniowe a także odpisy z tytułu ewentualnej utraty wartości oraz skorygowanej o przeszacowania dokonane na podstawie odrębnych przepisów.</w:t>
      </w:r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E26575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Środki pieniężne w banku wycenia się według wartości nominalnej.</w:t>
      </w:r>
    </w:p>
    <w:p w14:paraId="485B0D59" w14:textId="4ECCC834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Rozliczenia międzyokresowe kosztów obejmują poniesione koszty przyszłych okresów sprawozdawczych</w:t>
      </w:r>
      <w:r w:rsidR="00CD2732">
        <w:rPr>
          <w:rFonts w:asciiTheme="minorHAnsi" w:hAnsiTheme="minorHAnsi" w:cstheme="minorHAnsi"/>
          <w:sz w:val="22"/>
          <w:szCs w:val="22"/>
        </w:rPr>
        <w:t>.</w:t>
      </w:r>
    </w:p>
    <w:p w14:paraId="681BF2FC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Fundusz Jednostki stanowi równowartość aktywów trwałych i obrotowych pomniejszonych o zobowiązania. </w:t>
      </w:r>
    </w:p>
    <w:p w14:paraId="13459DB8" w14:textId="5515A76E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Zobowiązania krótkoterminowe: obejmują zobowiązania z tytułu dostaw i usług wobec kontrahentów, które ze względu na termin realizacji/ dostawy zostały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 ujęte w księgach w grudniu 20</w:t>
      </w:r>
      <w:r w:rsidR="00A6031F" w:rsidRPr="00CD2732">
        <w:rPr>
          <w:rFonts w:asciiTheme="minorHAnsi" w:hAnsiTheme="minorHAnsi" w:cstheme="minorHAnsi"/>
          <w:sz w:val="22"/>
          <w:szCs w:val="22"/>
        </w:rPr>
        <w:t>2</w:t>
      </w:r>
      <w:r w:rsidR="00787E47">
        <w:rPr>
          <w:rFonts w:asciiTheme="minorHAnsi" w:hAnsiTheme="minorHAnsi" w:cstheme="minorHAnsi"/>
          <w:sz w:val="22"/>
          <w:szCs w:val="22"/>
        </w:rPr>
        <w:t>4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r., a termin płatności przypadł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 na styczeń</w:t>
      </w:r>
      <w:r w:rsidR="00787E47">
        <w:rPr>
          <w:rFonts w:asciiTheme="minorHAnsi" w:hAnsiTheme="minorHAnsi" w:cstheme="minorHAnsi"/>
          <w:sz w:val="22"/>
          <w:szCs w:val="22"/>
        </w:rPr>
        <w:t xml:space="preserve"> i luty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 20</w:t>
      </w:r>
      <w:r w:rsidR="00A6031F" w:rsidRPr="00CD2732">
        <w:rPr>
          <w:rFonts w:asciiTheme="minorHAnsi" w:hAnsiTheme="minorHAnsi" w:cstheme="minorHAnsi"/>
          <w:sz w:val="22"/>
          <w:szCs w:val="22"/>
        </w:rPr>
        <w:t>2</w:t>
      </w:r>
      <w:r w:rsidR="00787E47">
        <w:rPr>
          <w:rFonts w:asciiTheme="minorHAnsi" w:hAnsiTheme="minorHAnsi" w:cstheme="minorHAnsi"/>
          <w:sz w:val="22"/>
          <w:szCs w:val="22"/>
        </w:rPr>
        <w:t>5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 Zobowiązania wobec budżetów jest to kwota z tytułu podatku dochodowego od osób fizycznych</w:t>
      </w:r>
      <w:r w:rsidR="00E24C35">
        <w:rPr>
          <w:rFonts w:asciiTheme="minorHAnsi" w:hAnsiTheme="minorHAnsi" w:cstheme="minorHAnsi"/>
          <w:sz w:val="22"/>
          <w:szCs w:val="22"/>
        </w:rPr>
        <w:t xml:space="preserve"> i podatku VAT z tytułu importu usług.</w:t>
      </w:r>
    </w:p>
    <w:p w14:paraId="70C04C18" w14:textId="4AD16DD0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  <w:lang w:val="x-none"/>
        </w:rPr>
        <w:t>Zobowiązania z tytułu ubezpieczeń i innych świadczeń</w:t>
      </w:r>
      <w:r w:rsidR="009E4093">
        <w:rPr>
          <w:rFonts w:asciiTheme="minorHAnsi" w:hAnsiTheme="minorHAnsi" w:cstheme="minorHAnsi"/>
          <w:sz w:val="22"/>
          <w:szCs w:val="22"/>
        </w:rPr>
        <w:t>:</w:t>
      </w:r>
      <w:r w:rsidRPr="00CD2732">
        <w:rPr>
          <w:rFonts w:asciiTheme="minorHAnsi" w:hAnsiTheme="minorHAnsi" w:cstheme="minorHAnsi"/>
          <w:sz w:val="22"/>
          <w:szCs w:val="22"/>
        </w:rPr>
        <w:t xml:space="preserve"> naliczone obowiązkowe składki społeczne, zdrowotne, fundusz pracy, </w:t>
      </w:r>
      <w:r w:rsidR="009E4093">
        <w:rPr>
          <w:rFonts w:asciiTheme="minorHAnsi" w:hAnsiTheme="minorHAnsi" w:cstheme="minorHAnsi"/>
          <w:sz w:val="22"/>
          <w:szCs w:val="22"/>
        </w:rPr>
        <w:t>składki z tytułu pracowniczych planów kapitałowych</w:t>
      </w:r>
      <w:r w:rsidR="005404B5">
        <w:rPr>
          <w:rFonts w:asciiTheme="minorHAnsi" w:hAnsiTheme="minorHAnsi" w:cstheme="minorHAnsi"/>
          <w:sz w:val="22"/>
          <w:szCs w:val="22"/>
        </w:rPr>
        <w:t xml:space="preserve">, </w:t>
      </w:r>
      <w:r w:rsidR="00734760">
        <w:rPr>
          <w:rFonts w:asciiTheme="minorHAnsi" w:hAnsiTheme="minorHAnsi" w:cstheme="minorHAnsi"/>
          <w:sz w:val="22"/>
          <w:szCs w:val="22"/>
        </w:rPr>
        <w:t xml:space="preserve"> przekazanych</w:t>
      </w:r>
      <w:r w:rsidRPr="00CD2732">
        <w:rPr>
          <w:rFonts w:asciiTheme="minorHAnsi" w:hAnsiTheme="minorHAnsi" w:cstheme="minorHAnsi"/>
          <w:sz w:val="22"/>
          <w:szCs w:val="22"/>
        </w:rPr>
        <w:t xml:space="preserve"> do Zakładu Ubezpie</w:t>
      </w:r>
      <w:r w:rsidR="00B16B77" w:rsidRPr="00CD2732">
        <w:rPr>
          <w:rFonts w:asciiTheme="minorHAnsi" w:hAnsiTheme="minorHAnsi" w:cstheme="minorHAnsi"/>
          <w:sz w:val="22"/>
          <w:szCs w:val="22"/>
        </w:rPr>
        <w:t>czeń Społecznych</w:t>
      </w:r>
      <w:r w:rsidR="009E4093">
        <w:rPr>
          <w:rFonts w:asciiTheme="minorHAnsi" w:hAnsiTheme="minorHAnsi" w:cstheme="minorHAnsi"/>
          <w:sz w:val="22"/>
          <w:szCs w:val="22"/>
        </w:rPr>
        <w:t xml:space="preserve"> oraz PZU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 w </w:t>
      </w:r>
      <w:r w:rsidR="00734760">
        <w:rPr>
          <w:rFonts w:asciiTheme="minorHAnsi" w:hAnsiTheme="minorHAnsi" w:cstheme="minorHAnsi"/>
          <w:sz w:val="22"/>
          <w:szCs w:val="22"/>
        </w:rPr>
        <w:t>marcu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 202</w:t>
      </w:r>
      <w:r w:rsidR="009E4093">
        <w:rPr>
          <w:rFonts w:asciiTheme="minorHAnsi" w:hAnsiTheme="minorHAnsi" w:cstheme="minorHAnsi"/>
          <w:sz w:val="22"/>
          <w:szCs w:val="22"/>
        </w:rPr>
        <w:t>5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</w:t>
      </w:r>
      <w:r w:rsidR="007347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343406" w14:textId="695B9576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Zobowiązania z tytułu wynagrodzeń</w:t>
      </w:r>
      <w:r w:rsidR="009E4093">
        <w:rPr>
          <w:rFonts w:asciiTheme="minorHAnsi" w:hAnsiTheme="minorHAnsi" w:cstheme="minorHAnsi"/>
          <w:sz w:val="22"/>
          <w:szCs w:val="22"/>
        </w:rPr>
        <w:t>:</w:t>
      </w:r>
      <w:r w:rsidRPr="00CD2732">
        <w:rPr>
          <w:rFonts w:asciiTheme="minorHAnsi" w:hAnsiTheme="minorHAnsi" w:cstheme="minorHAnsi"/>
          <w:sz w:val="22"/>
          <w:szCs w:val="22"/>
        </w:rPr>
        <w:t xml:space="preserve"> naliczone wynagrodzenie dodatk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owe wypłacone pracownikom w </w:t>
      </w:r>
      <w:r w:rsidR="009E4093">
        <w:rPr>
          <w:rFonts w:asciiTheme="minorHAnsi" w:hAnsiTheme="minorHAnsi" w:cstheme="minorHAnsi"/>
          <w:sz w:val="22"/>
          <w:szCs w:val="22"/>
        </w:rPr>
        <w:t xml:space="preserve">lutym </w:t>
      </w:r>
      <w:r w:rsidR="00B16B77" w:rsidRPr="00CD2732">
        <w:rPr>
          <w:rFonts w:asciiTheme="minorHAnsi" w:hAnsiTheme="minorHAnsi" w:cstheme="minorHAnsi"/>
          <w:sz w:val="22"/>
          <w:szCs w:val="22"/>
        </w:rPr>
        <w:t>202</w:t>
      </w:r>
      <w:r w:rsidR="009E4093">
        <w:rPr>
          <w:rFonts w:asciiTheme="minorHAnsi" w:hAnsiTheme="minorHAnsi" w:cstheme="minorHAnsi"/>
          <w:sz w:val="22"/>
          <w:szCs w:val="22"/>
        </w:rPr>
        <w:t>5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9BC9509" w14:textId="3BBC429D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Pozostałe zobowiązania stanowią przede wszystkim zobowiązania z tytułu: dochodów Skarbu Państwa – fundusz alimentacyjny, dochodów budżetowych, opłat za gospodarowanie odpadami komunalnymi, za wydanie zezwoleń na sprzedaż napojów alkoholowych oraz rozrac</w:t>
      </w:r>
      <w:r w:rsidR="00CD2732">
        <w:rPr>
          <w:rFonts w:asciiTheme="minorHAnsi" w:hAnsiTheme="minorHAnsi" w:cstheme="minorHAnsi"/>
          <w:sz w:val="22"/>
          <w:szCs w:val="22"/>
        </w:rPr>
        <w:t>hunki z Urzędem m.st. Warszawy.</w:t>
      </w:r>
    </w:p>
    <w:p w14:paraId="72AE3F5A" w14:textId="77777777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Sumy obce. W celu zabezpieczenia interesów finansowych Urzędu m.st. Warszawy dla Dzielnicy Białołęka wynikających z podpisanych umów inwestycyjnych oraz umów o dostawę usług, przyjmowane są na wyodrębnione rachunki bankowe kaucje i depozyty pieniężne będące gwarancją należytego wykonania usługi. W tej samej pozycji bilansu wykazane są również wpłacone przez kontrahentów wadia składane w poczet zabezpieczenia dotrzymania warunków danej umowy w ramach przetargu. Wartości wykazywane są na dzień bilansowy w kwocie wymaganej zapłaty.</w:t>
      </w:r>
    </w:p>
    <w:p w14:paraId="21C14BAB" w14:textId="4E36C422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lastRenderedPageBreak/>
        <w:t>Rezerwy na zobowiązania Urząd Dzielnicy Białołęka m.st. Warszawy tworzy rezerwy jeżeli ciąży na nim obowiązek, wynikający z</w:t>
      </w:r>
      <w:r w:rsidR="00457A40">
        <w:rPr>
          <w:rFonts w:asciiTheme="minorHAnsi" w:hAnsiTheme="minorHAnsi" w:cstheme="minorHAnsi"/>
          <w:sz w:val="22"/>
          <w:szCs w:val="22"/>
        </w:rPr>
        <w:t>e</w:t>
      </w:r>
      <w:r w:rsidRPr="00CD2732">
        <w:rPr>
          <w:rFonts w:asciiTheme="minorHAnsi" w:hAnsiTheme="minorHAnsi" w:cstheme="minorHAnsi"/>
          <w:sz w:val="22"/>
          <w:szCs w:val="22"/>
        </w:rPr>
        <w:t xml:space="preserve"> zdarzeń przeszłych i jest wysoce prawdopodobne, że wypełnienie tego obowiązku spowoduje wypływ środków. </w:t>
      </w:r>
    </w:p>
    <w:p w14:paraId="0F80AF39" w14:textId="4888E8A6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Urząd Dzielnicy Białołęka m.st. Warszawy tworzy rezerwy  m.in.: na odszkodowania związane z uchwaleniem planu miejscowego zagospodarowania</w:t>
      </w:r>
      <w:r w:rsidR="00ED4ECD">
        <w:rPr>
          <w:rFonts w:asciiTheme="minorHAnsi" w:hAnsiTheme="minorHAnsi" w:cstheme="minorHAnsi"/>
          <w:sz w:val="22"/>
          <w:szCs w:val="22"/>
        </w:rPr>
        <w:t xml:space="preserve"> przestrzennego</w:t>
      </w:r>
      <w:r w:rsidRPr="00CD2732">
        <w:rPr>
          <w:rFonts w:asciiTheme="minorHAnsi" w:hAnsiTheme="minorHAnsi" w:cstheme="minorHAnsi"/>
          <w:sz w:val="22"/>
          <w:szCs w:val="22"/>
        </w:rPr>
        <w:t>; na odszkodowania z</w:t>
      </w:r>
      <w:r w:rsidR="00C81483">
        <w:rPr>
          <w:rFonts w:asciiTheme="minorHAnsi" w:hAnsiTheme="minorHAnsi" w:cstheme="minorHAnsi"/>
          <w:sz w:val="22"/>
          <w:szCs w:val="22"/>
        </w:rPr>
        <w:t> </w:t>
      </w:r>
      <w:r w:rsidRPr="00CD2732">
        <w:rPr>
          <w:rFonts w:asciiTheme="minorHAnsi" w:hAnsiTheme="minorHAnsi" w:cstheme="minorHAnsi"/>
          <w:sz w:val="22"/>
          <w:szCs w:val="22"/>
        </w:rPr>
        <w:t>tytułu be</w:t>
      </w:r>
      <w:r w:rsidR="00457A40">
        <w:rPr>
          <w:rFonts w:asciiTheme="minorHAnsi" w:hAnsiTheme="minorHAnsi" w:cstheme="minorHAnsi"/>
          <w:sz w:val="22"/>
          <w:szCs w:val="22"/>
        </w:rPr>
        <w:t>zumownego korzystania z gruntu; spraw o zapłatę,</w:t>
      </w:r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="00CD353F">
        <w:rPr>
          <w:rFonts w:asciiTheme="minorHAnsi" w:hAnsiTheme="minorHAnsi" w:cstheme="minorHAnsi"/>
          <w:sz w:val="22"/>
          <w:szCs w:val="22"/>
        </w:rPr>
        <w:t>za grunty przejęte pod drogi, z</w:t>
      </w:r>
      <w:r w:rsidR="00C81483">
        <w:rPr>
          <w:rFonts w:asciiTheme="minorHAnsi" w:hAnsiTheme="minorHAnsi" w:cstheme="minorHAnsi"/>
          <w:sz w:val="22"/>
          <w:szCs w:val="22"/>
        </w:rPr>
        <w:t> </w:t>
      </w:r>
      <w:r w:rsidR="00CD353F">
        <w:rPr>
          <w:rFonts w:asciiTheme="minorHAnsi" w:hAnsiTheme="minorHAnsi" w:cstheme="minorHAnsi"/>
          <w:sz w:val="22"/>
          <w:szCs w:val="22"/>
        </w:rPr>
        <w:t>tytułu spraw o zobowiązanie do złożenia oświadczeń woli</w:t>
      </w:r>
      <w:r w:rsidR="00ED4ECD">
        <w:rPr>
          <w:rFonts w:asciiTheme="minorHAnsi" w:hAnsiTheme="minorHAnsi" w:cstheme="minorHAnsi"/>
          <w:sz w:val="22"/>
          <w:szCs w:val="22"/>
        </w:rPr>
        <w:t>.</w:t>
      </w:r>
    </w:p>
    <w:p w14:paraId="583B9E3C" w14:textId="29EBF02D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  <w:u w:val="single"/>
        </w:rPr>
        <w:t>Rozliczenia międzyokresowe przychodów</w:t>
      </w:r>
      <w:r w:rsidRPr="00CD2732">
        <w:rPr>
          <w:rFonts w:asciiTheme="minorHAnsi" w:hAnsiTheme="minorHAnsi" w:cstheme="minorHAnsi"/>
          <w:sz w:val="22"/>
          <w:szCs w:val="22"/>
        </w:rPr>
        <w:t xml:space="preserve"> dokonywane są z zachowaniem zasady ostrożnej wyceny i obejmują w szczególności: przy</w:t>
      </w:r>
      <w:r w:rsidR="00E81F18">
        <w:rPr>
          <w:rFonts w:asciiTheme="minorHAnsi" w:hAnsiTheme="minorHAnsi" w:cstheme="minorHAnsi"/>
          <w:sz w:val="22"/>
          <w:szCs w:val="22"/>
        </w:rPr>
        <w:t>chody za zajęcie pasa drogowego oraz z tytułu rozliczenia umów zawieranych w trybie art. 16 ustawy o drogach publicznych.</w:t>
      </w:r>
    </w:p>
    <w:p w14:paraId="02324E0D" w14:textId="77777777" w:rsidR="008533A8" w:rsidRPr="00CD2732" w:rsidRDefault="008533A8" w:rsidP="00CD2732">
      <w:pPr>
        <w:keepNext/>
        <w:keepLines/>
        <w:tabs>
          <w:tab w:val="left" w:pos="1978"/>
        </w:tabs>
        <w:spacing w:before="120" w:after="120" w:line="360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D2732">
        <w:rPr>
          <w:rFonts w:asciiTheme="minorHAnsi" w:hAnsiTheme="minorHAnsi" w:cstheme="minorHAnsi"/>
          <w:b/>
          <w:sz w:val="22"/>
          <w:szCs w:val="22"/>
        </w:rPr>
        <w:t xml:space="preserve">Prezentacja przychodów w Rachunku Zysków i Strat: </w:t>
      </w:r>
    </w:p>
    <w:p w14:paraId="5EE8EB90" w14:textId="2FE13A59" w:rsidR="008533A8" w:rsidRPr="00CD2732" w:rsidRDefault="008533A8" w:rsidP="00CD2732">
      <w:pPr>
        <w:spacing w:before="120" w:after="12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Do przychodów z podstawowej działalności operacyjnej Urzędu Dzielnicy Białołęka m.st. Warszawy zalicza się przede wszystkim: przychody z następujących tytułów: </w:t>
      </w:r>
      <w:r w:rsidR="00402310">
        <w:rPr>
          <w:rFonts w:asciiTheme="minorHAnsi" w:hAnsiTheme="minorHAnsi" w:cstheme="minorHAnsi"/>
          <w:sz w:val="22"/>
          <w:szCs w:val="22"/>
        </w:rPr>
        <w:t>przychody z</w:t>
      </w:r>
      <w:r w:rsidR="00C81483">
        <w:rPr>
          <w:rFonts w:asciiTheme="minorHAnsi" w:hAnsiTheme="minorHAnsi" w:cstheme="minorHAnsi"/>
          <w:sz w:val="22"/>
          <w:szCs w:val="22"/>
        </w:rPr>
        <w:t> </w:t>
      </w:r>
      <w:r w:rsidR="00402310">
        <w:rPr>
          <w:rFonts w:asciiTheme="minorHAnsi" w:hAnsiTheme="minorHAnsi" w:cstheme="minorHAnsi"/>
          <w:sz w:val="22"/>
          <w:szCs w:val="22"/>
        </w:rPr>
        <w:t xml:space="preserve">tytułu inwestycji liniowych, </w:t>
      </w:r>
      <w:r w:rsidRPr="00CD2732">
        <w:rPr>
          <w:rFonts w:asciiTheme="minorHAnsi" w:hAnsiTheme="minorHAnsi" w:cstheme="minorHAnsi"/>
          <w:sz w:val="22"/>
          <w:szCs w:val="22"/>
        </w:rPr>
        <w:t>opłaty za zarząd i użytkowanie w</w:t>
      </w:r>
      <w:r w:rsidR="004D7BF0">
        <w:rPr>
          <w:rFonts w:asciiTheme="minorHAnsi" w:hAnsiTheme="minorHAnsi" w:cstheme="minorHAnsi"/>
          <w:sz w:val="22"/>
          <w:szCs w:val="22"/>
        </w:rPr>
        <w:t>ieczyste, opłaty z tytułu służebności gruntowej</w:t>
      </w:r>
      <w:r w:rsidR="00402310">
        <w:rPr>
          <w:rFonts w:asciiTheme="minorHAnsi" w:hAnsiTheme="minorHAnsi" w:cstheme="minorHAnsi"/>
          <w:sz w:val="22"/>
          <w:szCs w:val="22"/>
        </w:rPr>
        <w:t>, opłat lokalnych i publicznoprawnych.</w:t>
      </w:r>
    </w:p>
    <w:p w14:paraId="28A1DEEA" w14:textId="6E8835A8" w:rsidR="008533A8" w:rsidRPr="00CD2732" w:rsidRDefault="008533A8" w:rsidP="00CD273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Do przychodów z pozostałej działalności operacyjnej Urzędu Dzielnicy Białołęka m.st. Warszawy zalicza się przede wszystkim: sprzedaż pozostałych składników majątkowych, opłaty z tyt. przekształcenia wieczystego gruntów w prawo własności, </w:t>
      </w:r>
      <w:r w:rsidR="00672F75" w:rsidRPr="00CD2732">
        <w:rPr>
          <w:rFonts w:asciiTheme="minorHAnsi" w:hAnsiTheme="minorHAnsi" w:cstheme="minorHAnsi"/>
          <w:sz w:val="22"/>
          <w:szCs w:val="22"/>
        </w:rPr>
        <w:t xml:space="preserve">najem, </w:t>
      </w:r>
      <w:r w:rsidRPr="00CD2732">
        <w:rPr>
          <w:rFonts w:asciiTheme="minorHAnsi" w:hAnsiTheme="minorHAnsi" w:cstheme="minorHAnsi"/>
          <w:sz w:val="22"/>
          <w:szCs w:val="22"/>
        </w:rPr>
        <w:t>kary umowne, odszkodowania</w:t>
      </w:r>
      <w:r w:rsidR="00402310">
        <w:rPr>
          <w:rFonts w:asciiTheme="minorHAnsi" w:hAnsiTheme="minorHAnsi" w:cstheme="minorHAnsi"/>
          <w:sz w:val="22"/>
          <w:szCs w:val="22"/>
        </w:rPr>
        <w:t>.</w:t>
      </w:r>
    </w:p>
    <w:p w14:paraId="1F0FEBE2" w14:textId="6F7912E6" w:rsidR="008533A8" w:rsidRPr="00CD2732" w:rsidRDefault="008533A8" w:rsidP="00CD2732">
      <w:pPr>
        <w:spacing w:before="120" w:after="12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Do przychodów finansowych Urzędu Dzielnicy Białołęka m.st. Warszawy zalicza się przede wszystkim: odsetki za zwłokę w zapłacie należności, odsetki </w:t>
      </w:r>
      <w:r w:rsidR="00396AFA">
        <w:rPr>
          <w:rFonts w:asciiTheme="minorHAnsi" w:hAnsiTheme="minorHAnsi" w:cstheme="minorHAnsi"/>
          <w:sz w:val="22"/>
          <w:szCs w:val="22"/>
        </w:rPr>
        <w:t>od należności z tytułu funduszu alimentacyjnego, odsetki od zwróconych po terminie dotacji</w:t>
      </w:r>
      <w:r w:rsidRPr="00CD2732">
        <w:rPr>
          <w:rFonts w:asciiTheme="minorHAnsi" w:hAnsiTheme="minorHAnsi" w:cstheme="minorHAnsi"/>
          <w:sz w:val="22"/>
          <w:szCs w:val="22"/>
        </w:rPr>
        <w:t>.</w:t>
      </w:r>
    </w:p>
    <w:p w14:paraId="1EDFBD38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20" w:after="120" w:line="360" w:lineRule="auto"/>
        <w:ind w:left="92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sectPr w:rsidR="008533A8" w:rsidRPr="00CD27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8F8A" w14:textId="77777777" w:rsidR="00905DE8" w:rsidRDefault="00905DE8" w:rsidP="008533A8">
      <w:r>
        <w:separator/>
      </w:r>
    </w:p>
  </w:endnote>
  <w:endnote w:type="continuationSeparator" w:id="0">
    <w:p w14:paraId="093DF8CA" w14:textId="77777777" w:rsidR="00905DE8" w:rsidRDefault="00905DE8" w:rsidP="008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958603"/>
      <w:docPartObj>
        <w:docPartGallery w:val="Page Numbers (Bottom of Page)"/>
        <w:docPartUnique/>
      </w:docPartObj>
    </w:sdtPr>
    <w:sdtEndPr/>
    <w:sdtContent>
      <w:p w14:paraId="7A545B36" w14:textId="04CE9A5E" w:rsidR="00264868" w:rsidRDefault="00264868" w:rsidP="002648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48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E747" w14:textId="77777777" w:rsidR="00905DE8" w:rsidRDefault="00905DE8" w:rsidP="008533A8">
      <w:r>
        <w:separator/>
      </w:r>
    </w:p>
  </w:footnote>
  <w:footnote w:type="continuationSeparator" w:id="0">
    <w:p w14:paraId="2384BC50" w14:textId="77777777" w:rsidR="00905DE8" w:rsidRDefault="00905DE8" w:rsidP="0085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3D75" w14:textId="77777777" w:rsidR="008533A8" w:rsidRPr="00CD2732" w:rsidRDefault="008533A8" w:rsidP="008533A8">
    <w:pPr>
      <w:pStyle w:val="Nagwek"/>
      <w:ind w:right="360"/>
      <w:rPr>
        <w:rFonts w:asciiTheme="minorHAnsi" w:hAnsiTheme="minorHAnsi" w:cstheme="minorHAnsi"/>
        <w:b/>
        <w:sz w:val="22"/>
        <w:szCs w:val="22"/>
      </w:rPr>
    </w:pPr>
    <w:r w:rsidRPr="00CD2732">
      <w:rPr>
        <w:rFonts w:asciiTheme="minorHAnsi" w:hAnsiTheme="minorHAnsi" w:cstheme="minorHAnsi"/>
        <w:b/>
        <w:color w:val="000000"/>
        <w:sz w:val="22"/>
        <w:szCs w:val="22"/>
      </w:rPr>
      <w:t>Urząd m.st. Warszawy dla Dzielnicy Białołęka</w:t>
    </w:r>
  </w:p>
  <w:p w14:paraId="716779A8" w14:textId="328DA6F8" w:rsidR="008533A8" w:rsidRPr="00CD2732" w:rsidRDefault="008533A8" w:rsidP="008533A8">
    <w:pPr>
      <w:pStyle w:val="Nagwek"/>
      <w:pBdr>
        <w:bottom w:val="single" w:sz="6" w:space="1" w:color="auto"/>
      </w:pBdr>
      <w:ind w:right="45"/>
      <w:rPr>
        <w:rFonts w:asciiTheme="minorHAnsi" w:hAnsiTheme="minorHAnsi" w:cstheme="minorHAnsi"/>
        <w:b/>
        <w:sz w:val="22"/>
        <w:szCs w:val="22"/>
      </w:rPr>
    </w:pPr>
    <w:r w:rsidRPr="00CD2732">
      <w:rPr>
        <w:rFonts w:asciiTheme="minorHAnsi" w:hAnsiTheme="minorHAnsi" w:cstheme="minorHAnsi"/>
        <w:b/>
        <w:sz w:val="22"/>
        <w:szCs w:val="22"/>
      </w:rPr>
      <w:t>Informacja dodatkowa do sprawozdania finansowego za rok obrotowy zakończony 31</w:t>
    </w:r>
    <w:r w:rsidR="000B3528" w:rsidRPr="00CD2732">
      <w:rPr>
        <w:rFonts w:asciiTheme="minorHAnsi" w:hAnsiTheme="minorHAnsi" w:cstheme="minorHAnsi"/>
        <w:b/>
        <w:sz w:val="22"/>
        <w:szCs w:val="22"/>
      </w:rPr>
      <w:t> grudnia 20</w:t>
    </w:r>
    <w:r w:rsidR="007B10F8" w:rsidRPr="00CD2732">
      <w:rPr>
        <w:rFonts w:asciiTheme="minorHAnsi" w:hAnsiTheme="minorHAnsi" w:cstheme="minorHAnsi"/>
        <w:b/>
        <w:sz w:val="22"/>
        <w:szCs w:val="22"/>
      </w:rPr>
      <w:t>2</w:t>
    </w:r>
    <w:r w:rsidR="00E52FAA">
      <w:rPr>
        <w:rFonts w:asciiTheme="minorHAnsi" w:hAnsiTheme="minorHAnsi" w:cstheme="minorHAnsi"/>
        <w:b/>
        <w:sz w:val="22"/>
        <w:szCs w:val="22"/>
      </w:rPr>
      <w:t>4</w:t>
    </w:r>
    <w:r w:rsidRPr="00CD2732">
      <w:rPr>
        <w:rFonts w:asciiTheme="minorHAnsi" w:hAnsiTheme="minorHAnsi" w:cstheme="minorHAnsi"/>
        <w:b/>
        <w:sz w:val="22"/>
        <w:szCs w:val="22"/>
      </w:rPr>
      <w:t xml:space="preserve">  r.</w:t>
    </w:r>
  </w:p>
  <w:p w14:paraId="61438435" w14:textId="169C6174" w:rsidR="008533A8" w:rsidRPr="00CD2732" w:rsidRDefault="008533A8" w:rsidP="008533A8">
    <w:pPr>
      <w:pStyle w:val="Nagwek"/>
      <w:numPr>
        <w:ilvl w:val="0"/>
        <w:numId w:val="6"/>
      </w:numPr>
      <w:pBdr>
        <w:bottom w:val="single" w:sz="6" w:space="1" w:color="auto"/>
      </w:pBdr>
      <w:tabs>
        <w:tab w:val="clear" w:pos="4536"/>
        <w:tab w:val="clear" w:pos="9072"/>
        <w:tab w:val="center" w:pos="284"/>
      </w:tabs>
      <w:ind w:left="426" w:right="45" w:hanging="426"/>
      <w:rPr>
        <w:rFonts w:asciiTheme="minorHAnsi" w:hAnsiTheme="minorHAnsi" w:cstheme="minorHAnsi"/>
        <w:b/>
        <w:sz w:val="22"/>
        <w:szCs w:val="22"/>
      </w:rPr>
    </w:pPr>
    <w:r w:rsidRPr="00CD2732">
      <w:rPr>
        <w:rFonts w:asciiTheme="minorHAnsi" w:hAnsiTheme="minorHAnsi" w:cstheme="minorHAnsi"/>
        <w:b/>
        <w:sz w:val="22"/>
        <w:szCs w:val="22"/>
      </w:rPr>
      <w:t>Wprowadzenie do sprawozdania finansowego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338E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A15E0"/>
    <w:multiLevelType w:val="hybridMultilevel"/>
    <w:tmpl w:val="CE2AAB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CA4470"/>
    <w:multiLevelType w:val="hybridMultilevel"/>
    <w:tmpl w:val="7B18E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BEC"/>
    <w:multiLevelType w:val="hybridMultilevel"/>
    <w:tmpl w:val="C3F8A3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A82162"/>
    <w:multiLevelType w:val="hybridMultilevel"/>
    <w:tmpl w:val="BD8C17CA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2123D6F"/>
    <w:multiLevelType w:val="multilevel"/>
    <w:tmpl w:val="F6F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31EE298D"/>
    <w:multiLevelType w:val="hybridMultilevel"/>
    <w:tmpl w:val="645698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3B1B28"/>
    <w:multiLevelType w:val="hybridMultilevel"/>
    <w:tmpl w:val="1FAA07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2" w15:restartNumberingAfterBreak="0">
    <w:nsid w:val="45F63F9C"/>
    <w:multiLevelType w:val="hybridMultilevel"/>
    <w:tmpl w:val="44B2AF5E"/>
    <w:lvl w:ilvl="0" w:tplc="5F20A638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6228"/>
    <w:multiLevelType w:val="multilevel"/>
    <w:tmpl w:val="338E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9258A"/>
    <w:multiLevelType w:val="hybridMultilevel"/>
    <w:tmpl w:val="BDBA24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E812C05"/>
    <w:multiLevelType w:val="hybridMultilevel"/>
    <w:tmpl w:val="CB88AD3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173374012">
    <w:abstractNumId w:val="10"/>
  </w:num>
  <w:num w:numId="2" w16cid:durableId="1580940779">
    <w:abstractNumId w:val="0"/>
  </w:num>
  <w:num w:numId="3" w16cid:durableId="555580986">
    <w:abstractNumId w:val="11"/>
  </w:num>
  <w:num w:numId="4" w16cid:durableId="1220164773">
    <w:abstractNumId w:val="4"/>
  </w:num>
  <w:num w:numId="5" w16cid:durableId="753815292">
    <w:abstractNumId w:val="7"/>
  </w:num>
  <w:num w:numId="6" w16cid:durableId="2093353247">
    <w:abstractNumId w:val="13"/>
  </w:num>
  <w:num w:numId="7" w16cid:durableId="1598632649">
    <w:abstractNumId w:val="15"/>
  </w:num>
  <w:num w:numId="8" w16cid:durableId="1412972815">
    <w:abstractNumId w:val="14"/>
  </w:num>
  <w:num w:numId="9" w16cid:durableId="442845747">
    <w:abstractNumId w:val="3"/>
  </w:num>
  <w:num w:numId="10" w16cid:durableId="1972438726">
    <w:abstractNumId w:val="12"/>
  </w:num>
  <w:num w:numId="11" w16cid:durableId="2091074086">
    <w:abstractNumId w:val="6"/>
  </w:num>
  <w:num w:numId="12" w16cid:durableId="1655375230">
    <w:abstractNumId w:val="1"/>
  </w:num>
  <w:num w:numId="13" w16cid:durableId="919289077">
    <w:abstractNumId w:val="8"/>
  </w:num>
  <w:num w:numId="14" w16cid:durableId="177891719">
    <w:abstractNumId w:val="16"/>
  </w:num>
  <w:num w:numId="15" w16cid:durableId="298802850">
    <w:abstractNumId w:val="5"/>
  </w:num>
  <w:num w:numId="16" w16cid:durableId="575211515">
    <w:abstractNumId w:val="9"/>
  </w:num>
  <w:num w:numId="17" w16cid:durableId="187946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A8"/>
    <w:rsid w:val="00063319"/>
    <w:rsid w:val="000B3528"/>
    <w:rsid w:val="00127ABA"/>
    <w:rsid w:val="001868E3"/>
    <w:rsid w:val="002146F9"/>
    <w:rsid w:val="00227865"/>
    <w:rsid w:val="00264868"/>
    <w:rsid w:val="002B4DB4"/>
    <w:rsid w:val="00396AFA"/>
    <w:rsid w:val="00402310"/>
    <w:rsid w:val="00405EF0"/>
    <w:rsid w:val="00457A40"/>
    <w:rsid w:val="004B35E8"/>
    <w:rsid w:val="004D7BF0"/>
    <w:rsid w:val="004F4E99"/>
    <w:rsid w:val="00516813"/>
    <w:rsid w:val="00532AC3"/>
    <w:rsid w:val="005404B5"/>
    <w:rsid w:val="00556DA5"/>
    <w:rsid w:val="006076D1"/>
    <w:rsid w:val="0063314D"/>
    <w:rsid w:val="006462A7"/>
    <w:rsid w:val="00672F75"/>
    <w:rsid w:val="006758BE"/>
    <w:rsid w:val="00734760"/>
    <w:rsid w:val="00787E47"/>
    <w:rsid w:val="007B10F8"/>
    <w:rsid w:val="007E1E69"/>
    <w:rsid w:val="008533A8"/>
    <w:rsid w:val="00905DE8"/>
    <w:rsid w:val="009335F3"/>
    <w:rsid w:val="009E4093"/>
    <w:rsid w:val="009F731E"/>
    <w:rsid w:val="00A07506"/>
    <w:rsid w:val="00A135CE"/>
    <w:rsid w:val="00A3077B"/>
    <w:rsid w:val="00A33772"/>
    <w:rsid w:val="00A6031F"/>
    <w:rsid w:val="00A87446"/>
    <w:rsid w:val="00AF5B8D"/>
    <w:rsid w:val="00AF6F47"/>
    <w:rsid w:val="00B16B77"/>
    <w:rsid w:val="00B512E6"/>
    <w:rsid w:val="00BE50A3"/>
    <w:rsid w:val="00C81483"/>
    <w:rsid w:val="00CA7506"/>
    <w:rsid w:val="00CD2732"/>
    <w:rsid w:val="00CD353F"/>
    <w:rsid w:val="00D41A54"/>
    <w:rsid w:val="00D43186"/>
    <w:rsid w:val="00D603C9"/>
    <w:rsid w:val="00D630E4"/>
    <w:rsid w:val="00DA4C03"/>
    <w:rsid w:val="00DD00D4"/>
    <w:rsid w:val="00E02FFC"/>
    <w:rsid w:val="00E24C35"/>
    <w:rsid w:val="00E52FAA"/>
    <w:rsid w:val="00E81F18"/>
    <w:rsid w:val="00ED2A9F"/>
    <w:rsid w:val="00ED4ECD"/>
    <w:rsid w:val="00F33D0A"/>
    <w:rsid w:val="00F573A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DF96"/>
  <w15:docId w15:val="{8D057BEA-28CD-4026-9AE8-8C5E6B7D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3A8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A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 do sprawozdania 2024 - Białołęka</vt:lpstr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do sprawozdania 2024 - Białołęka</dc:title>
  <dc:creator>Klimczuk Anna</dc:creator>
  <cp:lastModifiedBy>Ratajczak Karina</cp:lastModifiedBy>
  <cp:revision>12</cp:revision>
  <cp:lastPrinted>2024-03-22T10:32:00Z</cp:lastPrinted>
  <dcterms:created xsi:type="dcterms:W3CDTF">2024-05-07T08:48:00Z</dcterms:created>
  <dcterms:modified xsi:type="dcterms:W3CDTF">2025-04-18T06:23:00Z</dcterms:modified>
</cp:coreProperties>
</file>