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0F606" w14:textId="77777777" w:rsidR="006E53F6" w:rsidRPr="00A1362B" w:rsidRDefault="007A35A7" w:rsidP="007E246F">
      <w:pPr>
        <w:spacing w:after="240" w:line="300" w:lineRule="auto"/>
        <w:ind w:left="5103"/>
        <w:contextualSpacing/>
        <w:rPr>
          <w:rFonts w:ascii="Calibri" w:hAnsi="Calibri" w:cs="Calibri"/>
          <w:bCs/>
          <w:sz w:val="22"/>
          <w:szCs w:val="22"/>
          <w:lang w:eastAsia="pl-PL"/>
        </w:rPr>
      </w:pPr>
      <w:bookmarkStart w:id="0" w:name="_GoBack"/>
      <w:bookmarkEnd w:id="0"/>
      <w:r w:rsidRPr="00A1362B">
        <w:rPr>
          <w:rFonts w:ascii="Calibri" w:hAnsi="Calibri" w:cs="Calibri"/>
          <w:bCs/>
          <w:sz w:val="22"/>
          <w:szCs w:val="22"/>
        </w:rPr>
        <w:t>Załącznik nr 20</w:t>
      </w:r>
    </w:p>
    <w:p w14:paraId="580B0DAF" w14:textId="77777777" w:rsidR="006E53F6" w:rsidRPr="00A1362B" w:rsidRDefault="006E53F6" w:rsidP="006B7CCD">
      <w:pPr>
        <w:tabs>
          <w:tab w:val="left" w:pos="567"/>
        </w:tabs>
        <w:spacing w:after="240" w:line="300" w:lineRule="auto"/>
        <w:ind w:left="5103"/>
        <w:rPr>
          <w:rFonts w:ascii="Calibri" w:hAnsi="Calibri" w:cs="Calibri"/>
          <w:sz w:val="22"/>
          <w:szCs w:val="22"/>
        </w:rPr>
      </w:pPr>
      <w:r w:rsidRPr="00A1362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B18D3AF" w14:textId="57A524C2" w:rsidR="009D1313" w:rsidRPr="00A1362B" w:rsidRDefault="009D1313" w:rsidP="009E3AED">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1362B">
        <w:rPr>
          <w:rFonts w:ascii="Calibri" w:hAnsi="Calibri" w:cs="Calibri"/>
          <w:sz w:val="22"/>
          <w:szCs w:val="22"/>
          <w:lang w:val="pl-PL"/>
        </w:rPr>
        <w:t xml:space="preserve">Informacje o </w:t>
      </w:r>
      <w:r w:rsidR="000D7765" w:rsidRPr="00A1362B">
        <w:rPr>
          <w:rFonts w:ascii="Calibri" w:hAnsi="Calibri" w:cs="Calibri"/>
          <w:sz w:val="22"/>
          <w:szCs w:val="22"/>
          <w:lang w:val="pl-PL"/>
        </w:rPr>
        <w:t>U</w:t>
      </w:r>
      <w:r w:rsidR="00682E4C">
        <w:rPr>
          <w:rFonts w:ascii="Calibri" w:hAnsi="Calibri" w:cs="Calibri"/>
          <w:sz w:val="22"/>
          <w:szCs w:val="22"/>
          <w:lang w:val="pl-PL"/>
        </w:rPr>
        <w:t>rzędzie Dzielnicy Mokotów m.st. Warszawy</w:t>
      </w:r>
    </w:p>
    <w:p w14:paraId="7CB44C1E" w14:textId="1D6C10C6" w:rsidR="00C52DD5" w:rsidRPr="00A1362B" w:rsidRDefault="002B7FB2" w:rsidP="009E3AED">
      <w:pPr>
        <w:pStyle w:val="Tekstpodstawowy"/>
        <w:keepLines/>
        <w:widowControl w:val="0"/>
        <w:numPr>
          <w:ilvl w:val="1"/>
          <w:numId w:val="5"/>
        </w:numPr>
        <w:adjustRightInd w:val="0"/>
        <w:spacing w:after="240" w:line="300" w:lineRule="auto"/>
        <w:ind w:left="993" w:hanging="426"/>
        <w:jc w:val="left"/>
        <w:textAlignment w:val="baseline"/>
        <w:rPr>
          <w:rFonts w:ascii="Calibri" w:hAnsi="Calibri" w:cs="Calibri"/>
          <w:sz w:val="22"/>
          <w:szCs w:val="22"/>
          <w:lang w:val="pl-PL" w:bidi="ar-TN"/>
        </w:rPr>
      </w:pPr>
      <w:r w:rsidRPr="00A1362B">
        <w:rPr>
          <w:rFonts w:ascii="Calibri" w:hAnsi="Calibri" w:cs="Calibri"/>
          <w:color w:val="auto"/>
          <w:sz w:val="22"/>
          <w:szCs w:val="22"/>
          <w:lang w:val="pl-PL"/>
        </w:rPr>
        <w:t>Nazwa jednostki</w:t>
      </w:r>
    </w:p>
    <w:p w14:paraId="427DA3A3" w14:textId="2BD91808" w:rsidR="009D1313" w:rsidRPr="00A1362B" w:rsidRDefault="000D7765" w:rsidP="00A1362B">
      <w:pPr>
        <w:pStyle w:val="Tekstpodstawowy"/>
        <w:keepLines/>
        <w:widowControl w:val="0"/>
        <w:adjustRightInd w:val="0"/>
        <w:spacing w:after="240" w:line="300" w:lineRule="auto"/>
        <w:ind w:left="993"/>
        <w:jc w:val="left"/>
        <w:textAlignment w:val="baseline"/>
        <w:rPr>
          <w:rFonts w:ascii="Calibri" w:hAnsi="Calibri" w:cs="Calibri"/>
          <w:sz w:val="22"/>
          <w:szCs w:val="22"/>
          <w:lang w:val="pl-PL" w:bidi="ar-TN"/>
        </w:rPr>
      </w:pPr>
      <w:r w:rsidRPr="00A1362B">
        <w:rPr>
          <w:rFonts w:ascii="Calibri" w:hAnsi="Calibri" w:cs="Calibri"/>
          <w:sz w:val="22"/>
          <w:szCs w:val="22"/>
          <w:lang w:val="pl-PL" w:bidi="ar-TN"/>
        </w:rPr>
        <w:t>Urząd Dzielnicy Mokotów m.st. Warszawy</w:t>
      </w:r>
    </w:p>
    <w:p w14:paraId="528C6CE9" w14:textId="77777777" w:rsidR="00C52DD5" w:rsidRPr="00A1362B" w:rsidRDefault="002B7FB2" w:rsidP="00A1362B">
      <w:pPr>
        <w:pStyle w:val="Tekstpodstawowy"/>
        <w:keepLines/>
        <w:widowControl w:val="0"/>
        <w:numPr>
          <w:ilvl w:val="1"/>
          <w:numId w:val="5"/>
        </w:numPr>
        <w:adjustRightInd w:val="0"/>
        <w:spacing w:after="240" w:line="300" w:lineRule="auto"/>
        <w:ind w:left="993" w:hanging="425"/>
        <w:jc w:val="left"/>
        <w:textAlignment w:val="baseline"/>
        <w:rPr>
          <w:rFonts w:ascii="Calibri" w:hAnsi="Calibri" w:cs="Calibri"/>
          <w:color w:val="auto"/>
          <w:sz w:val="22"/>
          <w:szCs w:val="22"/>
          <w:lang w:val="pl-PL"/>
        </w:rPr>
      </w:pPr>
      <w:r w:rsidRPr="00A1362B">
        <w:rPr>
          <w:rFonts w:ascii="Calibri" w:hAnsi="Calibri" w:cs="Calibri"/>
          <w:color w:val="auto"/>
          <w:sz w:val="22"/>
          <w:szCs w:val="22"/>
          <w:lang w:val="pl-PL"/>
        </w:rPr>
        <w:t>Siedziba jednostki</w:t>
      </w:r>
    </w:p>
    <w:p w14:paraId="68FB6D7E" w14:textId="703B0773" w:rsidR="005E5664" w:rsidRPr="00A1362B" w:rsidRDefault="000D7765" w:rsidP="00A1362B">
      <w:pPr>
        <w:pStyle w:val="Tekstpodstawowy"/>
        <w:keepLines/>
        <w:widowControl w:val="0"/>
        <w:adjustRightInd w:val="0"/>
        <w:spacing w:after="240" w:line="300" w:lineRule="auto"/>
        <w:ind w:left="993"/>
        <w:jc w:val="left"/>
        <w:textAlignment w:val="baseline"/>
        <w:rPr>
          <w:rFonts w:ascii="Calibri" w:hAnsi="Calibri" w:cs="Calibri"/>
          <w:color w:val="auto"/>
          <w:sz w:val="22"/>
          <w:szCs w:val="22"/>
          <w:lang w:val="pl-PL"/>
        </w:rPr>
      </w:pPr>
      <w:r w:rsidRPr="00A1362B">
        <w:rPr>
          <w:rFonts w:ascii="Calibri" w:hAnsi="Calibri" w:cs="Calibri"/>
          <w:color w:val="auto"/>
          <w:sz w:val="22"/>
          <w:szCs w:val="22"/>
          <w:lang w:val="pl-PL"/>
        </w:rPr>
        <w:t xml:space="preserve">ul. </w:t>
      </w:r>
      <w:r w:rsidRPr="00A1362B">
        <w:rPr>
          <w:rFonts w:ascii="Calibri" w:hAnsi="Calibri" w:cs="Calibri"/>
          <w:sz w:val="22"/>
          <w:szCs w:val="22"/>
          <w:lang w:val="pl-PL" w:bidi="ar-TN"/>
        </w:rPr>
        <w:t>Rakowiecka</w:t>
      </w:r>
      <w:r w:rsidRPr="00A1362B">
        <w:rPr>
          <w:rFonts w:ascii="Calibri" w:hAnsi="Calibri" w:cs="Calibri"/>
          <w:color w:val="auto"/>
          <w:sz w:val="22"/>
          <w:szCs w:val="22"/>
          <w:lang w:val="pl-PL"/>
        </w:rPr>
        <w:t xml:space="preserve"> 25/27 02-517 Warszawa</w:t>
      </w:r>
    </w:p>
    <w:p w14:paraId="3911164E" w14:textId="77777777" w:rsidR="00C52DD5" w:rsidRPr="00A1362B" w:rsidRDefault="002B7FB2" w:rsidP="00A1362B">
      <w:pPr>
        <w:pStyle w:val="Tekstpodstawowy"/>
        <w:keepLines/>
        <w:widowControl w:val="0"/>
        <w:numPr>
          <w:ilvl w:val="1"/>
          <w:numId w:val="5"/>
        </w:numPr>
        <w:adjustRightInd w:val="0"/>
        <w:spacing w:after="240" w:line="300" w:lineRule="auto"/>
        <w:ind w:left="993" w:hanging="425"/>
        <w:jc w:val="left"/>
        <w:textAlignment w:val="baseline"/>
        <w:rPr>
          <w:rFonts w:ascii="Calibri" w:hAnsi="Calibri" w:cs="Calibri"/>
          <w:color w:val="auto"/>
          <w:sz w:val="22"/>
          <w:szCs w:val="22"/>
          <w:lang w:val="pl-PL"/>
        </w:rPr>
      </w:pPr>
      <w:r w:rsidRPr="00A1362B">
        <w:rPr>
          <w:rFonts w:ascii="Calibri" w:hAnsi="Calibri" w:cs="Calibri"/>
          <w:color w:val="auto"/>
          <w:sz w:val="22"/>
          <w:szCs w:val="22"/>
          <w:lang w:val="pl-PL"/>
        </w:rPr>
        <w:t>Adres jednostki</w:t>
      </w:r>
    </w:p>
    <w:p w14:paraId="10A46D58" w14:textId="5F917A16" w:rsidR="009D1313" w:rsidRPr="00A1362B" w:rsidRDefault="000D7765" w:rsidP="00A1362B">
      <w:pPr>
        <w:pStyle w:val="Tekstpodstawowy"/>
        <w:keepLines/>
        <w:widowControl w:val="0"/>
        <w:adjustRightInd w:val="0"/>
        <w:spacing w:after="240" w:line="300" w:lineRule="auto"/>
        <w:ind w:left="993"/>
        <w:jc w:val="left"/>
        <w:textAlignment w:val="baseline"/>
        <w:rPr>
          <w:rFonts w:ascii="Calibri" w:hAnsi="Calibri" w:cs="Calibri"/>
          <w:sz w:val="22"/>
          <w:szCs w:val="22"/>
          <w:lang w:val="pl-PL" w:bidi="ar-TN"/>
        </w:rPr>
      </w:pPr>
      <w:r w:rsidRPr="00A1362B">
        <w:rPr>
          <w:rFonts w:ascii="Calibri" w:hAnsi="Calibri" w:cs="Calibri"/>
          <w:sz w:val="22"/>
          <w:szCs w:val="22"/>
          <w:lang w:val="pl-PL" w:bidi="ar-TN"/>
        </w:rPr>
        <w:t>ul. Rakowiecka 25/27 02-517 Warszawa</w:t>
      </w:r>
    </w:p>
    <w:p w14:paraId="75DB5A24" w14:textId="77777777" w:rsidR="00C52DD5" w:rsidRPr="00A1362B" w:rsidRDefault="002B7FB2" w:rsidP="00A1362B">
      <w:pPr>
        <w:pStyle w:val="Tekstpodstawowy"/>
        <w:keepLines/>
        <w:widowControl w:val="0"/>
        <w:numPr>
          <w:ilvl w:val="1"/>
          <w:numId w:val="5"/>
        </w:numPr>
        <w:adjustRightInd w:val="0"/>
        <w:spacing w:after="240" w:line="300" w:lineRule="auto"/>
        <w:ind w:left="993" w:hanging="425"/>
        <w:jc w:val="left"/>
        <w:textAlignment w:val="baseline"/>
        <w:rPr>
          <w:rFonts w:ascii="Calibri" w:hAnsi="Calibri" w:cs="Calibri"/>
          <w:color w:val="auto"/>
          <w:sz w:val="22"/>
          <w:szCs w:val="22"/>
          <w:lang w:val="pl-PL"/>
        </w:rPr>
      </w:pPr>
      <w:r w:rsidRPr="00A1362B">
        <w:rPr>
          <w:rFonts w:ascii="Calibri" w:hAnsi="Calibri" w:cs="Calibri"/>
          <w:color w:val="auto"/>
          <w:sz w:val="22"/>
          <w:szCs w:val="22"/>
          <w:lang w:val="pl-PL"/>
        </w:rPr>
        <w:t>Podstawowy przedmiot działalności jednostki</w:t>
      </w:r>
    </w:p>
    <w:p w14:paraId="0F037208" w14:textId="26BA232F" w:rsidR="009D1313" w:rsidRPr="00A1362B" w:rsidRDefault="000D7765" w:rsidP="00C52DD5">
      <w:pPr>
        <w:pStyle w:val="Tekstpodstawowy"/>
        <w:keepLines/>
        <w:widowControl w:val="0"/>
        <w:adjustRightInd w:val="0"/>
        <w:spacing w:after="240" w:line="300" w:lineRule="auto"/>
        <w:ind w:left="993"/>
        <w:jc w:val="left"/>
        <w:textAlignment w:val="baseline"/>
        <w:rPr>
          <w:rFonts w:ascii="Calibri" w:hAnsi="Calibri" w:cs="Calibri"/>
          <w:sz w:val="22"/>
          <w:szCs w:val="22"/>
          <w:lang w:val="pl-PL" w:bidi="ar-TN"/>
        </w:rPr>
      </w:pPr>
      <w:r w:rsidRPr="00A1362B">
        <w:rPr>
          <w:rFonts w:ascii="Calibri" w:hAnsi="Calibri" w:cs="Calibri"/>
          <w:sz w:val="22"/>
          <w:szCs w:val="22"/>
          <w:lang w:val="pl-PL" w:bidi="ar-TN"/>
        </w:rPr>
        <w:t>Dzielnica Mokotów jest jednostką pomocniczą Miasta Stołecznego Warszawy Dzielnica wykonuje zadania działając na podstawie ustaw, Statutu m.st. Warszawy i innych uchwał Rady M.st. Warszawy.</w:t>
      </w:r>
    </w:p>
    <w:p w14:paraId="6348599F" w14:textId="499331F1" w:rsidR="00E119EC" w:rsidRPr="00FB3EAF" w:rsidRDefault="00E119EC" w:rsidP="00C52DD5">
      <w:pPr>
        <w:pStyle w:val="Tekstpodstawowy"/>
        <w:keepLines/>
        <w:widowControl w:val="0"/>
        <w:adjustRightInd w:val="0"/>
        <w:spacing w:after="240" w:line="300" w:lineRule="auto"/>
        <w:ind w:left="993"/>
        <w:jc w:val="left"/>
        <w:textAlignment w:val="baseline"/>
        <w:rPr>
          <w:rStyle w:val="Pogrubienie"/>
          <w:rFonts w:asciiTheme="minorHAnsi" w:hAnsiTheme="minorHAnsi" w:cstheme="minorHAnsi"/>
          <w:sz w:val="22"/>
          <w:szCs w:val="22"/>
          <w:lang w:val="pl-PL" w:bidi="ar-TN"/>
        </w:rPr>
      </w:pPr>
      <w:r w:rsidRPr="00FB3EAF">
        <w:rPr>
          <w:rStyle w:val="Pogrubienie"/>
          <w:rFonts w:asciiTheme="minorHAnsi" w:hAnsiTheme="minorHAnsi" w:cstheme="minorHAnsi"/>
          <w:sz w:val="22"/>
          <w:szCs w:val="22"/>
          <w:lang w:val="pl-PL" w:bidi="ar-TN"/>
        </w:rPr>
        <w:t>Do zakresu działania Dzielnicy należą, niezastrzeżone dla organów Miasta, sprawy lokalne o zasięgu dzielnicowym:</w:t>
      </w:r>
    </w:p>
    <w:p w14:paraId="1D760F78" w14:textId="7E95027A" w:rsidR="00D10381"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 xml:space="preserve">inwestycji; </w:t>
      </w:r>
    </w:p>
    <w:p w14:paraId="330AF6FE" w14:textId="77777777" w:rsidR="00BC1511"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gminnych zasobów lokalowych położonych na obszarze Dzielnicy;</w:t>
      </w:r>
    </w:p>
    <w:p w14:paraId="2CCA8CB2" w14:textId="0C401D60" w:rsidR="00EB1954"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nieruchomości Miasta położonych na obszarze Dzielnicy,</w:t>
      </w:r>
    </w:p>
    <w:p w14:paraId="7C06D7F6" w14:textId="71846413" w:rsidR="00BC1511"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nabywania i zbywania nieruchomości Miasta, położonych na obszarze Dzielnicy, w zakresie i trybie określonym zarządzeniem Prezydenta;</w:t>
      </w:r>
    </w:p>
    <w:p w14:paraId="2E7C6D64" w14:textId="33259587" w:rsidR="00BC1511" w:rsidRPr="00A1362B" w:rsidRDefault="00E119EC"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jednostek organizacyjnych Miasta położonych na obszarze Dzielnicy i niezaliczonych do podmiotów o znaczeniu ponaddzielnicowym uchwałą Rady Miasta:</w:t>
      </w:r>
      <w:r w:rsidR="00936CAA" w:rsidRPr="00A1362B">
        <w:rPr>
          <w:rFonts w:asciiTheme="minorHAnsi" w:hAnsiTheme="minorHAnsi" w:cstheme="minorHAnsi"/>
          <w:sz w:val="22"/>
          <w:szCs w:val="22"/>
        </w:rPr>
        <w:t xml:space="preserve"> </w:t>
      </w:r>
      <w:r w:rsidRPr="00A1362B">
        <w:rPr>
          <w:rFonts w:asciiTheme="minorHAnsi" w:hAnsiTheme="minorHAnsi" w:cstheme="minorHAnsi"/>
          <w:sz w:val="22"/>
          <w:szCs w:val="22"/>
        </w:rPr>
        <w:t>placówek oświaty i wychowania</w:t>
      </w:r>
      <w:r w:rsidR="00936CAA" w:rsidRPr="00A1362B">
        <w:rPr>
          <w:rFonts w:asciiTheme="minorHAnsi" w:hAnsiTheme="minorHAnsi" w:cstheme="minorHAnsi"/>
          <w:sz w:val="22"/>
          <w:szCs w:val="22"/>
        </w:rPr>
        <w:t xml:space="preserve"> ,</w:t>
      </w:r>
      <w:r w:rsidRPr="00A1362B">
        <w:rPr>
          <w:rFonts w:asciiTheme="minorHAnsi" w:hAnsiTheme="minorHAnsi" w:cstheme="minorHAnsi"/>
          <w:sz w:val="22"/>
          <w:szCs w:val="22"/>
        </w:rPr>
        <w:t>jednostek organizacyjnych, których działalność statutowa dotyczy obsługi finansowej w zakresie oświaty,</w:t>
      </w:r>
      <w:r w:rsidR="00936CAA" w:rsidRPr="00A1362B">
        <w:rPr>
          <w:rFonts w:asciiTheme="minorHAnsi" w:hAnsiTheme="minorHAnsi" w:cstheme="minorHAnsi"/>
          <w:sz w:val="22"/>
          <w:szCs w:val="22"/>
        </w:rPr>
        <w:t xml:space="preserve">  </w:t>
      </w:r>
      <w:r w:rsidRPr="00A1362B">
        <w:rPr>
          <w:rFonts w:asciiTheme="minorHAnsi" w:hAnsiTheme="minorHAnsi" w:cstheme="minorHAnsi"/>
          <w:sz w:val="22"/>
          <w:szCs w:val="22"/>
        </w:rPr>
        <w:t>jednostek organizacyjnych pomocy społecznej,</w:t>
      </w:r>
      <w:r w:rsidR="00EB1954" w:rsidRPr="00A1362B">
        <w:rPr>
          <w:rFonts w:asciiTheme="minorHAnsi" w:hAnsiTheme="minorHAnsi" w:cstheme="minorHAnsi"/>
          <w:sz w:val="22"/>
          <w:szCs w:val="22"/>
        </w:rPr>
        <w:t xml:space="preserve"> </w:t>
      </w:r>
      <w:r w:rsidRPr="00A1362B">
        <w:rPr>
          <w:rFonts w:asciiTheme="minorHAnsi" w:hAnsiTheme="minorHAnsi" w:cstheme="minorHAnsi"/>
          <w:sz w:val="22"/>
          <w:szCs w:val="22"/>
        </w:rPr>
        <w:t>domów kultury,</w:t>
      </w:r>
      <w:r w:rsidR="00936CAA" w:rsidRPr="00A1362B">
        <w:rPr>
          <w:rFonts w:asciiTheme="minorHAnsi" w:hAnsiTheme="minorHAnsi" w:cstheme="minorHAnsi"/>
          <w:sz w:val="22"/>
          <w:szCs w:val="22"/>
        </w:rPr>
        <w:t xml:space="preserve"> </w:t>
      </w:r>
      <w:r w:rsidR="00E53902" w:rsidRPr="00A1362B">
        <w:rPr>
          <w:rFonts w:asciiTheme="minorHAnsi" w:hAnsiTheme="minorHAnsi" w:cstheme="minorHAnsi"/>
          <w:sz w:val="22"/>
          <w:szCs w:val="22"/>
        </w:rPr>
        <w:t>bibliotek,</w:t>
      </w:r>
      <w:r w:rsidR="00936CAA" w:rsidRPr="00A1362B">
        <w:rPr>
          <w:rFonts w:asciiTheme="minorHAnsi" w:hAnsiTheme="minorHAnsi" w:cstheme="minorHAnsi"/>
          <w:sz w:val="22"/>
          <w:szCs w:val="22"/>
        </w:rPr>
        <w:t xml:space="preserve"> </w:t>
      </w:r>
      <w:r w:rsidR="00E53902" w:rsidRPr="00A1362B">
        <w:rPr>
          <w:rFonts w:asciiTheme="minorHAnsi" w:hAnsiTheme="minorHAnsi" w:cstheme="minorHAnsi"/>
          <w:kern w:val="24"/>
          <w:sz w:val="22"/>
          <w:szCs w:val="22"/>
        </w:rPr>
        <w:t xml:space="preserve">ośrodków sportu i </w:t>
      </w:r>
      <w:r w:rsidR="00E53902" w:rsidRPr="00A1362B">
        <w:rPr>
          <w:rFonts w:asciiTheme="minorHAnsi" w:hAnsiTheme="minorHAnsi" w:cstheme="minorHAnsi"/>
          <w:kern w:val="24"/>
          <w:sz w:val="22"/>
          <w:szCs w:val="22"/>
        </w:rPr>
        <w:lastRenderedPageBreak/>
        <w:t>rekreacji,</w:t>
      </w:r>
      <w:r w:rsidR="00936CAA" w:rsidRPr="00A1362B">
        <w:rPr>
          <w:rFonts w:asciiTheme="minorHAnsi" w:hAnsiTheme="minorHAnsi" w:cstheme="minorHAnsi"/>
          <w:kern w:val="24"/>
          <w:sz w:val="22"/>
          <w:szCs w:val="22"/>
        </w:rPr>
        <w:t xml:space="preserve"> </w:t>
      </w:r>
      <w:r w:rsidR="00E53902" w:rsidRPr="00A1362B">
        <w:rPr>
          <w:rFonts w:asciiTheme="minorHAnsi" w:hAnsiTheme="minorHAnsi" w:cstheme="minorHAnsi"/>
          <w:sz w:val="22"/>
          <w:szCs w:val="22"/>
        </w:rPr>
        <w:t>jednostek organizacyjnych Miasta, których działalność statutowa dotyczy zarządu zasobem lokalowym,</w:t>
      </w:r>
      <w:r w:rsidR="00EB1954" w:rsidRPr="00A1362B">
        <w:rPr>
          <w:rFonts w:asciiTheme="minorHAnsi" w:hAnsiTheme="minorHAnsi" w:cstheme="minorHAnsi"/>
          <w:sz w:val="22"/>
          <w:szCs w:val="22"/>
        </w:rPr>
        <w:t xml:space="preserve"> </w:t>
      </w:r>
      <w:r w:rsidR="00D10381" w:rsidRPr="00A1362B">
        <w:rPr>
          <w:rFonts w:asciiTheme="minorHAnsi" w:hAnsiTheme="minorHAnsi" w:cstheme="minorHAnsi"/>
          <w:sz w:val="22"/>
          <w:szCs w:val="22"/>
        </w:rPr>
        <w:t>innych jednostek określonych w uchwale Rady Miasta</w:t>
      </w:r>
      <w:r w:rsidR="00BC1511" w:rsidRPr="00A1362B">
        <w:rPr>
          <w:rFonts w:asciiTheme="minorHAnsi" w:hAnsiTheme="minorHAnsi" w:cstheme="minorHAnsi"/>
          <w:sz w:val="22"/>
          <w:szCs w:val="22"/>
        </w:rPr>
        <w:t>;</w:t>
      </w:r>
    </w:p>
    <w:p w14:paraId="043CDA31" w14:textId="163A8B62" w:rsidR="00BC1511" w:rsidRPr="00A1362B" w:rsidRDefault="00BC1511"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zieleni oraz dróg wewnętrznych stanowiących własność lub będących we władaniu Miasta, z</w:t>
      </w:r>
      <w:r w:rsidR="00EB1954" w:rsidRPr="00A1362B">
        <w:rPr>
          <w:rFonts w:asciiTheme="minorHAnsi" w:hAnsiTheme="minorHAnsi" w:cstheme="minorHAnsi"/>
          <w:sz w:val="22"/>
          <w:szCs w:val="22"/>
        </w:rPr>
        <w:t xml:space="preserve"> </w:t>
      </w:r>
      <w:r w:rsidRPr="00A1362B">
        <w:rPr>
          <w:rFonts w:asciiTheme="minorHAnsi" w:hAnsiTheme="minorHAnsi" w:cstheme="minorHAnsi"/>
          <w:sz w:val="22"/>
          <w:szCs w:val="22"/>
        </w:rPr>
        <w:t>wyłączeniem terenów zieleni i dróg przekazanych w zarząd innym podmiotom;</w:t>
      </w:r>
    </w:p>
    <w:p w14:paraId="4E3ED495" w14:textId="2D8B3BEE"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dzielnicowych obiektów administracyjnych,</w:t>
      </w:r>
    </w:p>
    <w:p w14:paraId="34BDC8DB" w14:textId="77777777"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jednostek niższego rzędu utworzonych na obszarze Dzielnicy;</w:t>
      </w:r>
    </w:p>
    <w:p w14:paraId="37C6708A" w14:textId="036B619A"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ochrony praw lokatorów i dodatków mieszkaniowych;</w:t>
      </w:r>
    </w:p>
    <w:p w14:paraId="3BB854F0" w14:textId="6248E309"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działalności kulturalnej;</w:t>
      </w:r>
    </w:p>
    <w:p w14:paraId="17613238" w14:textId="2D6DE9AD"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 xml:space="preserve">ochrony środowiska, ochrony zwierząt i gospodarki wodnej, w tym gospodarki wodami opadowymi i roztopowymi; </w:t>
      </w:r>
    </w:p>
    <w:p w14:paraId="372F8BCD" w14:textId="77777777"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dróg publicznych, z wyłączeniem dróg przekazanych innym podmiotom, a także transportu drogowego, ruchu drogowego i przewozów;</w:t>
      </w:r>
    </w:p>
    <w:p w14:paraId="69945B28" w14:textId="37FEAB60"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 xml:space="preserve">architektury i budownictwa; </w:t>
      </w:r>
    </w:p>
    <w:p w14:paraId="3E6AA297" w14:textId="77777777"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 xml:space="preserve">pobierania podatków i opłat lokalnych oraz opłaty skarbowej, podatku rolnego i leśnego, a także ubezpieczenia społecznego rolników; </w:t>
      </w:r>
    </w:p>
    <w:p w14:paraId="02A33167" w14:textId="77777777"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promocji Dzielnicy;</w:t>
      </w:r>
    </w:p>
    <w:p w14:paraId="78561EC9" w14:textId="353978C1"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miejsc pamięci narodowej;</w:t>
      </w:r>
    </w:p>
    <w:p w14:paraId="11229D1C" w14:textId="43A3032E" w:rsidR="00BC1511"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współpracy z podmiotami prowadzącymi działalność pożytku publicznego;</w:t>
      </w:r>
    </w:p>
    <w:p w14:paraId="7B539E58" w14:textId="0EE5A891" w:rsidR="00AE2C09" w:rsidRPr="00A1362B" w:rsidRDefault="00AE2C09" w:rsidP="003752B0">
      <w:pPr>
        <w:pStyle w:val="Akapitzlist"/>
        <w:widowControl w:val="0"/>
        <w:numPr>
          <w:ilvl w:val="0"/>
          <w:numId w:val="15"/>
        </w:numPr>
        <w:shd w:val="clear" w:color="auto" w:fill="FFFFFF"/>
        <w:suppressAutoHyphens/>
        <w:autoSpaceDE w:val="0"/>
        <w:spacing w:after="240" w:line="300" w:lineRule="auto"/>
        <w:contextualSpacing/>
        <w:rPr>
          <w:rFonts w:asciiTheme="minorHAnsi" w:hAnsiTheme="minorHAnsi" w:cstheme="minorHAnsi"/>
          <w:sz w:val="22"/>
          <w:szCs w:val="22"/>
        </w:rPr>
      </w:pPr>
      <w:r w:rsidRPr="00A1362B">
        <w:rPr>
          <w:rFonts w:asciiTheme="minorHAnsi" w:hAnsiTheme="minorHAnsi" w:cstheme="minorHAnsi"/>
          <w:sz w:val="22"/>
          <w:szCs w:val="22"/>
        </w:rPr>
        <w:t>innych spraw przekazanych Dzielnicy uchwałą Rady Miasta.</w:t>
      </w:r>
    </w:p>
    <w:p w14:paraId="47633991" w14:textId="05EF69FE" w:rsidR="00DC492A" w:rsidRPr="00A1362B" w:rsidRDefault="00DC492A" w:rsidP="007756FA">
      <w:pPr>
        <w:pStyle w:val="NormalnyWeb"/>
        <w:widowControl w:val="0"/>
        <w:suppressAutoHyphens/>
        <w:spacing w:before="0" w:beforeAutospacing="0" w:after="240" w:afterAutospacing="0" w:line="300" w:lineRule="auto"/>
        <w:ind w:left="993"/>
        <w:rPr>
          <w:rFonts w:asciiTheme="minorHAnsi" w:hAnsiTheme="minorHAnsi" w:cstheme="minorHAnsi"/>
          <w:sz w:val="22"/>
          <w:szCs w:val="22"/>
        </w:rPr>
      </w:pPr>
      <w:r w:rsidRPr="00A1362B">
        <w:rPr>
          <w:rFonts w:asciiTheme="minorHAnsi" w:hAnsiTheme="minorHAnsi" w:cstheme="minorHAnsi"/>
          <w:sz w:val="22"/>
          <w:szCs w:val="22"/>
        </w:rPr>
        <w:t>Dzielnicy mogą być również przekazywane inne zadania należące do Miasta.</w:t>
      </w:r>
    </w:p>
    <w:p w14:paraId="46798F1E" w14:textId="77777777" w:rsidR="00A1362B" w:rsidRPr="00A1362B" w:rsidRDefault="002B7FB2" w:rsidP="009E3AED">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b w:val="0"/>
          <w:sz w:val="22"/>
          <w:szCs w:val="22"/>
          <w:lang w:val="pl-PL"/>
        </w:rPr>
      </w:pPr>
      <w:r w:rsidRPr="00A1362B">
        <w:rPr>
          <w:rFonts w:ascii="Calibri" w:hAnsi="Calibri" w:cs="Calibri"/>
          <w:sz w:val="22"/>
          <w:szCs w:val="22"/>
          <w:lang w:val="pl-PL"/>
        </w:rPr>
        <w:t>Wskazanie okresu objętego sprawozdaniem</w:t>
      </w:r>
    </w:p>
    <w:p w14:paraId="123A6511" w14:textId="407456FA" w:rsidR="002B7FB2" w:rsidRPr="00FB3EAF" w:rsidRDefault="003E195E" w:rsidP="00FB3EAF">
      <w:pPr>
        <w:ind w:left="851"/>
        <w:rPr>
          <w:rFonts w:asciiTheme="minorHAnsi" w:hAnsiTheme="minorHAnsi" w:cstheme="minorHAnsi"/>
          <w:sz w:val="22"/>
          <w:szCs w:val="22"/>
          <w:lang w:bidi="ar-TN"/>
        </w:rPr>
      </w:pPr>
      <w:r w:rsidRPr="00FB3EAF">
        <w:rPr>
          <w:rFonts w:asciiTheme="minorHAnsi" w:hAnsiTheme="minorHAnsi" w:cstheme="minorHAnsi"/>
          <w:sz w:val="22"/>
          <w:szCs w:val="22"/>
          <w:lang w:bidi="ar-TN"/>
        </w:rPr>
        <w:t>Sprawozdanie finansowe Urzędu Dzielnicy Mokotów obejmuje rok obrotowy trwający od 1 stycznia 202</w:t>
      </w:r>
      <w:r w:rsidR="00363D08" w:rsidRPr="00FB3EAF">
        <w:rPr>
          <w:rFonts w:asciiTheme="minorHAnsi" w:hAnsiTheme="minorHAnsi" w:cstheme="minorHAnsi"/>
          <w:sz w:val="22"/>
          <w:szCs w:val="22"/>
          <w:lang w:bidi="ar-TN"/>
        </w:rPr>
        <w:t>2</w:t>
      </w:r>
      <w:r w:rsidRPr="00FB3EAF">
        <w:rPr>
          <w:rFonts w:asciiTheme="minorHAnsi" w:hAnsiTheme="minorHAnsi" w:cstheme="minorHAnsi"/>
          <w:sz w:val="22"/>
          <w:szCs w:val="22"/>
          <w:lang w:bidi="ar-TN"/>
        </w:rPr>
        <w:t xml:space="preserve"> do 31 grudnia 202</w:t>
      </w:r>
      <w:r w:rsidR="00EB32B0" w:rsidRPr="00FB3EAF">
        <w:rPr>
          <w:rFonts w:asciiTheme="minorHAnsi" w:hAnsiTheme="minorHAnsi" w:cstheme="minorHAnsi"/>
          <w:sz w:val="22"/>
          <w:szCs w:val="22"/>
          <w:lang w:bidi="ar-TN"/>
        </w:rPr>
        <w:t>3</w:t>
      </w:r>
      <w:r w:rsidR="00363D08" w:rsidRPr="00FB3EAF">
        <w:rPr>
          <w:rFonts w:asciiTheme="minorHAnsi" w:hAnsiTheme="minorHAnsi" w:cstheme="minorHAnsi"/>
          <w:sz w:val="22"/>
          <w:szCs w:val="22"/>
          <w:lang w:bidi="ar-TN"/>
        </w:rPr>
        <w:t xml:space="preserve"> </w:t>
      </w:r>
      <w:r w:rsidRPr="00FB3EAF">
        <w:rPr>
          <w:rFonts w:asciiTheme="minorHAnsi" w:hAnsiTheme="minorHAnsi" w:cstheme="minorHAnsi"/>
          <w:sz w:val="22"/>
          <w:szCs w:val="22"/>
          <w:lang w:bidi="ar-TN"/>
        </w:rPr>
        <w:t xml:space="preserve">r. </w:t>
      </w:r>
    </w:p>
    <w:p w14:paraId="075CC3EE" w14:textId="77777777" w:rsidR="009E3AED" w:rsidRPr="009E3AED" w:rsidRDefault="002B7FB2" w:rsidP="00FB3EAF">
      <w:pPr>
        <w:pStyle w:val="Nagwek2"/>
        <w:widowControl w:val="0"/>
        <w:numPr>
          <w:ilvl w:val="0"/>
          <w:numId w:val="4"/>
        </w:numPr>
        <w:tabs>
          <w:tab w:val="clear" w:pos="720"/>
        </w:tabs>
        <w:adjustRightInd w:val="0"/>
        <w:spacing w:before="240" w:after="240" w:line="300" w:lineRule="auto"/>
        <w:ind w:left="851" w:hanging="284"/>
        <w:textAlignment w:val="baseline"/>
        <w:rPr>
          <w:rFonts w:ascii="Calibri" w:hAnsi="Calibri" w:cs="Calibri"/>
          <w:b w:val="0"/>
          <w:color w:val="000000"/>
          <w:sz w:val="22"/>
          <w:szCs w:val="22"/>
          <w:lang w:val="pl-PL" w:bidi="ar-TN"/>
        </w:rPr>
      </w:pPr>
      <w:r w:rsidRPr="00A1362B">
        <w:rPr>
          <w:rFonts w:ascii="Calibri" w:hAnsi="Calibri" w:cs="Calibri"/>
          <w:sz w:val="22"/>
          <w:szCs w:val="22"/>
          <w:lang w:val="pl-PL"/>
        </w:rPr>
        <w:t>Wskazani</w:t>
      </w:r>
      <w:r w:rsidR="00A11DB8" w:rsidRPr="00A1362B">
        <w:rPr>
          <w:rFonts w:ascii="Calibri" w:hAnsi="Calibri" w:cs="Calibri"/>
          <w:sz w:val="22"/>
          <w:szCs w:val="22"/>
          <w:lang w:val="pl-PL"/>
        </w:rPr>
        <w:t>e, ż</w:t>
      </w:r>
      <w:r w:rsidRPr="00A1362B">
        <w:rPr>
          <w:rFonts w:ascii="Calibri" w:hAnsi="Calibri" w:cs="Calibri"/>
          <w:sz w:val="22"/>
          <w:szCs w:val="22"/>
          <w:lang w:val="pl-PL"/>
        </w:rPr>
        <w:t>e sprawozdanie zawiera dane łączne</w:t>
      </w:r>
    </w:p>
    <w:p w14:paraId="23953F51" w14:textId="77777777" w:rsidR="009E3AED" w:rsidRPr="008B4B1D" w:rsidRDefault="00432D0B" w:rsidP="008B4B1D">
      <w:pPr>
        <w:ind w:left="851"/>
        <w:rPr>
          <w:rFonts w:asciiTheme="minorHAnsi" w:hAnsiTheme="minorHAnsi" w:cstheme="minorHAnsi"/>
          <w:b/>
          <w:sz w:val="22"/>
          <w:szCs w:val="22"/>
          <w:lang w:bidi="ar-TN"/>
        </w:rPr>
      </w:pPr>
      <w:r w:rsidRPr="008B4B1D">
        <w:rPr>
          <w:rFonts w:asciiTheme="minorHAnsi" w:hAnsiTheme="minorHAnsi" w:cstheme="minorHAnsi"/>
          <w:sz w:val="22"/>
          <w:szCs w:val="22"/>
          <w:lang w:bidi="ar-TN"/>
        </w:rPr>
        <w:t>Sprawozdanie finansowe Urzędu Dzielnicy Mokotów zawiera wszystkie dane dotyczące Urzędu Dzielnicy Mokotów.</w:t>
      </w:r>
    </w:p>
    <w:p w14:paraId="4BD7CFAA" w14:textId="2FAADE51" w:rsidR="00432D0B" w:rsidRPr="008B4B1D" w:rsidRDefault="00432D0B" w:rsidP="008B4B1D">
      <w:pPr>
        <w:ind w:left="851"/>
        <w:rPr>
          <w:rFonts w:asciiTheme="minorHAnsi" w:hAnsiTheme="minorHAnsi" w:cstheme="minorHAnsi"/>
          <w:b/>
          <w:sz w:val="22"/>
          <w:szCs w:val="22"/>
          <w:lang w:bidi="ar-TN"/>
        </w:rPr>
      </w:pPr>
      <w:r w:rsidRPr="008B4B1D">
        <w:rPr>
          <w:rFonts w:asciiTheme="minorHAnsi" w:hAnsiTheme="minorHAnsi" w:cstheme="minorHAnsi"/>
          <w:sz w:val="22"/>
          <w:szCs w:val="22"/>
          <w:lang w:bidi="ar-TN"/>
        </w:rPr>
        <w:t>Urząd Dzielnicy sporządza sprawozdanie jednostkowe.</w:t>
      </w:r>
    </w:p>
    <w:p w14:paraId="4983DD86" w14:textId="62FD958C" w:rsidR="006829B9" w:rsidRDefault="006829B9" w:rsidP="00FB3EAF">
      <w:pPr>
        <w:pStyle w:val="Nagwek2"/>
        <w:widowControl w:val="0"/>
        <w:numPr>
          <w:ilvl w:val="0"/>
          <w:numId w:val="4"/>
        </w:numPr>
        <w:tabs>
          <w:tab w:val="clear" w:pos="720"/>
        </w:tabs>
        <w:autoSpaceDE w:val="0"/>
        <w:autoSpaceDN w:val="0"/>
        <w:adjustRightInd w:val="0"/>
        <w:spacing w:before="240" w:after="240" w:line="300" w:lineRule="auto"/>
        <w:ind w:left="851" w:hanging="284"/>
        <w:textAlignment w:val="baseline"/>
        <w:rPr>
          <w:rFonts w:ascii="Calibri" w:hAnsi="Calibri" w:cs="Calibri"/>
          <w:sz w:val="22"/>
          <w:szCs w:val="22"/>
        </w:rPr>
      </w:pPr>
      <w:r w:rsidRPr="006829B9">
        <w:rPr>
          <w:rFonts w:ascii="Calibri" w:hAnsi="Calibri" w:cs="Calibri"/>
          <w:sz w:val="22"/>
          <w:szCs w:val="22"/>
          <w:lang w:val="pl-PL"/>
        </w:rPr>
        <w:t>Przyjęte zasady (polityki) rachunkowości, w tym metody wyceny aktywów i pasywów</w:t>
      </w:r>
    </w:p>
    <w:p w14:paraId="0FBD6A8F" w14:textId="13C38F8B" w:rsidR="00694192" w:rsidRPr="001B39CF" w:rsidRDefault="00432D0B" w:rsidP="001B39CF">
      <w:pPr>
        <w:pStyle w:val="Nagwek3"/>
        <w:numPr>
          <w:ilvl w:val="0"/>
          <w:numId w:val="0"/>
        </w:numPr>
        <w:tabs>
          <w:tab w:val="clear" w:pos="709"/>
        </w:tabs>
        <w:ind w:left="851"/>
        <w:rPr>
          <w:rFonts w:asciiTheme="minorHAnsi" w:hAnsiTheme="minorHAnsi" w:cstheme="minorHAnsi"/>
          <w:sz w:val="22"/>
          <w:szCs w:val="22"/>
          <w:lang w:val="pl-PL"/>
        </w:rPr>
      </w:pPr>
      <w:r w:rsidRPr="001B39CF">
        <w:rPr>
          <w:rFonts w:asciiTheme="minorHAnsi" w:hAnsiTheme="minorHAnsi" w:cstheme="minorHAnsi"/>
          <w:sz w:val="22"/>
          <w:szCs w:val="22"/>
        </w:rPr>
        <w:t>Księgi</w:t>
      </w:r>
      <w:r w:rsidR="003E195E" w:rsidRPr="001B39CF">
        <w:rPr>
          <w:rFonts w:asciiTheme="minorHAnsi" w:hAnsiTheme="minorHAnsi" w:cstheme="minorHAnsi"/>
          <w:sz w:val="22"/>
          <w:szCs w:val="22"/>
        </w:rPr>
        <w:t xml:space="preserve"> rachunkowe Urzędu Dzielnicy Mokotów m.st. Warszawy prowadzone są w Wydziale Budżetowo-Księgowym dla Dzielnicy Mokotów</w:t>
      </w:r>
      <w:r w:rsidR="001B39CF">
        <w:rPr>
          <w:rFonts w:asciiTheme="minorHAnsi" w:hAnsiTheme="minorHAnsi" w:cstheme="minorHAnsi"/>
          <w:sz w:val="22"/>
          <w:szCs w:val="22"/>
          <w:lang w:val="pl-PL"/>
        </w:rPr>
        <w:t>.</w:t>
      </w:r>
    </w:p>
    <w:p w14:paraId="554896E5" w14:textId="77777777" w:rsidR="00694192" w:rsidRPr="001B39CF" w:rsidRDefault="00432D0B" w:rsidP="001B39CF">
      <w:pPr>
        <w:spacing w:before="240"/>
        <w:ind w:left="851"/>
        <w:rPr>
          <w:rFonts w:asciiTheme="minorHAnsi" w:hAnsiTheme="minorHAnsi" w:cstheme="minorHAnsi"/>
          <w:sz w:val="22"/>
          <w:szCs w:val="22"/>
        </w:rPr>
      </w:pPr>
      <w:r w:rsidRPr="001B39CF">
        <w:rPr>
          <w:rFonts w:asciiTheme="minorHAnsi" w:hAnsiTheme="minorHAnsi" w:cstheme="minorHAnsi"/>
          <w:sz w:val="22"/>
          <w:szCs w:val="22"/>
        </w:rPr>
        <w:t>Księgi</w:t>
      </w:r>
      <w:r w:rsidR="003E195E" w:rsidRPr="001B39CF">
        <w:rPr>
          <w:rFonts w:asciiTheme="minorHAnsi" w:hAnsiTheme="minorHAnsi" w:cstheme="minorHAnsi"/>
          <w:sz w:val="22"/>
          <w:szCs w:val="22"/>
        </w:rPr>
        <w:t xml:space="preserve"> rachunkowe prowadzone są w oparciu o przepisy ustawy z dnia 29 września 1994 r. o rachunkowości oraz ustawy z dnia 27 sierpnia 2009 r. o finansach publicznych oraz </w:t>
      </w:r>
      <w:r w:rsidR="003E195E" w:rsidRPr="001B39CF">
        <w:rPr>
          <w:rFonts w:asciiTheme="minorHAnsi" w:hAnsiTheme="minorHAnsi" w:cstheme="minorHAnsi"/>
          <w:sz w:val="22"/>
          <w:szCs w:val="22"/>
        </w:rPr>
        <w:lastRenderedPageBreak/>
        <w:t>wydanych na ich podstawie obowiązującymi ro</w:t>
      </w:r>
      <w:r w:rsidR="00C53945" w:rsidRPr="001B39CF">
        <w:rPr>
          <w:rFonts w:asciiTheme="minorHAnsi" w:hAnsiTheme="minorHAnsi" w:cstheme="minorHAnsi"/>
          <w:sz w:val="22"/>
          <w:szCs w:val="22"/>
        </w:rPr>
        <w:t>z</w:t>
      </w:r>
      <w:r w:rsidR="003E195E" w:rsidRPr="001B39CF">
        <w:rPr>
          <w:rFonts w:asciiTheme="minorHAnsi" w:hAnsiTheme="minorHAnsi" w:cstheme="minorHAnsi"/>
          <w:sz w:val="22"/>
          <w:szCs w:val="22"/>
        </w:rPr>
        <w:t>porządzeniami Ministra Finansów.</w:t>
      </w:r>
      <w:r w:rsidR="00D7565E" w:rsidRPr="001B39CF">
        <w:rPr>
          <w:rFonts w:asciiTheme="minorHAnsi" w:hAnsiTheme="minorHAnsi" w:cstheme="minorHAnsi"/>
          <w:sz w:val="22"/>
          <w:szCs w:val="22"/>
        </w:rPr>
        <w:br/>
        <w:t>Podstawą zapisu w księgach rachunkowych są zatwierdzone dowody księgowe, stwierdzające dokonanie operacji gospodarczych zgodnie ze stanem faktycznym. Stany aktywów i pasywów wykazane na dzień zamknięcia ksiąg rachunkowych wykazywane są w tej samej wysokości jako bilans otwarcia na dzień otwarcia ksiąg rachunkowych. W księgach rachunkowych ujmuje się wszystkie przychody i koszty danego okresu  obrachunkowego w momencie ich wystąpienia.</w:t>
      </w:r>
    </w:p>
    <w:p w14:paraId="48A5BB26" w14:textId="77777777" w:rsidR="00694192" w:rsidRPr="00A1362B" w:rsidRDefault="000D4D20" w:rsidP="001B39CF">
      <w:pPr>
        <w:pStyle w:val="Nagwek3"/>
        <w:numPr>
          <w:ilvl w:val="0"/>
          <w:numId w:val="0"/>
        </w:numPr>
        <w:tabs>
          <w:tab w:val="clear" w:pos="709"/>
        </w:tabs>
        <w:spacing w:before="240"/>
        <w:ind w:left="851"/>
        <w:rPr>
          <w:rFonts w:asciiTheme="minorHAnsi" w:hAnsiTheme="minorHAnsi" w:cstheme="minorHAnsi"/>
          <w:sz w:val="22"/>
          <w:szCs w:val="22"/>
        </w:rPr>
      </w:pPr>
      <w:r w:rsidRPr="001B39CF">
        <w:rPr>
          <w:rFonts w:asciiTheme="minorHAnsi" w:hAnsiTheme="minorHAnsi" w:cstheme="minorHAnsi"/>
          <w:sz w:val="22"/>
          <w:szCs w:val="22"/>
        </w:rPr>
        <w:t xml:space="preserve">Środki trwałe </w:t>
      </w:r>
      <w:r w:rsidRPr="00A1362B">
        <w:rPr>
          <w:rFonts w:asciiTheme="minorHAnsi" w:hAnsiTheme="minorHAnsi" w:cstheme="minorHAnsi"/>
          <w:sz w:val="22"/>
          <w:szCs w:val="22"/>
        </w:rPr>
        <w:t xml:space="preserve">oraz wartości niematerialne i prawne o wartości powyżej 500 zł do 10 000 zł i okresie używania dłuższym niż 1 rok są: </w:t>
      </w:r>
    </w:p>
    <w:p w14:paraId="5532B260" w14:textId="77777777" w:rsidR="00694192" w:rsidRPr="001B39CF" w:rsidRDefault="000D4D20" w:rsidP="003752B0">
      <w:pPr>
        <w:pStyle w:val="Nagwek4"/>
        <w:numPr>
          <w:ilvl w:val="0"/>
          <w:numId w:val="23"/>
        </w:numPr>
        <w:tabs>
          <w:tab w:val="clear" w:pos="720"/>
        </w:tabs>
        <w:spacing w:before="240"/>
        <w:ind w:left="1418"/>
        <w:rPr>
          <w:rFonts w:asciiTheme="minorHAnsi" w:hAnsiTheme="minorHAnsi" w:cstheme="minorHAnsi"/>
          <w:b w:val="0"/>
          <w:sz w:val="22"/>
          <w:szCs w:val="22"/>
        </w:rPr>
      </w:pPr>
      <w:r w:rsidRPr="001B39CF">
        <w:rPr>
          <w:rFonts w:asciiTheme="minorHAnsi" w:hAnsiTheme="minorHAnsi" w:cstheme="minorHAnsi"/>
          <w:b w:val="0"/>
          <w:sz w:val="22"/>
          <w:szCs w:val="22"/>
        </w:rPr>
        <w:t>finansowane ze środków obrotowych,</w:t>
      </w:r>
    </w:p>
    <w:p w14:paraId="17FF2DF8" w14:textId="6C1A19B2" w:rsidR="00694192" w:rsidRPr="001B39CF" w:rsidRDefault="000D4D20" w:rsidP="003752B0">
      <w:pPr>
        <w:pStyle w:val="Nagwek4"/>
        <w:numPr>
          <w:ilvl w:val="0"/>
          <w:numId w:val="23"/>
        </w:numPr>
        <w:tabs>
          <w:tab w:val="clear" w:pos="720"/>
        </w:tabs>
        <w:ind w:left="1418"/>
        <w:rPr>
          <w:rFonts w:asciiTheme="minorHAnsi" w:hAnsiTheme="minorHAnsi" w:cstheme="minorHAnsi"/>
          <w:b w:val="0"/>
          <w:sz w:val="22"/>
          <w:szCs w:val="22"/>
        </w:rPr>
      </w:pPr>
      <w:r w:rsidRPr="001B39CF">
        <w:rPr>
          <w:rFonts w:asciiTheme="minorHAnsi" w:hAnsiTheme="minorHAnsi" w:cstheme="minorHAnsi"/>
          <w:b w:val="0"/>
          <w:sz w:val="22"/>
          <w:szCs w:val="22"/>
        </w:rPr>
        <w:t xml:space="preserve">ewidencjonowane jako pozostałe środki trwałe w </w:t>
      </w:r>
      <w:r w:rsidR="00694192" w:rsidRPr="001B39CF">
        <w:rPr>
          <w:rFonts w:asciiTheme="minorHAnsi" w:hAnsiTheme="minorHAnsi" w:cstheme="minorHAnsi"/>
          <w:b w:val="0"/>
          <w:sz w:val="22"/>
          <w:szCs w:val="22"/>
        </w:rPr>
        <w:t>używaniu</w:t>
      </w:r>
      <w:r w:rsidRPr="001B39CF">
        <w:rPr>
          <w:rFonts w:asciiTheme="minorHAnsi" w:hAnsiTheme="minorHAnsi" w:cstheme="minorHAnsi"/>
          <w:b w:val="0"/>
          <w:sz w:val="22"/>
          <w:szCs w:val="22"/>
        </w:rPr>
        <w:t xml:space="preserve"> na koncie 013 I wartości niematerialne I prawne na koncie 020 w miesiącu przekazania ich do używania po zakupie.</w:t>
      </w:r>
    </w:p>
    <w:p w14:paraId="23969777" w14:textId="77777777" w:rsidR="00694192" w:rsidRPr="001B39CF" w:rsidRDefault="000D4D20" w:rsidP="001B39CF">
      <w:pPr>
        <w:pStyle w:val="Nagwek3"/>
        <w:numPr>
          <w:ilvl w:val="0"/>
          <w:numId w:val="0"/>
        </w:numPr>
        <w:tabs>
          <w:tab w:val="clear" w:pos="709"/>
        </w:tabs>
        <w:spacing w:before="240"/>
        <w:ind w:left="851"/>
        <w:rPr>
          <w:rFonts w:asciiTheme="minorHAnsi" w:hAnsiTheme="minorHAnsi" w:cstheme="minorHAnsi"/>
          <w:sz w:val="22"/>
          <w:szCs w:val="22"/>
        </w:rPr>
      </w:pPr>
      <w:r w:rsidRPr="00A1362B">
        <w:rPr>
          <w:rFonts w:asciiTheme="minorHAnsi" w:hAnsiTheme="minorHAnsi" w:cstheme="minorHAnsi"/>
          <w:sz w:val="22"/>
          <w:szCs w:val="22"/>
        </w:rPr>
        <w:t>Pozostałe środki trwałe w używaniu o wartości mniejszej/</w:t>
      </w:r>
      <w:r w:rsidR="00EB2360" w:rsidRPr="00A1362B">
        <w:rPr>
          <w:rFonts w:asciiTheme="minorHAnsi" w:hAnsiTheme="minorHAnsi" w:cstheme="minorHAnsi"/>
          <w:sz w:val="22"/>
          <w:szCs w:val="22"/>
        </w:rPr>
        <w:t>r</w:t>
      </w:r>
      <w:r w:rsidR="00C45228" w:rsidRPr="00A1362B">
        <w:rPr>
          <w:rFonts w:asciiTheme="minorHAnsi" w:hAnsiTheme="minorHAnsi" w:cstheme="minorHAnsi"/>
          <w:sz w:val="22"/>
          <w:szCs w:val="22"/>
        </w:rPr>
        <w:t>ównej</w:t>
      </w:r>
      <w:r w:rsidRPr="00A1362B">
        <w:rPr>
          <w:rFonts w:asciiTheme="minorHAnsi" w:hAnsiTheme="minorHAnsi" w:cstheme="minorHAnsi"/>
          <w:sz w:val="22"/>
          <w:szCs w:val="22"/>
        </w:rPr>
        <w:t xml:space="preserve"> 500 zł o charakterze wyposażenia biura:</w:t>
      </w:r>
    </w:p>
    <w:p w14:paraId="77124E93" w14:textId="77777777" w:rsidR="001B39CF" w:rsidRDefault="00EB2360" w:rsidP="003752B0">
      <w:pPr>
        <w:pStyle w:val="Nagwek4"/>
        <w:numPr>
          <w:ilvl w:val="0"/>
          <w:numId w:val="24"/>
        </w:numPr>
        <w:spacing w:before="240"/>
        <w:ind w:left="1417" w:hanging="357"/>
        <w:rPr>
          <w:rFonts w:asciiTheme="minorHAnsi" w:hAnsiTheme="minorHAnsi" w:cstheme="minorHAnsi"/>
          <w:b w:val="0"/>
          <w:sz w:val="22"/>
          <w:szCs w:val="22"/>
        </w:rPr>
      </w:pPr>
      <w:r w:rsidRPr="001B39CF">
        <w:rPr>
          <w:rFonts w:asciiTheme="minorHAnsi" w:hAnsiTheme="minorHAnsi" w:cstheme="minorHAnsi"/>
          <w:b w:val="0"/>
          <w:sz w:val="22"/>
          <w:szCs w:val="22"/>
        </w:rPr>
        <w:t xml:space="preserve">np. kosze, zasłony, firany, karnisze, wykładziny – księgowane </w:t>
      </w:r>
      <w:r w:rsidR="00694192" w:rsidRPr="001B39CF">
        <w:rPr>
          <w:rFonts w:asciiTheme="minorHAnsi" w:hAnsiTheme="minorHAnsi" w:cstheme="minorHAnsi"/>
          <w:b w:val="0"/>
          <w:sz w:val="22"/>
          <w:szCs w:val="22"/>
        </w:rPr>
        <w:t>są</w:t>
      </w:r>
      <w:r w:rsidRPr="001B39CF">
        <w:rPr>
          <w:rFonts w:asciiTheme="minorHAnsi" w:hAnsiTheme="minorHAnsi" w:cstheme="minorHAnsi"/>
          <w:b w:val="0"/>
          <w:sz w:val="22"/>
          <w:szCs w:val="22"/>
        </w:rPr>
        <w:t xml:space="preserve"> bezpośrednio w momencie oddania ich do użytkowania,</w:t>
      </w:r>
    </w:p>
    <w:p w14:paraId="19AA25B3" w14:textId="77777777" w:rsidR="001B39CF" w:rsidRDefault="00EB2360" w:rsidP="003752B0">
      <w:pPr>
        <w:pStyle w:val="Nagwek4"/>
        <w:numPr>
          <w:ilvl w:val="0"/>
          <w:numId w:val="24"/>
        </w:numPr>
        <w:ind w:left="1417" w:hanging="357"/>
        <w:rPr>
          <w:rFonts w:asciiTheme="minorHAnsi" w:hAnsiTheme="minorHAnsi" w:cstheme="minorHAnsi"/>
          <w:b w:val="0"/>
          <w:sz w:val="22"/>
          <w:szCs w:val="22"/>
        </w:rPr>
      </w:pPr>
      <w:r w:rsidRPr="001B39CF">
        <w:rPr>
          <w:rFonts w:asciiTheme="minorHAnsi" w:hAnsiTheme="minorHAnsi" w:cstheme="minorHAnsi"/>
          <w:b w:val="0"/>
          <w:sz w:val="22"/>
          <w:szCs w:val="22"/>
        </w:rPr>
        <w:t xml:space="preserve">np. lampki biurowe, </w:t>
      </w:r>
      <w:r w:rsidR="00694192" w:rsidRPr="001B39CF">
        <w:rPr>
          <w:rFonts w:asciiTheme="minorHAnsi" w:hAnsiTheme="minorHAnsi" w:cstheme="minorHAnsi"/>
          <w:b w:val="0"/>
          <w:sz w:val="22"/>
          <w:szCs w:val="22"/>
        </w:rPr>
        <w:t>czajniki</w:t>
      </w:r>
      <w:r w:rsidRPr="001B39CF">
        <w:rPr>
          <w:rFonts w:asciiTheme="minorHAnsi" w:hAnsiTheme="minorHAnsi" w:cstheme="minorHAnsi"/>
          <w:b w:val="0"/>
          <w:sz w:val="22"/>
          <w:szCs w:val="22"/>
        </w:rPr>
        <w:t xml:space="preserve"> elektryczne, lustra, tablice korkowe księgowane są w koszty w momencie oddania ich do użytkowania,</w:t>
      </w:r>
    </w:p>
    <w:p w14:paraId="653D3A3F" w14:textId="2F74FBB3" w:rsidR="00694192" w:rsidRPr="001B39CF" w:rsidRDefault="00EB2360" w:rsidP="003752B0">
      <w:pPr>
        <w:pStyle w:val="Nagwek4"/>
        <w:numPr>
          <w:ilvl w:val="0"/>
          <w:numId w:val="24"/>
        </w:numPr>
        <w:ind w:left="1417" w:hanging="357"/>
        <w:rPr>
          <w:rFonts w:asciiTheme="minorHAnsi" w:hAnsiTheme="minorHAnsi" w:cstheme="minorHAnsi"/>
          <w:b w:val="0"/>
          <w:sz w:val="22"/>
          <w:szCs w:val="22"/>
        </w:rPr>
      </w:pPr>
      <w:r w:rsidRPr="001B39CF">
        <w:rPr>
          <w:rFonts w:asciiTheme="minorHAnsi" w:hAnsiTheme="minorHAnsi" w:cstheme="minorHAnsi"/>
          <w:b w:val="0"/>
          <w:sz w:val="22"/>
          <w:szCs w:val="22"/>
        </w:rPr>
        <w:t>drobne akcesoria komputerowe księgowane są w koszty w momencie oddania ich do użytkowania.</w:t>
      </w:r>
    </w:p>
    <w:p w14:paraId="7A45AA6A" w14:textId="77777777" w:rsidR="00694192" w:rsidRPr="001B39CF" w:rsidRDefault="00EB2360" w:rsidP="001B39CF">
      <w:pPr>
        <w:pStyle w:val="Nagwek3"/>
        <w:numPr>
          <w:ilvl w:val="0"/>
          <w:numId w:val="0"/>
        </w:numPr>
        <w:tabs>
          <w:tab w:val="clear" w:pos="709"/>
        </w:tabs>
        <w:spacing w:before="240"/>
        <w:ind w:left="851"/>
        <w:rPr>
          <w:rFonts w:asciiTheme="minorHAnsi" w:hAnsiTheme="minorHAnsi" w:cstheme="minorHAnsi"/>
          <w:sz w:val="22"/>
          <w:szCs w:val="22"/>
        </w:rPr>
      </w:pPr>
      <w:r w:rsidRPr="00A1362B">
        <w:rPr>
          <w:rFonts w:asciiTheme="minorHAnsi" w:hAnsiTheme="minorHAnsi" w:cstheme="minorHAnsi"/>
          <w:sz w:val="22"/>
          <w:szCs w:val="22"/>
        </w:rPr>
        <w:t>Pozostałe środki trwałe w używaniu bez względu na ich wartość początkową i okres użytkowania kupowane są ze środków obrotowych i ewidencjonowane:</w:t>
      </w:r>
    </w:p>
    <w:p w14:paraId="3A13AF14" w14:textId="77777777" w:rsidR="00694192" w:rsidRPr="001B39CF" w:rsidRDefault="00EB2360" w:rsidP="003752B0">
      <w:pPr>
        <w:pStyle w:val="Nagwek4"/>
        <w:numPr>
          <w:ilvl w:val="0"/>
          <w:numId w:val="25"/>
        </w:numPr>
        <w:tabs>
          <w:tab w:val="clear" w:pos="720"/>
        </w:tabs>
        <w:spacing w:before="240"/>
        <w:ind w:left="1418"/>
        <w:rPr>
          <w:rFonts w:asciiTheme="minorHAnsi" w:hAnsiTheme="minorHAnsi" w:cstheme="minorHAnsi"/>
          <w:b w:val="0"/>
          <w:sz w:val="22"/>
          <w:szCs w:val="22"/>
        </w:rPr>
      </w:pPr>
      <w:r w:rsidRPr="001B39CF">
        <w:rPr>
          <w:rFonts w:asciiTheme="minorHAnsi" w:hAnsiTheme="minorHAnsi" w:cstheme="minorHAnsi"/>
          <w:b w:val="0"/>
          <w:sz w:val="22"/>
          <w:szCs w:val="22"/>
        </w:rPr>
        <w:t>meble, dywany, tele</w:t>
      </w:r>
      <w:r w:rsidR="00934BB0" w:rsidRPr="001B39CF">
        <w:rPr>
          <w:rFonts w:asciiTheme="minorHAnsi" w:hAnsiTheme="minorHAnsi" w:cstheme="minorHAnsi"/>
          <w:b w:val="0"/>
          <w:sz w:val="22"/>
          <w:szCs w:val="22"/>
        </w:rPr>
        <w:t>fo</w:t>
      </w:r>
      <w:r w:rsidRPr="001B39CF">
        <w:rPr>
          <w:rFonts w:asciiTheme="minorHAnsi" w:hAnsiTheme="minorHAnsi" w:cstheme="minorHAnsi"/>
          <w:b w:val="0"/>
          <w:sz w:val="22"/>
          <w:szCs w:val="22"/>
        </w:rPr>
        <w:t>ny, środki dydaktyczne na koncie 013,</w:t>
      </w:r>
    </w:p>
    <w:p w14:paraId="025D2E42" w14:textId="77777777" w:rsidR="00694192" w:rsidRPr="001B39CF" w:rsidRDefault="00694192" w:rsidP="003752B0">
      <w:pPr>
        <w:pStyle w:val="Nagwek4"/>
        <w:numPr>
          <w:ilvl w:val="0"/>
          <w:numId w:val="25"/>
        </w:numPr>
        <w:ind w:left="1417" w:hanging="357"/>
        <w:rPr>
          <w:rFonts w:asciiTheme="minorHAnsi" w:hAnsiTheme="minorHAnsi" w:cstheme="minorHAnsi"/>
          <w:b w:val="0"/>
          <w:sz w:val="22"/>
          <w:szCs w:val="22"/>
        </w:rPr>
      </w:pPr>
      <w:r w:rsidRPr="001B39CF">
        <w:rPr>
          <w:rFonts w:asciiTheme="minorHAnsi" w:hAnsiTheme="minorHAnsi" w:cstheme="minorHAnsi"/>
          <w:b w:val="0"/>
          <w:sz w:val="22"/>
          <w:szCs w:val="22"/>
        </w:rPr>
        <w:t>książki</w:t>
      </w:r>
      <w:r w:rsidR="00EB2360" w:rsidRPr="001B39CF">
        <w:rPr>
          <w:rFonts w:asciiTheme="minorHAnsi" w:hAnsiTheme="minorHAnsi" w:cstheme="minorHAnsi"/>
          <w:b w:val="0"/>
          <w:sz w:val="22"/>
          <w:szCs w:val="22"/>
        </w:rPr>
        <w:t xml:space="preserve"> (literatur</w:t>
      </w:r>
      <w:r w:rsidRPr="001B39CF">
        <w:rPr>
          <w:rFonts w:asciiTheme="minorHAnsi" w:hAnsiTheme="minorHAnsi" w:cstheme="minorHAnsi"/>
          <w:b w:val="0"/>
          <w:sz w:val="22"/>
          <w:szCs w:val="22"/>
        </w:rPr>
        <w:t>a</w:t>
      </w:r>
      <w:r w:rsidR="00EB2360" w:rsidRPr="001B39CF">
        <w:rPr>
          <w:rFonts w:asciiTheme="minorHAnsi" w:hAnsiTheme="minorHAnsi" w:cstheme="minorHAnsi"/>
          <w:b w:val="0"/>
          <w:sz w:val="22"/>
          <w:szCs w:val="22"/>
        </w:rPr>
        <w:t xml:space="preserve"> fachowa)</w:t>
      </w:r>
      <w:r w:rsidR="00DE4209" w:rsidRPr="001B39CF">
        <w:rPr>
          <w:rFonts w:asciiTheme="minorHAnsi" w:hAnsiTheme="minorHAnsi" w:cstheme="minorHAnsi"/>
          <w:b w:val="0"/>
          <w:sz w:val="22"/>
          <w:szCs w:val="22"/>
        </w:rPr>
        <w:t xml:space="preserve"> księgowane s</w:t>
      </w:r>
      <w:r w:rsidRPr="001B39CF">
        <w:rPr>
          <w:rFonts w:asciiTheme="minorHAnsi" w:hAnsiTheme="minorHAnsi" w:cstheme="minorHAnsi"/>
          <w:b w:val="0"/>
          <w:sz w:val="22"/>
          <w:szCs w:val="22"/>
        </w:rPr>
        <w:t>ą</w:t>
      </w:r>
      <w:r w:rsidR="00DE4209" w:rsidRPr="001B39CF">
        <w:rPr>
          <w:rFonts w:asciiTheme="minorHAnsi" w:hAnsiTheme="minorHAnsi" w:cstheme="minorHAnsi"/>
          <w:b w:val="0"/>
          <w:sz w:val="22"/>
          <w:szCs w:val="22"/>
        </w:rPr>
        <w:t xml:space="preserve"> bezpośrednio w koszty w momencie ich przekazania do użytkowania.</w:t>
      </w:r>
      <w:r w:rsidRPr="001B39CF">
        <w:rPr>
          <w:rFonts w:asciiTheme="minorHAnsi" w:hAnsiTheme="minorHAnsi" w:cstheme="minorHAnsi"/>
          <w:b w:val="0"/>
          <w:sz w:val="22"/>
          <w:szCs w:val="22"/>
        </w:rPr>
        <w:t xml:space="preserve"> </w:t>
      </w:r>
      <w:r w:rsidR="00DE4209" w:rsidRPr="001B39CF">
        <w:rPr>
          <w:rFonts w:asciiTheme="minorHAnsi" w:hAnsiTheme="minorHAnsi" w:cstheme="minorHAnsi"/>
          <w:b w:val="0"/>
          <w:sz w:val="22"/>
          <w:szCs w:val="22"/>
        </w:rPr>
        <w:t xml:space="preserve">Ponadto podlegają wpisowi do kart ewidencyjnych wyposażenia </w:t>
      </w:r>
      <w:r w:rsidRPr="001B39CF">
        <w:rPr>
          <w:rFonts w:asciiTheme="minorHAnsi" w:hAnsiTheme="minorHAnsi" w:cstheme="minorHAnsi"/>
          <w:b w:val="0"/>
          <w:sz w:val="22"/>
          <w:szCs w:val="22"/>
        </w:rPr>
        <w:t>pracowników</w:t>
      </w:r>
      <w:r w:rsidR="00DE4209" w:rsidRPr="001B39CF">
        <w:rPr>
          <w:rFonts w:asciiTheme="minorHAnsi" w:hAnsiTheme="minorHAnsi" w:cstheme="minorHAnsi"/>
          <w:b w:val="0"/>
          <w:sz w:val="22"/>
          <w:szCs w:val="22"/>
        </w:rPr>
        <w:t>.</w:t>
      </w:r>
    </w:p>
    <w:p w14:paraId="55232FF3" w14:textId="77777777" w:rsidR="00694192" w:rsidRPr="0049035B" w:rsidRDefault="00DE4209" w:rsidP="0049035B">
      <w:pPr>
        <w:pStyle w:val="Nagwek3"/>
        <w:numPr>
          <w:ilvl w:val="0"/>
          <w:numId w:val="0"/>
        </w:numPr>
        <w:tabs>
          <w:tab w:val="clear" w:pos="709"/>
        </w:tabs>
        <w:spacing w:before="240"/>
        <w:ind w:left="851"/>
        <w:rPr>
          <w:rFonts w:asciiTheme="minorHAnsi" w:hAnsiTheme="minorHAnsi" w:cstheme="minorHAnsi"/>
          <w:b w:val="0"/>
          <w:sz w:val="22"/>
          <w:szCs w:val="22"/>
        </w:rPr>
      </w:pPr>
      <w:r w:rsidRPr="00A1362B">
        <w:rPr>
          <w:rFonts w:asciiTheme="minorHAnsi" w:hAnsiTheme="minorHAnsi" w:cstheme="minorHAnsi"/>
          <w:sz w:val="22"/>
          <w:szCs w:val="22"/>
        </w:rPr>
        <w:t xml:space="preserve">Środki trwałe oraz wartości niematerialne i prawne np. licencje na oprogramowanie komputerowe, o wartości jednostkowej powyżej 10.000 zł i okresie używania dłuższym niż rok </w:t>
      </w:r>
      <w:r w:rsidRPr="0049035B">
        <w:rPr>
          <w:rFonts w:asciiTheme="minorHAnsi" w:hAnsiTheme="minorHAnsi" w:cstheme="minorHAnsi"/>
          <w:b w:val="0"/>
          <w:sz w:val="22"/>
          <w:szCs w:val="22"/>
        </w:rPr>
        <w:t>są kupowane ze środków inwestycyjnych.</w:t>
      </w:r>
    </w:p>
    <w:p w14:paraId="36F402E7" w14:textId="77777777" w:rsidR="00EB1954" w:rsidRPr="00A1362B" w:rsidRDefault="00DE4209" w:rsidP="0049035B">
      <w:pPr>
        <w:pStyle w:val="Nagwek3"/>
        <w:numPr>
          <w:ilvl w:val="0"/>
          <w:numId w:val="0"/>
        </w:numPr>
        <w:tabs>
          <w:tab w:val="clear" w:pos="709"/>
        </w:tabs>
        <w:spacing w:before="240"/>
        <w:ind w:left="851"/>
        <w:rPr>
          <w:rFonts w:asciiTheme="minorHAnsi" w:hAnsiTheme="minorHAnsi" w:cstheme="minorHAnsi"/>
          <w:sz w:val="22"/>
          <w:szCs w:val="22"/>
        </w:rPr>
      </w:pPr>
      <w:r w:rsidRPr="00A1362B">
        <w:rPr>
          <w:rFonts w:asciiTheme="minorHAnsi" w:hAnsiTheme="minorHAnsi" w:cstheme="minorHAnsi"/>
          <w:sz w:val="22"/>
          <w:szCs w:val="22"/>
        </w:rPr>
        <w:t xml:space="preserve">Środki trwałe oraz wartości niematerialne i prawne (z wyjątkiem wymienionych wyżej oraz gruntów stanowiących własność m.st. Warszawy i przysługującego m.st. Warszawie prawa użytkowania wieczystego) oraz dobra kultury </w:t>
      </w:r>
      <w:r w:rsidRPr="0049035B">
        <w:rPr>
          <w:rFonts w:asciiTheme="minorHAnsi" w:hAnsiTheme="minorHAnsi" w:cstheme="minorHAnsi"/>
          <w:b w:val="0"/>
          <w:sz w:val="22"/>
          <w:szCs w:val="22"/>
        </w:rPr>
        <w:t>podlegają ewidencji wartościowej w księgach inwentarzowych prowadzonych przez wydziały merytoryczne.</w:t>
      </w:r>
    </w:p>
    <w:p w14:paraId="536E1D47" w14:textId="77777777" w:rsidR="0049035B" w:rsidRDefault="00D2214E" w:rsidP="0049035B">
      <w:pPr>
        <w:pStyle w:val="Nagwek3"/>
        <w:numPr>
          <w:ilvl w:val="0"/>
          <w:numId w:val="0"/>
        </w:numPr>
        <w:tabs>
          <w:tab w:val="clear" w:pos="709"/>
        </w:tabs>
        <w:spacing w:before="240"/>
        <w:ind w:left="851"/>
        <w:rPr>
          <w:rFonts w:asciiTheme="minorHAnsi" w:hAnsiTheme="minorHAnsi" w:cstheme="minorHAnsi"/>
          <w:b w:val="0"/>
          <w:sz w:val="22"/>
          <w:szCs w:val="22"/>
          <w:lang w:val="pl-PL"/>
        </w:rPr>
      </w:pPr>
      <w:r w:rsidRPr="0049035B">
        <w:rPr>
          <w:rFonts w:asciiTheme="minorHAnsi" w:hAnsiTheme="minorHAnsi" w:cstheme="minorHAnsi"/>
          <w:sz w:val="22"/>
          <w:szCs w:val="22"/>
        </w:rPr>
        <w:t>Ewidencja ilościowo-wartościowa gruntów stanowiących własność m.st., Warszawy (w tym oddanych w użytkowanie wieczyste innym podmiotom) oraz przysługującego m.st. Warszawie prawa użytkowania wieczystego</w:t>
      </w:r>
      <w:r w:rsidR="0049035B" w:rsidRPr="0049035B">
        <w:rPr>
          <w:rFonts w:asciiTheme="minorHAnsi" w:hAnsiTheme="minorHAnsi" w:cstheme="minorHAnsi"/>
          <w:sz w:val="22"/>
          <w:szCs w:val="22"/>
        </w:rPr>
        <w:t>.</w:t>
      </w:r>
      <w:r w:rsidR="0049035B">
        <w:rPr>
          <w:rFonts w:asciiTheme="minorHAnsi" w:hAnsiTheme="minorHAnsi" w:cstheme="minorHAnsi"/>
          <w:sz w:val="22"/>
          <w:szCs w:val="22"/>
          <w:lang w:val="pl-PL"/>
        </w:rPr>
        <w:t xml:space="preserve"> </w:t>
      </w:r>
      <w:r w:rsidR="0049035B" w:rsidRPr="0049035B">
        <w:rPr>
          <w:rFonts w:asciiTheme="minorHAnsi" w:hAnsiTheme="minorHAnsi" w:cstheme="minorHAnsi"/>
          <w:b w:val="0"/>
          <w:sz w:val="22"/>
          <w:szCs w:val="22"/>
        </w:rPr>
        <w:t>P</w:t>
      </w:r>
      <w:r w:rsidRPr="0049035B">
        <w:rPr>
          <w:rFonts w:asciiTheme="minorHAnsi" w:hAnsiTheme="minorHAnsi" w:cstheme="minorHAnsi"/>
          <w:b w:val="0"/>
          <w:sz w:val="22"/>
          <w:szCs w:val="22"/>
        </w:rPr>
        <w:t xml:space="preserve">rowadzona jest w księgach inwentarzowych przez Wydział Obrotu Nieruchomościami, czyli wewnętrzną komórkę organizacyjną urzędu dzielnicy właściwą do prowadzenia zasobu nieruchomości m.st. Warszawy w zakresie ww </w:t>
      </w:r>
      <w:r w:rsidRPr="0049035B">
        <w:rPr>
          <w:rFonts w:asciiTheme="minorHAnsi" w:hAnsiTheme="minorHAnsi" w:cstheme="minorHAnsi"/>
          <w:b w:val="0"/>
          <w:sz w:val="22"/>
          <w:szCs w:val="22"/>
        </w:rPr>
        <w:lastRenderedPageBreak/>
        <w:t>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 w ramach zadań inwestycyjnych, darowizny).</w:t>
      </w:r>
    </w:p>
    <w:p w14:paraId="513AA46D" w14:textId="42660BF4" w:rsidR="00EB1954" w:rsidRPr="00CA47B2" w:rsidRDefault="00B10AEE" w:rsidP="0049035B">
      <w:pPr>
        <w:pStyle w:val="Nagwek3"/>
        <w:numPr>
          <w:ilvl w:val="0"/>
          <w:numId w:val="0"/>
        </w:numPr>
        <w:tabs>
          <w:tab w:val="clear" w:pos="709"/>
        </w:tabs>
        <w:spacing w:before="240"/>
        <w:ind w:left="851"/>
        <w:rPr>
          <w:rFonts w:asciiTheme="minorHAnsi" w:hAnsiTheme="minorHAnsi" w:cstheme="minorHAnsi"/>
          <w:b w:val="0"/>
          <w:sz w:val="22"/>
          <w:szCs w:val="22"/>
        </w:rPr>
      </w:pPr>
      <w:r w:rsidRPr="00CA47B2">
        <w:rPr>
          <w:rStyle w:val="Nagwek3Znak"/>
          <w:rFonts w:asciiTheme="minorHAnsi" w:hAnsiTheme="minorHAnsi" w:cstheme="minorHAnsi"/>
          <w:b/>
          <w:sz w:val="22"/>
          <w:szCs w:val="22"/>
        </w:rPr>
        <w:t xml:space="preserve">Grunty stanowiące </w:t>
      </w:r>
      <w:r w:rsidR="00432D0B" w:rsidRPr="00CA47B2">
        <w:rPr>
          <w:rStyle w:val="Nagwek3Znak"/>
          <w:rFonts w:asciiTheme="minorHAnsi" w:hAnsiTheme="minorHAnsi" w:cstheme="minorHAnsi"/>
          <w:b/>
          <w:sz w:val="22"/>
          <w:szCs w:val="22"/>
        </w:rPr>
        <w:t>własność m.st. Warszawy (w tym oddane w użytkowanie wieczyste innym podmiotom) oraz przysługujące m.st. Warszawie prawo użytkowania wieczystego</w:t>
      </w:r>
      <w:r w:rsidR="00432D0B" w:rsidRPr="0049035B">
        <w:t xml:space="preserve"> </w:t>
      </w:r>
      <w:r w:rsidR="00432D0B" w:rsidRPr="00CA47B2">
        <w:rPr>
          <w:rFonts w:asciiTheme="minorHAnsi" w:hAnsiTheme="minorHAnsi" w:cstheme="minorHAnsi"/>
          <w:b w:val="0"/>
          <w:sz w:val="22"/>
          <w:szCs w:val="22"/>
        </w:rPr>
        <w:t xml:space="preserve">podlegają ewidencji syntetycznej i analitycznej. Ewidencję syntetyczną wartościową w ww. zakresie prowadzi Wydział Budżetowo-Księgowy w oparciu o dokumenty dostarczane przez Wydział Obrotu </w:t>
      </w:r>
      <w:r w:rsidR="00EB1954" w:rsidRPr="00CA47B2">
        <w:rPr>
          <w:rFonts w:asciiTheme="minorHAnsi" w:hAnsiTheme="minorHAnsi" w:cstheme="minorHAnsi"/>
          <w:b w:val="0"/>
          <w:sz w:val="22"/>
          <w:szCs w:val="22"/>
        </w:rPr>
        <w:t>Nieruchomościami</w:t>
      </w:r>
      <w:r w:rsidR="00432D0B" w:rsidRPr="00CA47B2">
        <w:rPr>
          <w:rFonts w:asciiTheme="minorHAnsi" w:hAnsiTheme="minorHAnsi" w:cstheme="minorHAnsi"/>
          <w:b w:val="0"/>
          <w:sz w:val="22"/>
          <w:szCs w:val="22"/>
        </w:rPr>
        <w:t>. Ewidencję analityczną ilościowo-wartościową gruntów stanowiących własność m.st. Warszawy (w tym oddanych w użytkowanie wieczyste innym podmiotom) oraz przysługującego m.st. Warszawie prawa użytkowania wieczystego w księgach inwentarzowych prowadzi Wydział Obrotu Nieruchomościami w ramach baz danych dotyczących gruntów w oparciu o wartości wynikające z:</w:t>
      </w:r>
    </w:p>
    <w:p w14:paraId="3DBB260B" w14:textId="77777777" w:rsidR="008354A9" w:rsidRPr="00BB64F7" w:rsidRDefault="00432D0B" w:rsidP="003752B0">
      <w:pPr>
        <w:pStyle w:val="Akapitzlist"/>
        <w:numPr>
          <w:ilvl w:val="0"/>
          <w:numId w:val="27"/>
        </w:numPr>
        <w:spacing w:before="240"/>
        <w:ind w:left="1560"/>
        <w:rPr>
          <w:rFonts w:asciiTheme="minorHAnsi" w:hAnsiTheme="minorHAnsi" w:cstheme="minorHAnsi"/>
          <w:sz w:val="22"/>
          <w:szCs w:val="22"/>
        </w:rPr>
      </w:pPr>
      <w:r w:rsidRPr="00BB64F7">
        <w:rPr>
          <w:rFonts w:asciiTheme="minorHAnsi" w:hAnsiTheme="minorHAnsi" w:cstheme="minorHAnsi"/>
          <w:sz w:val="22"/>
          <w:szCs w:val="22"/>
        </w:rPr>
        <w:t>kart inwentarzowych nieruchomości objętych decyzjami Wojewody Mazowieckiego,</w:t>
      </w:r>
    </w:p>
    <w:p w14:paraId="1A4FBC58" w14:textId="77777777" w:rsidR="008354A9" w:rsidRPr="00BB64F7" w:rsidRDefault="003725DF" w:rsidP="003752B0">
      <w:pPr>
        <w:pStyle w:val="Akapitzlist"/>
        <w:numPr>
          <w:ilvl w:val="0"/>
          <w:numId w:val="27"/>
        </w:numPr>
        <w:ind w:left="1560"/>
        <w:rPr>
          <w:rFonts w:asciiTheme="minorHAnsi" w:hAnsiTheme="minorHAnsi" w:cstheme="minorHAnsi"/>
          <w:sz w:val="22"/>
          <w:szCs w:val="22"/>
        </w:rPr>
      </w:pPr>
      <w:r w:rsidRPr="00BB64F7">
        <w:rPr>
          <w:rFonts w:asciiTheme="minorHAnsi" w:hAnsiTheme="minorHAnsi" w:cstheme="minorHAnsi"/>
          <w:sz w:val="22"/>
          <w:szCs w:val="22"/>
        </w:rPr>
        <w:t>decyzji administracyjnych, aktów notarialnych, umów sprzedaży, wyroków sądowych,</w:t>
      </w:r>
    </w:p>
    <w:p w14:paraId="485DB51A" w14:textId="77777777" w:rsidR="008354A9" w:rsidRPr="00BB64F7" w:rsidRDefault="003725DF" w:rsidP="003752B0">
      <w:pPr>
        <w:pStyle w:val="Akapitzlist"/>
        <w:numPr>
          <w:ilvl w:val="0"/>
          <w:numId w:val="27"/>
        </w:numPr>
        <w:ind w:left="1560"/>
        <w:rPr>
          <w:rFonts w:asciiTheme="minorHAnsi" w:hAnsiTheme="minorHAnsi" w:cstheme="minorHAnsi"/>
          <w:sz w:val="22"/>
          <w:szCs w:val="22"/>
        </w:rPr>
      </w:pPr>
      <w:r w:rsidRPr="00BB64F7">
        <w:rPr>
          <w:rFonts w:asciiTheme="minorHAnsi" w:hAnsiTheme="minorHAnsi" w:cstheme="minorHAnsi"/>
          <w:sz w:val="22"/>
          <w:szCs w:val="22"/>
        </w:rPr>
        <w:t>innych kosztów związanych z nabyciem gruntów (np. opłaty notarialne, sporządzenie map, wyrysów, wypisów).</w:t>
      </w:r>
    </w:p>
    <w:p w14:paraId="537A2FDB" w14:textId="77777777" w:rsidR="00CA47B2" w:rsidRDefault="005B392A" w:rsidP="00CA47B2">
      <w:pPr>
        <w:pStyle w:val="Nagwek3"/>
        <w:numPr>
          <w:ilvl w:val="0"/>
          <w:numId w:val="0"/>
        </w:numPr>
        <w:tabs>
          <w:tab w:val="clear" w:pos="709"/>
        </w:tabs>
        <w:spacing w:before="240"/>
        <w:ind w:left="851"/>
        <w:rPr>
          <w:rFonts w:asciiTheme="minorHAnsi" w:hAnsiTheme="minorHAnsi" w:cstheme="minorHAnsi"/>
          <w:sz w:val="22"/>
          <w:szCs w:val="22"/>
          <w:lang w:val="pl-PL"/>
        </w:rPr>
      </w:pPr>
      <w:r w:rsidRPr="00CA47B2">
        <w:rPr>
          <w:rFonts w:asciiTheme="minorHAnsi" w:hAnsiTheme="minorHAnsi" w:cstheme="minorHAnsi"/>
          <w:sz w:val="22"/>
          <w:szCs w:val="22"/>
        </w:rPr>
        <w:t>Rezerwy</w:t>
      </w:r>
    </w:p>
    <w:p w14:paraId="5465AA45" w14:textId="0B4DE722" w:rsidR="00CA47B2" w:rsidRPr="006B39B0" w:rsidRDefault="00CA47B2" w:rsidP="006B39B0">
      <w:pPr>
        <w:spacing w:before="240"/>
        <w:ind w:left="851"/>
        <w:rPr>
          <w:rFonts w:asciiTheme="minorHAnsi" w:hAnsiTheme="minorHAnsi" w:cstheme="minorHAnsi"/>
          <w:sz w:val="22"/>
          <w:szCs w:val="22"/>
        </w:rPr>
      </w:pPr>
      <w:r w:rsidRPr="006B39B0">
        <w:rPr>
          <w:rFonts w:asciiTheme="minorHAnsi" w:hAnsiTheme="minorHAnsi" w:cstheme="minorHAnsi"/>
          <w:sz w:val="22"/>
          <w:szCs w:val="22"/>
        </w:rPr>
        <w:t xml:space="preserve">Rezerwy </w:t>
      </w:r>
      <w:r w:rsidR="005B392A" w:rsidRPr="006B39B0">
        <w:rPr>
          <w:rFonts w:asciiTheme="minorHAnsi" w:hAnsiTheme="minorHAnsi" w:cstheme="minorHAnsi"/>
          <w:sz w:val="22"/>
          <w:szCs w:val="22"/>
        </w:rPr>
        <w:t>to wynikający z przeszłych zdarzeń obowiązek wykonania świadczeń o wiarygodnie określonej wartości, które spowodują wykorzystanie już posiadanych lub przyszłych aktywów jednostki, których termin wymagalności lub kwota nie są pewne.</w:t>
      </w:r>
    </w:p>
    <w:p w14:paraId="0590EB45" w14:textId="77777777" w:rsidR="00CA47B2" w:rsidRPr="00CA47B2" w:rsidRDefault="005B392A" w:rsidP="00CA47B2">
      <w:pPr>
        <w:spacing w:before="240"/>
        <w:ind w:left="851"/>
        <w:rPr>
          <w:rFonts w:asciiTheme="minorHAnsi" w:hAnsiTheme="minorHAnsi" w:cstheme="minorHAnsi"/>
          <w:sz w:val="22"/>
          <w:szCs w:val="22"/>
        </w:rPr>
      </w:pPr>
      <w:r w:rsidRPr="00CA47B2">
        <w:rPr>
          <w:rFonts w:asciiTheme="minorHAnsi" w:hAnsiTheme="minorHAnsi" w:cstheme="minorHAnsi"/>
          <w:sz w:val="22"/>
          <w:szCs w:val="22"/>
        </w:rPr>
        <w:t xml:space="preserve">Rezerwy tworzy się na pewne lub o dużym stopniu prawdopodobieństwa przyszłe zobowiązania, których kwotę można w sposób wiarygodny oszacować, a w szczególności na straty z transakcji gospodarczych w toku, w tym z tytułu udzielonych gwarancji, poręczeń, operacji kredytowych, skutków toczącego się postępowania sądowego. </w:t>
      </w:r>
    </w:p>
    <w:p w14:paraId="5DD8C424" w14:textId="77777777" w:rsidR="00CA47B2" w:rsidRPr="00CA47B2" w:rsidRDefault="005B392A" w:rsidP="00CA47B2">
      <w:pPr>
        <w:spacing w:before="240" w:after="240"/>
        <w:ind w:left="851"/>
        <w:rPr>
          <w:rFonts w:asciiTheme="minorHAnsi" w:hAnsiTheme="minorHAnsi" w:cstheme="minorHAnsi"/>
          <w:sz w:val="22"/>
          <w:szCs w:val="22"/>
        </w:rPr>
      </w:pPr>
      <w:r w:rsidRPr="00CA47B2">
        <w:rPr>
          <w:rFonts w:asciiTheme="minorHAnsi" w:hAnsiTheme="minorHAnsi" w:cstheme="minorHAnsi"/>
          <w:sz w:val="22"/>
          <w:szCs w:val="22"/>
        </w:rPr>
        <w:t>Rezerwy tworzy się wtedy, gdy występuje na tyle duże prawdopodobieństwo, że zajdzie konieczność wywiązania się z ciążących na nich obowiązków, a koszty lub straty wymagające poniesienia dla wywiązania się z tego obowiązku są na tyle znaczące, że ich nieuwzględnienie w wyniku finansowym tego okresu, w którym obowiązek powstał, spowodowałoby istotne zniekształcenie sprawozdawczości.</w:t>
      </w:r>
    </w:p>
    <w:p w14:paraId="0E330A8D" w14:textId="5FE98BDE" w:rsidR="005B392A" w:rsidRPr="00CA47B2" w:rsidRDefault="005B392A" w:rsidP="00CA47B2">
      <w:pPr>
        <w:ind w:left="851"/>
        <w:rPr>
          <w:rFonts w:asciiTheme="minorHAnsi" w:hAnsiTheme="minorHAnsi" w:cstheme="minorHAnsi"/>
          <w:sz w:val="22"/>
          <w:szCs w:val="22"/>
        </w:rPr>
      </w:pPr>
      <w:r w:rsidRPr="00CA47B2">
        <w:rPr>
          <w:rFonts w:asciiTheme="minorHAnsi" w:hAnsiTheme="minorHAnsi" w:cstheme="minorHAnsi"/>
          <w:sz w:val="22"/>
          <w:szCs w:val="22"/>
        </w:rPr>
        <w:t>Rezerwy tworzy się w związku ze zdarzeniami związanymi:</w:t>
      </w:r>
    </w:p>
    <w:p w14:paraId="464753CA" w14:textId="77777777" w:rsidR="00CA47B2" w:rsidRPr="00CA47B2" w:rsidRDefault="005B392A" w:rsidP="003752B0">
      <w:pPr>
        <w:pStyle w:val="Akapitzlist"/>
        <w:numPr>
          <w:ilvl w:val="0"/>
          <w:numId w:val="26"/>
        </w:numPr>
        <w:spacing w:before="240"/>
        <w:ind w:left="1560"/>
        <w:rPr>
          <w:rFonts w:asciiTheme="minorHAnsi" w:hAnsiTheme="minorHAnsi" w:cstheme="minorHAnsi"/>
        </w:rPr>
      </w:pPr>
      <w:r w:rsidRPr="00CA47B2">
        <w:rPr>
          <w:rFonts w:asciiTheme="minorHAnsi" w:hAnsiTheme="minorHAnsi" w:cstheme="minorHAnsi"/>
        </w:rPr>
        <w:t>bezpośrednio z działalnością operacyjną;</w:t>
      </w:r>
    </w:p>
    <w:p w14:paraId="47C012CB" w14:textId="3966427A" w:rsidR="005B392A" w:rsidRPr="00CA47B2" w:rsidRDefault="005B392A" w:rsidP="003752B0">
      <w:pPr>
        <w:pStyle w:val="Akapitzlist"/>
        <w:numPr>
          <w:ilvl w:val="0"/>
          <w:numId w:val="26"/>
        </w:numPr>
        <w:ind w:left="1560"/>
        <w:rPr>
          <w:rFonts w:asciiTheme="minorHAnsi" w:hAnsiTheme="minorHAnsi" w:cstheme="minorHAnsi"/>
        </w:rPr>
      </w:pPr>
      <w:r w:rsidRPr="00CA47B2">
        <w:rPr>
          <w:rFonts w:asciiTheme="minorHAnsi" w:hAnsiTheme="minorHAnsi" w:cstheme="minorHAnsi"/>
        </w:rPr>
        <w:t>pośrednio z działalnością operacyjną;</w:t>
      </w:r>
    </w:p>
    <w:p w14:paraId="2E9DC6F8" w14:textId="77777777" w:rsidR="005B392A" w:rsidRPr="00CA47B2" w:rsidRDefault="005B392A" w:rsidP="003752B0">
      <w:pPr>
        <w:pStyle w:val="Akapitzlist"/>
        <w:numPr>
          <w:ilvl w:val="0"/>
          <w:numId w:val="26"/>
        </w:numPr>
        <w:ind w:left="1560"/>
        <w:rPr>
          <w:rFonts w:asciiTheme="minorHAnsi" w:hAnsiTheme="minorHAnsi" w:cstheme="minorHAnsi"/>
        </w:rPr>
      </w:pPr>
      <w:r w:rsidRPr="00CA47B2">
        <w:rPr>
          <w:rFonts w:asciiTheme="minorHAnsi" w:hAnsiTheme="minorHAnsi" w:cstheme="minorHAnsi"/>
        </w:rPr>
        <w:t>z operacjami finansowymi.</w:t>
      </w:r>
    </w:p>
    <w:p w14:paraId="75E6EE09" w14:textId="0AD67293" w:rsidR="005B392A" w:rsidRPr="00A1362B" w:rsidRDefault="005B392A" w:rsidP="008354A9">
      <w:pPr>
        <w:pStyle w:val="Akapitzlist"/>
        <w:autoSpaceDE w:val="0"/>
        <w:autoSpaceDN w:val="0"/>
        <w:adjustRightInd w:val="0"/>
        <w:spacing w:before="240" w:line="300" w:lineRule="auto"/>
        <w:ind w:left="992"/>
        <w:rPr>
          <w:rFonts w:ascii="Calibri" w:hAnsi="Calibri" w:cs="Calibri"/>
          <w:sz w:val="22"/>
          <w:szCs w:val="22"/>
        </w:rPr>
      </w:pPr>
      <w:r w:rsidRPr="00A1362B">
        <w:rPr>
          <w:rFonts w:ascii="Calibri" w:hAnsi="Calibri" w:cs="Calibri"/>
          <w:sz w:val="22"/>
          <w:szCs w:val="22"/>
        </w:rPr>
        <w:t>Rezerwy tworzy się w szczególności na:</w:t>
      </w:r>
    </w:p>
    <w:p w14:paraId="4C1C2B3F" w14:textId="77777777" w:rsidR="00D9485A" w:rsidRPr="00A1362B" w:rsidRDefault="005B392A" w:rsidP="008354A9">
      <w:pPr>
        <w:autoSpaceDE w:val="0"/>
        <w:autoSpaceDN w:val="0"/>
        <w:adjustRightInd w:val="0"/>
        <w:spacing w:before="240" w:line="300" w:lineRule="auto"/>
        <w:ind w:left="992"/>
        <w:rPr>
          <w:rFonts w:ascii="Calibri" w:hAnsi="Calibri" w:cs="Calibri"/>
          <w:sz w:val="22"/>
          <w:szCs w:val="22"/>
        </w:rPr>
      </w:pPr>
      <w:r w:rsidRPr="00A1362B">
        <w:rPr>
          <w:rFonts w:ascii="Calibri" w:hAnsi="Calibri" w:cs="Calibri"/>
          <w:b/>
          <w:sz w:val="22"/>
          <w:szCs w:val="22"/>
        </w:rPr>
        <w:lastRenderedPageBreak/>
        <w:t>sprawy sądowe</w:t>
      </w:r>
      <w:r w:rsidRPr="00A1362B">
        <w:rPr>
          <w:rFonts w:ascii="Calibri" w:hAnsi="Calibri" w:cs="Calibri"/>
          <w:sz w:val="22"/>
          <w:szCs w:val="22"/>
        </w:rPr>
        <w:t xml:space="preserve"> </w:t>
      </w:r>
      <w:r w:rsidR="006D7A8B" w:rsidRPr="00A1362B">
        <w:rPr>
          <w:rFonts w:ascii="Calibri" w:hAnsi="Calibri" w:cs="Calibri"/>
          <w:sz w:val="22"/>
          <w:szCs w:val="22"/>
        </w:rPr>
        <w:t>dotyczące m.in. roszczeń</w:t>
      </w:r>
      <w:r w:rsidRPr="00A1362B">
        <w:rPr>
          <w:rFonts w:ascii="Calibri" w:hAnsi="Calibri" w:cs="Calibri"/>
          <w:sz w:val="22"/>
          <w:szCs w:val="22"/>
        </w:rPr>
        <w:t xml:space="preserve">: z tytułu zasiedzeń, </w:t>
      </w:r>
      <w:r w:rsidR="006D7A8B" w:rsidRPr="00A1362B">
        <w:rPr>
          <w:rFonts w:ascii="Calibri" w:hAnsi="Calibri" w:cs="Calibri"/>
          <w:sz w:val="22"/>
          <w:szCs w:val="22"/>
        </w:rPr>
        <w:t xml:space="preserve">z tytułu postepowań o zniesienie współwłasności lub  dział spadku,  </w:t>
      </w:r>
      <w:r w:rsidRPr="00A1362B">
        <w:rPr>
          <w:rFonts w:ascii="Calibri" w:hAnsi="Calibri" w:cs="Calibri"/>
          <w:sz w:val="22"/>
          <w:szCs w:val="22"/>
        </w:rPr>
        <w:t xml:space="preserve">z tytułu roszczeń pracowniczych o rozwiązanie umowy, wypadku (szkoda komunikacyjna, osobowa), uszczerbku na zdrowiu, o zapłatę za wykonanie usługi, o zapłatę wynagrodzenia za bezumowne korzystanie z nieruchomości itd. Rezerwy na sprawy sądowe tworzy się w przypadku postępowań sądowych, w których </w:t>
      </w:r>
      <w:r w:rsidR="00934BB0" w:rsidRPr="00A1362B">
        <w:rPr>
          <w:rFonts w:ascii="Calibri" w:hAnsi="Calibri" w:cs="Calibri"/>
          <w:sz w:val="22"/>
          <w:szCs w:val="22"/>
        </w:rPr>
        <w:t xml:space="preserve">występuje m.st. Warszawa, bez względu na charakter uczestnictwa, </w:t>
      </w:r>
      <w:r w:rsidRPr="00A1362B">
        <w:rPr>
          <w:rFonts w:ascii="Calibri" w:hAnsi="Calibri" w:cs="Calibri"/>
          <w:sz w:val="22"/>
          <w:szCs w:val="22"/>
        </w:rPr>
        <w:t xml:space="preserve">a prawdopodobieństwo </w:t>
      </w:r>
      <w:r w:rsidR="00934BB0" w:rsidRPr="00A1362B">
        <w:rPr>
          <w:rFonts w:ascii="Calibri" w:hAnsi="Calibri" w:cs="Calibri"/>
          <w:sz w:val="22"/>
          <w:szCs w:val="22"/>
        </w:rPr>
        <w:t>orzeczenia</w:t>
      </w:r>
      <w:r w:rsidRPr="00A1362B">
        <w:rPr>
          <w:rFonts w:ascii="Calibri" w:hAnsi="Calibri" w:cs="Calibri"/>
          <w:sz w:val="22"/>
          <w:szCs w:val="22"/>
        </w:rPr>
        <w:t xml:space="preserve"> niekorzystnego jest większe niż prawdopodobieństwo wyroku korzystnego.</w:t>
      </w:r>
    </w:p>
    <w:p w14:paraId="2FB09870" w14:textId="77777777" w:rsidR="00D9485A" w:rsidRPr="00A1362B" w:rsidRDefault="005B392A" w:rsidP="008354A9">
      <w:pPr>
        <w:autoSpaceDE w:val="0"/>
        <w:autoSpaceDN w:val="0"/>
        <w:adjustRightInd w:val="0"/>
        <w:spacing w:before="240" w:line="300" w:lineRule="auto"/>
        <w:ind w:left="992"/>
        <w:rPr>
          <w:rFonts w:ascii="Calibri" w:hAnsi="Calibri" w:cs="Calibri"/>
          <w:sz w:val="22"/>
          <w:szCs w:val="22"/>
        </w:rPr>
      </w:pPr>
      <w:r w:rsidRPr="00A1362B">
        <w:rPr>
          <w:rFonts w:ascii="Calibri" w:hAnsi="Calibri" w:cs="Calibri"/>
          <w:sz w:val="22"/>
          <w:szCs w:val="22"/>
        </w:rPr>
        <w:t xml:space="preserve">Jako podstawę oceny prawdopodobieństwa </w:t>
      </w:r>
      <w:r w:rsidR="006D7A8B" w:rsidRPr="00A1362B">
        <w:rPr>
          <w:rFonts w:ascii="Calibri" w:hAnsi="Calibri" w:cs="Calibri"/>
          <w:sz w:val="22"/>
          <w:szCs w:val="22"/>
        </w:rPr>
        <w:t xml:space="preserve">orzeczenia </w:t>
      </w:r>
      <w:r w:rsidRPr="00A1362B">
        <w:rPr>
          <w:rFonts w:ascii="Calibri" w:hAnsi="Calibri" w:cs="Calibri"/>
          <w:sz w:val="22"/>
          <w:szCs w:val="22"/>
        </w:rPr>
        <w:t xml:space="preserve"> niekorzystnego dla Urzędu m.st. Warszawy i urzędów dzielnic przyjmuje się przebieg postępowania sądowego i opinie radców prawnych.</w:t>
      </w:r>
    </w:p>
    <w:p w14:paraId="4BB203CC" w14:textId="77777777" w:rsidR="00D9485A" w:rsidRPr="00A1362B" w:rsidRDefault="005B392A" w:rsidP="00D9485A">
      <w:pPr>
        <w:autoSpaceDE w:val="0"/>
        <w:autoSpaceDN w:val="0"/>
        <w:adjustRightInd w:val="0"/>
        <w:spacing w:line="300" w:lineRule="auto"/>
        <w:ind w:left="992"/>
        <w:rPr>
          <w:rFonts w:ascii="Calibri" w:hAnsi="Calibri" w:cs="Calibri"/>
          <w:sz w:val="22"/>
          <w:szCs w:val="22"/>
        </w:rPr>
      </w:pPr>
      <w:r w:rsidRPr="00A1362B">
        <w:rPr>
          <w:rFonts w:ascii="Calibri" w:hAnsi="Calibri" w:cs="Calibri"/>
          <w:sz w:val="22"/>
          <w:szCs w:val="22"/>
        </w:rPr>
        <w:t>Rezerwy tworzy się na sprawy sądowe, w których radcy prawni określają rokowania co do wyniku sprawy w wartościach oszacowanych:</w:t>
      </w:r>
    </w:p>
    <w:p w14:paraId="1A11454E" w14:textId="77777777" w:rsidR="00D9485A" w:rsidRPr="00A1362B" w:rsidRDefault="005B392A" w:rsidP="003752B0">
      <w:pPr>
        <w:pStyle w:val="Akapitzlist"/>
        <w:numPr>
          <w:ilvl w:val="0"/>
          <w:numId w:val="14"/>
        </w:numPr>
        <w:autoSpaceDE w:val="0"/>
        <w:autoSpaceDN w:val="0"/>
        <w:adjustRightInd w:val="0"/>
        <w:spacing w:line="300" w:lineRule="auto"/>
        <w:ind w:left="1701"/>
        <w:rPr>
          <w:rFonts w:ascii="Calibri" w:eastAsia="Arial" w:hAnsi="Calibri" w:cs="Calibri"/>
          <w:sz w:val="22"/>
          <w:szCs w:val="22"/>
        </w:rPr>
      </w:pPr>
      <w:r w:rsidRPr="00A1362B">
        <w:rPr>
          <w:rFonts w:ascii="Calibri" w:hAnsi="Calibri" w:cs="Calibri"/>
          <w:sz w:val="22"/>
          <w:szCs w:val="22"/>
        </w:rPr>
        <w:t>jako bardzo prawdopodobne – w 100% wartości sporu;</w:t>
      </w:r>
    </w:p>
    <w:p w14:paraId="572819B7" w14:textId="239C9209" w:rsidR="005B392A" w:rsidRPr="00A1362B" w:rsidRDefault="005B392A" w:rsidP="003752B0">
      <w:pPr>
        <w:pStyle w:val="Akapitzlist"/>
        <w:numPr>
          <w:ilvl w:val="0"/>
          <w:numId w:val="14"/>
        </w:numPr>
        <w:autoSpaceDE w:val="0"/>
        <w:autoSpaceDN w:val="0"/>
        <w:adjustRightInd w:val="0"/>
        <w:spacing w:line="300" w:lineRule="auto"/>
        <w:ind w:left="1701"/>
        <w:rPr>
          <w:rFonts w:ascii="Calibri" w:eastAsia="Arial" w:hAnsi="Calibri" w:cs="Calibri"/>
          <w:sz w:val="22"/>
          <w:szCs w:val="22"/>
        </w:rPr>
      </w:pPr>
      <w:r w:rsidRPr="00A1362B">
        <w:rPr>
          <w:rFonts w:ascii="Calibri" w:eastAsia="Arial" w:hAnsi="Calibri" w:cs="Calibri"/>
          <w:sz w:val="22"/>
          <w:szCs w:val="22"/>
        </w:rPr>
        <w:t>jako prawdopodobne – w 50% wartości sporu.</w:t>
      </w:r>
    </w:p>
    <w:p w14:paraId="386F6EBA" w14:textId="7FB9282C" w:rsidR="005B392A" w:rsidRPr="00A1362B" w:rsidRDefault="005B392A" w:rsidP="00D9485A">
      <w:pPr>
        <w:tabs>
          <w:tab w:val="left" w:pos="567"/>
        </w:tabs>
        <w:autoSpaceDE w:val="0"/>
        <w:autoSpaceDN w:val="0"/>
        <w:adjustRightInd w:val="0"/>
        <w:spacing w:before="240" w:line="300" w:lineRule="auto"/>
        <w:ind w:left="993"/>
        <w:rPr>
          <w:rFonts w:ascii="Calibri" w:hAnsi="Calibri" w:cs="Calibri"/>
          <w:sz w:val="22"/>
          <w:szCs w:val="22"/>
        </w:rPr>
      </w:pPr>
      <w:r w:rsidRPr="00A1362B">
        <w:rPr>
          <w:rFonts w:ascii="Calibri" w:hAnsi="Calibri" w:cs="Calibri"/>
          <w:sz w:val="22"/>
          <w:szCs w:val="22"/>
        </w:rPr>
        <w:t>Przy ustalaniu wartości tworzonych rezerw należy uwzględnić dodatkowo koszty sądowe (ustalone przez radcę prawnego prowadzącego daną sprawę) i odsetki (naliczane przez wydziały merytoryczne dla dzielnic od momentu, od którego powstaje roszczenie o zapłatę odsetek), jakie Urząd m.st. Warszawy i urzędy dzielnic mogą być zobowiązane zapłacić.</w:t>
      </w:r>
    </w:p>
    <w:p w14:paraId="25F7A8F8" w14:textId="26D79CB4" w:rsidR="005B392A" w:rsidRPr="00A1362B" w:rsidRDefault="005B392A" w:rsidP="00D9485A">
      <w:pPr>
        <w:tabs>
          <w:tab w:val="left" w:pos="426"/>
        </w:tabs>
        <w:autoSpaceDE w:val="0"/>
        <w:autoSpaceDN w:val="0"/>
        <w:adjustRightInd w:val="0"/>
        <w:spacing w:before="240" w:line="300" w:lineRule="auto"/>
        <w:ind w:left="993"/>
        <w:rPr>
          <w:rFonts w:ascii="Calibri" w:hAnsi="Calibri" w:cs="Calibri"/>
          <w:sz w:val="22"/>
          <w:szCs w:val="22"/>
        </w:rPr>
      </w:pPr>
      <w:r w:rsidRPr="00A1362B">
        <w:rPr>
          <w:rFonts w:ascii="Calibri" w:hAnsi="Calibri" w:cs="Calibri"/>
          <w:sz w:val="22"/>
          <w:szCs w:val="22"/>
        </w:rPr>
        <w:t>W przypadku spraw prowadzonych przez radców prawnych zatrudnionych w Biurze Prawnym zobowiązani są do przekazywania, na bieżąco, do wydziałów merytorycznych dla dzielnic informacji o wszczęciu postępowania, jego zakończeniu oraz</w:t>
      </w:r>
      <w:r w:rsidR="006D7A8B" w:rsidRPr="00A1362B">
        <w:rPr>
          <w:rFonts w:ascii="Calibri" w:hAnsi="Calibri" w:cs="Calibri"/>
          <w:sz w:val="22"/>
          <w:szCs w:val="22"/>
        </w:rPr>
        <w:t xml:space="preserve"> istotnych zmianach w toku postę</w:t>
      </w:r>
      <w:r w:rsidRPr="00A1362B">
        <w:rPr>
          <w:rFonts w:ascii="Calibri" w:hAnsi="Calibri" w:cs="Calibri"/>
          <w:sz w:val="22"/>
          <w:szCs w:val="22"/>
        </w:rPr>
        <w:t>powania mających wpływ na stan rezerw w szczególności obejmujących:</w:t>
      </w:r>
    </w:p>
    <w:p w14:paraId="2919EBF1" w14:textId="0614A346"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kwotę roszczenia;</w:t>
      </w:r>
    </w:p>
    <w:p w14:paraId="627D38B7" w14:textId="60C872B2"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kwotę kosztów sądowych;</w:t>
      </w:r>
    </w:p>
    <w:p w14:paraId="78F5BF36" w14:textId="04E4EE56"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tytuł zobowiązania;</w:t>
      </w:r>
    </w:p>
    <w:p w14:paraId="06B568B1" w14:textId="5D97FA49"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termin, od którego naliczane są odsetki wraz ze wskazaniem rodzaju odsetek;</w:t>
      </w:r>
    </w:p>
    <w:p w14:paraId="787DFB54" w14:textId="2A69A055"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nazwę powoda;</w:t>
      </w:r>
    </w:p>
    <w:p w14:paraId="141FCC17" w14:textId="3138A03E"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sygnaturę akt;</w:t>
      </w:r>
    </w:p>
    <w:p w14:paraId="22E54A86" w14:textId="64682950"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 xml:space="preserve">stopień prawdopodobieństwa niekorzystnego </w:t>
      </w:r>
      <w:r w:rsidR="00F20153" w:rsidRPr="00A1362B">
        <w:rPr>
          <w:rFonts w:ascii="Calibri" w:hAnsi="Calibri" w:cs="Calibri"/>
          <w:sz w:val="22"/>
          <w:szCs w:val="22"/>
        </w:rPr>
        <w:t>orzeczenia</w:t>
      </w:r>
      <w:r w:rsidRPr="00A1362B">
        <w:rPr>
          <w:rFonts w:ascii="Calibri" w:hAnsi="Calibri" w:cs="Calibri"/>
          <w:sz w:val="22"/>
          <w:szCs w:val="22"/>
        </w:rPr>
        <w:t>.</w:t>
      </w:r>
    </w:p>
    <w:p w14:paraId="5168CB0C" w14:textId="42659068" w:rsidR="005B392A" w:rsidRPr="00A1362B" w:rsidRDefault="005B392A" w:rsidP="0028437E">
      <w:pPr>
        <w:tabs>
          <w:tab w:val="left" w:pos="426"/>
        </w:tabs>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Powyższe informacje, za wyjątkiem zmiany stopnia prawdopodobieństwa niekorzystnego</w:t>
      </w:r>
      <w:r w:rsidR="0028437E" w:rsidRPr="00A1362B">
        <w:rPr>
          <w:rFonts w:ascii="Calibri" w:hAnsi="Calibri" w:cs="Calibri"/>
          <w:sz w:val="22"/>
          <w:szCs w:val="22"/>
        </w:rPr>
        <w:t xml:space="preserve"> </w:t>
      </w:r>
      <w:r w:rsidRPr="00A1362B">
        <w:rPr>
          <w:rFonts w:ascii="Calibri" w:hAnsi="Calibri" w:cs="Calibri"/>
          <w:sz w:val="22"/>
          <w:szCs w:val="22"/>
        </w:rPr>
        <w:t xml:space="preserve">wyroku, mogą być przekazane poprzez przesłanie pisma procesowego </w:t>
      </w:r>
      <w:r w:rsidR="006D7A8B" w:rsidRPr="00A1362B">
        <w:rPr>
          <w:rFonts w:ascii="Calibri" w:hAnsi="Calibri" w:cs="Calibri"/>
          <w:sz w:val="22"/>
          <w:szCs w:val="22"/>
        </w:rPr>
        <w:t>strony</w:t>
      </w:r>
      <w:r w:rsidRPr="00A1362B">
        <w:rPr>
          <w:rFonts w:ascii="Calibri" w:hAnsi="Calibri" w:cs="Calibri"/>
          <w:sz w:val="22"/>
          <w:szCs w:val="22"/>
        </w:rPr>
        <w:t>.</w:t>
      </w:r>
    </w:p>
    <w:p w14:paraId="3C42796E" w14:textId="7D88DBF9" w:rsidR="005B392A" w:rsidRPr="00A1362B" w:rsidRDefault="005B392A" w:rsidP="0028437E">
      <w:pPr>
        <w:tabs>
          <w:tab w:val="left" w:pos="709"/>
        </w:tabs>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lastRenderedPageBreak/>
        <w:t xml:space="preserve">Wyliczenie wysokości rezerw dokonywane jest przez wydziały merytoryczne dla dzielnic przy współpracy z radcami prawnymi w zakresie określenia stopnia prawdopodobieństwa niekorzystnego </w:t>
      </w:r>
      <w:r w:rsidR="006D7A8B" w:rsidRPr="00A1362B">
        <w:rPr>
          <w:rFonts w:ascii="Calibri" w:hAnsi="Calibri" w:cs="Calibri"/>
          <w:sz w:val="22"/>
          <w:szCs w:val="22"/>
        </w:rPr>
        <w:t>orzeczenia</w:t>
      </w:r>
      <w:r w:rsidRPr="00A1362B">
        <w:rPr>
          <w:rFonts w:ascii="Calibri" w:hAnsi="Calibri" w:cs="Calibri"/>
          <w:sz w:val="22"/>
          <w:szCs w:val="22"/>
        </w:rPr>
        <w:t>:</w:t>
      </w:r>
    </w:p>
    <w:p w14:paraId="60666248" w14:textId="77777777" w:rsidR="00D9485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w przypadku spraw prowadzonych przez radców prawnych zatrudnionych w wydziałach merytorycznych dla dzielnic;</w:t>
      </w:r>
    </w:p>
    <w:p w14:paraId="78FD5765" w14:textId="52D53FF1" w:rsidR="005B392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w przypadku spraw prowadzonych przez radców prawnych świadczących usługi na podstawie umowy cywilnoprawnej na rzecz  wydziałów merytorycznych dla dzielnic;</w:t>
      </w:r>
    </w:p>
    <w:p w14:paraId="3D6F3E3F" w14:textId="77777777" w:rsidR="00D9485A" w:rsidRPr="00A1362B" w:rsidRDefault="005B392A"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w przypadku spraw prowadzonych przez radców prawnych zatrudnionych w Biurze Prawnym.</w:t>
      </w:r>
    </w:p>
    <w:p w14:paraId="0EC3981E" w14:textId="6FB3CEDA" w:rsidR="005B392A" w:rsidRPr="00A1362B" w:rsidRDefault="00F20153" w:rsidP="003A03F1">
      <w:pPr>
        <w:autoSpaceDE w:val="0"/>
        <w:autoSpaceDN w:val="0"/>
        <w:adjustRightInd w:val="0"/>
        <w:spacing w:line="300" w:lineRule="auto"/>
        <w:ind w:left="993"/>
        <w:rPr>
          <w:rFonts w:ascii="Calibri" w:hAnsi="Calibri" w:cs="Calibri"/>
          <w:bCs/>
          <w:iCs/>
          <w:sz w:val="22"/>
          <w:szCs w:val="22"/>
        </w:rPr>
      </w:pPr>
      <w:r w:rsidRPr="00A1362B">
        <w:rPr>
          <w:rFonts w:ascii="Calibri" w:hAnsi="Calibri" w:cs="Calibri"/>
          <w:sz w:val="22"/>
          <w:szCs w:val="22"/>
        </w:rPr>
        <w:t>W</w:t>
      </w:r>
      <w:r w:rsidR="005B392A" w:rsidRPr="00A1362B">
        <w:rPr>
          <w:rFonts w:ascii="Calibri" w:hAnsi="Calibri" w:cs="Calibri"/>
          <w:sz w:val="22"/>
          <w:szCs w:val="22"/>
        </w:rPr>
        <w:t xml:space="preserve">ydziały merytoryczne dla dzielnic przekazują do </w:t>
      </w:r>
      <w:r w:rsidR="007527F9" w:rsidRPr="00A1362B">
        <w:rPr>
          <w:rFonts w:ascii="Calibri" w:hAnsi="Calibri" w:cs="Calibri"/>
          <w:sz w:val="22"/>
          <w:szCs w:val="22"/>
        </w:rPr>
        <w:t>Wydziału Budżetowo-Księgowego</w:t>
      </w:r>
      <w:r w:rsidR="005B392A" w:rsidRPr="00A1362B">
        <w:rPr>
          <w:rFonts w:ascii="Calibri" w:hAnsi="Calibri" w:cs="Calibri"/>
          <w:sz w:val="22"/>
          <w:szCs w:val="22"/>
        </w:rPr>
        <w:t>, na bieżąco lub najpóźniej na koniec roku</w:t>
      </w:r>
      <w:r w:rsidR="005B392A" w:rsidRPr="00A1362B">
        <w:rPr>
          <w:rFonts w:ascii="Calibri" w:eastAsia="Calibri" w:hAnsi="Calibri" w:cs="Calibri"/>
          <w:bCs/>
          <w:iCs/>
          <w:sz w:val="22"/>
          <w:szCs w:val="22"/>
        </w:rPr>
        <w:t>, za który sporządzane jest sprawozdanie finansowe</w:t>
      </w:r>
      <w:r w:rsidR="005B392A" w:rsidRPr="00A1362B">
        <w:rPr>
          <w:rFonts w:ascii="Calibri" w:hAnsi="Calibri" w:cs="Calibri"/>
          <w:sz w:val="22"/>
          <w:szCs w:val="22"/>
        </w:rPr>
        <w:t xml:space="preserve">, </w:t>
      </w:r>
      <w:r w:rsidR="005B392A" w:rsidRPr="00A1362B">
        <w:rPr>
          <w:rFonts w:ascii="Calibri" w:hAnsi="Calibri" w:cs="Calibri"/>
          <w:bCs/>
          <w:iCs/>
          <w:sz w:val="22"/>
          <w:szCs w:val="22"/>
        </w:rPr>
        <w:t xml:space="preserve">a także na wniosek </w:t>
      </w:r>
      <w:r w:rsidR="007527F9" w:rsidRPr="00A1362B">
        <w:rPr>
          <w:rFonts w:ascii="Calibri" w:hAnsi="Calibri" w:cs="Calibri"/>
          <w:sz w:val="22"/>
          <w:szCs w:val="22"/>
        </w:rPr>
        <w:t>Wydziału Budżetowo-Księgowego</w:t>
      </w:r>
      <w:r w:rsidR="005B392A" w:rsidRPr="00A1362B">
        <w:rPr>
          <w:rFonts w:ascii="Calibri" w:hAnsi="Calibri" w:cs="Calibri"/>
          <w:bCs/>
          <w:iCs/>
          <w:sz w:val="22"/>
          <w:szCs w:val="22"/>
        </w:rPr>
        <w:t xml:space="preserve"> </w:t>
      </w:r>
      <w:r w:rsidR="005B392A" w:rsidRPr="00A1362B">
        <w:rPr>
          <w:rFonts w:ascii="Calibri" w:hAnsi="Calibri" w:cs="Calibri"/>
          <w:sz w:val="22"/>
          <w:szCs w:val="22"/>
        </w:rPr>
        <w:t xml:space="preserve">informację o wysokości rezerw w tym o ich powstaniu, zmianie lub wygaśnięciu, </w:t>
      </w:r>
      <w:r w:rsidR="005B392A" w:rsidRPr="00A1362B">
        <w:rPr>
          <w:rFonts w:ascii="Calibri" w:hAnsi="Calibri" w:cs="Calibri"/>
          <w:bCs/>
          <w:iCs/>
          <w:sz w:val="22"/>
          <w:szCs w:val="22"/>
        </w:rPr>
        <w:t xml:space="preserve">celem dokonania stosownych księgowań w wartości syntetycznej w księgach rachunkowych Urzędu </w:t>
      </w:r>
      <w:r w:rsidR="007527F9" w:rsidRPr="00A1362B">
        <w:rPr>
          <w:rFonts w:ascii="Calibri" w:hAnsi="Calibri" w:cs="Calibri"/>
          <w:bCs/>
          <w:iCs/>
          <w:sz w:val="22"/>
          <w:szCs w:val="22"/>
        </w:rPr>
        <w:t>Dzielnicy</w:t>
      </w:r>
      <w:r w:rsidR="005B392A" w:rsidRPr="00A1362B">
        <w:rPr>
          <w:rFonts w:ascii="Calibri" w:hAnsi="Calibri" w:cs="Calibri"/>
          <w:bCs/>
          <w:iCs/>
          <w:sz w:val="22"/>
          <w:szCs w:val="22"/>
        </w:rPr>
        <w:t xml:space="preserve">. </w:t>
      </w:r>
    </w:p>
    <w:p w14:paraId="410FB719" w14:textId="77777777" w:rsidR="00074865" w:rsidRPr="00A1362B" w:rsidRDefault="005B392A" w:rsidP="0028437E">
      <w:pPr>
        <w:pStyle w:val="Akapitzlist"/>
        <w:shd w:val="clear" w:color="auto" w:fill="FFFFFF"/>
        <w:tabs>
          <w:tab w:val="left" w:pos="993"/>
        </w:tabs>
        <w:spacing w:after="240" w:line="300" w:lineRule="auto"/>
        <w:ind w:left="993"/>
        <w:rPr>
          <w:rFonts w:ascii="Calibri" w:hAnsi="Calibri" w:cs="Calibri"/>
          <w:sz w:val="22"/>
          <w:szCs w:val="22"/>
        </w:rPr>
      </w:pPr>
      <w:r w:rsidRPr="00A1362B">
        <w:rPr>
          <w:rFonts w:ascii="Calibri" w:hAnsi="Calibri" w:cs="Calibri"/>
          <w:bCs/>
          <w:iCs/>
          <w:sz w:val="22"/>
          <w:szCs w:val="22"/>
        </w:rPr>
        <w:t xml:space="preserve">Informację o wysokości rezerw wydziały merytoryczne dla dzielnic właściwe dla danej sprawy przekazuje do </w:t>
      </w:r>
      <w:r w:rsidR="007527F9" w:rsidRPr="00A1362B">
        <w:rPr>
          <w:rFonts w:ascii="Calibri" w:hAnsi="Calibri" w:cs="Calibri"/>
          <w:bCs/>
          <w:iCs/>
          <w:sz w:val="22"/>
          <w:szCs w:val="22"/>
        </w:rPr>
        <w:t xml:space="preserve">Wydziału Budżetowo-Księgowego </w:t>
      </w:r>
      <w:r w:rsidRPr="00A1362B">
        <w:rPr>
          <w:rFonts w:ascii="Calibri" w:hAnsi="Calibri" w:cs="Calibri"/>
          <w:bCs/>
          <w:sz w:val="22"/>
          <w:szCs w:val="22"/>
        </w:rPr>
        <w:t xml:space="preserve">w formie zestawień sporządzanych przez pracowników merytorycznych i podpisanych przez </w:t>
      </w:r>
      <w:r w:rsidR="007527F9" w:rsidRPr="00A1362B">
        <w:rPr>
          <w:rFonts w:ascii="Calibri" w:hAnsi="Calibri" w:cs="Calibri"/>
          <w:bCs/>
          <w:sz w:val="22"/>
          <w:szCs w:val="22"/>
        </w:rPr>
        <w:t>N</w:t>
      </w:r>
      <w:r w:rsidRPr="00A1362B">
        <w:rPr>
          <w:rFonts w:ascii="Calibri" w:hAnsi="Calibri" w:cs="Calibri"/>
          <w:bCs/>
          <w:sz w:val="22"/>
          <w:szCs w:val="22"/>
        </w:rPr>
        <w:t>aczelnika właściwego wydziału dla dzielnicy na podstawie danych ujętych w systemie Rejestru Spraw Sądowych (RSS)</w:t>
      </w:r>
      <w:r w:rsidR="00F20153" w:rsidRPr="00A1362B">
        <w:rPr>
          <w:rFonts w:ascii="Calibri" w:hAnsi="Calibri" w:cs="Calibri"/>
          <w:bCs/>
          <w:sz w:val="22"/>
          <w:szCs w:val="22"/>
        </w:rPr>
        <w:t>,</w:t>
      </w:r>
      <w:r w:rsidRPr="00A1362B">
        <w:rPr>
          <w:rFonts w:ascii="Calibri" w:hAnsi="Calibri" w:cs="Calibri"/>
          <w:bCs/>
          <w:sz w:val="22"/>
          <w:szCs w:val="22"/>
        </w:rPr>
        <w:t xml:space="preserve"> </w:t>
      </w:r>
      <w:r w:rsidR="007527F9" w:rsidRPr="00A1362B">
        <w:rPr>
          <w:rFonts w:ascii="Calibri" w:hAnsi="Calibri" w:cs="Calibri"/>
          <w:bCs/>
          <w:sz w:val="22"/>
          <w:szCs w:val="22"/>
        </w:rPr>
        <w:t>(w</w:t>
      </w:r>
      <w:r w:rsidRPr="00A1362B">
        <w:rPr>
          <w:rFonts w:ascii="Calibri" w:hAnsi="Calibri" w:cs="Calibri"/>
          <w:bCs/>
          <w:sz w:val="22"/>
          <w:szCs w:val="22"/>
        </w:rPr>
        <w:t xml:space="preserve"> powyższym zestawieniu powinna się znajdować także informacja w zakresie imienia i nazwiska radcy prawnego odpowiedzialnego za prowadzenie danej sprawy sądowej na podstawie danych w RSS. Za prawidłowość danych ujętych w systemie RSS odpowiada radc</w:t>
      </w:r>
      <w:r w:rsidR="007527F9" w:rsidRPr="00A1362B">
        <w:rPr>
          <w:rFonts w:ascii="Calibri" w:hAnsi="Calibri" w:cs="Calibri"/>
          <w:bCs/>
          <w:sz w:val="22"/>
          <w:szCs w:val="22"/>
        </w:rPr>
        <w:t>a prawny prowadzący daną sprawę)</w:t>
      </w:r>
      <w:r w:rsidR="0028437E" w:rsidRPr="00A1362B">
        <w:rPr>
          <w:rFonts w:ascii="Calibri" w:hAnsi="Calibri" w:cs="Calibri"/>
          <w:bCs/>
          <w:sz w:val="22"/>
          <w:szCs w:val="22"/>
        </w:rPr>
        <w:t>,</w:t>
      </w:r>
      <w:r w:rsidR="0028437E" w:rsidRPr="00A1362B">
        <w:rPr>
          <w:rFonts w:ascii="Calibri" w:hAnsi="Calibri" w:cs="Calibri"/>
          <w:bCs/>
          <w:sz w:val="22"/>
          <w:szCs w:val="22"/>
        </w:rPr>
        <w:br/>
      </w:r>
      <w:r w:rsidRPr="00A1362B">
        <w:rPr>
          <w:rFonts w:ascii="Calibri" w:hAnsi="Calibri" w:cs="Calibri"/>
          <w:b/>
          <w:sz w:val="22"/>
          <w:szCs w:val="22"/>
        </w:rPr>
        <w:t>na odszkodowania</w:t>
      </w:r>
      <w:r w:rsidRPr="00A1362B">
        <w:rPr>
          <w:rFonts w:ascii="Calibri" w:hAnsi="Calibri" w:cs="Calibri"/>
          <w:sz w:val="22"/>
          <w:szCs w:val="22"/>
        </w:rPr>
        <w:t xml:space="preserve"> m.in. na odszkodowania wynikające z przepisów o gospodarce nieruchomościami, ustawy o planowaniu i zagospodarowaniu przestrzennym. Są to przede wszystkim rezerwy na odszkodowania z tytułu: naruszenia zasady pierwszeństwa przy zbywaniu nieruchomości, za nieruchomości warszawskie (Dekret Bieruta), gruntów przejętych pod drogi w oparciu o tzw. Specustawę, bezumownego korzystania z </w:t>
      </w:r>
      <w:r w:rsidR="003A0B51" w:rsidRPr="00A1362B">
        <w:rPr>
          <w:rFonts w:ascii="Calibri" w:hAnsi="Calibri" w:cs="Calibri"/>
          <w:sz w:val="22"/>
          <w:szCs w:val="22"/>
        </w:rPr>
        <w:t>nieruchomości</w:t>
      </w:r>
      <w:r w:rsidRPr="00A1362B">
        <w:rPr>
          <w:rFonts w:ascii="Calibri" w:hAnsi="Calibri" w:cs="Calibri"/>
          <w:sz w:val="22"/>
          <w:szCs w:val="22"/>
        </w:rPr>
        <w:t>, decyzji sprzedażowych lokali oraz utraty wartości sprzedanych lokali, zapłaty wykupu lokalu użytkowego, za naruszenia dóbr osobistych, uchwalenia planu miejscowego zagospodarowania, szkody wyrządzonej - niewykorzystanie prawa pierwokupu, unieważnienia umowy, przedłużenia okresu umowy, rozwiązania umowy, dzierżawy, utraty wartości nieruchomości, wywłaszczenia nieruchomości, niedostarczenia lokalu socjalnego, zwrotu nieruchomości, odmowy wydania zezwolenia, gruntów wydzielonych pod drogi, gruntów zajętych pod drogi, poniesionych nakładów, wydania decyzji z</w:t>
      </w:r>
      <w:r w:rsidR="00D9485A" w:rsidRPr="00A1362B">
        <w:rPr>
          <w:rFonts w:ascii="Calibri" w:hAnsi="Calibri" w:cs="Calibri"/>
          <w:sz w:val="22"/>
          <w:szCs w:val="22"/>
        </w:rPr>
        <w:t xml:space="preserve"> </w:t>
      </w:r>
      <w:r w:rsidRPr="00A1362B">
        <w:rPr>
          <w:rFonts w:ascii="Calibri" w:hAnsi="Calibri" w:cs="Calibri"/>
          <w:sz w:val="22"/>
          <w:szCs w:val="22"/>
        </w:rPr>
        <w:t xml:space="preserve">naruszeniem prawa lub nieważności decyzji, zbycia wywłaszczonej nieruchomości. Zapłata części z powyższych odszkodowań wynika wprost z obowiązujących przepisów prawa (np. za nieruchomości warszawskie – Dekret Bieruta, za </w:t>
      </w:r>
      <w:r w:rsidRPr="00A1362B">
        <w:rPr>
          <w:rFonts w:ascii="Calibri" w:hAnsi="Calibri" w:cs="Calibri"/>
          <w:sz w:val="22"/>
          <w:szCs w:val="22"/>
        </w:rPr>
        <w:lastRenderedPageBreak/>
        <w:t>grunty zajęte pod drogi) – w przypadku tych odszkodowań, których wypłaty są pewne, rezerwę tworzy się w 100% szacowanej wartości odszkodowania. Odszkodowania, których wypłata zależna jest od rozstrzygnięcia sprawy sądowej, tworzy się na tych samych zasadach, co rezerwy na sprawy sądowe.</w:t>
      </w:r>
      <w:r w:rsidR="004E48DE" w:rsidRPr="00A1362B">
        <w:rPr>
          <w:rFonts w:ascii="Calibri" w:hAnsi="Calibri" w:cs="Calibri"/>
          <w:sz w:val="22"/>
          <w:szCs w:val="22"/>
        </w:rPr>
        <w:t xml:space="preserve"> </w:t>
      </w:r>
    </w:p>
    <w:p w14:paraId="72A5C4BD" w14:textId="12F01A5E" w:rsidR="00480929" w:rsidRPr="00A1362B" w:rsidRDefault="00480929" w:rsidP="0028437E">
      <w:pPr>
        <w:pStyle w:val="Akapitzlist"/>
        <w:shd w:val="clear" w:color="auto" w:fill="FFFFFF"/>
        <w:tabs>
          <w:tab w:val="left" w:pos="993"/>
        </w:tabs>
        <w:spacing w:after="240" w:line="300" w:lineRule="auto"/>
        <w:ind w:left="993"/>
        <w:rPr>
          <w:rFonts w:ascii="Calibri" w:hAnsi="Calibri" w:cs="Calibri"/>
          <w:sz w:val="22"/>
          <w:szCs w:val="22"/>
        </w:rPr>
      </w:pPr>
      <w:r w:rsidRPr="00A1362B">
        <w:rPr>
          <w:rFonts w:ascii="Calibri" w:hAnsi="Calibri" w:cs="Calibri"/>
          <w:sz w:val="22"/>
          <w:szCs w:val="22"/>
        </w:rPr>
        <w:t xml:space="preserve">Rezerwy drugostronnie ujmuje się w ciężar kosztów bieżącego okresu lub w ciężar funduszu, w zależności od rodzaju tworzonej rezerwy. </w:t>
      </w:r>
    </w:p>
    <w:p w14:paraId="5C796FC8" w14:textId="77777777" w:rsidR="00480929" w:rsidRPr="00A1362B" w:rsidRDefault="00480929" w:rsidP="0028437E">
      <w:pPr>
        <w:pStyle w:val="Akapitzlist"/>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Ewidencja księgowa rezerwy w ciężar kosztów polega na:</w:t>
      </w:r>
    </w:p>
    <w:p w14:paraId="39C245DD" w14:textId="14CCD5D9"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zwiększeniu pozostałych kosztów operacyjnych i rezerw – jeżeli dotyczy ona pośrednio działalności operacyjnej lub dotyczy ona zdarzeń losowych,</w:t>
      </w:r>
    </w:p>
    <w:p w14:paraId="6CFF12F0" w14:textId="113494BE"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zwiększeniu kosztów finansowych i rezerw – jeżeli dotyczy ona operacji finansowych.</w:t>
      </w:r>
    </w:p>
    <w:p w14:paraId="1086715C" w14:textId="77777777" w:rsidR="00480929" w:rsidRPr="00A1362B" w:rsidRDefault="00480929" w:rsidP="0028437E">
      <w:pPr>
        <w:pStyle w:val="Akapitzlist"/>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W ciężar funduszu ujmuje się w szczególności rezerwy dotyczące nieruchomości lub gruntów w sprawach o zasiedzenie i wydanie nieruchomości.</w:t>
      </w:r>
    </w:p>
    <w:p w14:paraId="10B786C1" w14:textId="77777777" w:rsidR="00480929" w:rsidRPr="00A1362B" w:rsidRDefault="00480929" w:rsidP="0028437E">
      <w:pPr>
        <w:spacing w:line="300" w:lineRule="auto"/>
        <w:ind w:left="993"/>
        <w:rPr>
          <w:rFonts w:ascii="Calibri" w:hAnsi="Calibri" w:cs="Calibri"/>
          <w:sz w:val="22"/>
          <w:szCs w:val="22"/>
        </w:rPr>
      </w:pPr>
      <w:r w:rsidRPr="00A1362B">
        <w:rPr>
          <w:rFonts w:ascii="Calibri" w:hAnsi="Calibri" w:cs="Calibri"/>
          <w:sz w:val="22"/>
          <w:szCs w:val="22"/>
        </w:rPr>
        <w:t>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6BB953A8" w14:textId="77777777" w:rsidR="00480929" w:rsidRPr="00A1362B" w:rsidRDefault="00480929" w:rsidP="0028437E">
      <w:pPr>
        <w:tabs>
          <w:tab w:val="left" w:pos="426"/>
        </w:tabs>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Rozwiązanie części lub całości niewykorzystanej rezerwy w przypadku zmniejszenia lub ustania ryzyka uzasadniającego jej tworzenie, na dzień, na który okazała się zbędna, polega na zmniejszeniu stanu rezerwy oraz zwiększeniu:</w:t>
      </w:r>
    </w:p>
    <w:p w14:paraId="3FCB410D" w14:textId="5751CE71"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funduszu jednostki – w przypadkach szczególnych, gdy rezerwa uprzednio została zawiązana w ciężar funduszu;</w:t>
      </w:r>
    </w:p>
    <w:p w14:paraId="738B74A6" w14:textId="0890F087"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pozostałych przychodów operacyjnych – jeżeli rezerwa dotyczy pośrednio działalności operacyjnej lub zdarzeń losowych;</w:t>
      </w:r>
    </w:p>
    <w:p w14:paraId="4806F7D8" w14:textId="24BDE21C" w:rsidR="00480929" w:rsidRPr="00A1362B" w:rsidRDefault="00480929" w:rsidP="003752B0">
      <w:pPr>
        <w:pStyle w:val="Akapitzlist"/>
        <w:numPr>
          <w:ilvl w:val="0"/>
          <w:numId w:val="14"/>
        </w:numPr>
        <w:autoSpaceDE w:val="0"/>
        <w:autoSpaceDN w:val="0"/>
        <w:adjustRightInd w:val="0"/>
        <w:spacing w:line="300" w:lineRule="auto"/>
        <w:ind w:left="1701"/>
        <w:rPr>
          <w:rFonts w:ascii="Calibri" w:hAnsi="Calibri" w:cs="Calibri"/>
          <w:sz w:val="22"/>
          <w:szCs w:val="22"/>
        </w:rPr>
      </w:pPr>
      <w:r w:rsidRPr="00A1362B">
        <w:rPr>
          <w:rFonts w:ascii="Calibri" w:hAnsi="Calibri" w:cs="Calibri"/>
          <w:sz w:val="22"/>
          <w:szCs w:val="22"/>
        </w:rPr>
        <w:t>przychodów finansowych – jeżeli rezerwa dotyczy operacji finansowych.</w:t>
      </w:r>
    </w:p>
    <w:p w14:paraId="4E5EF6E7" w14:textId="77777777" w:rsidR="00480929" w:rsidRPr="00A1362B" w:rsidRDefault="00480929" w:rsidP="0028437E">
      <w:pPr>
        <w:autoSpaceDE w:val="0"/>
        <w:autoSpaceDN w:val="0"/>
        <w:adjustRightInd w:val="0"/>
        <w:spacing w:line="300" w:lineRule="auto"/>
        <w:ind w:left="993"/>
        <w:rPr>
          <w:rFonts w:ascii="Calibri" w:eastAsia="Arial" w:hAnsi="Calibri" w:cs="Calibri"/>
          <w:sz w:val="22"/>
          <w:szCs w:val="22"/>
        </w:rPr>
      </w:pPr>
      <w:r w:rsidRPr="00A1362B">
        <w:rPr>
          <w:rFonts w:ascii="Calibri" w:eastAsia="Arial" w:hAnsi="Calibri" w:cs="Calibri"/>
          <w:sz w:val="22"/>
          <w:szCs w:val="22"/>
        </w:rPr>
        <w:t>Powstałe pozostałe przychody operacyjne i przychody finansowe oraz pozostałe koszty operacyjne i koszty finansowe wynikające z powyższych księgowań rezerw nie podlegają kompensacie w rachunku zysków i strat.</w:t>
      </w:r>
    </w:p>
    <w:p w14:paraId="2C32E92A" w14:textId="77777777" w:rsidR="00480929" w:rsidRPr="00A1362B" w:rsidRDefault="00480929" w:rsidP="0028437E">
      <w:pPr>
        <w:tabs>
          <w:tab w:val="left" w:pos="709"/>
        </w:tabs>
        <w:autoSpaceDE w:val="0"/>
        <w:autoSpaceDN w:val="0"/>
        <w:adjustRightInd w:val="0"/>
        <w:spacing w:line="300" w:lineRule="auto"/>
        <w:ind w:left="993"/>
        <w:rPr>
          <w:rFonts w:ascii="Calibri" w:hAnsi="Calibri" w:cs="Calibri"/>
          <w:sz w:val="22"/>
          <w:szCs w:val="22"/>
        </w:rPr>
      </w:pPr>
      <w:r w:rsidRPr="00A1362B">
        <w:rPr>
          <w:rFonts w:ascii="Calibri" w:eastAsia="Arial" w:hAnsi="Calibri" w:cs="Calibri"/>
          <w:sz w:val="22"/>
          <w:szCs w:val="22"/>
        </w:rPr>
        <w:t>Każda z rezerw rozpatrywana jest indywidualnie na poziomie konkretnych pozycji, tzn. na poziomie konkretnej sprawy sądowej.</w:t>
      </w:r>
    </w:p>
    <w:p w14:paraId="5695F959" w14:textId="77777777" w:rsidR="00644BCE" w:rsidRPr="00A1362B" w:rsidRDefault="00480929" w:rsidP="007A2EAC">
      <w:pPr>
        <w:pStyle w:val="Akapitzlist"/>
        <w:tabs>
          <w:tab w:val="left" w:pos="426"/>
        </w:tabs>
        <w:autoSpaceDE w:val="0"/>
        <w:autoSpaceDN w:val="0"/>
        <w:adjustRightInd w:val="0"/>
        <w:spacing w:line="300" w:lineRule="auto"/>
        <w:ind w:left="993"/>
        <w:rPr>
          <w:rFonts w:ascii="Calibri" w:hAnsi="Calibri" w:cs="Calibri"/>
          <w:sz w:val="22"/>
          <w:szCs w:val="22"/>
        </w:rPr>
      </w:pPr>
      <w:r w:rsidRPr="00A1362B">
        <w:rPr>
          <w:rFonts w:ascii="Calibri" w:hAnsi="Calibri" w:cs="Calibri"/>
          <w:sz w:val="22"/>
          <w:szCs w:val="22"/>
        </w:rPr>
        <w:t>Wydział Budżetowo-Księgowy rezerwę ujmuje w księgach rachunkowych w wartości syntetycznej na podstawnie otrzymanej informacji z podziałem na tytuły/podstawę prawną.</w:t>
      </w:r>
    </w:p>
    <w:p w14:paraId="19082291" w14:textId="77777777" w:rsidR="006B39B0" w:rsidRDefault="00DE11CA" w:rsidP="006B39B0">
      <w:pPr>
        <w:pStyle w:val="Nagwek3"/>
        <w:numPr>
          <w:ilvl w:val="0"/>
          <w:numId w:val="0"/>
        </w:numPr>
        <w:tabs>
          <w:tab w:val="clear" w:pos="709"/>
        </w:tabs>
        <w:spacing w:before="240"/>
        <w:ind w:left="851"/>
        <w:rPr>
          <w:rFonts w:ascii="Calibri" w:hAnsi="Calibri" w:cs="Calibri"/>
          <w:b w:val="0"/>
          <w:sz w:val="22"/>
          <w:szCs w:val="22"/>
        </w:rPr>
      </w:pPr>
      <w:r w:rsidRPr="00A1362B">
        <w:rPr>
          <w:rFonts w:ascii="Calibri" w:hAnsi="Calibri" w:cs="Calibri"/>
          <w:sz w:val="22"/>
          <w:szCs w:val="22"/>
        </w:rPr>
        <w:lastRenderedPageBreak/>
        <w:t>Z</w:t>
      </w:r>
      <w:r w:rsidR="0047075F" w:rsidRPr="00A1362B">
        <w:rPr>
          <w:rFonts w:ascii="Calibri" w:hAnsi="Calibri" w:cs="Calibri"/>
          <w:sz w:val="22"/>
          <w:szCs w:val="22"/>
        </w:rPr>
        <w:t>obowiązania warunkowe</w:t>
      </w:r>
    </w:p>
    <w:p w14:paraId="36661C01" w14:textId="1BB29755" w:rsidR="00644BCE" w:rsidRPr="00A1362B" w:rsidRDefault="006B39B0" w:rsidP="006B39B0">
      <w:pPr>
        <w:pStyle w:val="Akapitzlist"/>
        <w:autoSpaceDE w:val="0"/>
        <w:autoSpaceDN w:val="0"/>
        <w:adjustRightInd w:val="0"/>
        <w:spacing w:before="240" w:line="300" w:lineRule="auto"/>
        <w:ind w:left="993"/>
        <w:rPr>
          <w:rFonts w:ascii="Calibri" w:hAnsi="Calibri" w:cs="Calibri"/>
          <w:sz w:val="22"/>
          <w:szCs w:val="22"/>
        </w:rPr>
      </w:pPr>
      <w:r w:rsidRPr="006B39B0">
        <w:rPr>
          <w:rFonts w:ascii="Calibri" w:hAnsi="Calibri" w:cs="Calibri"/>
          <w:sz w:val="22"/>
          <w:szCs w:val="22"/>
        </w:rPr>
        <w:t>Zobowiązania warunkowe</w:t>
      </w:r>
      <w:r w:rsidR="0047075F" w:rsidRPr="00A1362B">
        <w:rPr>
          <w:rFonts w:ascii="Calibri" w:hAnsi="Calibri" w:cs="Calibri"/>
          <w:sz w:val="22"/>
          <w:szCs w:val="22"/>
        </w:rPr>
        <w:t xml:space="preserve"> ujmuje się w księgach rachunkowych w ewidencji pozabilansowej jeśli powstaje obowiązek wykonania świadczeń, których powstanie jest uzależnione od zaistnienia określonych zdarzeń. Zobowiązania, jak długo mają charakter warunkowych, nie są ujmowane w bilansie oraz w rachunku zysków i strat, ujmowane są w informacji dodatkowej do sprawozdania finansowego m.st. Warszawy.</w:t>
      </w:r>
    </w:p>
    <w:p w14:paraId="2651BF84" w14:textId="064D29E2" w:rsidR="00DE11CA" w:rsidRPr="00A1362B" w:rsidRDefault="00DE11CA" w:rsidP="006B39B0">
      <w:pPr>
        <w:pStyle w:val="Nagwek3"/>
        <w:numPr>
          <w:ilvl w:val="0"/>
          <w:numId w:val="0"/>
        </w:numPr>
        <w:tabs>
          <w:tab w:val="clear" w:pos="709"/>
        </w:tabs>
        <w:spacing w:before="240"/>
        <w:ind w:left="851"/>
        <w:rPr>
          <w:rFonts w:ascii="Calibri" w:hAnsi="Calibri" w:cs="Calibri"/>
          <w:sz w:val="22"/>
          <w:szCs w:val="22"/>
        </w:rPr>
      </w:pPr>
      <w:r w:rsidRPr="00A1362B">
        <w:rPr>
          <w:rFonts w:ascii="Calibri" w:hAnsi="Calibri" w:cs="Calibri"/>
          <w:sz w:val="22"/>
          <w:szCs w:val="22"/>
        </w:rPr>
        <w:t xml:space="preserve">Zasady dokonywania odpisów aktualizujących wartość należności. </w:t>
      </w:r>
    </w:p>
    <w:p w14:paraId="292CF9E4" w14:textId="05243CB7" w:rsidR="00DE11CA" w:rsidRPr="00A1362B" w:rsidRDefault="00DE11CA" w:rsidP="006B39B0">
      <w:pPr>
        <w:spacing w:before="240" w:after="240" w:line="300" w:lineRule="auto"/>
        <w:ind w:left="993"/>
        <w:contextualSpacing/>
        <w:rPr>
          <w:rFonts w:ascii="Calibri" w:hAnsi="Calibri" w:cs="Calibri"/>
          <w:sz w:val="22"/>
          <w:szCs w:val="22"/>
        </w:rPr>
      </w:pPr>
      <w:r w:rsidRPr="00A1362B">
        <w:rPr>
          <w:rFonts w:ascii="Calibri" w:hAnsi="Calibri" w:cs="Calibri"/>
          <w:sz w:val="22"/>
          <w:szCs w:val="22"/>
        </w:rPr>
        <w:t>Wartość należności aktualizuje się uwzględniając stopień prawdopodobieństwa ich zapłaty poprzez dokonanie odpisu aktualizującego, nie później niż na dzień bilansowy w</w:t>
      </w:r>
      <w:r w:rsidR="00644BCE" w:rsidRPr="00A1362B">
        <w:rPr>
          <w:rFonts w:ascii="Calibri" w:hAnsi="Calibri" w:cs="Calibri"/>
          <w:sz w:val="22"/>
          <w:szCs w:val="22"/>
        </w:rPr>
        <w:t xml:space="preserve"> </w:t>
      </w:r>
      <w:r w:rsidRPr="00A1362B">
        <w:rPr>
          <w:rFonts w:ascii="Calibri" w:hAnsi="Calibri" w:cs="Calibri"/>
          <w:sz w:val="22"/>
          <w:szCs w:val="22"/>
        </w:rPr>
        <w:t xml:space="preserve">odniesieniu do: </w:t>
      </w:r>
    </w:p>
    <w:p w14:paraId="3DC7C7D4" w14:textId="77777777" w:rsidR="00173F22"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173F22">
        <w:rPr>
          <w:rFonts w:ascii="Calibri" w:hAnsi="Calibri" w:cs="Calibr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4427002B" w14:textId="3449E5F6" w:rsidR="00DE11CA" w:rsidRPr="00173F22"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173F22">
        <w:rPr>
          <w:rFonts w:ascii="Calibri" w:hAnsi="Calibri" w:cs="Calibri"/>
          <w:sz w:val="22"/>
          <w:szCs w:val="22"/>
        </w:rPr>
        <w:t>należności od dłużników w przypadku oddalenia wniosku o ogłoszenie upadłości, jeżeli majątek dłużnika nie wystarcza lub jedynie wystarcza na zaspokojenie kosztów postępowania upadłościowego – w pełnej wysokości należności,</w:t>
      </w:r>
    </w:p>
    <w:p w14:paraId="273E5607" w14:textId="77777777" w:rsidR="00DE11CA" w:rsidRPr="00A1362B"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A1362B">
        <w:rPr>
          <w:rFonts w:ascii="Calibri" w:hAnsi="Calibri" w:cs="Calibri"/>
          <w:sz w:val="22"/>
          <w:szCs w:val="22"/>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1D770D4E" w14:textId="77777777" w:rsidR="00DE11CA" w:rsidRPr="00A1362B"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A1362B">
        <w:rPr>
          <w:rFonts w:ascii="Calibri" w:hAnsi="Calibri" w:cs="Calibr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7B463D1A" w14:textId="77777777" w:rsidR="00DE11CA" w:rsidRPr="00A1362B"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A1362B">
        <w:rPr>
          <w:rFonts w:ascii="Calibri" w:hAnsi="Calibri" w:cs="Calibri"/>
          <w:sz w:val="22"/>
          <w:szCs w:val="22"/>
        </w:rPr>
        <w:t>należności nieprzeterminowanych od stron trzecich, w przypadku których utworzono już dla wcześniejszych należności odpisy aktualizujące,</w:t>
      </w:r>
    </w:p>
    <w:p w14:paraId="50A3117F" w14:textId="77777777" w:rsidR="00DE11CA" w:rsidRPr="00A1362B" w:rsidRDefault="00DE11CA" w:rsidP="003752B0">
      <w:pPr>
        <w:pStyle w:val="Akapitzlist"/>
        <w:numPr>
          <w:ilvl w:val="0"/>
          <w:numId w:val="7"/>
        </w:numPr>
        <w:spacing w:after="240" w:line="300" w:lineRule="auto"/>
        <w:ind w:left="1560" w:hanging="284"/>
        <w:contextualSpacing/>
        <w:rPr>
          <w:rFonts w:ascii="Calibri" w:hAnsi="Calibri" w:cs="Calibri"/>
          <w:sz w:val="22"/>
          <w:szCs w:val="22"/>
        </w:rPr>
      </w:pPr>
      <w:r w:rsidRPr="00A1362B">
        <w:rPr>
          <w:rFonts w:ascii="Calibri" w:hAnsi="Calibri" w:cs="Calibri"/>
          <w:sz w:val="22"/>
          <w:szCs w:val="22"/>
        </w:rPr>
        <w:t>należności przeterminowanych o znacznym stopniu prawdopodobieństwa nieściągalności – dokonuje się:</w:t>
      </w:r>
    </w:p>
    <w:p w14:paraId="1AE30324" w14:textId="579FA678" w:rsidR="00DE11CA" w:rsidRPr="00A1362B" w:rsidRDefault="00DE11CA" w:rsidP="003752B0">
      <w:pPr>
        <w:pStyle w:val="Akapitzlist"/>
        <w:numPr>
          <w:ilvl w:val="0"/>
          <w:numId w:val="16"/>
        </w:numPr>
        <w:spacing w:after="240" w:line="300" w:lineRule="auto"/>
        <w:contextualSpacing/>
        <w:rPr>
          <w:rFonts w:ascii="Calibri" w:hAnsi="Calibri" w:cs="Calibri"/>
          <w:sz w:val="22"/>
          <w:szCs w:val="22"/>
        </w:rPr>
      </w:pPr>
      <w:r w:rsidRPr="00A1362B">
        <w:rPr>
          <w:rFonts w:ascii="Calibri" w:hAnsi="Calibri" w:cs="Calibri"/>
          <w:sz w:val="22"/>
          <w:szCs w:val="22"/>
        </w:rPr>
        <w:t>indywidualnego odpisu aktualizującego dla należności od dłużników, których kwota zaległości jest równa lub wyższa od kwoty 500.000 zł,</w:t>
      </w:r>
    </w:p>
    <w:p w14:paraId="11FC32EE" w14:textId="106841E0" w:rsidR="00DE11CA" w:rsidRPr="00A1362B" w:rsidRDefault="00DE11CA" w:rsidP="003752B0">
      <w:pPr>
        <w:pStyle w:val="Akapitzlist"/>
        <w:numPr>
          <w:ilvl w:val="0"/>
          <w:numId w:val="16"/>
        </w:numPr>
        <w:spacing w:after="240" w:line="300" w:lineRule="auto"/>
        <w:contextualSpacing/>
        <w:rPr>
          <w:rFonts w:ascii="Calibri" w:hAnsi="Calibri" w:cs="Calibri"/>
          <w:sz w:val="22"/>
          <w:szCs w:val="22"/>
        </w:rPr>
      </w:pPr>
      <w:r w:rsidRPr="00A1362B">
        <w:rPr>
          <w:rFonts w:ascii="Calibri" w:hAnsi="Calibri" w:cs="Calibri"/>
          <w:sz w:val="22"/>
          <w:szCs w:val="22"/>
        </w:rPr>
        <w:t>ogólnego odpisu aktualizującego dla pozostałych należności, według zasad opisanych poniżej,</w:t>
      </w:r>
    </w:p>
    <w:p w14:paraId="133A8671" w14:textId="77777777" w:rsidR="00DE11CA" w:rsidRPr="00A1362B" w:rsidRDefault="00DE11CA" w:rsidP="00173F22">
      <w:pPr>
        <w:pStyle w:val="Akapitzlist"/>
        <w:spacing w:after="240" w:line="300" w:lineRule="auto"/>
        <w:ind w:left="1560" w:hanging="284"/>
        <w:contextualSpacing/>
        <w:rPr>
          <w:rFonts w:ascii="Calibri" w:hAnsi="Calibri" w:cs="Calibri"/>
          <w:sz w:val="22"/>
          <w:szCs w:val="22"/>
        </w:rPr>
      </w:pPr>
      <w:r w:rsidRPr="00A1362B">
        <w:rPr>
          <w:rFonts w:ascii="Calibri" w:hAnsi="Calibri" w:cs="Calibri"/>
          <w:sz w:val="22"/>
          <w:szCs w:val="22"/>
        </w:rPr>
        <w:lastRenderedPageBreak/>
        <w:t xml:space="preserve">g) należności nieprzeterminowanych o znacznym stopniu prawdopodobieństwa nieściągalności dokonuje się indywidualnego odpisu aktualizującego. </w:t>
      </w:r>
    </w:p>
    <w:p w14:paraId="60D47659" w14:textId="77777777" w:rsidR="006B39B0" w:rsidRDefault="00DE11CA" w:rsidP="006B39B0">
      <w:pPr>
        <w:spacing w:after="240" w:line="300" w:lineRule="auto"/>
        <w:ind w:left="993"/>
        <w:contextualSpacing/>
        <w:rPr>
          <w:rFonts w:ascii="Calibri" w:hAnsi="Calibri" w:cs="Calibri"/>
          <w:sz w:val="22"/>
          <w:szCs w:val="22"/>
        </w:rPr>
      </w:pPr>
      <w:r w:rsidRPr="006B39B0">
        <w:rPr>
          <w:rFonts w:ascii="Calibri" w:hAnsi="Calibri" w:cs="Calibri"/>
          <w:sz w:val="22"/>
          <w:szCs w:val="22"/>
        </w:rPr>
        <w:t>W przypadku utworzenia indywidualnego odpisu aktualizującego wartość należności, biuro merytoryczne/wydział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23B53280" w14:textId="51CD19A2" w:rsidR="00DE11CA" w:rsidRPr="006B39B0" w:rsidRDefault="00DE11CA" w:rsidP="006B39B0">
      <w:pPr>
        <w:spacing w:before="240" w:after="120" w:line="300" w:lineRule="auto"/>
        <w:ind w:left="992"/>
        <w:contextualSpacing/>
        <w:rPr>
          <w:rFonts w:ascii="Calibri" w:hAnsi="Calibri" w:cs="Calibri"/>
          <w:sz w:val="22"/>
          <w:szCs w:val="22"/>
        </w:rPr>
      </w:pPr>
      <w:r w:rsidRPr="006B39B0">
        <w:rPr>
          <w:rFonts w:ascii="Calibri" w:hAnsi="Calibri" w:cs="Calibri"/>
          <w:sz w:val="22"/>
          <w:szCs w:val="22"/>
        </w:rPr>
        <w:t>Ogólny odpis aktualizujący wartość należności, dokonywany jest metodą wiekowania należności. Przy tworzeniu odpisu ogólnego nie uwzględnia się już należności objętych odpisem indywidualnym i postępuje się według następujących zasad:</w:t>
      </w:r>
    </w:p>
    <w:p w14:paraId="387605F1" w14:textId="77777777" w:rsidR="00173F22" w:rsidRDefault="00DE11CA" w:rsidP="003752B0">
      <w:pPr>
        <w:pStyle w:val="ListParagraph1"/>
        <w:numPr>
          <w:ilvl w:val="0"/>
          <w:numId w:val="8"/>
        </w:numPr>
        <w:autoSpaceDE w:val="0"/>
        <w:autoSpaceDN w:val="0"/>
        <w:adjustRightInd w:val="0"/>
        <w:spacing w:after="0" w:line="300" w:lineRule="auto"/>
        <w:ind w:left="1560" w:hanging="284"/>
        <w:rPr>
          <w:rFonts w:ascii="Calibri" w:hAnsi="Calibri" w:cs="Calibri"/>
          <w:sz w:val="22"/>
          <w:lang w:val="pl-PL"/>
        </w:rPr>
      </w:pPr>
      <w:r w:rsidRPr="00173F22">
        <w:rPr>
          <w:rFonts w:ascii="Calibri" w:hAnsi="Calibri" w:cs="Calibri"/>
          <w:sz w:val="22"/>
          <w:lang w:val="pl-PL"/>
        </w:rPr>
        <w:t>należności przeterminowane poniżej 180 dni włącznie – nie są objęte odpisem;</w:t>
      </w:r>
    </w:p>
    <w:p w14:paraId="513E0641" w14:textId="22CEC578" w:rsidR="00DE11CA" w:rsidRPr="00173F22" w:rsidRDefault="00DE11CA" w:rsidP="003752B0">
      <w:pPr>
        <w:pStyle w:val="ListParagraph1"/>
        <w:numPr>
          <w:ilvl w:val="0"/>
          <w:numId w:val="8"/>
        </w:numPr>
        <w:autoSpaceDE w:val="0"/>
        <w:autoSpaceDN w:val="0"/>
        <w:adjustRightInd w:val="0"/>
        <w:spacing w:after="0" w:line="300" w:lineRule="auto"/>
        <w:ind w:left="1560" w:hanging="284"/>
        <w:rPr>
          <w:rFonts w:ascii="Calibri" w:hAnsi="Calibri" w:cs="Calibri"/>
          <w:sz w:val="22"/>
          <w:lang w:val="pl-PL"/>
        </w:rPr>
      </w:pPr>
      <w:r w:rsidRPr="00173F22">
        <w:rPr>
          <w:rFonts w:ascii="Calibri" w:hAnsi="Calibri" w:cs="Calibri"/>
          <w:sz w:val="22"/>
          <w:lang w:val="pl-PL"/>
        </w:rPr>
        <w:t>należności przeterminowane od 181 do 365 dni włącznie – objęte są odpisem aktualizującym w wysokości 50% wartości tych należności;</w:t>
      </w:r>
    </w:p>
    <w:p w14:paraId="5382D423" w14:textId="7E0395A6" w:rsidR="00DE11CA" w:rsidRPr="00A1362B" w:rsidRDefault="00DE11CA" w:rsidP="003752B0">
      <w:pPr>
        <w:pStyle w:val="ListParagraph1"/>
        <w:numPr>
          <w:ilvl w:val="0"/>
          <w:numId w:val="8"/>
        </w:numPr>
        <w:autoSpaceDE w:val="0"/>
        <w:autoSpaceDN w:val="0"/>
        <w:adjustRightInd w:val="0"/>
        <w:spacing w:after="240" w:line="300" w:lineRule="auto"/>
        <w:ind w:left="1560" w:hanging="284"/>
        <w:rPr>
          <w:rFonts w:ascii="Calibri" w:hAnsi="Calibri" w:cs="Calibri"/>
          <w:sz w:val="22"/>
          <w:lang w:val="pl-PL"/>
        </w:rPr>
      </w:pPr>
      <w:r w:rsidRPr="00A1362B">
        <w:rPr>
          <w:rFonts w:ascii="Calibri" w:hAnsi="Calibri" w:cs="Calibri"/>
          <w:sz w:val="22"/>
          <w:lang w:val="pl-PL"/>
        </w:rPr>
        <w:t>należności przeterminowane powyżej 365 dni – objęte są odpisem aktualizującym w</w:t>
      </w:r>
      <w:r w:rsidR="00173F22">
        <w:rPr>
          <w:rFonts w:ascii="Calibri" w:hAnsi="Calibri" w:cs="Calibri"/>
          <w:sz w:val="22"/>
          <w:lang w:val="pl-PL"/>
        </w:rPr>
        <w:t xml:space="preserve"> </w:t>
      </w:r>
      <w:r w:rsidRPr="00A1362B">
        <w:rPr>
          <w:rFonts w:ascii="Calibri" w:hAnsi="Calibri" w:cs="Calibri"/>
          <w:sz w:val="22"/>
          <w:lang w:val="pl-PL"/>
        </w:rPr>
        <w:t>wysokości 100% wartości tych należności.</w:t>
      </w:r>
    </w:p>
    <w:p w14:paraId="56AD1C35" w14:textId="6FFC5FDE" w:rsidR="006B39B0" w:rsidRDefault="00DE11CA" w:rsidP="003A03F1">
      <w:pPr>
        <w:spacing w:before="240" w:after="240" w:line="300" w:lineRule="auto"/>
        <w:ind w:left="993"/>
        <w:contextualSpacing/>
        <w:rPr>
          <w:rFonts w:ascii="Calibri" w:hAnsi="Calibri" w:cs="Calibri"/>
          <w:sz w:val="22"/>
          <w:szCs w:val="22"/>
        </w:rPr>
      </w:pPr>
      <w:r w:rsidRPr="006B39B0">
        <w:rPr>
          <w:rFonts w:ascii="Calibri" w:hAnsi="Calibri" w:cs="Calibri"/>
          <w:sz w:val="22"/>
          <w:szCs w:val="22"/>
        </w:rPr>
        <w:t>Odpisu aktualizującego dla odsetek za zwłokę dokonuje się w pełnej wysokości naliczonych odsetek za zwłokę, zarówno do odsetek naliczonych od należności objętych indywidualnym i ogólnym odpisem aktualizującym.</w:t>
      </w:r>
    </w:p>
    <w:p w14:paraId="76BD4B85" w14:textId="03763478" w:rsidR="00DE11CA" w:rsidRPr="006B39B0" w:rsidRDefault="00DE11CA" w:rsidP="003A03F1">
      <w:pPr>
        <w:spacing w:before="240" w:after="240" w:line="300" w:lineRule="auto"/>
        <w:ind w:left="993"/>
        <w:contextualSpacing/>
        <w:rPr>
          <w:rFonts w:ascii="Calibri" w:hAnsi="Calibri" w:cs="Calibri"/>
          <w:sz w:val="22"/>
          <w:szCs w:val="22"/>
        </w:rPr>
      </w:pPr>
      <w:r w:rsidRPr="006B39B0">
        <w:rPr>
          <w:rFonts w:ascii="Calibri" w:hAnsi="Calibri" w:cs="Calibri"/>
          <w:sz w:val="22"/>
          <w:szCs w:val="22"/>
        </w:rPr>
        <w:t>W przypadku szczególnych grup należności tj. z tytułu opłat za wycinkę drzew i krzewów, należności z tytułu opłat za odpady komunalne oraz należności z tytułu opłat za korzystanie z zezwoleń na sprzedaż napojów alkoholowych, odpisu aktualizującego wartość należności dokonuje się następująco:</w:t>
      </w:r>
    </w:p>
    <w:p w14:paraId="57071E9B" w14:textId="77777777" w:rsidR="00DE11CA" w:rsidRPr="00A1362B" w:rsidRDefault="00DE11CA" w:rsidP="003752B0">
      <w:pPr>
        <w:pStyle w:val="ListParagraph1"/>
        <w:numPr>
          <w:ilvl w:val="0"/>
          <w:numId w:val="9"/>
        </w:numPr>
        <w:autoSpaceDE w:val="0"/>
        <w:autoSpaceDN w:val="0"/>
        <w:adjustRightInd w:val="0"/>
        <w:spacing w:after="0" w:line="300" w:lineRule="auto"/>
        <w:ind w:left="1560" w:hanging="284"/>
        <w:rPr>
          <w:rFonts w:ascii="Calibri" w:hAnsi="Calibri" w:cs="Calibri"/>
          <w:sz w:val="22"/>
          <w:lang w:val="pl-PL"/>
        </w:rPr>
      </w:pPr>
      <w:r w:rsidRPr="00A1362B">
        <w:rPr>
          <w:rFonts w:ascii="Calibri" w:hAnsi="Calibri" w:cs="Calibri"/>
          <w:sz w:val="22"/>
          <w:lang w:val="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472E12B9" w14:textId="77777777" w:rsidR="00DE11CA" w:rsidRPr="00A1362B" w:rsidRDefault="00DE11CA" w:rsidP="003752B0">
      <w:pPr>
        <w:pStyle w:val="ListParagraph1"/>
        <w:numPr>
          <w:ilvl w:val="0"/>
          <w:numId w:val="9"/>
        </w:numPr>
        <w:tabs>
          <w:tab w:val="left" w:pos="993"/>
        </w:tabs>
        <w:autoSpaceDE w:val="0"/>
        <w:autoSpaceDN w:val="0"/>
        <w:adjustRightInd w:val="0"/>
        <w:spacing w:after="240" w:line="300" w:lineRule="auto"/>
        <w:ind w:left="1560" w:hanging="284"/>
        <w:rPr>
          <w:rFonts w:ascii="Calibri" w:hAnsi="Calibri" w:cs="Calibri"/>
          <w:sz w:val="22"/>
          <w:lang w:val="pl-PL"/>
        </w:rPr>
      </w:pPr>
      <w:r w:rsidRPr="00A1362B">
        <w:rPr>
          <w:rFonts w:ascii="Calibri" w:hAnsi="Calibri" w:cs="Calibri"/>
          <w:sz w:val="22"/>
          <w:lang w:val="pl-PL"/>
        </w:rPr>
        <w:t xml:space="preserve">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w:t>
      </w:r>
      <w:r w:rsidRPr="00A1362B">
        <w:rPr>
          <w:rFonts w:ascii="Calibri" w:hAnsi="Calibri" w:cs="Calibri"/>
          <w:sz w:val="22"/>
          <w:lang w:val="pl-PL"/>
        </w:rPr>
        <w:lastRenderedPageBreak/>
        <w:t>drzew i krzewów, należności z tytułu opłat za odpady komunalne i należności z tytułu opłat za korzystanie z zezwoleń na sprzedaż napojów alkoholowych.</w:t>
      </w:r>
    </w:p>
    <w:p w14:paraId="4D912B0F" w14:textId="76B8162A" w:rsidR="00DE11CA" w:rsidRPr="006B39B0" w:rsidRDefault="00DE11CA" w:rsidP="003A03F1">
      <w:pPr>
        <w:autoSpaceDE w:val="0"/>
        <w:autoSpaceDN w:val="0"/>
        <w:adjustRightInd w:val="0"/>
        <w:spacing w:after="240" w:line="300" w:lineRule="auto"/>
        <w:ind w:left="851"/>
        <w:rPr>
          <w:rFonts w:ascii="Calibri" w:hAnsi="Calibri" w:cs="Calibri"/>
          <w:sz w:val="22"/>
          <w:szCs w:val="22"/>
        </w:rPr>
      </w:pPr>
      <w:r w:rsidRPr="006B39B0">
        <w:rPr>
          <w:rFonts w:ascii="Calibri" w:hAnsi="Calibri" w:cs="Calibri"/>
          <w:sz w:val="22"/>
          <w:szCs w:val="22"/>
        </w:rPr>
        <w:t>Odpis aktualizujący dla należności z tytułu zaliczki alimentacyjnej i funduszu alimentacyjnego dokonywany jest:</w:t>
      </w:r>
    </w:p>
    <w:p w14:paraId="522128F3" w14:textId="77777777" w:rsidR="00173F22" w:rsidRDefault="00DE11CA" w:rsidP="00A36CF7">
      <w:pPr>
        <w:pStyle w:val="Akapitzlist"/>
        <w:numPr>
          <w:ilvl w:val="2"/>
          <w:numId w:val="4"/>
        </w:numPr>
        <w:autoSpaceDE w:val="0"/>
        <w:autoSpaceDN w:val="0"/>
        <w:adjustRightInd w:val="0"/>
        <w:spacing w:line="300" w:lineRule="auto"/>
        <w:ind w:left="1560" w:hanging="284"/>
        <w:contextualSpacing/>
        <w:rPr>
          <w:rFonts w:ascii="Calibri" w:hAnsi="Calibri" w:cs="Calibri"/>
          <w:sz w:val="22"/>
          <w:szCs w:val="22"/>
        </w:rPr>
      </w:pPr>
      <w:r w:rsidRPr="00173F22">
        <w:rPr>
          <w:rFonts w:ascii="Calibri" w:hAnsi="Calibri" w:cs="Calibri"/>
          <w:sz w:val="22"/>
          <w:szCs w:val="22"/>
        </w:rPr>
        <w:t>indywidualnie - na podstawie otrzymanych od komornika sądowego informacji określających stopień ich nieściągalności w odniesieniu do poszczególnych dłużników alimentacyjnych,</w:t>
      </w:r>
    </w:p>
    <w:p w14:paraId="549990D9" w14:textId="19CF4BEA" w:rsidR="00DE11CA" w:rsidRPr="00173F22" w:rsidRDefault="00DE11CA" w:rsidP="00A36CF7">
      <w:pPr>
        <w:pStyle w:val="Akapitzlist"/>
        <w:numPr>
          <w:ilvl w:val="2"/>
          <w:numId w:val="4"/>
        </w:numPr>
        <w:autoSpaceDE w:val="0"/>
        <w:autoSpaceDN w:val="0"/>
        <w:adjustRightInd w:val="0"/>
        <w:spacing w:line="300" w:lineRule="auto"/>
        <w:ind w:left="1560" w:hanging="284"/>
        <w:contextualSpacing/>
        <w:rPr>
          <w:rFonts w:ascii="Calibri" w:hAnsi="Calibri" w:cs="Calibri"/>
          <w:sz w:val="22"/>
          <w:szCs w:val="22"/>
        </w:rPr>
      </w:pPr>
      <w:r w:rsidRPr="00173F22">
        <w:rPr>
          <w:rFonts w:ascii="Calibri" w:hAnsi="Calibri" w:cs="Calibri"/>
          <w:sz w:val="22"/>
          <w:szCs w:val="22"/>
        </w:rPr>
        <w:t>dla pozostałych należności (do których nie otrzymano informacji od komorników sądowych) – ogólnym odpisem według raportu wiekowania.</w:t>
      </w:r>
    </w:p>
    <w:p w14:paraId="2256C2C1" w14:textId="77777777" w:rsidR="00DE11CA" w:rsidRPr="00A1362B" w:rsidRDefault="00DE11CA" w:rsidP="00A36CF7">
      <w:pPr>
        <w:autoSpaceDE w:val="0"/>
        <w:autoSpaceDN w:val="0"/>
        <w:adjustRightInd w:val="0"/>
        <w:spacing w:line="300" w:lineRule="auto"/>
        <w:ind w:left="1560"/>
        <w:contextualSpacing/>
        <w:rPr>
          <w:rFonts w:ascii="Calibri" w:hAnsi="Calibri" w:cs="Calibri"/>
          <w:strike/>
          <w:sz w:val="22"/>
          <w:szCs w:val="22"/>
        </w:rPr>
      </w:pPr>
      <w:r w:rsidRPr="00A1362B">
        <w:rPr>
          <w:rFonts w:ascii="Calibri" w:hAnsi="Calibri" w:cs="Calibri"/>
          <w:sz w:val="22"/>
          <w:szCs w:val="22"/>
        </w:rPr>
        <w:t>Księgowanie odpisu aktualizującego dla należności z tytułu zaliczki alimentacyjnej i funduszu alimentacyjnego dokonywane jest przez wydziały dla dzielnic właściwe w sprawach budżetowo – księgowych w części należnej Skarbowi Państwa i w części należnej m.st. Warszawa.</w:t>
      </w:r>
      <w:r w:rsidRPr="00A1362B">
        <w:rPr>
          <w:rFonts w:ascii="Calibri" w:hAnsi="Calibri" w:cs="Calibri"/>
          <w:strike/>
          <w:sz w:val="22"/>
          <w:szCs w:val="22"/>
        </w:rPr>
        <w:t xml:space="preserve"> </w:t>
      </w:r>
    </w:p>
    <w:p w14:paraId="6AE3889E" w14:textId="60080F32" w:rsidR="00DE11CA" w:rsidRPr="00A1362B" w:rsidRDefault="00DE11CA" w:rsidP="003A03F1">
      <w:pPr>
        <w:pStyle w:val="Default"/>
        <w:spacing w:after="240" w:line="300" w:lineRule="auto"/>
        <w:ind w:left="851"/>
        <w:contextualSpacing/>
        <w:rPr>
          <w:rFonts w:ascii="Calibri" w:hAnsi="Calibri" w:cs="Calibri"/>
          <w:color w:val="auto"/>
          <w:sz w:val="22"/>
          <w:szCs w:val="22"/>
        </w:rPr>
      </w:pPr>
      <w:r w:rsidRPr="00A36CF7">
        <w:rPr>
          <w:rFonts w:ascii="Calibri" w:eastAsia="Times New Roman" w:hAnsi="Calibri" w:cs="Calibri"/>
          <w:color w:val="auto"/>
          <w:sz w:val="22"/>
          <w:szCs w:val="22"/>
          <w:lang w:eastAsia="pl-PL"/>
        </w:rPr>
        <w:t>Zgodnie z zasadą ostrożnej wyceny, odpisy aktualizujące wartość należności uwzględniają</w:t>
      </w:r>
      <w:r w:rsidRPr="00A1362B">
        <w:rPr>
          <w:rFonts w:ascii="Calibri" w:hAnsi="Calibri" w:cs="Calibri"/>
          <w:color w:val="auto"/>
          <w:sz w:val="22"/>
          <w:szCs w:val="22"/>
        </w:rPr>
        <w:t xml:space="preserve"> również te przyczyny ich dokonania, które wystąpiły po dniu bilansowym, ale zostały ujawnione do sporządzenia bilansu, np. zgon dłużnika, postanowienie o ogłoszeniu upadłości.</w:t>
      </w:r>
      <w:r w:rsidR="003A03F1">
        <w:rPr>
          <w:rFonts w:ascii="Calibri" w:hAnsi="Calibri" w:cs="Calibri"/>
          <w:color w:val="auto"/>
          <w:sz w:val="22"/>
          <w:szCs w:val="22"/>
        </w:rPr>
        <w:t xml:space="preserve"> </w:t>
      </w:r>
      <w:r w:rsidRPr="00A1362B">
        <w:rPr>
          <w:rFonts w:ascii="Calibri" w:hAnsi="Calibri" w:cs="Calibri"/>
          <w:sz w:val="22"/>
          <w:szCs w:val="22"/>
        </w:rPr>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4FC84CAC" w14:textId="77777777" w:rsidR="00DE11CA" w:rsidRPr="006B39B0" w:rsidRDefault="00DE11CA" w:rsidP="003A03F1">
      <w:pPr>
        <w:pStyle w:val="Nagwek3"/>
        <w:numPr>
          <w:ilvl w:val="0"/>
          <w:numId w:val="0"/>
        </w:numPr>
        <w:ind w:left="709"/>
        <w:rPr>
          <w:rFonts w:ascii="Calibri" w:hAnsi="Calibri" w:cs="Calibri"/>
          <w:sz w:val="22"/>
          <w:szCs w:val="22"/>
        </w:rPr>
      </w:pPr>
      <w:r w:rsidRPr="006B39B0">
        <w:rPr>
          <w:rFonts w:ascii="Calibri" w:hAnsi="Calibri" w:cs="Calibri"/>
          <w:sz w:val="22"/>
          <w:szCs w:val="22"/>
        </w:rPr>
        <w:t>Ewidencja w księgach rachunkowych odpisu aktualizującego wartość należności i prezentacja w rachunku zysków i strat.</w:t>
      </w:r>
    </w:p>
    <w:p w14:paraId="52324384"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D550168" w14:textId="77777777" w:rsidR="00DE11CA" w:rsidRPr="00A1362B" w:rsidRDefault="00DE11CA" w:rsidP="003752B0">
      <w:pPr>
        <w:pStyle w:val="Akapitzlist"/>
        <w:numPr>
          <w:ilvl w:val="0"/>
          <w:numId w:val="10"/>
        </w:numPr>
        <w:spacing w:line="300" w:lineRule="auto"/>
        <w:ind w:left="1560" w:hanging="284"/>
        <w:contextualSpacing/>
        <w:rPr>
          <w:rFonts w:ascii="Calibri" w:hAnsi="Calibri" w:cs="Calibri"/>
          <w:sz w:val="22"/>
          <w:szCs w:val="22"/>
        </w:rPr>
      </w:pPr>
      <w:r w:rsidRPr="00A1362B">
        <w:rPr>
          <w:rFonts w:ascii="Calibri" w:hAnsi="Calibri" w:cs="Calibri"/>
          <w:sz w:val="22"/>
          <w:szCs w:val="22"/>
        </w:rPr>
        <w:t>odpisy aktualizujące wartość należności z tytułu rozchodów budżetu zalicza się do wyników na pozostałych operacjach niekasowych,</w:t>
      </w:r>
    </w:p>
    <w:p w14:paraId="7123E68B" w14:textId="77777777" w:rsidR="00DE11CA" w:rsidRPr="00A1362B" w:rsidRDefault="00DE11CA" w:rsidP="003752B0">
      <w:pPr>
        <w:pStyle w:val="Akapitzlist"/>
        <w:numPr>
          <w:ilvl w:val="0"/>
          <w:numId w:val="10"/>
        </w:numPr>
        <w:spacing w:line="300" w:lineRule="auto"/>
        <w:ind w:left="1560" w:hanging="284"/>
        <w:rPr>
          <w:rFonts w:ascii="Calibri" w:hAnsi="Calibri" w:cs="Calibri"/>
          <w:sz w:val="22"/>
          <w:szCs w:val="22"/>
        </w:rPr>
      </w:pPr>
      <w:r w:rsidRPr="00A1362B">
        <w:rPr>
          <w:rFonts w:ascii="Calibri" w:hAnsi="Calibri" w:cs="Calibri"/>
          <w:sz w:val="22"/>
          <w:szCs w:val="22"/>
        </w:rPr>
        <w:lastRenderedPageBreak/>
        <w:t>odpisy aktualizujące wartość należności dotyczących funduszy tworzonych na podstawie ustaw obciążają fundusze.</w:t>
      </w:r>
    </w:p>
    <w:p w14:paraId="095054C4"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Wykorzystanie odpisu aktualizującego następuje w wyniku zmniejszenia wartości odpisu aktualizacyjnego w przypadku umorzenia, przedawnienia, nieściągalności należności.</w:t>
      </w:r>
    </w:p>
    <w:p w14:paraId="69D096D4" w14:textId="77777777" w:rsidR="00DE11CA" w:rsidRPr="00A36CF7" w:rsidRDefault="00DE11CA" w:rsidP="003752B0">
      <w:pPr>
        <w:pStyle w:val="Akapitzlist"/>
        <w:numPr>
          <w:ilvl w:val="0"/>
          <w:numId w:val="18"/>
        </w:numPr>
        <w:spacing w:line="300" w:lineRule="auto"/>
        <w:ind w:left="1560" w:hanging="284"/>
        <w:contextualSpacing/>
        <w:rPr>
          <w:rFonts w:ascii="Calibri" w:hAnsi="Calibri" w:cs="Calibri"/>
          <w:sz w:val="22"/>
          <w:szCs w:val="22"/>
        </w:rPr>
      </w:pPr>
      <w:r w:rsidRPr="00A1362B">
        <w:rPr>
          <w:rFonts w:ascii="Calibri" w:hAnsi="Calibri" w:cs="Calibri"/>
          <w:sz w:val="22"/>
          <w:szCs w:val="22"/>
        </w:rPr>
        <w:t xml:space="preserve">Rozwiązanie odpisu aktualizującego następuje w wyniku </w:t>
      </w:r>
      <w:r w:rsidRPr="00A36CF7">
        <w:rPr>
          <w:rFonts w:ascii="Calibri" w:hAnsi="Calibri" w:cs="Calibri"/>
          <w:sz w:val="22"/>
          <w:szCs w:val="22"/>
        </w:rPr>
        <w:t xml:space="preserve">ustania przyczyny, dla której dokonano odpisu aktualizacyjnego należności, tj. dokonania zapłaty przez dłużnika. </w:t>
      </w:r>
    </w:p>
    <w:p w14:paraId="023722A1" w14:textId="77777777" w:rsidR="00DE11CA" w:rsidRPr="00A1362B" w:rsidRDefault="00DE11CA" w:rsidP="003752B0">
      <w:pPr>
        <w:pStyle w:val="Akapitzlist"/>
        <w:numPr>
          <w:ilvl w:val="0"/>
          <w:numId w:val="18"/>
        </w:numPr>
        <w:spacing w:line="300" w:lineRule="auto"/>
        <w:ind w:left="1560" w:hanging="284"/>
        <w:contextualSpacing/>
        <w:rPr>
          <w:rFonts w:ascii="Calibri" w:hAnsi="Calibri" w:cs="Calibri"/>
          <w:sz w:val="22"/>
          <w:szCs w:val="22"/>
        </w:rPr>
      </w:pPr>
      <w:r w:rsidRPr="00A1362B">
        <w:rPr>
          <w:rFonts w:ascii="Calibri" w:hAnsi="Calibri" w:cs="Calibri"/>
          <w:sz w:val="22"/>
          <w:szCs w:val="22"/>
        </w:rPr>
        <w:t xml:space="preserve">Odpis aktualizujący księguje się poprzez zmniejszenie 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18382546"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3CFABD68"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 xml:space="preserve">Dokonując prezentacji w rachunku zysków i strat, powstałe przychody i koszty wynikające z powyższych księgowań nie podlegają kompensacie tj.: </w:t>
      </w:r>
    </w:p>
    <w:p w14:paraId="59A889DC" w14:textId="77777777" w:rsidR="00A36CF7" w:rsidRDefault="00DE11CA" w:rsidP="003752B0">
      <w:pPr>
        <w:pStyle w:val="Akapitzlist"/>
        <w:numPr>
          <w:ilvl w:val="0"/>
          <w:numId w:val="11"/>
        </w:numPr>
        <w:spacing w:line="300" w:lineRule="auto"/>
        <w:ind w:left="1560" w:hanging="284"/>
        <w:contextualSpacing/>
        <w:rPr>
          <w:rFonts w:ascii="Calibri" w:hAnsi="Calibri" w:cs="Calibri"/>
          <w:sz w:val="22"/>
          <w:szCs w:val="22"/>
        </w:rPr>
      </w:pPr>
      <w:r w:rsidRPr="00A36CF7">
        <w:rPr>
          <w:rFonts w:ascii="Calibri" w:hAnsi="Calibri" w:cs="Calibri"/>
          <w:sz w:val="22"/>
          <w:szCs w:val="22"/>
        </w:rPr>
        <w:t>przyrost wartości odpisu aktualizującego należności od danego kontrahenta prezentowany jest w rachunku zysków i strat w pozostałych kosztach operacyjnych lub kosztach finansowych,</w:t>
      </w:r>
    </w:p>
    <w:p w14:paraId="2F5B92F7" w14:textId="31BD9676" w:rsidR="00A36CF7" w:rsidRPr="00A36CF7" w:rsidRDefault="00DE11CA" w:rsidP="003752B0">
      <w:pPr>
        <w:pStyle w:val="Akapitzlist"/>
        <w:numPr>
          <w:ilvl w:val="0"/>
          <w:numId w:val="11"/>
        </w:numPr>
        <w:spacing w:line="300" w:lineRule="auto"/>
        <w:ind w:left="1560" w:hanging="284"/>
        <w:contextualSpacing/>
        <w:rPr>
          <w:rFonts w:ascii="Calibri" w:hAnsi="Calibri" w:cs="Calibri"/>
          <w:sz w:val="22"/>
          <w:szCs w:val="22"/>
        </w:rPr>
      </w:pPr>
      <w:r w:rsidRPr="00A36CF7">
        <w:rPr>
          <w:rFonts w:ascii="Calibri" w:hAnsi="Calibri" w:cs="Calibri"/>
          <w:sz w:val="22"/>
          <w:szCs w:val="22"/>
        </w:rPr>
        <w:t xml:space="preserve">brak zmiany wartości odpisu aktualizującego należności od danego kontrahenta skutkuje brakiem wpływu na rachunek zysków i strat, </w:t>
      </w:r>
    </w:p>
    <w:p w14:paraId="209F9C0F" w14:textId="6721D8E2" w:rsidR="00DE11CA" w:rsidRPr="00A36CF7" w:rsidRDefault="00DE11CA" w:rsidP="003752B0">
      <w:pPr>
        <w:pStyle w:val="Akapitzlist"/>
        <w:numPr>
          <w:ilvl w:val="0"/>
          <w:numId w:val="11"/>
        </w:numPr>
        <w:spacing w:line="300" w:lineRule="auto"/>
        <w:ind w:left="1560" w:hanging="284"/>
        <w:contextualSpacing/>
        <w:rPr>
          <w:rFonts w:ascii="Calibri" w:hAnsi="Calibri" w:cs="Calibri"/>
          <w:sz w:val="22"/>
          <w:szCs w:val="22"/>
        </w:rPr>
      </w:pPr>
      <w:r w:rsidRPr="00A36CF7">
        <w:rPr>
          <w:rFonts w:ascii="Calibri" w:hAnsi="Calibri" w:cs="Calibri"/>
          <w:sz w:val="22"/>
          <w:szCs w:val="22"/>
        </w:rPr>
        <w:t xml:space="preserve">zmniejszenie wartości odpisu aktualizującego należności od danego kontrahenta prezentowane jest w rachunku zysków i strat w pozostałych przychodach operacyjnych lub przychodach finansowych. </w:t>
      </w:r>
    </w:p>
    <w:p w14:paraId="2632A3A6" w14:textId="77777777" w:rsidR="00DE11CA" w:rsidRPr="00A1362B" w:rsidRDefault="00DE11CA" w:rsidP="003752B0">
      <w:pPr>
        <w:pStyle w:val="Akapitzlist"/>
        <w:numPr>
          <w:ilvl w:val="1"/>
          <w:numId w:val="17"/>
        </w:numPr>
        <w:spacing w:before="240" w:after="240" w:line="300" w:lineRule="auto"/>
        <w:ind w:left="1276"/>
        <w:contextualSpacing/>
        <w:rPr>
          <w:rFonts w:ascii="Calibri" w:hAnsi="Calibri" w:cs="Calibri"/>
          <w:sz w:val="22"/>
          <w:szCs w:val="22"/>
        </w:rPr>
      </w:pPr>
      <w:r w:rsidRPr="00A1362B">
        <w:rPr>
          <w:rFonts w:ascii="Calibri" w:hAnsi="Calibri" w:cs="Calibr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 w wysokości skalkulowanej na 31 grudnia roku, za który sporządzane jest sprawozdanie finansowe w pozostałe koszty operacyjne lub koszty finansowe.</w:t>
      </w:r>
    </w:p>
    <w:p w14:paraId="7FBCD39E" w14:textId="77777777" w:rsidR="00DE11CA" w:rsidRPr="00A1362B" w:rsidRDefault="00DE11CA" w:rsidP="003A03F1">
      <w:pPr>
        <w:pStyle w:val="Akapitzlist"/>
        <w:spacing w:line="300" w:lineRule="auto"/>
        <w:ind w:left="993"/>
        <w:contextualSpacing/>
        <w:rPr>
          <w:rFonts w:ascii="Calibri" w:hAnsi="Calibri" w:cs="Calibri"/>
          <w:sz w:val="22"/>
          <w:szCs w:val="22"/>
        </w:rPr>
      </w:pPr>
      <w:r w:rsidRPr="00A1362B">
        <w:rPr>
          <w:rFonts w:ascii="Calibri" w:hAnsi="Calibri" w:cs="Calibri"/>
          <w:sz w:val="22"/>
          <w:szCs w:val="22"/>
        </w:rPr>
        <w:lastRenderedPageBreak/>
        <w:t>Dokonując prezentacji w rachunku zysków i strat prezentuje się różnicę pomiędzy ogólną wartością na dzień ustalenia nowej aktualizacji a wartością uprzednio zaksięgowanego odpisu aktualizującego należności tj.:</w:t>
      </w:r>
    </w:p>
    <w:p w14:paraId="0A0F5D12" w14:textId="77777777" w:rsidR="00DE11CA" w:rsidRPr="00A1362B" w:rsidRDefault="00DE11CA" w:rsidP="003752B0">
      <w:pPr>
        <w:pStyle w:val="Akapitzlist"/>
        <w:numPr>
          <w:ilvl w:val="0"/>
          <w:numId w:val="19"/>
        </w:numPr>
        <w:spacing w:line="300" w:lineRule="auto"/>
        <w:ind w:left="1560" w:hanging="284"/>
        <w:contextualSpacing/>
        <w:rPr>
          <w:rFonts w:ascii="Calibri" w:hAnsi="Calibri" w:cs="Calibri"/>
          <w:sz w:val="22"/>
          <w:szCs w:val="22"/>
        </w:rPr>
      </w:pPr>
      <w:r w:rsidRPr="00A1362B">
        <w:rPr>
          <w:rFonts w:ascii="Calibri" w:hAnsi="Calibri" w:cs="Calibri"/>
          <w:sz w:val="22"/>
          <w:szCs w:val="22"/>
        </w:rPr>
        <w:t>przyrost odpisu aktualizującego należności prezentowany jest w rachunku zysków i strat w pozostałych kosztach operacyjnych lub kosztach finansowych;</w:t>
      </w:r>
    </w:p>
    <w:p w14:paraId="0A723B02" w14:textId="77777777" w:rsidR="00DE11CA" w:rsidRPr="00A1362B" w:rsidRDefault="00DE11CA" w:rsidP="003752B0">
      <w:pPr>
        <w:pStyle w:val="Akapitzlist"/>
        <w:numPr>
          <w:ilvl w:val="0"/>
          <w:numId w:val="19"/>
        </w:numPr>
        <w:spacing w:line="300" w:lineRule="auto"/>
        <w:ind w:left="1560" w:hanging="284"/>
        <w:contextualSpacing/>
        <w:rPr>
          <w:rFonts w:ascii="Calibri" w:hAnsi="Calibri" w:cs="Calibri"/>
          <w:sz w:val="22"/>
          <w:szCs w:val="22"/>
        </w:rPr>
      </w:pPr>
      <w:r w:rsidRPr="00A1362B">
        <w:rPr>
          <w:rFonts w:ascii="Calibri" w:hAnsi="Calibri" w:cs="Calibri"/>
          <w:sz w:val="22"/>
          <w:szCs w:val="22"/>
        </w:rPr>
        <w:t>zmniejszenie odpisu aktualizującego należności prezentowane jest w rachunku zysków i strat w pozostałych przychodach operacyjnych lub przychodach finansowych.</w:t>
      </w:r>
    </w:p>
    <w:p w14:paraId="5CB62685" w14:textId="77777777" w:rsidR="00A36CF7" w:rsidRDefault="00DE11CA" w:rsidP="00BB64F7">
      <w:pPr>
        <w:spacing w:after="240" w:line="300" w:lineRule="auto"/>
        <w:ind w:left="1560"/>
        <w:rPr>
          <w:rFonts w:ascii="Calibri" w:hAnsi="Calibri" w:cs="Calibri"/>
          <w:sz w:val="22"/>
          <w:szCs w:val="22"/>
        </w:rPr>
      </w:pPr>
      <w:r w:rsidRPr="00A1362B">
        <w:rPr>
          <w:rFonts w:ascii="Calibri" w:hAnsi="Calibri" w:cs="Calibri"/>
          <w:sz w:val="22"/>
          <w:szCs w:val="22"/>
        </w:rPr>
        <w:t>Należności przedawnione, umorzone zmniejszają wartość dokonanych uprzednio odpisów aktualizujących. Należności przedawnione, umorzone, od których nie dokonano odpisów aktualizujących ich wartość lub dokonano ich w niepełnej wysokości, zalicza się odpowiednio do pozostałych kosztów operacyjnych lub kosztów finansowych.</w:t>
      </w:r>
    </w:p>
    <w:p w14:paraId="2F793F0D" w14:textId="77777777" w:rsidR="00CC5BF5" w:rsidRPr="00CC5BF5" w:rsidRDefault="00DE11CA" w:rsidP="00BB64F7">
      <w:pPr>
        <w:pStyle w:val="Nagwek3"/>
        <w:numPr>
          <w:ilvl w:val="0"/>
          <w:numId w:val="0"/>
        </w:numPr>
        <w:tabs>
          <w:tab w:val="clear" w:pos="709"/>
        </w:tabs>
        <w:ind w:left="851"/>
        <w:rPr>
          <w:rFonts w:asciiTheme="minorHAnsi" w:hAnsiTheme="minorHAnsi" w:cstheme="minorHAnsi"/>
          <w:sz w:val="22"/>
          <w:szCs w:val="22"/>
        </w:rPr>
      </w:pPr>
      <w:r w:rsidRPr="00CC5BF5">
        <w:rPr>
          <w:rFonts w:asciiTheme="minorHAnsi" w:hAnsiTheme="minorHAnsi" w:cstheme="minorHAnsi"/>
          <w:sz w:val="22"/>
          <w:szCs w:val="22"/>
        </w:rPr>
        <w:t xml:space="preserve">Należne odszkodowania, grzywny i kary </w:t>
      </w:r>
    </w:p>
    <w:p w14:paraId="207732B2" w14:textId="3E43A33D" w:rsidR="00A36CF7" w:rsidRDefault="00CC5BF5" w:rsidP="003A03F1">
      <w:pPr>
        <w:spacing w:before="240" w:after="240" w:line="300" w:lineRule="auto"/>
        <w:ind w:left="993"/>
        <w:rPr>
          <w:rFonts w:ascii="Calibri" w:hAnsi="Calibri" w:cs="Calibri"/>
          <w:sz w:val="22"/>
          <w:szCs w:val="22"/>
        </w:rPr>
      </w:pPr>
      <w:r w:rsidRPr="00CC5BF5">
        <w:rPr>
          <w:rFonts w:ascii="Calibri" w:hAnsi="Calibri" w:cs="Calibri"/>
          <w:sz w:val="22"/>
          <w:szCs w:val="22"/>
        </w:rPr>
        <w:t xml:space="preserve">Należne odszkodowania, grzywny i kary </w:t>
      </w:r>
      <w:r w:rsidR="00DE11CA" w:rsidRPr="00A1362B">
        <w:rPr>
          <w:rFonts w:ascii="Calibri" w:hAnsi="Calibri" w:cs="Calibri"/>
          <w:sz w:val="22"/>
          <w:szCs w:val="22"/>
        </w:rPr>
        <w:t>wycenia się w kwocie wymagalnej zapłaty.</w:t>
      </w:r>
      <w:r w:rsidR="00A36CF7">
        <w:rPr>
          <w:rFonts w:ascii="Calibri" w:hAnsi="Calibri" w:cs="Calibri"/>
          <w:sz w:val="22"/>
          <w:szCs w:val="22"/>
        </w:rPr>
        <w:t xml:space="preserve"> </w:t>
      </w:r>
      <w:r w:rsidR="00DE11CA" w:rsidRPr="00A1362B">
        <w:rPr>
          <w:rFonts w:ascii="Calibri" w:hAnsi="Calibri" w:cs="Calibri"/>
          <w:sz w:val="22"/>
          <w:szCs w:val="22"/>
        </w:rPr>
        <w:t>Rzeczowe składniki majątku obrotowego wycenia się na dzień bilansowy według ich wartości wynikającej z ewidencji.</w:t>
      </w:r>
    </w:p>
    <w:p w14:paraId="11BE0BF6" w14:textId="59152076" w:rsidR="00CC5BF5" w:rsidRDefault="00DE11CA" w:rsidP="003A03F1">
      <w:pPr>
        <w:pStyle w:val="Nagwek3"/>
        <w:numPr>
          <w:ilvl w:val="0"/>
          <w:numId w:val="0"/>
        </w:numPr>
        <w:ind w:left="993"/>
        <w:rPr>
          <w:rStyle w:val="Nagwek3Znak"/>
          <w:rFonts w:asciiTheme="minorHAnsi" w:hAnsiTheme="minorHAnsi" w:cstheme="minorHAnsi"/>
          <w:sz w:val="22"/>
          <w:szCs w:val="22"/>
          <w:lang w:val="pl-PL"/>
        </w:rPr>
      </w:pPr>
      <w:r w:rsidRPr="00CC5BF5">
        <w:rPr>
          <w:rFonts w:asciiTheme="minorHAnsi" w:hAnsiTheme="minorHAnsi" w:cstheme="minorHAnsi"/>
          <w:sz w:val="22"/>
          <w:szCs w:val="22"/>
        </w:rPr>
        <w:t xml:space="preserve">Fundusze własne i specjalne, rozliczenia międzyokresowe kosztów oraz pozostałe nie wymienione wyżej aktywa i pasywa </w:t>
      </w:r>
      <w:r w:rsidRPr="00CC5BF5">
        <w:rPr>
          <w:rFonts w:asciiTheme="minorHAnsi" w:hAnsiTheme="minorHAnsi" w:cstheme="minorHAnsi"/>
          <w:b w:val="0"/>
          <w:sz w:val="22"/>
          <w:szCs w:val="22"/>
        </w:rPr>
        <w:t>wycenia się w wartości nominalnej.</w:t>
      </w:r>
    </w:p>
    <w:p w14:paraId="3BD832F3" w14:textId="77777777" w:rsidR="00CC5BF5" w:rsidRPr="00CC5BF5" w:rsidRDefault="00DE11CA" w:rsidP="003A03F1">
      <w:pPr>
        <w:pStyle w:val="Nagwek3"/>
        <w:numPr>
          <w:ilvl w:val="0"/>
          <w:numId w:val="0"/>
        </w:numPr>
        <w:spacing w:before="240"/>
        <w:ind w:left="993"/>
        <w:rPr>
          <w:rFonts w:asciiTheme="minorHAnsi" w:hAnsiTheme="minorHAnsi" w:cstheme="minorHAnsi"/>
          <w:b w:val="0"/>
          <w:sz w:val="22"/>
          <w:szCs w:val="22"/>
          <w:lang w:val="pl-PL"/>
        </w:rPr>
      </w:pPr>
      <w:r w:rsidRPr="00CC5BF5">
        <w:rPr>
          <w:rFonts w:asciiTheme="minorHAnsi" w:hAnsiTheme="minorHAnsi" w:cstheme="minorHAnsi"/>
          <w:sz w:val="22"/>
          <w:szCs w:val="22"/>
        </w:rPr>
        <w:t xml:space="preserve">Wartości poszczególnych składników aktywów i pasywów, przychodów i kosztów </w:t>
      </w:r>
      <w:r w:rsidRPr="00CC5BF5">
        <w:rPr>
          <w:rFonts w:asciiTheme="minorHAnsi" w:hAnsiTheme="minorHAnsi" w:cstheme="minorHAnsi"/>
          <w:b w:val="0"/>
          <w:sz w:val="22"/>
          <w:szCs w:val="22"/>
        </w:rPr>
        <w:t>ustala się oddzielnie i nie można ich ze sobą kompensować.</w:t>
      </w:r>
      <w:r w:rsidR="00C04545" w:rsidRPr="00CC5BF5">
        <w:rPr>
          <w:rFonts w:asciiTheme="minorHAnsi" w:hAnsiTheme="minorHAnsi" w:cstheme="minorHAnsi"/>
          <w:b w:val="0"/>
          <w:sz w:val="22"/>
          <w:szCs w:val="22"/>
        </w:rPr>
        <w:t xml:space="preserve"> W przypadku, gdy na dzień bilansowy w księgach występują należności i zobowiązania od tego i wobec tego samego kontrahenta, wartości te w bilansie wykazuje się rozłącznie (w szyku rozwartym)</w:t>
      </w:r>
    </w:p>
    <w:p w14:paraId="6921E7BC" w14:textId="70275AEF" w:rsidR="00C04545" w:rsidRPr="00A1362B" w:rsidRDefault="00C04545" w:rsidP="003A03F1">
      <w:pPr>
        <w:pStyle w:val="Nagwek3"/>
        <w:numPr>
          <w:ilvl w:val="0"/>
          <w:numId w:val="0"/>
        </w:numPr>
        <w:spacing w:before="240"/>
        <w:ind w:left="993"/>
        <w:rPr>
          <w:rFonts w:ascii="Calibri" w:hAnsi="Calibri" w:cs="Calibri"/>
          <w:sz w:val="22"/>
          <w:szCs w:val="22"/>
        </w:rPr>
      </w:pPr>
      <w:r w:rsidRPr="00A1362B">
        <w:rPr>
          <w:rFonts w:ascii="Calibri" w:hAnsi="Calibri" w:cs="Calibri"/>
          <w:sz w:val="22"/>
          <w:szCs w:val="22"/>
        </w:rPr>
        <w:t>Ustalenie wyniku finansowego jednostki następuje poprzez przeksięgowanie w końcu roku obrotowego:</w:t>
      </w:r>
    </w:p>
    <w:p w14:paraId="54C40B5C" w14:textId="129F3565" w:rsidR="00C04545" w:rsidRPr="00A1362B" w:rsidRDefault="00EF17BF" w:rsidP="003752B0">
      <w:pPr>
        <w:pStyle w:val="Akapitzlist"/>
        <w:numPr>
          <w:ilvl w:val="1"/>
          <w:numId w:val="20"/>
        </w:numPr>
        <w:spacing w:before="240" w:line="300" w:lineRule="auto"/>
        <w:ind w:left="1701"/>
        <w:contextualSpacing/>
        <w:rPr>
          <w:rFonts w:ascii="Calibri" w:hAnsi="Calibri" w:cs="Calibri"/>
          <w:sz w:val="22"/>
          <w:szCs w:val="22"/>
        </w:rPr>
      </w:pPr>
      <w:r w:rsidRPr="00A1362B">
        <w:rPr>
          <w:rFonts w:ascii="Calibri" w:hAnsi="Calibri" w:cs="Calibri"/>
          <w:sz w:val="22"/>
          <w:szCs w:val="22"/>
        </w:rPr>
        <w:t>na</w:t>
      </w:r>
      <w:r w:rsidR="00C04545" w:rsidRPr="00A1362B">
        <w:rPr>
          <w:rFonts w:ascii="Calibri" w:hAnsi="Calibri" w:cs="Calibri"/>
          <w:sz w:val="22"/>
          <w:szCs w:val="22"/>
        </w:rPr>
        <w:t xml:space="preserve"> stronie Wn konta 860 „Wynik finansowy”:</w:t>
      </w:r>
    </w:p>
    <w:p w14:paraId="7FF4B01E" w14:textId="27FAFD61" w:rsidR="00C04545" w:rsidRPr="00A1362B" w:rsidRDefault="00C04545" w:rsidP="003752B0">
      <w:pPr>
        <w:numPr>
          <w:ilvl w:val="0"/>
          <w:numId w:val="12"/>
        </w:numPr>
        <w:tabs>
          <w:tab w:val="clear" w:pos="1354"/>
          <w:tab w:val="left" w:pos="2127"/>
        </w:tabs>
        <w:spacing w:line="300" w:lineRule="auto"/>
        <w:ind w:left="1985" w:hanging="284"/>
        <w:contextualSpacing/>
        <w:rPr>
          <w:rFonts w:ascii="Calibri" w:hAnsi="Calibri" w:cs="Calibri"/>
          <w:sz w:val="22"/>
          <w:szCs w:val="22"/>
        </w:rPr>
      </w:pPr>
      <w:r w:rsidRPr="00A1362B">
        <w:rPr>
          <w:rFonts w:ascii="Calibri" w:hAnsi="Calibri" w:cs="Calibri"/>
          <w:sz w:val="22"/>
          <w:szCs w:val="22"/>
        </w:rPr>
        <w:t>sumy poniesionych kosztów operacyjnych w korespondencji z kontami</w:t>
      </w:r>
      <w:r w:rsidR="00A36CF7">
        <w:rPr>
          <w:rFonts w:ascii="Calibri" w:hAnsi="Calibri" w:cs="Calibri"/>
          <w:sz w:val="22"/>
          <w:szCs w:val="22"/>
        </w:rPr>
        <w:t xml:space="preserve"> </w:t>
      </w:r>
      <w:r w:rsidRPr="00A1362B">
        <w:rPr>
          <w:rFonts w:ascii="Calibri" w:hAnsi="Calibri" w:cs="Calibri"/>
          <w:sz w:val="22"/>
          <w:szCs w:val="22"/>
        </w:rPr>
        <w:t>zespołu 4 „Koszty według rodzajów i ich rozliczenie”</w:t>
      </w:r>
      <w:r w:rsidR="00EF17BF" w:rsidRPr="00A1362B">
        <w:rPr>
          <w:rFonts w:ascii="Calibri" w:hAnsi="Calibri" w:cs="Calibri"/>
          <w:sz w:val="22"/>
          <w:szCs w:val="22"/>
        </w:rPr>
        <w:t>,</w:t>
      </w:r>
    </w:p>
    <w:p w14:paraId="69157E16" w14:textId="6A3B21E3" w:rsidR="00C04545" w:rsidRPr="00A1362B" w:rsidRDefault="00C04545" w:rsidP="003752B0">
      <w:pPr>
        <w:numPr>
          <w:ilvl w:val="0"/>
          <w:numId w:val="12"/>
        </w:numPr>
        <w:tabs>
          <w:tab w:val="num" w:pos="1260"/>
          <w:tab w:val="left" w:pos="2127"/>
        </w:tabs>
        <w:spacing w:line="300" w:lineRule="auto"/>
        <w:ind w:left="1985" w:hanging="284"/>
        <w:contextualSpacing/>
        <w:rPr>
          <w:rFonts w:ascii="Calibri" w:hAnsi="Calibri" w:cs="Calibri"/>
          <w:sz w:val="22"/>
          <w:szCs w:val="22"/>
        </w:rPr>
      </w:pPr>
      <w:r w:rsidRPr="00A1362B">
        <w:rPr>
          <w:rFonts w:ascii="Calibri" w:hAnsi="Calibri" w:cs="Calibri"/>
          <w:sz w:val="22"/>
          <w:szCs w:val="22"/>
        </w:rPr>
        <w:t>zmianę stanu międzyokresowych rozliczeń kosztów w korespondencji</w:t>
      </w:r>
      <w:r w:rsidR="00A36CF7">
        <w:rPr>
          <w:rFonts w:ascii="Calibri" w:hAnsi="Calibri" w:cs="Calibri"/>
          <w:sz w:val="22"/>
          <w:szCs w:val="22"/>
        </w:rPr>
        <w:t xml:space="preserve"> </w:t>
      </w:r>
      <w:r w:rsidRPr="00A1362B">
        <w:rPr>
          <w:rFonts w:ascii="Calibri" w:hAnsi="Calibri" w:cs="Calibri"/>
          <w:sz w:val="22"/>
          <w:szCs w:val="22"/>
        </w:rPr>
        <w:t>z kontem 490 „Rozliczenie kosztów”,</w:t>
      </w:r>
    </w:p>
    <w:p w14:paraId="7892F053" w14:textId="77777777" w:rsidR="00C04545" w:rsidRPr="00A1362B" w:rsidRDefault="00C04545" w:rsidP="003752B0">
      <w:pPr>
        <w:numPr>
          <w:ilvl w:val="0"/>
          <w:numId w:val="12"/>
        </w:numPr>
        <w:tabs>
          <w:tab w:val="num" w:pos="1260"/>
          <w:tab w:val="left" w:pos="2127"/>
        </w:tabs>
        <w:spacing w:line="300" w:lineRule="auto"/>
        <w:ind w:left="1985" w:hanging="284"/>
        <w:rPr>
          <w:rFonts w:ascii="Calibri" w:hAnsi="Calibri" w:cs="Calibri"/>
          <w:sz w:val="22"/>
          <w:szCs w:val="22"/>
        </w:rPr>
      </w:pPr>
      <w:r w:rsidRPr="00A1362B">
        <w:rPr>
          <w:rFonts w:ascii="Calibri" w:hAnsi="Calibri" w:cs="Calibri"/>
          <w:sz w:val="22"/>
          <w:szCs w:val="22"/>
        </w:rPr>
        <w:t>sumy poniesionych kosztów w korespondencji z poszczególnymi kontami zespołu 7.</w:t>
      </w:r>
    </w:p>
    <w:p w14:paraId="381A944B" w14:textId="77777777" w:rsidR="00C04545" w:rsidRPr="00A1362B" w:rsidRDefault="00C04545" w:rsidP="003752B0">
      <w:pPr>
        <w:pStyle w:val="Akapitzlist"/>
        <w:numPr>
          <w:ilvl w:val="1"/>
          <w:numId w:val="20"/>
        </w:numPr>
        <w:spacing w:line="300" w:lineRule="auto"/>
        <w:ind w:left="1701"/>
        <w:contextualSpacing/>
        <w:rPr>
          <w:rFonts w:ascii="Calibri" w:hAnsi="Calibri" w:cs="Calibri"/>
          <w:sz w:val="22"/>
          <w:szCs w:val="22"/>
        </w:rPr>
      </w:pPr>
      <w:r w:rsidRPr="00A1362B">
        <w:rPr>
          <w:rFonts w:ascii="Calibri" w:hAnsi="Calibri" w:cs="Calibri"/>
          <w:sz w:val="22"/>
          <w:szCs w:val="22"/>
        </w:rPr>
        <w:t>na stronie Ma konta 860 „Wynik finansowy”:</w:t>
      </w:r>
    </w:p>
    <w:p w14:paraId="6EB7C9B3" w14:textId="77777777" w:rsidR="00C04545" w:rsidRPr="00A1362B" w:rsidRDefault="00C04545" w:rsidP="003752B0">
      <w:pPr>
        <w:numPr>
          <w:ilvl w:val="1"/>
          <w:numId w:val="12"/>
        </w:numPr>
        <w:tabs>
          <w:tab w:val="clear" w:pos="454"/>
        </w:tabs>
        <w:spacing w:line="300" w:lineRule="auto"/>
        <w:ind w:left="1985" w:hanging="284"/>
        <w:contextualSpacing/>
        <w:rPr>
          <w:rFonts w:ascii="Calibri" w:hAnsi="Calibri" w:cs="Calibri"/>
          <w:sz w:val="22"/>
          <w:szCs w:val="22"/>
        </w:rPr>
      </w:pPr>
      <w:r w:rsidRPr="00A1362B">
        <w:rPr>
          <w:rFonts w:ascii="Calibri" w:hAnsi="Calibri" w:cs="Calibri"/>
          <w:sz w:val="22"/>
          <w:szCs w:val="22"/>
        </w:rPr>
        <w:t>sumy uzyskanych przychodów w korespondencji z poszczególnymi kontami zespołu 7,</w:t>
      </w:r>
    </w:p>
    <w:p w14:paraId="1B2615F2" w14:textId="5C75294A" w:rsidR="00A36CF7" w:rsidRPr="00A36CF7" w:rsidRDefault="00EF17BF" w:rsidP="003752B0">
      <w:pPr>
        <w:pStyle w:val="Akapitzlist"/>
        <w:numPr>
          <w:ilvl w:val="1"/>
          <w:numId w:val="12"/>
        </w:numPr>
        <w:tabs>
          <w:tab w:val="clear" w:pos="454"/>
        </w:tabs>
        <w:spacing w:line="300" w:lineRule="auto"/>
        <w:ind w:left="1985" w:hanging="284"/>
        <w:contextualSpacing/>
        <w:rPr>
          <w:rFonts w:ascii="Calibri" w:hAnsi="Calibri" w:cs="Calibri"/>
          <w:sz w:val="22"/>
          <w:szCs w:val="22"/>
        </w:rPr>
      </w:pPr>
      <w:r w:rsidRPr="00A36CF7">
        <w:rPr>
          <w:rFonts w:ascii="Calibri" w:hAnsi="Calibri" w:cs="Calibri"/>
          <w:sz w:val="22"/>
          <w:szCs w:val="22"/>
        </w:rPr>
        <w:lastRenderedPageBreak/>
        <w:t>z</w:t>
      </w:r>
      <w:r w:rsidR="00C04545" w:rsidRPr="00A36CF7">
        <w:rPr>
          <w:rFonts w:ascii="Calibri" w:hAnsi="Calibri" w:cs="Calibri"/>
          <w:sz w:val="22"/>
          <w:szCs w:val="22"/>
        </w:rPr>
        <w:t>mianę stanu międzyokresowych rozliczeń kosztów w korespondencji z kontem 490 „Rozliczenie kosztów”.</w:t>
      </w:r>
    </w:p>
    <w:p w14:paraId="6A5F53A5" w14:textId="77777777" w:rsidR="00CC5BF5" w:rsidRDefault="00C04545" w:rsidP="00BB64F7">
      <w:pPr>
        <w:pStyle w:val="Nagwek3"/>
        <w:numPr>
          <w:ilvl w:val="0"/>
          <w:numId w:val="0"/>
        </w:numPr>
        <w:tabs>
          <w:tab w:val="clear" w:pos="709"/>
        </w:tabs>
        <w:ind w:left="993"/>
        <w:rPr>
          <w:rFonts w:asciiTheme="minorHAnsi" w:hAnsiTheme="minorHAnsi" w:cstheme="minorHAnsi"/>
          <w:b w:val="0"/>
          <w:sz w:val="22"/>
          <w:szCs w:val="22"/>
          <w:lang w:val="pl-PL"/>
        </w:rPr>
      </w:pPr>
      <w:r w:rsidRPr="00CC5BF5">
        <w:rPr>
          <w:rFonts w:asciiTheme="minorHAnsi" w:hAnsiTheme="minorHAnsi" w:cstheme="minorHAnsi"/>
          <w:sz w:val="22"/>
          <w:szCs w:val="22"/>
        </w:rPr>
        <w:t xml:space="preserve">Urząd m.st. Warszawy nie dokonuje biernych rozliczeń międzyokresowych kosztów </w:t>
      </w:r>
      <w:r w:rsidRPr="00CC5BF5">
        <w:rPr>
          <w:rFonts w:asciiTheme="minorHAnsi" w:hAnsiTheme="minorHAnsi" w:cstheme="minorHAnsi"/>
          <w:b w:val="0"/>
          <w:sz w:val="22"/>
          <w:szCs w:val="22"/>
        </w:rPr>
        <w:t>wynikających z obowiązku wykonania przyszłych świadczeń na rzecz pracowników, w tym świadczeń emerytalnych.</w:t>
      </w:r>
    </w:p>
    <w:p w14:paraId="311215DA" w14:textId="6618C14C" w:rsidR="00A03EB6" w:rsidRPr="00A36CF7" w:rsidRDefault="00A03EB6" w:rsidP="003A03F1">
      <w:pPr>
        <w:pStyle w:val="Nagwek3"/>
        <w:numPr>
          <w:ilvl w:val="0"/>
          <w:numId w:val="0"/>
        </w:numPr>
        <w:spacing w:before="240"/>
        <w:ind w:left="993"/>
        <w:rPr>
          <w:rFonts w:ascii="Calibri" w:hAnsi="Calibri" w:cs="Calibri"/>
          <w:sz w:val="22"/>
          <w:szCs w:val="22"/>
        </w:rPr>
      </w:pPr>
      <w:r w:rsidRPr="00A36CF7">
        <w:rPr>
          <w:rFonts w:ascii="Calibri" w:hAnsi="Calibri" w:cs="Calibri"/>
          <w:sz w:val="22"/>
          <w:szCs w:val="22"/>
        </w:rPr>
        <w:t>Przy sporządzaniu sprawozdania finansowego dokonywane są wyłączenia:</w:t>
      </w:r>
    </w:p>
    <w:p w14:paraId="757FA960" w14:textId="77777777" w:rsidR="00A36CF7" w:rsidRDefault="00A03EB6" w:rsidP="003752B0">
      <w:pPr>
        <w:numPr>
          <w:ilvl w:val="3"/>
          <w:numId w:val="13"/>
        </w:numPr>
        <w:tabs>
          <w:tab w:val="clear" w:pos="397"/>
        </w:tabs>
        <w:spacing w:before="240" w:after="240" w:line="300" w:lineRule="auto"/>
        <w:ind w:left="1985" w:hanging="284"/>
        <w:contextualSpacing/>
        <w:rPr>
          <w:rFonts w:ascii="Calibri" w:hAnsi="Calibri" w:cs="Calibri"/>
          <w:sz w:val="22"/>
          <w:szCs w:val="22"/>
        </w:rPr>
      </w:pPr>
      <w:r w:rsidRPr="00A36CF7">
        <w:rPr>
          <w:rFonts w:ascii="Calibri" w:hAnsi="Calibri" w:cs="Calibri"/>
          <w:sz w:val="22"/>
          <w:szCs w:val="22"/>
        </w:rPr>
        <w:t>wzajemnych należności i zobowiązań między jednostkami,</w:t>
      </w:r>
    </w:p>
    <w:p w14:paraId="426C0813" w14:textId="77777777" w:rsidR="00867DCA" w:rsidRDefault="00A03EB6" w:rsidP="003752B0">
      <w:pPr>
        <w:numPr>
          <w:ilvl w:val="3"/>
          <w:numId w:val="13"/>
        </w:numPr>
        <w:tabs>
          <w:tab w:val="clear" w:pos="397"/>
        </w:tabs>
        <w:spacing w:after="240" w:line="300" w:lineRule="auto"/>
        <w:ind w:left="1985" w:hanging="284"/>
        <w:contextualSpacing/>
        <w:rPr>
          <w:rFonts w:ascii="Calibri" w:hAnsi="Calibri" w:cs="Calibri"/>
          <w:sz w:val="22"/>
          <w:szCs w:val="22"/>
        </w:rPr>
      </w:pPr>
      <w:r w:rsidRPr="00867DCA">
        <w:rPr>
          <w:rFonts w:ascii="Calibri" w:hAnsi="Calibri" w:cs="Calibri"/>
          <w:sz w:val="22"/>
          <w:szCs w:val="22"/>
        </w:rPr>
        <w:t>przychodów i kosztów z tytułu operacji dokonywanych między jednostkami,</w:t>
      </w:r>
    </w:p>
    <w:p w14:paraId="0A9C62B7" w14:textId="77777777" w:rsidR="00867DCA" w:rsidRDefault="00A03EB6" w:rsidP="003752B0">
      <w:pPr>
        <w:numPr>
          <w:ilvl w:val="3"/>
          <w:numId w:val="13"/>
        </w:numPr>
        <w:tabs>
          <w:tab w:val="clear" w:pos="397"/>
        </w:tabs>
        <w:spacing w:after="240" w:line="300" w:lineRule="auto"/>
        <w:ind w:left="1985" w:hanging="284"/>
        <w:contextualSpacing/>
        <w:rPr>
          <w:rFonts w:ascii="Calibri" w:hAnsi="Calibri" w:cs="Calibri"/>
          <w:sz w:val="22"/>
          <w:szCs w:val="22"/>
        </w:rPr>
      </w:pPr>
      <w:r w:rsidRPr="00867DCA">
        <w:rPr>
          <w:rFonts w:ascii="Calibri" w:hAnsi="Calibri" w:cs="Calibri"/>
          <w:sz w:val="22"/>
          <w:szCs w:val="22"/>
        </w:rPr>
        <w:t>nieodpłatne przekazanie/otrzymanie środków trwałych</w:t>
      </w:r>
      <w:r w:rsidR="004728D5" w:rsidRPr="00867DCA">
        <w:rPr>
          <w:rFonts w:ascii="Calibri" w:hAnsi="Calibri" w:cs="Calibri"/>
          <w:sz w:val="22"/>
          <w:szCs w:val="22"/>
        </w:rPr>
        <w:t>, środków trwałych w budowie, wartości niematerialnych i prawnych</w:t>
      </w:r>
      <w:r w:rsidRPr="00867DCA">
        <w:rPr>
          <w:rFonts w:ascii="Calibri" w:hAnsi="Calibri" w:cs="Calibri"/>
          <w:sz w:val="22"/>
          <w:szCs w:val="22"/>
        </w:rPr>
        <w:t xml:space="preserve"> między jednostkami,</w:t>
      </w:r>
    </w:p>
    <w:p w14:paraId="384D7F40" w14:textId="2C83C067" w:rsidR="00A03EB6" w:rsidRPr="00867DCA" w:rsidRDefault="00A03EB6" w:rsidP="003752B0">
      <w:pPr>
        <w:numPr>
          <w:ilvl w:val="3"/>
          <w:numId w:val="13"/>
        </w:numPr>
        <w:tabs>
          <w:tab w:val="clear" w:pos="397"/>
        </w:tabs>
        <w:spacing w:after="240" w:line="300" w:lineRule="auto"/>
        <w:ind w:left="1985" w:hanging="284"/>
        <w:contextualSpacing/>
        <w:rPr>
          <w:rFonts w:ascii="Calibri" w:hAnsi="Calibri" w:cs="Calibri"/>
          <w:sz w:val="22"/>
          <w:szCs w:val="22"/>
        </w:rPr>
      </w:pPr>
      <w:r w:rsidRPr="00867DCA">
        <w:rPr>
          <w:rFonts w:ascii="Calibri" w:hAnsi="Calibri" w:cs="Calibri"/>
          <w:sz w:val="22"/>
          <w:szCs w:val="22"/>
        </w:rPr>
        <w:t>aktywów przekazanych/otrzymanych w ramach centralnego zaopatrzenia między jednostkami.</w:t>
      </w:r>
    </w:p>
    <w:p w14:paraId="1DD49B63" w14:textId="77777777" w:rsidR="00DD3CFA" w:rsidRPr="00A1362B" w:rsidRDefault="00DD3CFA" w:rsidP="003A03F1">
      <w:pPr>
        <w:pStyle w:val="Nagwek3"/>
        <w:numPr>
          <w:ilvl w:val="0"/>
          <w:numId w:val="0"/>
        </w:numPr>
        <w:spacing w:before="240"/>
        <w:ind w:left="993"/>
        <w:rPr>
          <w:rFonts w:ascii="Calibri" w:hAnsi="Calibri" w:cs="Calibri"/>
          <w:sz w:val="22"/>
          <w:szCs w:val="22"/>
        </w:rPr>
      </w:pPr>
      <w:r w:rsidRPr="00A1362B">
        <w:rPr>
          <w:rFonts w:ascii="Calibri" w:hAnsi="Calibri" w:cs="Calibri"/>
          <w:sz w:val="22"/>
          <w:szCs w:val="22"/>
        </w:rPr>
        <w:t>Jednostka koryguje wszelkie wykryte błędy</w:t>
      </w:r>
      <w:r w:rsidRPr="00CC5BF5">
        <w:rPr>
          <w:rFonts w:ascii="Calibri" w:hAnsi="Calibri" w:cs="Calibri"/>
          <w:sz w:val="22"/>
          <w:szCs w:val="22"/>
        </w:rPr>
        <w:t xml:space="preserve"> </w:t>
      </w:r>
      <w:r w:rsidRPr="003A03F1">
        <w:rPr>
          <w:rFonts w:ascii="Calibri" w:hAnsi="Calibri" w:cs="Calibri"/>
          <w:b w:val="0"/>
          <w:sz w:val="22"/>
          <w:szCs w:val="22"/>
        </w:rPr>
        <w:t>bez względu na to, czy były popełnione w bieżącym roku obrotowym czy w poprzednich latach obrotowych.</w:t>
      </w:r>
      <w:r w:rsidRPr="00A1362B">
        <w:rPr>
          <w:rFonts w:ascii="Calibri" w:hAnsi="Calibri" w:cs="Calibri"/>
          <w:sz w:val="22"/>
          <w:szCs w:val="22"/>
        </w:rPr>
        <w:t xml:space="preserve"> </w:t>
      </w:r>
    </w:p>
    <w:p w14:paraId="51673319" w14:textId="77777777" w:rsidR="00867DCA" w:rsidRDefault="00DD3CFA" w:rsidP="003752B0">
      <w:pPr>
        <w:pStyle w:val="Akapitzlist"/>
        <w:numPr>
          <w:ilvl w:val="1"/>
          <w:numId w:val="21"/>
        </w:numPr>
        <w:spacing w:before="240" w:after="240" w:line="300" w:lineRule="auto"/>
        <w:ind w:left="1418" w:hanging="284"/>
        <w:contextualSpacing/>
        <w:rPr>
          <w:rFonts w:ascii="Calibri" w:hAnsi="Calibri" w:cs="Calibri"/>
          <w:sz w:val="22"/>
          <w:szCs w:val="22"/>
        </w:rPr>
      </w:pPr>
      <w:r w:rsidRPr="00867DCA">
        <w:rPr>
          <w:rFonts w:ascii="Calibri" w:hAnsi="Calibri" w:cs="Calibri"/>
          <w:sz w:val="22"/>
          <w:szCs w:val="22"/>
        </w:rPr>
        <w:t>Błędy popełnione w bieżącym roku obrotowym, wykryte przed sporządzeniem rocznego sprawozdania finansowego, koryguje się w księgach rachunkowych bieżącego roku obrotowego.</w:t>
      </w:r>
    </w:p>
    <w:p w14:paraId="6A849B37" w14:textId="77777777" w:rsidR="00867DCA" w:rsidRDefault="004145F8" w:rsidP="003752B0">
      <w:pPr>
        <w:pStyle w:val="Akapitzlist"/>
        <w:numPr>
          <w:ilvl w:val="1"/>
          <w:numId w:val="21"/>
        </w:numPr>
        <w:spacing w:after="240" w:line="300" w:lineRule="auto"/>
        <w:ind w:left="1418" w:hanging="284"/>
        <w:contextualSpacing/>
        <w:rPr>
          <w:rFonts w:ascii="Calibri" w:hAnsi="Calibri" w:cs="Calibri"/>
          <w:sz w:val="22"/>
          <w:szCs w:val="22"/>
        </w:rPr>
      </w:pPr>
      <w:r w:rsidRPr="00867DCA">
        <w:rPr>
          <w:rFonts w:ascii="Calibri" w:hAnsi="Calibri" w:cs="Calibri"/>
          <w:sz w:val="22"/>
          <w:szCs w:val="22"/>
        </w:rPr>
        <w:t xml:space="preserve">2) </w:t>
      </w:r>
      <w:r w:rsidR="00DD3CFA" w:rsidRPr="00867DCA">
        <w:rPr>
          <w:rFonts w:ascii="Calibri" w:hAnsi="Calibri" w:cs="Calibri"/>
          <w:sz w:val="22"/>
          <w:szCs w:val="22"/>
        </w:rPr>
        <w:t>Błędy popełnione w bieżącym roku obrotowym, wykryte po sporządzeniu rocznego sprawozdania finansowego, ale przed jego zatwierdzeniem, uznane za istotne, wymagają korekty w księgach rachunkowych bieżącego roku obrotowego i odpowiedniej zmiany rocznego sprawozdania finansowego. Skutki błędów uznane za nieistotne ujmuje się w księgach rachunkowych następnego roku obrotowego.</w:t>
      </w:r>
    </w:p>
    <w:p w14:paraId="59111C90" w14:textId="51E499E7" w:rsidR="00DD3CFA" w:rsidRPr="00867DCA" w:rsidRDefault="00DD3CFA" w:rsidP="003752B0">
      <w:pPr>
        <w:pStyle w:val="Akapitzlist"/>
        <w:numPr>
          <w:ilvl w:val="1"/>
          <w:numId w:val="21"/>
        </w:numPr>
        <w:spacing w:after="240" w:line="300" w:lineRule="auto"/>
        <w:ind w:left="1418" w:hanging="284"/>
        <w:contextualSpacing/>
        <w:rPr>
          <w:rFonts w:ascii="Calibri" w:hAnsi="Calibri" w:cs="Calibri"/>
          <w:sz w:val="22"/>
          <w:szCs w:val="22"/>
        </w:rPr>
      </w:pPr>
      <w:r w:rsidRPr="00867DCA">
        <w:rPr>
          <w:rFonts w:ascii="Calibri" w:hAnsi="Calibri" w:cs="Calibri"/>
          <w:sz w:val="22"/>
          <w:szCs w:val="22"/>
        </w:rPr>
        <w:t xml:space="preserve">Błędy popełnione w poprzednich latach obrotowych, zawarte w zatwierdzonych sprawozdaniach finansowych, wykryte w bieżącym roku obrotowym lub po jego zakończeniu, a przed zatwierdzeniem sprawozdania finansowego za ten rok, koryguje się w księgach rachunkowych bieżącego roku obrotowego. Przed ujęciem korekty w księgach rachunkowych, oceny wymaga, czy wpływ błędów na jakość zatwierdzonych sprawozdań finansowych był istotny, czy też nie.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00819797" w14:textId="77777777" w:rsidR="00DD3CFA" w:rsidRPr="00A1362B" w:rsidRDefault="00DD3CFA" w:rsidP="00BB64F7">
      <w:pPr>
        <w:pStyle w:val="Default"/>
        <w:spacing w:line="300" w:lineRule="auto"/>
        <w:ind w:left="1418"/>
        <w:contextualSpacing/>
        <w:rPr>
          <w:rFonts w:ascii="Calibri" w:hAnsi="Calibri" w:cs="Calibri"/>
          <w:color w:val="auto"/>
          <w:sz w:val="22"/>
          <w:szCs w:val="22"/>
        </w:rPr>
      </w:pPr>
      <w:r w:rsidRPr="00A1362B">
        <w:rPr>
          <w:rFonts w:ascii="Calibri" w:hAnsi="Calibri" w:cs="Calibri"/>
          <w:color w:val="auto"/>
          <w:sz w:val="22"/>
          <w:szCs w:val="22"/>
        </w:rPr>
        <w:t xml:space="preserve">Korekty błędu popełnionego w poprzednich latach obrotowych, uznanego za istotny: </w:t>
      </w:r>
    </w:p>
    <w:p w14:paraId="4E304634" w14:textId="77777777" w:rsidR="00BB64F7" w:rsidRDefault="00DD3CFA" w:rsidP="003752B0">
      <w:pPr>
        <w:pStyle w:val="ListParagraph1"/>
        <w:numPr>
          <w:ilvl w:val="2"/>
          <w:numId w:val="21"/>
        </w:numPr>
        <w:spacing w:after="0" w:line="300" w:lineRule="auto"/>
        <w:ind w:left="1985" w:hanging="283"/>
        <w:rPr>
          <w:rFonts w:ascii="Calibri" w:hAnsi="Calibri" w:cs="Calibri"/>
          <w:sz w:val="22"/>
          <w:lang w:val="pl-PL"/>
        </w:rPr>
      </w:pPr>
      <w:r w:rsidRPr="00BB64F7">
        <w:rPr>
          <w:rFonts w:ascii="Calibri" w:hAnsi="Calibri" w:cs="Calibri"/>
          <w:sz w:val="22"/>
          <w:lang w:val="pl-PL"/>
        </w:rPr>
        <w:t>ujmuje się w funduszu jednostki,</w:t>
      </w:r>
    </w:p>
    <w:p w14:paraId="6F936DB5" w14:textId="2D020851" w:rsidR="00DD3CFA" w:rsidRPr="00BB64F7" w:rsidRDefault="00DD3CFA" w:rsidP="003752B0">
      <w:pPr>
        <w:pStyle w:val="ListParagraph1"/>
        <w:numPr>
          <w:ilvl w:val="2"/>
          <w:numId w:val="21"/>
        </w:numPr>
        <w:spacing w:after="0" w:line="300" w:lineRule="auto"/>
        <w:ind w:left="1985" w:hanging="283"/>
        <w:rPr>
          <w:rFonts w:ascii="Calibri" w:hAnsi="Calibri" w:cs="Calibri"/>
          <w:sz w:val="22"/>
          <w:lang w:val="pl-PL"/>
        </w:rPr>
      </w:pPr>
      <w:r w:rsidRPr="00BB64F7">
        <w:rPr>
          <w:rFonts w:ascii="Calibri" w:hAnsi="Calibri" w:cs="Calibri"/>
          <w:sz w:val="22"/>
          <w:lang w:val="pl-PL"/>
        </w:rPr>
        <w:t>wykazuje się w odpowiedniej pozycji zestawienia zmian w funduszu jednostki.</w:t>
      </w:r>
    </w:p>
    <w:p w14:paraId="05E4A164" w14:textId="77777777" w:rsidR="00DD3CFA" w:rsidRPr="00A1362B" w:rsidRDefault="00DD3CFA" w:rsidP="00BB64F7">
      <w:pPr>
        <w:pStyle w:val="Default"/>
        <w:spacing w:line="300" w:lineRule="auto"/>
        <w:ind w:left="1418"/>
        <w:contextualSpacing/>
        <w:rPr>
          <w:rFonts w:ascii="Calibri" w:hAnsi="Calibri" w:cs="Calibri"/>
          <w:color w:val="auto"/>
          <w:sz w:val="22"/>
          <w:szCs w:val="22"/>
        </w:rPr>
      </w:pPr>
      <w:r w:rsidRPr="00A1362B">
        <w:rPr>
          <w:rFonts w:ascii="Calibri" w:hAnsi="Calibri" w:cs="Calibri"/>
          <w:color w:val="auto"/>
          <w:sz w:val="22"/>
          <w:szCs w:val="22"/>
        </w:rPr>
        <w:t xml:space="preserve">W dodatkowych informacjach i objaśnieniach ujawniane są następujące informacje dotyczące korekty błędów popełnionych w poprzednich latach obrotowych: </w:t>
      </w:r>
    </w:p>
    <w:p w14:paraId="2F102B75" w14:textId="77777777" w:rsidR="00DD3CFA" w:rsidRPr="00A1362B" w:rsidRDefault="00DD3CFA" w:rsidP="003752B0">
      <w:pPr>
        <w:pStyle w:val="ListParagraph1"/>
        <w:numPr>
          <w:ilvl w:val="2"/>
          <w:numId w:val="22"/>
        </w:numPr>
        <w:spacing w:after="0" w:line="300" w:lineRule="auto"/>
        <w:ind w:left="1985" w:hanging="283"/>
        <w:rPr>
          <w:rFonts w:ascii="Calibri" w:hAnsi="Calibri" w:cs="Calibri"/>
          <w:sz w:val="22"/>
          <w:lang w:val="pl-PL"/>
        </w:rPr>
      </w:pPr>
      <w:r w:rsidRPr="00A1362B">
        <w:rPr>
          <w:rFonts w:ascii="Calibri" w:hAnsi="Calibri" w:cs="Calibri"/>
          <w:sz w:val="22"/>
          <w:lang w:val="pl-PL"/>
        </w:rPr>
        <w:lastRenderedPageBreak/>
        <w:t>rodzaj błędu popełnionego w poprzednich latach,</w:t>
      </w:r>
    </w:p>
    <w:p w14:paraId="1A5FEED7" w14:textId="24B8546D" w:rsidR="00DD3CFA" w:rsidRPr="00A1362B" w:rsidRDefault="00DD3CFA" w:rsidP="003752B0">
      <w:pPr>
        <w:pStyle w:val="ListParagraph1"/>
        <w:numPr>
          <w:ilvl w:val="2"/>
          <w:numId w:val="22"/>
        </w:numPr>
        <w:spacing w:after="0" w:line="300" w:lineRule="auto"/>
        <w:ind w:left="1985" w:hanging="283"/>
        <w:rPr>
          <w:rFonts w:ascii="Calibri" w:hAnsi="Calibri" w:cs="Calibri"/>
          <w:sz w:val="22"/>
          <w:lang w:val="pl-PL"/>
        </w:rPr>
      </w:pPr>
      <w:r w:rsidRPr="00A1362B">
        <w:rPr>
          <w:rFonts w:ascii="Calibri" w:hAnsi="Calibri" w:cs="Calibri"/>
          <w:sz w:val="22"/>
          <w:lang w:val="pl-PL"/>
        </w:rPr>
        <w:t>kwotę korekty dotyczącej bieżącego roku obrotowego i każdej korekty dotyczącej lat poprzednich.</w:t>
      </w:r>
    </w:p>
    <w:p w14:paraId="5895E42B" w14:textId="77777777" w:rsidR="00DD3CFA" w:rsidRPr="003A03F1" w:rsidRDefault="00DD3CFA" w:rsidP="003A03F1">
      <w:pPr>
        <w:pStyle w:val="Nagwek3"/>
        <w:numPr>
          <w:ilvl w:val="0"/>
          <w:numId w:val="0"/>
        </w:numPr>
        <w:tabs>
          <w:tab w:val="clear" w:pos="709"/>
        </w:tabs>
        <w:spacing w:before="240"/>
        <w:ind w:left="993"/>
        <w:rPr>
          <w:rFonts w:asciiTheme="minorHAnsi" w:hAnsiTheme="minorHAnsi" w:cstheme="minorHAnsi"/>
          <w:b w:val="0"/>
          <w:sz w:val="22"/>
          <w:szCs w:val="22"/>
        </w:rPr>
      </w:pPr>
      <w:r w:rsidRPr="003A03F1">
        <w:rPr>
          <w:rFonts w:asciiTheme="minorHAnsi" w:hAnsiTheme="minorHAnsi" w:cstheme="minorHAnsi"/>
          <w:sz w:val="22"/>
          <w:szCs w:val="22"/>
        </w:rPr>
        <w:t xml:space="preserve">W przypadku zakłócenia porównywalności danych sprawozdawczych i porównawczych </w:t>
      </w:r>
      <w:r w:rsidRPr="003A03F1">
        <w:rPr>
          <w:rFonts w:asciiTheme="minorHAnsi" w:hAnsiTheme="minorHAnsi" w:cstheme="minorHAnsi"/>
          <w:b w:val="0"/>
          <w:sz w:val="22"/>
          <w:szCs w:val="22"/>
        </w:rPr>
        <w:t>w wyniku zmian przyjętych zasad (polityki) rachunkowości lub korekt błędów popełnionych w poprzednich latach obrotowych, dla zapewnienia porównywalności retrospektywnie przekształcone dane porównawcze wykazuje się uzupełniająco w odrębnej tabeli dla bilansu, w rachunku zysków i strat oraz w zestawieniu zmian funduszu jednostki.</w:t>
      </w:r>
    </w:p>
    <w:p w14:paraId="2729D57B" w14:textId="77777777" w:rsidR="00765D4F" w:rsidRPr="00A1362B" w:rsidRDefault="007A35A7" w:rsidP="003752B0">
      <w:pPr>
        <w:pStyle w:val="Nagwek2"/>
        <w:widowControl w:val="0"/>
        <w:numPr>
          <w:ilvl w:val="0"/>
          <w:numId w:val="21"/>
        </w:numPr>
        <w:tabs>
          <w:tab w:val="left" w:pos="567"/>
        </w:tabs>
        <w:adjustRightInd w:val="0"/>
        <w:spacing w:before="240" w:after="240" w:line="300" w:lineRule="auto"/>
        <w:ind w:left="927"/>
        <w:contextualSpacing/>
        <w:textAlignment w:val="baseline"/>
        <w:rPr>
          <w:rFonts w:ascii="Calibri" w:hAnsi="Calibri" w:cs="Calibri"/>
          <w:sz w:val="22"/>
          <w:szCs w:val="22"/>
          <w:lang w:val="pl-PL"/>
        </w:rPr>
      </w:pPr>
      <w:r w:rsidRPr="00A1362B">
        <w:rPr>
          <w:rFonts w:ascii="Calibri" w:hAnsi="Calibri" w:cs="Calibri"/>
          <w:sz w:val="22"/>
          <w:szCs w:val="22"/>
          <w:lang w:val="pl-PL"/>
        </w:rPr>
        <w:t>Inne informacje</w:t>
      </w:r>
    </w:p>
    <w:sectPr w:rsidR="00765D4F" w:rsidRPr="00A1362B" w:rsidSect="005F1C24">
      <w:headerReference w:type="default" r:id="rId9"/>
      <w:footerReference w:type="default" r:id="rId10"/>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E6E8D" w14:textId="77777777" w:rsidR="00043CD0" w:rsidRDefault="00043CD0">
      <w:r>
        <w:separator/>
      </w:r>
    </w:p>
  </w:endnote>
  <w:endnote w:type="continuationSeparator" w:id="0">
    <w:p w14:paraId="192057D5" w14:textId="77777777" w:rsidR="00043CD0" w:rsidRDefault="0004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1439D" w14:textId="77777777" w:rsidR="005F1C24" w:rsidRDefault="005F1C24">
    <w:pPr>
      <w:pStyle w:val="Stopka"/>
      <w:jc w:val="right"/>
    </w:pPr>
  </w:p>
  <w:p w14:paraId="3F1BD40C" w14:textId="77777777" w:rsidR="005F1C24" w:rsidRPr="00CF0979" w:rsidRDefault="00DC42D9">
    <w:pPr>
      <w:pStyle w:val="Stopka"/>
      <w:rPr>
        <w:rFonts w:ascii="Calibri" w:hAnsi="Calibri" w:cs="Calibri"/>
        <w:sz w:val="22"/>
        <w:szCs w:val="22"/>
        <w:lang w:val="pl-PL"/>
      </w:rPr>
    </w:pPr>
    <w:r w:rsidRPr="00CF0979">
      <w:rPr>
        <w:rFonts w:ascii="Calibri" w:hAnsi="Calibri" w:cs="Calibri"/>
        <w:sz w:val="22"/>
        <w:szCs w:val="22"/>
        <w:lang w:val="pl-PL"/>
      </w:rPr>
      <w:t xml:space="preserve">Wprowadzenie oraz dodatkowe informacje i </w:t>
    </w:r>
    <w:r w:rsidR="001E50C6" w:rsidRPr="00CF0979">
      <w:rPr>
        <w:rFonts w:ascii="Calibri" w:hAnsi="Calibri" w:cs="Calibri"/>
        <w:sz w:val="22"/>
        <w:szCs w:val="22"/>
        <w:lang w:val="pl-PL"/>
      </w:rPr>
      <w:t>objaśnienia stanowią integralną</w:t>
    </w:r>
    <w:r w:rsidRPr="00CF0979">
      <w:rPr>
        <w:rFonts w:ascii="Calibri" w:hAnsi="Calibri" w:cs="Calibri"/>
        <w:sz w:val="22"/>
        <w:szCs w:val="22"/>
        <w:lang w:val="pl-PL"/>
      </w:rPr>
      <w:t xml:space="preserve"> część sprawozdania finansowego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1E9C3" w14:textId="77777777" w:rsidR="00043CD0" w:rsidRDefault="00043CD0">
      <w:r>
        <w:separator/>
      </w:r>
    </w:p>
  </w:footnote>
  <w:footnote w:type="continuationSeparator" w:id="0">
    <w:p w14:paraId="638F8214" w14:textId="77777777" w:rsidR="00043CD0" w:rsidRDefault="00043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AD26" w14:textId="15F7C6EF" w:rsidR="00A905BD" w:rsidRPr="00A841BB" w:rsidRDefault="000D7765" w:rsidP="009D1313">
    <w:pPr>
      <w:pStyle w:val="Nagwek"/>
      <w:tabs>
        <w:tab w:val="clear" w:pos="8306"/>
      </w:tabs>
      <w:ind w:right="360"/>
      <w:rPr>
        <w:rFonts w:ascii="Calibri" w:hAnsi="Calibri" w:cs="Calibri"/>
        <w:b/>
        <w:sz w:val="28"/>
        <w:lang w:val="pl-PL"/>
      </w:rPr>
    </w:pPr>
    <w:r>
      <w:rPr>
        <w:rFonts w:ascii="Calibri" w:hAnsi="Calibri" w:cs="Calibri"/>
        <w:b/>
        <w:color w:val="000000"/>
        <w:sz w:val="28"/>
        <w:lang w:val="pl-PL"/>
      </w:rPr>
      <w:t>U</w:t>
    </w:r>
    <w:r w:rsidR="00682E4C">
      <w:rPr>
        <w:rFonts w:ascii="Calibri" w:hAnsi="Calibri" w:cs="Calibri"/>
        <w:b/>
        <w:color w:val="000000"/>
        <w:sz w:val="28"/>
        <w:lang w:val="pl-PL"/>
      </w:rPr>
      <w:t>rząd</w:t>
    </w:r>
    <w:r>
      <w:rPr>
        <w:rFonts w:ascii="Calibri" w:hAnsi="Calibri" w:cs="Calibri"/>
        <w:b/>
        <w:color w:val="000000"/>
        <w:sz w:val="28"/>
        <w:lang w:val="pl-PL"/>
      </w:rPr>
      <w:t xml:space="preserve"> D</w:t>
    </w:r>
    <w:r w:rsidR="00682E4C">
      <w:rPr>
        <w:rFonts w:ascii="Calibri" w:hAnsi="Calibri" w:cs="Calibri"/>
        <w:b/>
        <w:color w:val="000000"/>
        <w:sz w:val="28"/>
        <w:lang w:val="pl-PL"/>
      </w:rPr>
      <w:t>zielnicy</w:t>
    </w:r>
    <w:r>
      <w:rPr>
        <w:rFonts w:ascii="Calibri" w:hAnsi="Calibri" w:cs="Calibri"/>
        <w:b/>
        <w:color w:val="000000"/>
        <w:sz w:val="28"/>
        <w:lang w:val="pl-PL"/>
      </w:rPr>
      <w:t xml:space="preserve"> M</w:t>
    </w:r>
    <w:r w:rsidR="00682E4C">
      <w:rPr>
        <w:rFonts w:ascii="Calibri" w:hAnsi="Calibri" w:cs="Calibri"/>
        <w:b/>
        <w:color w:val="000000"/>
        <w:sz w:val="28"/>
        <w:lang w:val="pl-PL"/>
      </w:rPr>
      <w:t>okotów</w:t>
    </w:r>
  </w:p>
  <w:p w14:paraId="065E7C7A" w14:textId="6FA45C5F" w:rsidR="00A905BD" w:rsidRPr="00A841BB" w:rsidRDefault="001C1428" w:rsidP="009D1313">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Informacja dodatkowa do sprawozdania</w:t>
    </w:r>
    <w:r w:rsidR="00A905BD" w:rsidRPr="00A841BB">
      <w:rPr>
        <w:rFonts w:ascii="Calibri" w:hAnsi="Calibri" w:cs="Calibri"/>
        <w:b/>
        <w:sz w:val="24"/>
        <w:lang w:val="pl-PL"/>
      </w:rPr>
      <w:t xml:space="preserve"> finansowe</w:t>
    </w:r>
    <w:r w:rsidRPr="00A841BB">
      <w:rPr>
        <w:rFonts w:ascii="Calibri" w:hAnsi="Calibri" w:cs="Calibri"/>
        <w:b/>
        <w:sz w:val="24"/>
        <w:lang w:val="pl-PL"/>
      </w:rPr>
      <w:t>go</w:t>
    </w:r>
    <w:r w:rsidR="00A905BD" w:rsidRPr="00A841BB">
      <w:rPr>
        <w:rFonts w:ascii="Calibri" w:hAnsi="Calibri" w:cs="Calibri"/>
        <w:b/>
        <w:sz w:val="24"/>
        <w:lang w:val="pl-PL"/>
      </w:rPr>
      <w:t xml:space="preserve"> za rok obrotowy zakończony 31</w:t>
    </w:r>
    <w:r w:rsidR="00013FD1" w:rsidRPr="00A841BB">
      <w:rPr>
        <w:rFonts w:ascii="Calibri" w:hAnsi="Calibri" w:cs="Calibri"/>
        <w:b/>
        <w:sz w:val="24"/>
        <w:lang w:val="pl-PL"/>
      </w:rPr>
      <w:t> </w:t>
    </w:r>
    <w:r w:rsidR="00D71F0D" w:rsidRPr="00A841BB">
      <w:rPr>
        <w:rFonts w:ascii="Calibri" w:hAnsi="Calibri" w:cs="Calibri"/>
        <w:b/>
        <w:sz w:val="24"/>
        <w:lang w:val="pl-PL"/>
      </w:rPr>
      <w:t>grudnia 20</w:t>
    </w:r>
    <w:r w:rsidR="000D7765">
      <w:rPr>
        <w:rFonts w:ascii="Calibri" w:hAnsi="Calibri" w:cs="Calibri"/>
        <w:b/>
        <w:sz w:val="24"/>
        <w:lang w:val="pl-PL"/>
      </w:rPr>
      <w:t>2</w:t>
    </w:r>
    <w:r w:rsidR="00EB32B0">
      <w:rPr>
        <w:rFonts w:ascii="Calibri" w:hAnsi="Calibri" w:cs="Calibri"/>
        <w:b/>
        <w:sz w:val="24"/>
        <w:lang w:val="pl-PL"/>
      </w:rPr>
      <w:t>3</w:t>
    </w:r>
    <w:r w:rsidR="000D7765">
      <w:rPr>
        <w:rFonts w:ascii="Calibri" w:hAnsi="Calibri" w:cs="Calibri"/>
        <w:b/>
        <w:sz w:val="24"/>
        <w:lang w:val="pl-PL"/>
      </w:rPr>
      <w:t xml:space="preserve"> </w:t>
    </w:r>
    <w:r w:rsidR="00A905BD" w:rsidRPr="00A841BB">
      <w:rPr>
        <w:rFonts w:ascii="Calibri" w:hAnsi="Calibri" w:cs="Calibri"/>
        <w:b/>
        <w:sz w:val="24"/>
        <w:lang w:val="pl-PL"/>
      </w:rPr>
      <w:t>r.</w:t>
    </w:r>
  </w:p>
  <w:p w14:paraId="71D9F67C" w14:textId="77777777" w:rsidR="00CF5F24" w:rsidRPr="00A841BB" w:rsidRDefault="00CF5F24" w:rsidP="00AC5DA4">
    <w:pPr>
      <w:pStyle w:val="Nagwek"/>
      <w:numPr>
        <w:ilvl w:val="0"/>
        <w:numId w:val="6"/>
      </w:numPr>
      <w:pBdr>
        <w:bottom w:val="single" w:sz="6" w:space="1" w:color="auto"/>
      </w:pBdr>
      <w:tabs>
        <w:tab w:val="clear" w:pos="4153"/>
        <w:tab w:val="clear" w:pos="8306"/>
        <w:tab w:val="center" w:pos="284"/>
      </w:tabs>
      <w:ind w:left="426" w:right="45" w:hanging="426"/>
      <w:rPr>
        <w:rFonts w:ascii="Calibri" w:hAnsi="Calibri" w:cs="Calibri"/>
        <w:b/>
        <w:sz w:val="24"/>
        <w:lang w:val="pl-PL"/>
      </w:rPr>
    </w:pPr>
    <w:r w:rsidRPr="00A841BB">
      <w:rPr>
        <w:rFonts w:ascii="Calibri" w:hAnsi="Calibri" w:cs="Calibri"/>
        <w:b/>
        <w:sz w:val="24"/>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lowerLetter"/>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
    <w:nsid w:val="0000003C"/>
    <w:multiLevelType w:val="multilevel"/>
    <w:tmpl w:val="0000003C"/>
    <w:name w:val="WW8Num60"/>
    <w:lvl w:ilvl="0">
      <w:start w:val="1"/>
      <w:numFmt w:val="decimal"/>
      <w:lvlText w:val="%1."/>
      <w:lvlJc w:val="left"/>
      <w:pPr>
        <w:tabs>
          <w:tab w:val="num" w:pos="360"/>
        </w:tabs>
        <w:ind w:left="360" w:hanging="360"/>
      </w:pPr>
    </w:lvl>
    <w:lvl w:ilvl="1">
      <w:start w:val="6"/>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B036B0"/>
    <w:multiLevelType w:val="multilevel"/>
    <w:tmpl w:val="A5ECC486"/>
    <w:lvl w:ilvl="0">
      <w:start w:val="1"/>
      <w:numFmt w:val="decimal"/>
      <w:lvlText w:val="%1."/>
      <w:lvlJc w:val="left"/>
      <w:pPr>
        <w:tabs>
          <w:tab w:val="num" w:pos="720"/>
        </w:tabs>
        <w:ind w:left="720" w:hanging="360"/>
      </w:pPr>
      <w:rPr>
        <w:rFonts w:cs="Times New Roman" w:hint="default"/>
        <w:b/>
        <w:sz w:val="20"/>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075ED"/>
    <w:multiLevelType w:val="hybridMultilevel"/>
    <w:tmpl w:val="A37C5994"/>
    <w:lvl w:ilvl="0" w:tplc="18DAE1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CC1E45"/>
    <w:multiLevelType w:val="multilevel"/>
    <w:tmpl w:val="E83A8FBE"/>
    <w:lvl w:ilvl="0">
      <w:start w:val="1"/>
      <w:numFmt w:val="lowerLetter"/>
      <w:lvlText w:val="%1)"/>
      <w:lvlJc w:val="left"/>
      <w:pPr>
        <w:tabs>
          <w:tab w:val="num" w:pos="720"/>
        </w:tabs>
        <w:ind w:left="720" w:hanging="360"/>
      </w:pPr>
      <w:rPr>
        <w:rFonts w:hint="default"/>
        <w:b w:val="0"/>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C914D5C"/>
    <w:multiLevelType w:val="hybridMultilevel"/>
    <w:tmpl w:val="73829F3A"/>
    <w:lvl w:ilvl="0" w:tplc="F26A8964">
      <w:start w:val="1"/>
      <w:numFmt w:val="decimal"/>
      <w:lvlText w:val="%1)"/>
      <w:lvlJc w:val="left"/>
      <w:pPr>
        <w:tabs>
          <w:tab w:val="num" w:pos="1040"/>
        </w:tabs>
        <w:ind w:left="984" w:hanging="454"/>
      </w:pPr>
      <w:rPr>
        <w:b w:val="0"/>
        <w:i w:val="0"/>
        <w:sz w:val="22"/>
        <w:szCs w:val="22"/>
      </w:rPr>
    </w:lvl>
    <w:lvl w:ilvl="1" w:tplc="20A6F58A">
      <w:start w:val="7"/>
      <w:numFmt w:val="decimal"/>
      <w:lvlText w:val="%2."/>
      <w:lvlJc w:val="left"/>
      <w:pPr>
        <w:tabs>
          <w:tab w:val="num" w:pos="624"/>
        </w:tabs>
        <w:ind w:left="680" w:hanging="510"/>
      </w:pPr>
      <w:rPr>
        <w:b w:val="0"/>
        <w:i w:val="0"/>
        <w:sz w:val="22"/>
        <w:szCs w:val="22"/>
      </w:rPr>
    </w:lvl>
    <w:lvl w:ilvl="2" w:tplc="B31EF96E">
      <w:start w:val="1"/>
      <w:numFmt w:val="bullet"/>
      <w:lvlText w:val="­"/>
      <w:lvlJc w:val="left"/>
      <w:pPr>
        <w:tabs>
          <w:tab w:val="num" w:pos="2737"/>
        </w:tabs>
        <w:ind w:left="2680" w:hanging="340"/>
      </w:pPr>
      <w:rPr>
        <w:rFonts w:ascii="Arial Unicode MS" w:eastAsia="Arial Unicode MS" w:hAnsi="Arial Unicode MS" w:cs="Times New Roman" w:hint="eastAsia"/>
        <w:b w:val="0"/>
        <w:i w:val="0"/>
        <w:color w:val="auto"/>
        <w:sz w:val="24"/>
        <w:szCs w:val="24"/>
      </w:rPr>
    </w:lvl>
    <w:lvl w:ilvl="3" w:tplc="01C07C06">
      <w:start w:val="1"/>
      <w:numFmt w:val="lowerLetter"/>
      <w:lvlText w:val="%4)"/>
      <w:lvlJc w:val="left"/>
      <w:pPr>
        <w:tabs>
          <w:tab w:val="num" w:pos="397"/>
        </w:tabs>
        <w:ind w:left="397" w:hanging="397"/>
      </w:pPr>
      <w:rPr>
        <w:rFonts w:ascii="Calibri" w:hAnsi="Calibri" w:cs="Calibri" w:hint="default"/>
        <w:b w:val="0"/>
        <w:i w:val="0"/>
        <w:sz w:val="22"/>
        <w:szCs w:val="22"/>
      </w:r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6">
    <w:nsid w:val="0D872E34"/>
    <w:multiLevelType w:val="multilevel"/>
    <w:tmpl w:val="49B61B8C"/>
    <w:lvl w:ilvl="0">
      <w:start w:val="1"/>
      <w:numFmt w:val="lowerLetter"/>
      <w:lvlText w:val="%1)"/>
      <w:lvlJc w:val="left"/>
      <w:pPr>
        <w:tabs>
          <w:tab w:val="num" w:pos="720"/>
        </w:tabs>
        <w:ind w:left="720" w:hanging="360"/>
      </w:pPr>
      <w:rPr>
        <w:rFonts w:hint="default"/>
        <w:b w:val="0"/>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207509A"/>
    <w:multiLevelType w:val="hybridMultilevel"/>
    <w:tmpl w:val="E4A2CBE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nsid w:val="24C841A1"/>
    <w:multiLevelType w:val="multilevel"/>
    <w:tmpl w:val="59C0A76C"/>
    <w:lvl w:ilvl="0">
      <w:start w:val="4"/>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1929A7"/>
    <w:multiLevelType w:val="hybridMultilevel"/>
    <w:tmpl w:val="33C6C266"/>
    <w:lvl w:ilvl="0" w:tplc="23A014E8">
      <w:start w:val="1"/>
      <w:numFmt w:val="lowerLetter"/>
      <w:lvlText w:val="%1)"/>
      <w:lvlJc w:val="left"/>
      <w:pPr>
        <w:tabs>
          <w:tab w:val="num" w:pos="1354"/>
        </w:tabs>
        <w:ind w:left="1467" w:hanging="510"/>
      </w:pPr>
      <w:rPr>
        <w:rFonts w:ascii="Times New Roman" w:hAnsi="Times New Roman" w:cs="Times New Roman" w:hint="default"/>
        <w:b w:val="0"/>
        <w:i w:val="0"/>
      </w:rPr>
    </w:lvl>
    <w:lvl w:ilvl="1" w:tplc="C38680F0">
      <w:start w:val="1"/>
      <w:numFmt w:val="lowerLetter"/>
      <w:lvlText w:val="%2)"/>
      <w:lvlJc w:val="left"/>
      <w:pPr>
        <w:tabs>
          <w:tab w:val="num" w:pos="454"/>
        </w:tabs>
        <w:ind w:left="454" w:hanging="397"/>
      </w:pPr>
      <w:rPr>
        <w:rFonts w:ascii="Times New (W1)" w:hAnsi="Times New (W1)" w:hint="default"/>
        <w:b w:val="0"/>
        <w:i w:val="0"/>
      </w:rPr>
    </w:lvl>
    <w:lvl w:ilvl="2" w:tplc="D5D880FE">
      <w:start w:val="45"/>
      <w:numFmt w:val="decimal"/>
      <w:lvlText w:val="%3"/>
      <w:lvlJc w:val="left"/>
      <w:pPr>
        <w:tabs>
          <w:tab w:val="num" w:pos="567"/>
        </w:tabs>
        <w:ind w:left="567" w:hanging="454"/>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AAF3589"/>
    <w:multiLevelType w:val="multilevel"/>
    <w:tmpl w:val="59C0A76C"/>
    <w:lvl w:ilvl="0">
      <w:start w:val="4"/>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6619BF"/>
    <w:multiLevelType w:val="hybridMultilevel"/>
    <w:tmpl w:val="C1F43254"/>
    <w:lvl w:ilvl="0" w:tplc="8C14691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2">
    <w:nsid w:val="33AF106F"/>
    <w:multiLevelType w:val="hybridMultilevel"/>
    <w:tmpl w:val="5DF298FA"/>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418C474E"/>
    <w:multiLevelType w:val="hybridMultilevel"/>
    <w:tmpl w:val="28DE52A4"/>
    <w:lvl w:ilvl="0" w:tplc="5A2E0CD6">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15">
    <w:nsid w:val="45AC189D"/>
    <w:multiLevelType w:val="multilevel"/>
    <w:tmpl w:val="5F907282"/>
    <w:lvl w:ilvl="0">
      <w:start w:val="1"/>
      <w:numFmt w:val="upperRoman"/>
      <w:lvlText w:val="%1."/>
      <w:lvlJc w:val="right"/>
      <w:pPr>
        <w:ind w:left="720" w:hanging="360"/>
      </w:pPr>
    </w:lvl>
    <w:lvl w:ilvl="1">
      <w:start w:val="1"/>
      <w:numFmt w:val="decimal"/>
      <w:isLgl/>
      <w:lvlText w:val="%1.%2"/>
      <w:lvlJc w:val="left"/>
      <w:pPr>
        <w:ind w:left="1495" w:hanging="360"/>
      </w:pPr>
      <w:rPr>
        <w:rFonts w:hint="default"/>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6">
    <w:nsid w:val="49F04314"/>
    <w:multiLevelType w:val="multilevel"/>
    <w:tmpl w:val="59C0A76C"/>
    <w:lvl w:ilvl="0">
      <w:start w:val="4"/>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B0F4580"/>
    <w:multiLevelType w:val="hybridMultilevel"/>
    <w:tmpl w:val="BC28D84C"/>
    <w:lvl w:ilvl="0" w:tplc="936ADC08">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nsid w:val="4D0D40E0"/>
    <w:multiLevelType w:val="hybridMultilevel"/>
    <w:tmpl w:val="A5623E9A"/>
    <w:lvl w:ilvl="0" w:tplc="21FE675C">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9">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1">
    <w:nsid w:val="5F3B2A1F"/>
    <w:multiLevelType w:val="hybridMultilevel"/>
    <w:tmpl w:val="33ACDA80"/>
    <w:lvl w:ilvl="0" w:tplc="5A2E0CD6">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2">
    <w:nsid w:val="5FAC08C8"/>
    <w:multiLevelType w:val="hybridMultilevel"/>
    <w:tmpl w:val="BC28D84C"/>
    <w:lvl w:ilvl="0" w:tplc="936ADC08">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65425778"/>
    <w:multiLevelType w:val="multilevel"/>
    <w:tmpl w:val="49B61B8C"/>
    <w:lvl w:ilvl="0">
      <w:start w:val="1"/>
      <w:numFmt w:val="lowerLetter"/>
      <w:lvlText w:val="%1)"/>
      <w:lvlJc w:val="left"/>
      <w:pPr>
        <w:tabs>
          <w:tab w:val="num" w:pos="720"/>
        </w:tabs>
        <w:ind w:left="720" w:hanging="360"/>
      </w:pPr>
      <w:rPr>
        <w:rFonts w:hint="default"/>
        <w:b w:val="0"/>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BDC1418"/>
    <w:multiLevelType w:val="hybridMultilevel"/>
    <w:tmpl w:val="BC28D84C"/>
    <w:lvl w:ilvl="0" w:tplc="936ADC08">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5">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26">
    <w:nsid w:val="73DF08A8"/>
    <w:multiLevelType w:val="hybridMultilevel"/>
    <w:tmpl w:val="6A4E9680"/>
    <w:lvl w:ilvl="0" w:tplc="2D927F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006604"/>
    <w:multiLevelType w:val="hybridMultilevel"/>
    <w:tmpl w:val="D144BAEE"/>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28">
    <w:nsid w:val="7C7A3524"/>
    <w:multiLevelType w:val="multilevel"/>
    <w:tmpl w:val="59C0A76C"/>
    <w:lvl w:ilvl="0">
      <w:start w:val="4"/>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3"/>
  </w:num>
  <w:num w:numId="4">
    <w:abstractNumId w:val="2"/>
  </w:num>
  <w:num w:numId="5">
    <w:abstractNumId w:val="15"/>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2"/>
  </w:num>
  <w:num w:numId="16">
    <w:abstractNumId w:val="7"/>
  </w:num>
  <w:num w:numId="17">
    <w:abstractNumId w:val="10"/>
  </w:num>
  <w:num w:numId="18">
    <w:abstractNumId w:val="17"/>
  </w:num>
  <w:num w:numId="19">
    <w:abstractNumId w:val="22"/>
  </w:num>
  <w:num w:numId="20">
    <w:abstractNumId w:val="28"/>
  </w:num>
  <w:num w:numId="21">
    <w:abstractNumId w:val="8"/>
  </w:num>
  <w:num w:numId="22">
    <w:abstractNumId w:val="16"/>
  </w:num>
  <w:num w:numId="23">
    <w:abstractNumId w:val="23"/>
  </w:num>
  <w:num w:numId="24">
    <w:abstractNumId w:val="6"/>
  </w:num>
  <w:num w:numId="25">
    <w:abstractNumId w:val="4"/>
  </w:num>
  <w:num w:numId="26">
    <w:abstractNumId w:val="3"/>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CD0"/>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865"/>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C"/>
    <w:rsid w:val="000D12AE"/>
    <w:rsid w:val="000D26CF"/>
    <w:rsid w:val="000D2ECF"/>
    <w:rsid w:val="000D2EFF"/>
    <w:rsid w:val="000D3C34"/>
    <w:rsid w:val="000D4D20"/>
    <w:rsid w:val="000D571D"/>
    <w:rsid w:val="000D5FAA"/>
    <w:rsid w:val="000D68FB"/>
    <w:rsid w:val="000D6B7C"/>
    <w:rsid w:val="000D7765"/>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588"/>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3F22"/>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39CF"/>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04"/>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37E"/>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3D08"/>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5DF"/>
    <w:rsid w:val="00372921"/>
    <w:rsid w:val="00372C06"/>
    <w:rsid w:val="003730DD"/>
    <w:rsid w:val="00373EED"/>
    <w:rsid w:val="00373EF5"/>
    <w:rsid w:val="003741A7"/>
    <w:rsid w:val="00374231"/>
    <w:rsid w:val="003752B0"/>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3F1"/>
    <w:rsid w:val="003A050B"/>
    <w:rsid w:val="003A0813"/>
    <w:rsid w:val="003A0B51"/>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195E"/>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5F8"/>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D0B"/>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A62"/>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4C3"/>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75F"/>
    <w:rsid w:val="00470C13"/>
    <w:rsid w:val="00470D84"/>
    <w:rsid w:val="00471353"/>
    <w:rsid w:val="0047270E"/>
    <w:rsid w:val="004728D5"/>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0929"/>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35B"/>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446"/>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89"/>
    <w:rsid w:val="004E1EE5"/>
    <w:rsid w:val="004E2895"/>
    <w:rsid w:val="004E2961"/>
    <w:rsid w:val="004E2FC2"/>
    <w:rsid w:val="004E31CB"/>
    <w:rsid w:val="004E3405"/>
    <w:rsid w:val="004E3AED"/>
    <w:rsid w:val="004E3E1A"/>
    <w:rsid w:val="004E4848"/>
    <w:rsid w:val="004E48DE"/>
    <w:rsid w:val="004E4D92"/>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207"/>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1FF8"/>
    <w:rsid w:val="005B2CD1"/>
    <w:rsid w:val="005B37D7"/>
    <w:rsid w:val="005B392A"/>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1CD2"/>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A53"/>
    <w:rsid w:val="00641CB5"/>
    <w:rsid w:val="00641FCB"/>
    <w:rsid w:val="0064231C"/>
    <w:rsid w:val="00642E64"/>
    <w:rsid w:val="00643CF3"/>
    <w:rsid w:val="00643DCA"/>
    <w:rsid w:val="00643FFB"/>
    <w:rsid w:val="00644686"/>
    <w:rsid w:val="00644BCE"/>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29B9"/>
    <w:rsid w:val="00682E4C"/>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192"/>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B0"/>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CCD"/>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D7A8B"/>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7F9"/>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400"/>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6FA"/>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2EAC"/>
    <w:rsid w:val="007A35A7"/>
    <w:rsid w:val="007A43D5"/>
    <w:rsid w:val="007A46B4"/>
    <w:rsid w:val="007A4ACA"/>
    <w:rsid w:val="007A53EB"/>
    <w:rsid w:val="007A601E"/>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2B17"/>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4A9"/>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67DCA"/>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3C40"/>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241"/>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B1D"/>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4BB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071"/>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4F65"/>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BB0"/>
    <w:rsid w:val="00934C41"/>
    <w:rsid w:val="00934D2A"/>
    <w:rsid w:val="00934D54"/>
    <w:rsid w:val="00935542"/>
    <w:rsid w:val="00935BB0"/>
    <w:rsid w:val="00935F15"/>
    <w:rsid w:val="00935FA0"/>
    <w:rsid w:val="0093624F"/>
    <w:rsid w:val="00936CAA"/>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B2A"/>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34D"/>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58A8"/>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3AED"/>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3EB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62B"/>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6CF7"/>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5DA4"/>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2C09"/>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AEE"/>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6642"/>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1F71"/>
    <w:rsid w:val="00B329FD"/>
    <w:rsid w:val="00B32B8F"/>
    <w:rsid w:val="00B32E92"/>
    <w:rsid w:val="00B33F2A"/>
    <w:rsid w:val="00B3406C"/>
    <w:rsid w:val="00B34225"/>
    <w:rsid w:val="00B34975"/>
    <w:rsid w:val="00B35212"/>
    <w:rsid w:val="00B353E6"/>
    <w:rsid w:val="00B35809"/>
    <w:rsid w:val="00B35D45"/>
    <w:rsid w:val="00B35DAA"/>
    <w:rsid w:val="00B35F10"/>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4F7"/>
    <w:rsid w:val="00BB6863"/>
    <w:rsid w:val="00BB6BF9"/>
    <w:rsid w:val="00BC0517"/>
    <w:rsid w:val="00BC0CC1"/>
    <w:rsid w:val="00BC0F52"/>
    <w:rsid w:val="00BC1304"/>
    <w:rsid w:val="00BC1511"/>
    <w:rsid w:val="00BC151C"/>
    <w:rsid w:val="00BC190F"/>
    <w:rsid w:val="00BC202E"/>
    <w:rsid w:val="00BC2281"/>
    <w:rsid w:val="00BC23B4"/>
    <w:rsid w:val="00BC27D1"/>
    <w:rsid w:val="00BC2A85"/>
    <w:rsid w:val="00BC2B57"/>
    <w:rsid w:val="00BC2C10"/>
    <w:rsid w:val="00BC327B"/>
    <w:rsid w:val="00BC3297"/>
    <w:rsid w:val="00BC346B"/>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545"/>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77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228"/>
    <w:rsid w:val="00C456DB"/>
    <w:rsid w:val="00C4573F"/>
    <w:rsid w:val="00C45BF7"/>
    <w:rsid w:val="00C45DBB"/>
    <w:rsid w:val="00C45F3E"/>
    <w:rsid w:val="00C463E4"/>
    <w:rsid w:val="00C46916"/>
    <w:rsid w:val="00C4718C"/>
    <w:rsid w:val="00C47262"/>
    <w:rsid w:val="00C472FF"/>
    <w:rsid w:val="00C47D04"/>
    <w:rsid w:val="00C47FAD"/>
    <w:rsid w:val="00C50696"/>
    <w:rsid w:val="00C50A65"/>
    <w:rsid w:val="00C514F1"/>
    <w:rsid w:val="00C5275B"/>
    <w:rsid w:val="00C52DD5"/>
    <w:rsid w:val="00C52F68"/>
    <w:rsid w:val="00C53730"/>
    <w:rsid w:val="00C53927"/>
    <w:rsid w:val="00C53945"/>
    <w:rsid w:val="00C54376"/>
    <w:rsid w:val="00C55589"/>
    <w:rsid w:val="00C56C7D"/>
    <w:rsid w:val="00C57F02"/>
    <w:rsid w:val="00C6004E"/>
    <w:rsid w:val="00C602FF"/>
    <w:rsid w:val="00C6039D"/>
    <w:rsid w:val="00C605AE"/>
    <w:rsid w:val="00C60C76"/>
    <w:rsid w:val="00C60F45"/>
    <w:rsid w:val="00C61482"/>
    <w:rsid w:val="00C6207A"/>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7B2"/>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BF5"/>
    <w:rsid w:val="00CC5D82"/>
    <w:rsid w:val="00CC5E3F"/>
    <w:rsid w:val="00CC5E70"/>
    <w:rsid w:val="00CC6224"/>
    <w:rsid w:val="00CC63BC"/>
    <w:rsid w:val="00CC6EF9"/>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381"/>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14E"/>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07CF"/>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728"/>
    <w:rsid w:val="00D51A7E"/>
    <w:rsid w:val="00D51BEA"/>
    <w:rsid w:val="00D51DC1"/>
    <w:rsid w:val="00D525CF"/>
    <w:rsid w:val="00D527EC"/>
    <w:rsid w:val="00D52820"/>
    <w:rsid w:val="00D52CDD"/>
    <w:rsid w:val="00D530D5"/>
    <w:rsid w:val="00D53309"/>
    <w:rsid w:val="00D53A48"/>
    <w:rsid w:val="00D53C05"/>
    <w:rsid w:val="00D5464A"/>
    <w:rsid w:val="00D54B8B"/>
    <w:rsid w:val="00D54C92"/>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65E"/>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85A"/>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92A"/>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1D32"/>
    <w:rsid w:val="00DD314A"/>
    <w:rsid w:val="00DD337A"/>
    <w:rsid w:val="00DD3CF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1CA"/>
    <w:rsid w:val="00DE1385"/>
    <w:rsid w:val="00DE15D3"/>
    <w:rsid w:val="00DE1786"/>
    <w:rsid w:val="00DE19EF"/>
    <w:rsid w:val="00DE1FAE"/>
    <w:rsid w:val="00DE222A"/>
    <w:rsid w:val="00DE2F0E"/>
    <w:rsid w:val="00DE34C1"/>
    <w:rsid w:val="00DE39A0"/>
    <w:rsid w:val="00DE3E8F"/>
    <w:rsid w:val="00DE4209"/>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9E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902"/>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39C0"/>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954"/>
    <w:rsid w:val="00EB1EE4"/>
    <w:rsid w:val="00EB22B5"/>
    <w:rsid w:val="00EB2360"/>
    <w:rsid w:val="00EB23B0"/>
    <w:rsid w:val="00EB24DC"/>
    <w:rsid w:val="00EB2C27"/>
    <w:rsid w:val="00EB32B0"/>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B29"/>
    <w:rsid w:val="00ED0D00"/>
    <w:rsid w:val="00ED0E9B"/>
    <w:rsid w:val="00ED0EB7"/>
    <w:rsid w:val="00ED15BB"/>
    <w:rsid w:val="00ED1B49"/>
    <w:rsid w:val="00ED1FDB"/>
    <w:rsid w:val="00ED247D"/>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3FE0"/>
    <w:rsid w:val="00EE5135"/>
    <w:rsid w:val="00EE5E23"/>
    <w:rsid w:val="00EE5E78"/>
    <w:rsid w:val="00EE5EFB"/>
    <w:rsid w:val="00EE60F0"/>
    <w:rsid w:val="00EE6476"/>
    <w:rsid w:val="00EE73A5"/>
    <w:rsid w:val="00EE79E1"/>
    <w:rsid w:val="00EE7AD1"/>
    <w:rsid w:val="00EE7E8F"/>
    <w:rsid w:val="00EF02B2"/>
    <w:rsid w:val="00EF0961"/>
    <w:rsid w:val="00EF17BF"/>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CD2"/>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153"/>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21"/>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3EAF"/>
    <w:rsid w:val="00FB4B51"/>
    <w:rsid w:val="00FB55CE"/>
    <w:rsid w:val="00FB5C5A"/>
    <w:rsid w:val="00FB5EFA"/>
    <w:rsid w:val="00FB75B6"/>
    <w:rsid w:val="00FB7D1D"/>
    <w:rsid w:val="00FB7D32"/>
    <w:rsid w:val="00FB7E85"/>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C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5B392A"/>
    <w:pPr>
      <w:spacing w:after="160" w:line="256" w:lineRule="auto"/>
      <w:ind w:left="720"/>
      <w:contextualSpacing/>
    </w:pPr>
    <w:rPr>
      <w:rFonts w:ascii="Georgia" w:eastAsia="Arial" w:hAnsi="Georgia"/>
      <w:szCs w:val="22"/>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5B392A"/>
    <w:pPr>
      <w:spacing w:after="160" w:line="256"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54276496">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04541480">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29326895">
      <w:bodyDiv w:val="1"/>
      <w:marLeft w:val="0"/>
      <w:marRight w:val="0"/>
      <w:marTop w:val="0"/>
      <w:marBottom w:val="0"/>
      <w:divBdr>
        <w:top w:val="none" w:sz="0" w:space="0" w:color="auto"/>
        <w:left w:val="none" w:sz="0" w:space="0" w:color="auto"/>
        <w:bottom w:val="none" w:sz="0" w:space="0" w:color="auto"/>
        <w:right w:val="none" w:sz="0" w:space="0" w:color="auto"/>
      </w:divBdr>
    </w:div>
    <w:div w:id="130753768">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199633282">
      <w:bodyDiv w:val="1"/>
      <w:marLeft w:val="0"/>
      <w:marRight w:val="0"/>
      <w:marTop w:val="0"/>
      <w:marBottom w:val="0"/>
      <w:divBdr>
        <w:top w:val="none" w:sz="0" w:space="0" w:color="auto"/>
        <w:left w:val="none" w:sz="0" w:space="0" w:color="auto"/>
        <w:bottom w:val="none" w:sz="0" w:space="0" w:color="auto"/>
        <w:right w:val="none" w:sz="0" w:space="0" w:color="auto"/>
      </w:divBdr>
    </w:div>
    <w:div w:id="234510387">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01810236">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34860021">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8572126">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69378457">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3147190">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0282350">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372345669">
      <w:bodyDiv w:val="1"/>
      <w:marLeft w:val="0"/>
      <w:marRight w:val="0"/>
      <w:marTop w:val="0"/>
      <w:marBottom w:val="0"/>
      <w:divBdr>
        <w:top w:val="none" w:sz="0" w:space="0" w:color="auto"/>
        <w:left w:val="none" w:sz="0" w:space="0" w:color="auto"/>
        <w:bottom w:val="none" w:sz="0" w:space="0" w:color="auto"/>
        <w:right w:val="none" w:sz="0" w:space="0" w:color="auto"/>
      </w:divBdr>
    </w:div>
    <w:div w:id="1405641505">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4953945">
      <w:bodyDiv w:val="1"/>
      <w:marLeft w:val="0"/>
      <w:marRight w:val="0"/>
      <w:marTop w:val="0"/>
      <w:marBottom w:val="0"/>
      <w:divBdr>
        <w:top w:val="none" w:sz="0" w:space="0" w:color="auto"/>
        <w:left w:val="none" w:sz="0" w:space="0" w:color="auto"/>
        <w:bottom w:val="none" w:sz="0" w:space="0" w:color="auto"/>
        <w:right w:val="none" w:sz="0" w:space="0" w:color="auto"/>
      </w:divBdr>
    </w:div>
    <w:div w:id="1428577051">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41340565">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4479643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64512320">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35436012">
      <w:bodyDiv w:val="1"/>
      <w:marLeft w:val="0"/>
      <w:marRight w:val="0"/>
      <w:marTop w:val="0"/>
      <w:marBottom w:val="0"/>
      <w:divBdr>
        <w:top w:val="none" w:sz="0" w:space="0" w:color="auto"/>
        <w:left w:val="none" w:sz="0" w:space="0" w:color="auto"/>
        <w:bottom w:val="none" w:sz="0" w:space="0" w:color="auto"/>
        <w:right w:val="none" w:sz="0" w:space="0" w:color="auto"/>
      </w:divBdr>
    </w:div>
    <w:div w:id="1938172824">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F9AE2-0A00-46FA-9DB0-FD9EA106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4357</Words>
  <Characters>26143</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30440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creator>esemeniuk</dc:creator>
  <cp:lastModifiedBy>Perka Agnieszka</cp:lastModifiedBy>
  <cp:revision>2</cp:revision>
  <cp:lastPrinted>2022-03-08T13:12:00Z</cp:lastPrinted>
  <dcterms:created xsi:type="dcterms:W3CDTF">2024-05-06T13:55:00Z</dcterms:created>
  <dcterms:modified xsi:type="dcterms:W3CDTF">2024-05-06T13:55:00Z</dcterms:modified>
</cp:coreProperties>
</file>