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46E" w:rsidRPr="00E6546E" w:rsidRDefault="00E6546E" w:rsidP="006A08BA">
      <w:pPr>
        <w:pStyle w:val="Bodytext20"/>
        <w:shd w:val="clear" w:color="auto" w:fill="auto"/>
        <w:spacing w:before="120" w:after="240" w:line="300" w:lineRule="auto"/>
        <w:ind w:left="6372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Warszawa, 04.04.2023 r.</w:t>
      </w:r>
    </w:p>
    <w:p w:rsidR="00E6546E" w:rsidRPr="00E6546E" w:rsidRDefault="00E6546E" w:rsidP="006A08BA">
      <w:pPr>
        <w:pStyle w:val="Bodytext2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sz w:val="22"/>
          <w:szCs w:val="22"/>
        </w:rPr>
        <w:t>Znak sprawy: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E4358B" w:rsidRPr="00E6546E">
        <w:rPr>
          <w:rFonts w:asciiTheme="minorHAnsi" w:hAnsiTheme="minorHAnsi" w:cstheme="minorHAnsi"/>
          <w:b w:val="0"/>
          <w:sz w:val="22"/>
          <w:szCs w:val="22"/>
        </w:rPr>
        <w:t>KW</w:t>
      </w:r>
      <w:r w:rsidR="004E2579" w:rsidRPr="00E6546E">
        <w:rPr>
          <w:rFonts w:asciiTheme="minorHAnsi" w:hAnsiTheme="minorHAnsi" w:cstheme="minorHAnsi"/>
          <w:b w:val="0"/>
          <w:sz w:val="22"/>
          <w:szCs w:val="22"/>
        </w:rPr>
        <w:t>-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WP.1712.73.2022.AM</w:t>
      </w:r>
    </w:p>
    <w:p w:rsidR="007C64D9" w:rsidRDefault="007C64D9" w:rsidP="007C64D9">
      <w:pPr>
        <w:pStyle w:val="Bodytext20"/>
        <w:shd w:val="clear" w:color="auto" w:fill="auto"/>
        <w:spacing w:before="240" w:after="68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</w:p>
    <w:p w:rsidR="005703F5" w:rsidRPr="006A08BA" w:rsidRDefault="00E4358B" w:rsidP="006A08BA">
      <w:pPr>
        <w:pStyle w:val="Bodytext20"/>
        <w:shd w:val="clear" w:color="auto" w:fill="auto"/>
        <w:spacing w:before="240" w:after="680" w:line="300" w:lineRule="auto"/>
        <w:ind w:left="5664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6A08BA">
        <w:rPr>
          <w:rFonts w:asciiTheme="minorHAnsi" w:hAnsiTheme="minorHAnsi" w:cstheme="minorHAnsi"/>
          <w:sz w:val="22"/>
          <w:szCs w:val="22"/>
        </w:rPr>
        <w:t>Pan</w:t>
      </w:r>
    </w:p>
    <w:p w:rsidR="005703F5" w:rsidRPr="006A08BA" w:rsidRDefault="00E4358B" w:rsidP="006A08BA">
      <w:pPr>
        <w:pStyle w:val="Bodytext20"/>
        <w:shd w:val="clear" w:color="auto" w:fill="auto"/>
        <w:spacing w:before="240" w:after="680" w:line="300" w:lineRule="auto"/>
        <w:ind w:left="5664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6A08BA">
        <w:rPr>
          <w:rFonts w:asciiTheme="minorHAnsi" w:hAnsiTheme="minorHAnsi" w:cstheme="minorHAnsi"/>
          <w:sz w:val="22"/>
          <w:szCs w:val="22"/>
        </w:rPr>
        <w:t>Norbert Szczepański Burmistrz</w:t>
      </w:r>
    </w:p>
    <w:p w:rsidR="005703F5" w:rsidRPr="006A08BA" w:rsidRDefault="00E4358B" w:rsidP="006A08BA">
      <w:pPr>
        <w:pStyle w:val="Bodytext20"/>
        <w:shd w:val="clear" w:color="auto" w:fill="auto"/>
        <w:spacing w:before="240" w:after="680" w:line="300" w:lineRule="auto"/>
        <w:ind w:left="5664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6A08BA">
        <w:rPr>
          <w:rFonts w:asciiTheme="minorHAnsi" w:hAnsiTheme="minorHAnsi" w:cstheme="minorHAnsi"/>
          <w:sz w:val="22"/>
          <w:szCs w:val="22"/>
        </w:rPr>
        <w:t>Dzielnicy Wawer m.s</w:t>
      </w:r>
      <w:r w:rsidR="00D03311">
        <w:rPr>
          <w:rFonts w:asciiTheme="minorHAnsi" w:hAnsiTheme="minorHAnsi" w:cstheme="minorHAnsi"/>
          <w:sz w:val="22"/>
          <w:szCs w:val="22"/>
        </w:rPr>
        <w:t>t</w:t>
      </w:r>
      <w:r w:rsidRPr="006A08BA">
        <w:rPr>
          <w:rFonts w:asciiTheme="minorHAnsi" w:hAnsiTheme="minorHAnsi" w:cstheme="minorHAnsi"/>
          <w:sz w:val="22"/>
          <w:szCs w:val="22"/>
        </w:rPr>
        <w:t xml:space="preserve"> Warszawy</w:t>
      </w:r>
    </w:p>
    <w:p w:rsidR="005703F5" w:rsidRDefault="00E4358B" w:rsidP="006A08BA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6A08BA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6A08BA" w:rsidRPr="006A08BA" w:rsidRDefault="006A08BA" w:rsidP="006A08BA"/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Na podstawę § 22 ust. 10 Regulaminu organizacyjnego Urzędu miasta stołecznego Warszawy, stanowiącego załącznik do zarządzenia Nr </w:t>
      </w:r>
      <w:r w:rsidRPr="00E6546E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312/2007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Prezydenta miasta stołecznego Warszawy z dnia 4 kwietnia 2007 r. w sprawie nadania regulaminu organizacyjnego Urzędu miasta stołecznego Warszawy (z późn.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zm.j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, w związku z kontrolą przeprowadzoną przez Biuro Kontroli Urzędu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mst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. Warszawy w Urzędzie Dzielnicy Wawer m.st. Warszawy w okresie od 27.10.2022 r. do 25.11.2022 r., w zakresie prawidłowości wydawania decyzji o pozwoleniu na budowę w odniesieniu do zgodności projektów budowlanych z ustaleniami wybranych miejscowych planów zagospodarowania przestrzennego w okresie od 1.01.2020 r. do końca III kwartału 2022 r. tj. do 30.09.2022 r. oraz prawidłowości przeprowadzonego postępowania w sprawie decyzji udzielających pozwolenia na budowę na działkach r</w:t>
      </w:r>
      <w:r w:rsidR="004E2579" w:rsidRPr="00E6546E">
        <w:rPr>
          <w:rFonts w:asciiTheme="minorHAnsi" w:hAnsiTheme="minorHAnsi" w:cstheme="minorHAnsi"/>
          <w:b w:val="0"/>
          <w:sz w:val="22"/>
          <w:szCs w:val="22"/>
        </w:rPr>
        <w:t xml:space="preserve"> (dane zanonimizowane)</w:t>
      </w:r>
    </w:p>
    <w:p w:rsidR="005703F5" w:rsidRPr="00E6546E" w:rsidRDefault="00E4358B" w:rsidP="00E6546E">
      <w:pPr>
        <w:pStyle w:val="Bodytext20"/>
        <w:numPr>
          <w:ilvl w:val="0"/>
          <w:numId w:val="1"/>
        </w:numPr>
        <w:shd w:val="clear" w:color="auto" w:fill="auto"/>
        <w:tabs>
          <w:tab w:val="left" w:pos="2794"/>
        </w:tabs>
        <w:spacing w:before="120" w:after="240" w:line="300" w:lineRule="auto"/>
        <w:ind w:firstLine="264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ta terenie obszaru Las w Dzielnicy Wawer m.st. Warszawy, której wyniki zostały przedstawione w protokole kontroli podpisanym 1 grudnia 2022 r., stosownie do § 39 ust. 1 i 2 Zarządzenia nr </w:t>
      </w:r>
      <w:r w:rsidRPr="00E6546E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1837/2019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Prezydenta miasta stołecznego Warszawy z dnia 12 grudnia 2019 r. w sprawie zasad i trybu postępowania kontrolnego (zwanego dalej: Zarządzeniem), przekazuję Panu niniejsze Wystąpienie pokontrolne.</w:t>
      </w:r>
    </w:p>
    <w:p w:rsidR="005703F5" w:rsidRPr="00E6546E" w:rsidRDefault="00E4358B" w:rsidP="0090352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A. Prawidłowość wydawania decyzji o pozwoleniu na budowę w zakresie zgodności projektów</w:t>
      </w:r>
      <w:r w:rsidR="0090352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budowlanych </w:t>
      </w:r>
      <w:r w:rsidRPr="00E6546E">
        <w:rPr>
          <w:rStyle w:val="Bodytext275ptScaling120"/>
          <w:rFonts w:asciiTheme="minorHAnsi" w:hAnsiTheme="minorHAnsi" w:cstheme="minorHAnsi"/>
          <w:bCs/>
          <w:sz w:val="22"/>
          <w:szCs w:val="22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ustaleniami wybranych miejscowych planów zagospodarowania przestrzennego, tj.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lastRenderedPageBreak/>
        <w:t>osiedla Anin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"/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i obszaru Las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"/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 xml:space="preserve"> 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3"/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 xml:space="preserve"> 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4"/>
      </w:r>
      <w:r w:rsidRPr="00E6546E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5703F5" w:rsidRPr="00E6546E" w:rsidRDefault="00E4358B" w:rsidP="00A262E1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Stwierdzono, że w okresie od 1-01.2020 roku do 30.09.2022 roku w wyniku przeprowadzonych postępowań administracyjnych wydano 38 decyzji z wniosku o pozwolenie na budowę inwestycji położonych na terenie obowiązującego miejscowego planu zagospodarowania przestrzennego (dalej: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lub plan) osiedla Anin oraz 93 decyzje na terenie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obszaru Las.</w:t>
      </w:r>
    </w:p>
    <w:p w:rsidR="005703F5" w:rsidRPr="00E6546E" w:rsidRDefault="00E4358B" w:rsidP="00145F5A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Skontrolowano 15 wybranych projektów budowlanych w zakresie zgodności z ustaleniami powyższych planów, zatwierdzonych decyzjami o pozwoleniu na budowę, w tym 6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5"/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dotyczących osiedla Anin oraz 9* dotyczących obszaru Las.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760" w:hanging="40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L Sprawdzenie projektów budowlanych dla inwestycji zlokalizowanych na terenie osiedla Anin wykazało, że:</w:t>
      </w:r>
    </w:p>
    <w:p w:rsidR="005703F5" w:rsidRPr="00E6546E" w:rsidRDefault="00E4358B" w:rsidP="00E6546E">
      <w:pPr>
        <w:pStyle w:val="Bodytext20"/>
        <w:numPr>
          <w:ilvl w:val="0"/>
          <w:numId w:val="2"/>
        </w:numPr>
        <w:shd w:val="clear" w:color="auto" w:fill="auto"/>
        <w:tabs>
          <w:tab w:val="left" w:pos="1096"/>
        </w:tabs>
        <w:spacing w:before="120" w:after="240" w:line="300" w:lineRule="auto"/>
        <w:ind w:left="1100" w:hanging="34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Wydano 5 decyzji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5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 pozwoleniu na budowę pomimo, że przyjęte rozwiązania projektowe pozostawały w niezgodności z zapisami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, czym naruszono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35 ust. 1 pkt 1 Prawa budowlanego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6"/>
      </w:r>
      <w:r w:rsidRPr="00E6546E">
        <w:rPr>
          <w:rFonts w:asciiTheme="minorHAnsi" w:hAnsiTheme="minorHAnsi" w:cstheme="minorHAnsi"/>
          <w:b w:val="0"/>
          <w:sz w:val="22"/>
          <w:szCs w:val="22"/>
        </w:rPr>
        <w:t>, tj.:</w:t>
      </w:r>
    </w:p>
    <w:p w:rsidR="005703F5" w:rsidRPr="00E6546E" w:rsidRDefault="00E4358B" w:rsidP="00E6546E">
      <w:pPr>
        <w:pStyle w:val="Bodytext20"/>
        <w:numPr>
          <w:ilvl w:val="0"/>
          <w:numId w:val="3"/>
        </w:numPr>
        <w:shd w:val="clear" w:color="auto" w:fill="auto"/>
        <w:tabs>
          <w:tab w:val="left" w:pos="3250"/>
        </w:tabs>
        <w:spacing w:before="120" w:after="240" w:line="300" w:lineRule="auto"/>
        <w:ind w:left="11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1 zatwierdzono projekt zagospodarowania terenu oraz projekt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4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architektoniczno-budowlany budynku szpitala, którego częściowa lokalizacja na terenie jednostki MJ/59 o przeznaczeniu podstawowym zabudowy mieszkaniowej jednorodzinnej z dopuszczeniem usług nieuciążliwych naruszała § 14 ust. 2 w związku z § 12 ust. 1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, tj. przeznaczenie tego terenu.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4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W tej kwestii Naczelnik WAB wyjaśniła, że projekt budowlany jest zgodny z przeznaczeniem podstawowym i że plan dopuszcza usługi nieuciążliwe, a te wskazane w projekcie budowlanym należą do usług nieuciążliwych oraz że „przedmiotowa inwestycja polegająca na budowie budynku szpitala - centrum Kardiologii Ambulatoryjnej (budynek „K") z częścią mieszkalną (...) jest inwestycją o znaczeniu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lastRenderedPageBreak/>
        <w:t>państwowym i organ udzielił pozwolenia budowę uwzględniając ważny interes społeczny inwestycji”.</w:t>
      </w:r>
    </w:p>
    <w:p w:rsidR="005703F5" w:rsidRPr="00E6546E" w:rsidRDefault="00E4358B" w:rsidP="005C2B94">
      <w:pPr>
        <w:pStyle w:val="Bodytext20"/>
        <w:shd w:val="clear" w:color="auto" w:fill="auto"/>
        <w:spacing w:before="120" w:after="240" w:line="300" w:lineRule="auto"/>
        <w:ind w:left="14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Odnosząc się do powyższego stwierdzenia, z całą mocą należy podkreślić, że treść aktu prawa miejscowego wiąże organ w każdym przypadku a dowolność stosowania</w:t>
      </w:r>
      <w:r w:rsidR="005C2B9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powyższych przepisów jest niedopuszczalna.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1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Zważywszy na to, że w części budynku szpitala zlokalizowanej w granicach jednostki Ml/59, zaplanowano pomieszczenia administracyjne, pokój kierowców, pomieszczenie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call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center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, magazyn, gabinet lekarski, 11 pokoi z łazienkami, w tym 4 z aneksami kuchennymi, warsztaty, szatnie, natryski, pomieszczenie socjalne oraz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wentylatorownię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, to w żaden sposób, tej części budynku szpitala, nie można było uznać za budynek mieszkalny jednorodzinny, w dodatku, w typie zabudowy wolnostojącej lub bliźniaczej.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1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Nawet gdyby przyjąć za właściwą ocenę organu, iż 11 pokoi z łazienkami stanowi część mieszkalną, a pozostałe pomieszczenia część usługową oraz mając na uwadze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3 pkt 2a Prawa budowlanego mówiący, że budynek mieszkalny jednorodzinny może zawierać jeden lokal mieszkalny i lokal użytkowy (np. usługowy) o powierzchni całkowitej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nieprzekra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czającej 30 </w:t>
      </w:r>
      <w:r w:rsidRPr="00E6546E">
        <w:rPr>
          <w:rStyle w:val="Bodytext295ptItalic"/>
          <w:rFonts w:asciiTheme="minorHAnsi" w:hAnsiTheme="minorHAnsi" w:cstheme="minorHAnsi"/>
          <w:bCs/>
          <w:sz w:val="22"/>
          <w:szCs w:val="22"/>
        </w:rPr>
        <w:t>%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powierzchni całkowitej budynku, to jak wynika z projektu architektoniczno-budowlanego, powierzchnia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częśd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usługowej stanowiła ponad 50% powierzchni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częśd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budynku znajdującej się w jednostce Ml/59.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1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Tym samym nieuprawnionym był argument, że plan dopuszcza usługi nieuciążliwe, gdyż zgodnie z § 5 pkt 6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przez przeznaczenie dopuszczalne należy rozumieć rodzaje przeznaczenia inne niż podstawowe, które uzupełniają lub wzbogacają przeznaczenie podstawowe, a przeznaczenie podstawowe zgodnie z § 5 pkt 5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powinno przeważać na danym terenie, tj. stanowić ponad 50 % powierzchni obiektu.</w:t>
      </w:r>
    </w:p>
    <w:p w:rsidR="005703F5" w:rsidRPr="00E6546E" w:rsidRDefault="00E4358B" w:rsidP="00E6546E">
      <w:pPr>
        <w:pStyle w:val="Bodytext20"/>
        <w:numPr>
          <w:ilvl w:val="0"/>
          <w:numId w:val="3"/>
        </w:numPr>
        <w:shd w:val="clear" w:color="auto" w:fill="auto"/>
        <w:tabs>
          <w:tab w:val="left" w:pos="1161"/>
        </w:tabs>
        <w:spacing w:before="120" w:after="240" w:line="300" w:lineRule="auto"/>
        <w:ind w:left="1180" w:hanging="36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 3 przypadkach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7"/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zatwierdzono projekt zagospodarowania działki lub terenu, gdzie teren inwestycji stanowił działkę budowlaną o powierzchni od 1250,7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do 1512 m2, co naruszało § 14 ust. 1 pkt 2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określający dla nowej zabudowy powierzchnię działki jako 1000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± 10%.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1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Co prawda Naczelnik WAB wyjaśniła, że powyższe działki istniały już przed wejściem w życie |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rianu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, który został uchwalony w 2010 r., to jednak powyższy przepis ustalił zasady zagospodarowania całego terenu objętego planem bez zastosowania wyłączenia istniejących działek nie spełniających kryteriów powierzchni określonych w tym przepisie.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1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Zauważyć należy, że zgodnie definicją działki budowlanej zawartą w § 3 pkt la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lastRenderedPageBreak/>
        <w:t>Warunków Technicznych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8"/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 xml:space="preserve"> 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9"/>
      </w:r>
      <w:r w:rsidRPr="00E6546E">
        <w:rPr>
          <w:rFonts w:asciiTheme="minorHAnsi" w:hAnsiTheme="minorHAnsi" w:cstheme="minorHAnsi"/>
          <w:b w:val="0"/>
          <w:sz w:val="22"/>
          <w:szCs w:val="22"/>
        </w:rPr>
        <w:t>, działka budowlana nie musi stanowić działki ewidencyjnej. Dodatkowo, za ugruntowaną linią orzeczniczą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4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wskazać trzeba, że tak jak kilka działek ewidencyjnych może stanowić działkę budowlaną, tak samo za działkę budowlaną może</w:t>
      </w:r>
      <w:r w:rsidR="00DB3D7A" w:rsidRPr="00E6546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być uznana część działki ewidencyjnej w określonych uwarunkowaniach planistycznych. Plan określił dla nowej zabudowy powierzchnię działki nie precyzując o jaką działkę chodzi, skutkiem czego wskazane byłoby rozważenie ograniczenia terenu inwestycji do powierzchni od 900 do 1100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, co jednocześnie ograniczyłoby intensywność zabudowy.</w:t>
      </w:r>
    </w:p>
    <w:p w:rsidR="005703F5" w:rsidRPr="00E6546E" w:rsidRDefault="00E4358B" w:rsidP="00E6546E">
      <w:pPr>
        <w:pStyle w:val="Bodytext20"/>
        <w:numPr>
          <w:ilvl w:val="0"/>
          <w:numId w:val="3"/>
        </w:numPr>
        <w:shd w:val="clear" w:color="auto" w:fill="auto"/>
        <w:tabs>
          <w:tab w:val="left" w:pos="1141"/>
        </w:tabs>
        <w:spacing w:before="120" w:after="240" w:line="300" w:lineRule="auto"/>
        <w:ind w:left="1160" w:hanging="36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 3 przypadkach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13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zatwierdzono projekt architektoniczno-budowlany, który naruszał § 14 ust. 1 pkt 4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nakazujący realizację dachów stromych o pochyleniu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poład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równym lub większym 30° oraz poddasza użytkowego, tj.:</w:t>
      </w:r>
    </w:p>
    <w:p w:rsidR="005703F5" w:rsidRPr="00E6546E" w:rsidRDefault="00E4358B" w:rsidP="00E6546E">
      <w:pPr>
        <w:pStyle w:val="Bodytext20"/>
        <w:shd w:val="clear" w:color="auto" w:fill="auto"/>
        <w:tabs>
          <w:tab w:val="left" w:pos="3800"/>
        </w:tabs>
        <w:spacing w:before="120" w:after="240" w:line="300" w:lineRule="auto"/>
        <w:ind w:left="116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-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ńerdzono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stropodach na budynku szpitala zlokalizowanym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4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na terenie jednostki I</w:t>
      </w:r>
    </w:p>
    <w:p w:rsidR="005703F5" w:rsidRPr="00E6546E" w:rsidRDefault="00E4358B" w:rsidP="00E6546E">
      <w:pPr>
        <w:pStyle w:val="Bodytext20"/>
        <w:numPr>
          <w:ilvl w:val="0"/>
          <w:numId w:val="4"/>
        </w:numPr>
        <w:shd w:val="clear" w:color="auto" w:fill="auto"/>
        <w:tabs>
          <w:tab w:val="left" w:pos="3800"/>
        </w:tabs>
        <w:spacing w:before="120" w:after="240" w:line="300" w:lineRule="auto"/>
        <w:ind w:left="1420" w:hanging="260"/>
        <w:rPr>
          <w:rFonts w:asciiTheme="minorHAnsi" w:hAnsiTheme="minorHAnsi" w:cstheme="minorHAnsi"/>
          <w:b w:val="0"/>
          <w:sz w:val="22"/>
          <w:szCs w:val="22"/>
        </w:rPr>
      </w:pP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zęśd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budynku mieszkalnego wielorodzinnego usankcjonowano zaplanowany dach plaski,</w:t>
      </w:r>
    </w:p>
    <w:p w:rsidR="005703F5" w:rsidRPr="00E6546E" w:rsidRDefault="00E4358B" w:rsidP="00E6546E">
      <w:pPr>
        <w:pStyle w:val="Bodytext20"/>
        <w:numPr>
          <w:ilvl w:val="0"/>
          <w:numId w:val="4"/>
        </w:numPr>
        <w:shd w:val="clear" w:color="auto" w:fill="auto"/>
        <w:tabs>
          <w:tab w:val="left" w:pos="1486"/>
          <w:tab w:val="left" w:pos="4318"/>
        </w:tabs>
        <w:spacing w:before="120" w:after="240" w:line="300" w:lineRule="auto"/>
        <w:ind w:left="116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Style w:val="Bodytext21"/>
          <w:rFonts w:asciiTheme="minorHAnsi" w:hAnsiTheme="minorHAnsi" w:cstheme="minorHAnsi"/>
          <w:bCs/>
          <w:sz w:val="22"/>
          <w:szCs w:val="22"/>
        </w:rPr>
        <w:t>i</w:t>
      </w:r>
      <w:r w:rsidRPr="00E6546E">
        <w:rPr>
          <w:rStyle w:val="Bodytext21"/>
          <w:rFonts w:asciiTheme="minorHAnsi" w:hAnsiTheme="minorHAnsi" w:cstheme="minorHAnsi"/>
          <w:bCs/>
          <w:sz w:val="22"/>
          <w:szCs w:val="22"/>
        </w:rPr>
        <w:tab/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rizono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poddasze nieużytkowe w budynku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4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mieszkalnym jednorodzinnym, którego powierzchnia nie została uwzględniona przy obliczaniu wskaźnika intensywności zabudowy. Co prawda Naczelnik WAB wyjaśniła, że „(_) W przedmiotowej sprawie mamy poddasze nieużytkowe, nie przeznaczone na stały pobyt ludzi, nie mające średniej wysokości w świetle większej niż 2m, dodatkowo powierzchnia nie jest w żaden sposób doświetlona. Treść §14 ust. 5 pkt 4 dachy strome o pochyleniu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poład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równym lub większym od 30° - poddasze użytkowe, nie nakłada na inwestora obowiązku zaprojektowania poddasza użytkowego", to jednak plan ustalił obowiązek stosowania dachów stromych o kącie nachylenia większym niż </w:t>
      </w:r>
      <w:r w:rsidRPr="00E6546E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>30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  <w:lang w:val="ru-RU" w:eastAsia="ru-RU" w:bidi="ru-RU"/>
        </w:rPr>
        <w:t>е</w:t>
      </w:r>
      <w:r w:rsidRPr="00E6546E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,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które pokrywają poddasze użytkowe. Zatem powierzchnia poddasza, krytego dachem stromym musi być doliczona do łącznej powierzchni użytkowej budynku. Przepis § 14 ust. 1 pkt 4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wskazuje, że plan w tej kwestii nie daje nieograniczonej swobody w kształtowaniu zabudowy i przesądza o uznaniu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lastRenderedPageBreak/>
        <w:t>ostatniej kondygnacji budynku za poddasze użytkowe.</w:t>
      </w:r>
    </w:p>
    <w:p w:rsidR="005703F5" w:rsidRPr="00E6546E" w:rsidRDefault="00E4358B" w:rsidP="00E6546E">
      <w:pPr>
        <w:pStyle w:val="Bodytext20"/>
        <w:numPr>
          <w:ilvl w:val="0"/>
          <w:numId w:val="3"/>
        </w:numPr>
        <w:shd w:val="clear" w:color="auto" w:fill="auto"/>
        <w:tabs>
          <w:tab w:val="left" w:pos="3306"/>
        </w:tabs>
        <w:spacing w:before="120" w:after="240" w:line="300" w:lineRule="auto"/>
        <w:ind w:left="1160" w:hanging="36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twierdzono projekt zagospodarowania terenu z naruszeniem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16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nakazu zawartego w § 12 ust 5 pkt 6 w związku z § 5 ust 9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, gdyż rzeczywisty wskaźnik powierzchni biologicznie czynnej dla projektowanej inwestycji był mniejszy niż wykazany w projekcie wynoszący 50,03%.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16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Powyższy wskaźnik otrzymano wliczając do powierzchni biologicznie czynnej 50% powierzchni ciągu pieszo jezdnego stabilizowanej plastikową kratą drogową w sytuacji, gdy do powierzchni biologicznie czynnej zgodnie z definicją zawartą w § 5 ust. 9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można było zaliczyć jedynie grunt rodzimy pokryty roślinnością a także 50% sumy nawierzchni tarasów i stropodachów, urządzonych jako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state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trawniki lub kwietniki. Ww. przepis wykluczał zatem możliwość uwzględnienia w bilansie powierzchni biologicznie 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0"/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2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czynnej innych terenów, w tym powierzchni wyłożonej określonym rodzajem kraty drogowej, pełniącej funkcję ciągu pieszo jezdnego. Uwzględniając powyższe, rzeczywista wartość wskaźnika dla poszczególnych dziatek stanowiących teren inwestycji wyniosła od 44 % do 47 </w:t>
      </w:r>
      <w:r w:rsidRPr="00E6546E">
        <w:rPr>
          <w:rStyle w:val="Bodytext295ptItalic"/>
          <w:rFonts w:asciiTheme="minorHAnsi" w:hAnsiTheme="minorHAnsi" w:cstheme="minorHAnsi"/>
          <w:bCs/>
          <w:sz w:val="22"/>
          <w:szCs w:val="22"/>
        </w:rPr>
        <w:t>%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a więc w każdym przypadku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byte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mniejsza od wartości minimalnej wynoszącej 50% ustalonej w § 12 ust. 5 pkt 6.</w:t>
      </w:r>
    </w:p>
    <w:p w:rsidR="005703F5" w:rsidRPr="00E6546E" w:rsidRDefault="00E4358B" w:rsidP="00916074">
      <w:pPr>
        <w:pStyle w:val="Bodytext20"/>
        <w:shd w:val="clear" w:color="auto" w:fill="auto"/>
        <w:spacing w:before="120" w:after="240" w:line="300" w:lineRule="auto"/>
        <w:ind w:left="567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2. W 3 przypadkach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1"/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 xml:space="preserve"> 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2"/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zatwierdzono projekt budowlany pomimo braku możliwości sprawdzenia</w:t>
      </w:r>
      <w:r w:rsidR="0091607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jego zgodności z zapisami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tj.c</w:t>
      </w:r>
      <w:proofErr w:type="spellEnd"/>
    </w:p>
    <w:p w:rsidR="005703F5" w:rsidRPr="00E6546E" w:rsidRDefault="00E4358B" w:rsidP="00E6546E">
      <w:pPr>
        <w:pStyle w:val="Bodytext20"/>
        <w:numPr>
          <w:ilvl w:val="0"/>
          <w:numId w:val="5"/>
        </w:numPr>
        <w:shd w:val="clear" w:color="auto" w:fill="auto"/>
        <w:tabs>
          <w:tab w:val="left" w:pos="1226"/>
        </w:tabs>
        <w:spacing w:before="120" w:after="240" w:line="300" w:lineRule="auto"/>
        <w:ind w:left="1200" w:hanging="32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w 2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przypadkach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u</w:t>
      </w:r>
      <w:proofErr w:type="spellEnd"/>
      <w:r w:rsidR="00860E33">
        <w:rPr>
          <w:rFonts w:asciiTheme="minorHAnsi" w:hAnsiTheme="minorHAnsi" w:cstheme="minorHAnsi"/>
          <w:b w:val="0"/>
          <w:sz w:val="22"/>
          <w:szCs w:val="22"/>
          <w:vertAlign w:val="superscript"/>
        </w:rPr>
        <w:t xml:space="preserve">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w dokumentacji projektowej brak było informacji czy istniejący drzewostan przeznaczony do wycinki, nie stanowi starodrzewu. Zgodnie z § 12 ust. 6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plan ustalał obowiązek zachowania w maksymalnym stopniu istniejącego starodrzewu.</w:t>
      </w:r>
    </w:p>
    <w:p w:rsidR="005703F5" w:rsidRPr="00E6546E" w:rsidRDefault="00E4358B" w:rsidP="00E6546E">
      <w:pPr>
        <w:pStyle w:val="Bodytext20"/>
        <w:shd w:val="clear" w:color="auto" w:fill="auto"/>
        <w:tabs>
          <w:tab w:val="left" w:pos="5270"/>
        </w:tabs>
        <w:spacing w:before="120" w:after="240" w:line="300" w:lineRule="auto"/>
        <w:ind w:left="12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Dodatkowo w przypadk</w:t>
      </w:r>
      <w:r w:rsidR="0019688E">
        <w:rPr>
          <w:rFonts w:asciiTheme="minorHAnsi" w:hAnsiTheme="minorHAnsi" w:cstheme="minorHAnsi"/>
          <w:b w:val="0"/>
          <w:sz w:val="22"/>
          <w:szCs w:val="22"/>
        </w:rPr>
        <w:t>u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  <w:t>_ projekcie zagospodarowania działki nie</w:t>
      </w:r>
    </w:p>
    <w:p w:rsidR="005703F5" w:rsidRPr="00E6546E" w:rsidRDefault="00E4358B" w:rsidP="00E6546E">
      <w:pPr>
        <w:pStyle w:val="Bodytext20"/>
        <w:shd w:val="clear" w:color="auto" w:fill="auto"/>
        <w:tabs>
          <w:tab w:val="left" w:pos="7018"/>
        </w:tabs>
        <w:spacing w:before="120" w:after="240" w:line="300" w:lineRule="auto"/>
        <w:ind w:left="12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oznaczono drzew przeznaczonych do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wydnki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oraz terenu wyznaczonego przez decyzję Dyrektora Regionalnej Dyrekcji Lasów Państwowych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łączającą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grunty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2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leśne z produkcji leśnej, co uniemożliwiało sprawdzenie zgodności projektu zagospodarowania działki z powyższą decyzją. Ponadto organ nie wyjaśnił niezgodności ww. decyzji, która wyłączała z produkcji leśnej teren o powierzchni 468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z przepisem § 7 ust. 2 pkt 3 lita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, który ograniczał powierzchnię wyłączaną z produkcji leśnej na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lastRenderedPageBreak/>
        <w:t>cele zabudowy mieszkaniowej, w tym przypadku do 400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5703F5" w:rsidRPr="00E6546E" w:rsidRDefault="00E4358B" w:rsidP="00E6546E">
      <w:pPr>
        <w:pStyle w:val="Bodytext20"/>
        <w:numPr>
          <w:ilvl w:val="0"/>
          <w:numId w:val="5"/>
        </w:numPr>
        <w:shd w:val="clear" w:color="auto" w:fill="auto"/>
        <w:tabs>
          <w:tab w:val="left" w:pos="3458"/>
        </w:tabs>
        <w:spacing w:before="120" w:after="240" w:line="300" w:lineRule="auto"/>
        <w:ind w:left="1200" w:hanging="32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stwierdzono projekt zagospodarowania terenu, na którym wskazano do usunięcia 90 ze 176 zinwentaryzowanych drzew w sytuacji, gdy autor projektu nie ocenił jednoznacznie istniejącego na terenie inwestycji drzewostanu. Projektant stwierdził jedynie fakt, że w załączonym do wniosku o pozwolenie na budowę opracowaniu pn. .Określenie wieku i średniorocznego przyrostu wybranych drzew rosnących na terenie Narodowego Instytutu Kardiologii (_}* nie zakwalifikowano przedmiotowego drzewostanu jako starodrzewu.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2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Istotnym dla sprawy było, </w:t>
      </w:r>
      <w:r w:rsidRPr="00E6546E">
        <w:rPr>
          <w:rStyle w:val="Bodytext295ptItalic"/>
          <w:rFonts w:asciiTheme="minorHAnsi" w:hAnsiTheme="minorHAnsi" w:cstheme="minorHAnsi"/>
          <w:bCs/>
          <w:sz w:val="22"/>
          <w:szCs w:val="22"/>
        </w:rPr>
        <w:t>że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ww. opracowanie nie nosiło cech dokumentu, gdyż pierwsza strona z 4 podpisami autorów była kopią nieuwierzytelnioną. W opracowaniu tym wskazano, że zinwentaryzowane drzewa przeznaczone do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wydnki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stanowią drzewostan dojrzały w fazie optymalnej, bez istotnej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ilośd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wypróchnień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oraz grzybów, których obecność jest charakterystyczna dla fazy terminalnej lub drzewostanu określanego jako starodrzew. W tabeli nr 4 wskazano obwody tych drzew jako m.in. ponad 200 cm oraz wiek ok. 100 lat.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2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Starodrzew natomiast określono jako drzewa najczęściej w wieku powyżej 100 lat, zaczynające tracić zdolność przyrostu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wysokośd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i grubości oraz będące częściowo w procesie naturalnego obumierania.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1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Pomimo niewskazanie przez projektanta stanu faktycznego niezbędnego przy ocenie zgodności z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, organ nie wezwał inwestora do umieszczenia w projekcie jednoznacznej informacji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istniejącego drzewostanu lub ewentualnie przedłożenia ww. opracowania podpisanego przez osoby je opracowujące.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8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Jednocześnie należy wskazać, że w 3 przypadkach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3"/>
      </w:r>
      <w:r w:rsidRPr="00E6546E">
        <w:rPr>
          <w:rFonts w:asciiTheme="minorHAnsi" w:hAnsiTheme="minorHAnsi" w:cstheme="minorHAnsi"/>
          <w:b w:val="0"/>
          <w:sz w:val="22"/>
          <w:szCs w:val="22"/>
        </w:rPr>
        <w:t>, z 5 omówionych powyżej, w toku prowadzonego postępowania nie zobowiązano inwestora w formie postanowienia do usunięcia opisanych powyżej nieprawidłowości. Natomiast w pozostałych 2 przypadkach*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4"/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, przed wydaniem decyzji nie wyegzekwowano nałożonego postanowieniem zobowiązania oraz nie dochowano dyspozycji wydania decyzji o odmowie zatwierdzenia projektu i udzielenia pozwolenia na budowę, czym naruszono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35 ust 3 pkt 1 Prawa budowlanego.</w:t>
      </w:r>
    </w:p>
    <w:p w:rsidR="005703F5" w:rsidRPr="00E6546E" w:rsidRDefault="00E4358B" w:rsidP="00E6546E">
      <w:pPr>
        <w:pStyle w:val="Bodytext20"/>
        <w:numPr>
          <w:ilvl w:val="0"/>
          <w:numId w:val="6"/>
        </w:numPr>
        <w:shd w:val="clear" w:color="auto" w:fill="auto"/>
        <w:tabs>
          <w:tab w:val="left" w:pos="394"/>
        </w:tabs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Sprawdzenie projektów budowlanych dla inwestycji zlokalizowanych na terenie obszaru Las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820" w:hanging="36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wykazało, że:</w:t>
      </w:r>
    </w:p>
    <w:p w:rsidR="005703F5" w:rsidRPr="00E6546E" w:rsidRDefault="00E4358B" w:rsidP="00E6546E">
      <w:pPr>
        <w:pStyle w:val="Bodytext20"/>
        <w:numPr>
          <w:ilvl w:val="0"/>
          <w:numId w:val="7"/>
        </w:numPr>
        <w:shd w:val="clear" w:color="auto" w:fill="auto"/>
        <w:tabs>
          <w:tab w:val="left" w:pos="791"/>
        </w:tabs>
        <w:spacing w:before="120" w:after="240" w:line="300" w:lineRule="auto"/>
        <w:ind w:left="820" w:hanging="36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lastRenderedPageBreak/>
        <w:t>Wydano 4 decyzje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5"/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 pozwoleniu na budowę pomimo, że przyjęte rozwiązania projektowe pozostawały w niezgod nosa z zapisami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, czym naruszono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35 ust 1 pkt 1 Prawa budowlanego, tj.:</w:t>
      </w:r>
    </w:p>
    <w:p w:rsidR="005703F5" w:rsidRPr="00E6546E" w:rsidRDefault="00E4358B" w:rsidP="00E6546E">
      <w:pPr>
        <w:pStyle w:val="Bodytext20"/>
        <w:shd w:val="clear" w:color="auto" w:fill="auto"/>
        <w:tabs>
          <w:tab w:val="left" w:pos="2932"/>
        </w:tabs>
        <w:spacing w:before="120" w:after="240" w:line="300" w:lineRule="auto"/>
        <w:ind w:left="8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a)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  <w:t>zatwierdzono projekt zagospodarowania dziada dwóch budynków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1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mieszkalnych jednorodzinnych wolnostojących, dla których powierzchnia działki budowlanej przypadająca na 1 budynek była mniejsza niż 600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, co naruszało § 11 ust 2 pkt 6 lit a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1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Jak wynikało z projektu zagospodarowania, powierzchnia działki budowlanej, w tym przypadku działki ewidencyjnej nr 163 z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obr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. 3-13-16 wynosiła 1117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1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Co prawda. Naczelnik WAB przywołała wyłączenie zawarte w § 11 ust 2 pkt 8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, w myśl którego ograniczenia, co do powierzchni działki nie dotyczą możliwości sytuowania zabudowy na istniejącyc</w:t>
      </w:r>
      <w:r w:rsidRPr="00E6546E">
        <w:rPr>
          <w:rStyle w:val="Bodytext22"/>
          <w:rFonts w:asciiTheme="minorHAnsi" w:hAnsiTheme="minorHAnsi" w:cstheme="minorHAnsi"/>
          <w:bCs/>
          <w:sz w:val="22"/>
          <w:szCs w:val="22"/>
        </w:rPr>
        <w:t>h działkach ewidencyjnych, k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tóre nie spełniają parametrów minimalnej powierzchni określonej w § 11 ust 2 pkt 6.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1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Jednakże w ocenie Biura Kontroli ww. przepis nie ma zastosowania w omawianym przypadku, gdyż działka ewidencyjna nr 163 spełnia parametr minimalnej powierzchni określony w § 11 ust 2 pkt 6 lit. a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jako 600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. Wyjątek przepisu § 11 ust 2 pkt 8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miałby zastosowanie, gdyby działka ewidencyjna stanowiąca teren inwestycji była mniejsza niż 600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. W przeciwnym razie przepis § 11 ust 2 (At 8 całkowicie wyłączałby kwestię badania minimalnej powierzchni działek budowlanych dla poszczególnych budynków zawartą w § 11 ust 2 pkt 6. W takiej sytuacji, jedynym czynnikiem ograniczającym zabudowę byłyby wskaźniki powierzchni biologicznie czynnej i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intensywności zabudowy, co jak wskazuje powyższy przykład umożliwiałoby budowę większej ilości budynków niż przewiduje § 11 ust. 2 pkt 6.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Dodać również należy, poza odniesieniem do analizowanego przypadku, że przepis § 11 ust. 2 pkt 8 dotyczy wyłącznie </w:t>
      </w:r>
      <w:r w:rsidRPr="00E6546E">
        <w:rPr>
          <w:rStyle w:val="Bodytext22"/>
          <w:rFonts w:asciiTheme="minorHAnsi" w:hAnsiTheme="minorHAnsi" w:cstheme="minorHAnsi"/>
          <w:bCs/>
          <w:sz w:val="22"/>
          <w:szCs w:val="22"/>
        </w:rPr>
        <w:t>działki ewidencyjnej.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Oznacza to. że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ieeo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zastosowanie nie dotyczy sytuacji, w której </w:t>
      </w:r>
      <w:r w:rsidRPr="00E6546E">
        <w:rPr>
          <w:rStyle w:val="Bodytext22"/>
          <w:rFonts w:asciiTheme="minorHAnsi" w:hAnsiTheme="minorHAnsi" w:cstheme="minorHAnsi"/>
          <w:bCs/>
          <w:sz w:val="22"/>
          <w:szCs w:val="22"/>
        </w:rPr>
        <w:t>działka budowlana,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 której mowa w § 11 ust. 2 pkt 6 stanowi kilka działek ewidencyjnych lub część działki ewidencyjnej.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Powyższe potwierdza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dzlatanie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organu w toku postępowania zakończonego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020" w:firstLine="1060"/>
        <w:rPr>
          <w:rFonts w:asciiTheme="minorHAnsi" w:hAnsiTheme="minorHAnsi" w:cstheme="minorHAnsi"/>
          <w:b w:val="0"/>
          <w:sz w:val="22"/>
          <w:szCs w:val="22"/>
        </w:rPr>
      </w:pP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łtwierdzającą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projekt budowlany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sześdu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budynków jednorodzinnych w zabudowie bliźniaczej oraz czterech budynków jednorodzinnych wolnostojących, gdzie organ dwukrotnie w trybie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35 ust. 3 Prawa budowlanego nakładał na inwestora w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lastRenderedPageBreak/>
        <w:t>drodze postanowienia’*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5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obowiązek doprowadzenia projektu zagospodarowania terenu do zgodności m.in. z § 11 ust. 2 pkt 6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5703F5" w:rsidRPr="00E6546E" w:rsidRDefault="00E4358B" w:rsidP="00E6546E">
      <w:pPr>
        <w:pStyle w:val="Bodytext20"/>
        <w:shd w:val="clear" w:color="auto" w:fill="auto"/>
        <w:tabs>
          <w:tab w:val="left" w:pos="2638"/>
        </w:tabs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Powyższe oznaczało konieczność uwzględnienia minimalnych powierzchni działek: dla 1 segmentu - 400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  <w:t>oraz dla budynku wolnostojącego - 600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, a co istotne oraz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właściwe, powierzchnie te w rzeczywistości przypisane były poszczególnym budynkom/segmentom, a nie stanowiły wyniku dzielenia powierzchni terenu inwestycji przez ilości budynków. W tym przypadku słusznie nie zastosowano przepisu § 11 ust 2 pkt 8, gdyż teren inwestycji nie stanowił poszczególnych działek ewidencyjnych mniejszych od 600 lub 800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, na których projektowano by odpowiednio po 1 budynku wolnostojącym i po 2 budynki w zabudowie bliźniaczej.</w:t>
      </w:r>
    </w:p>
    <w:p w:rsidR="005703F5" w:rsidRPr="00E6546E" w:rsidRDefault="00E4358B" w:rsidP="00E6546E">
      <w:pPr>
        <w:pStyle w:val="Bodytext20"/>
        <w:shd w:val="clear" w:color="auto" w:fill="auto"/>
        <w:tabs>
          <w:tab w:val="left" w:leader="underscore" w:pos="5254"/>
          <w:tab w:val="left" w:leader="underscore" w:pos="6535"/>
        </w:tabs>
        <w:spacing w:before="120" w:after="240" w:line="300" w:lineRule="auto"/>
        <w:ind w:left="66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b) w projekcie budowlanym zatwierdzonym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  <w:t xml:space="preserve">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  <w:t xml:space="preserve">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>üepra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widłowo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określono powierzchnię biologicznie czynną wliczając do niej powierzchnię terenu pod nadwieszeniem! projektowanych budynków, czym w konsekwencji naruszono § 20 ust. 4 pkt 2 lit e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Ustalenia ww.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nie zawierają definicji powierzchni biologicznie czynnej, zatem opierając się na definicji zawartej w Warunkach Technicznych przez teren biologicznie czynny należało rozumieć </w:t>
      </w:r>
      <w:r w:rsidRPr="00E6546E">
        <w:rPr>
          <w:rStyle w:val="Bodytext22"/>
          <w:rFonts w:asciiTheme="minorHAnsi" w:hAnsiTheme="minorHAnsi" w:cstheme="minorHAnsi"/>
          <w:bCs/>
          <w:sz w:val="22"/>
          <w:szCs w:val="22"/>
          <w:u w:val="none"/>
        </w:rPr>
        <w:t>teren o nawierzchni urządzonej w sposób zapewniający naturalna wegetacje roślin i retencję wód opadowych</w:t>
      </w:r>
      <w:r w:rsidRPr="00E6546E">
        <w:rPr>
          <w:rStyle w:val="Bodytext22"/>
          <w:rFonts w:asciiTheme="minorHAnsi" w:hAnsiTheme="minorHAnsi" w:cstheme="minorHAnsi"/>
          <w:bCs/>
          <w:sz w:val="22"/>
          <w:szCs w:val="22"/>
        </w:rPr>
        <w:t>,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a także 50% powierzchni tarasów i stropodachów z taką nawierzchnią oraz innych powierzchni zapewniających naturalną wegetację roślin, o powierzchni nie mniejszej niż 10 m2, oraz wodę powierzchniową na tym terenie.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0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W omawianej dokumentacji projektowej nie wykazano, że naturalna wegetacja roślin i retencja wód opadowych pod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stropamj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/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nadwieszeniami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 powierzchniach ok. 25 i 17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była możliwa. Rzeczywisty udział procentowy powierzchni biologicznie czynnej pomniejszonej o powierzchnię nadwieszał (ok. 42 m2) wynosił, jak wynika z obliczeń.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2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ok. 55,8 %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a więc był mniejszy od wskazanej w projekcie (60,3 X) oraz minimalnej ustalonej w planie jako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GO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X.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2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 2 przypadkach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6"/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w projekcie architektoniczno-budowlanym nie wykazano spełnienia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zasad pierzei eksponowanych, czym naruszono § 5 ust. 5 pkt 3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. Przepis ten ustalił konieczność zastosowania na co najmniej 20% powierzchni elewacji frontowych budynków: kamienia elewacyjnego, tynków szlachetnych, cegły elewacyjnej lub okładziny z drewna naturalnego.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2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Co prawda Naczelnik WAB wyjaśniła, że w powyższych przypadkach zaplanowano wykończenie elewacji tynkiem systemowym cienkowarstwowym na siatce bądź tynkiem silikonowym, co w obu przypadkach spełnia wymogi estetyczne dla pierzei eksponowanych, jednakże podana w dokumentacjach projektowych informacja świadczy jedynie o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grubośd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warstwy tynku lub o rodzaju użytego spoiwa i nie jest wystarczająca do stwierdzenia czy zaprojektowano tynk szlachetny“.</w:t>
      </w:r>
    </w:p>
    <w:p w:rsidR="005703F5" w:rsidRPr="00E6546E" w:rsidRDefault="00E4358B" w:rsidP="00E6546E">
      <w:pPr>
        <w:pStyle w:val="Bodytext20"/>
        <w:shd w:val="clear" w:color="auto" w:fill="auto"/>
        <w:tabs>
          <w:tab w:val="left" w:pos="5283"/>
        </w:tabs>
        <w:spacing w:before="120" w:after="240" w:line="300" w:lineRule="auto"/>
        <w:ind w:left="12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Dodatkowo, w przypadku i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  <w:t>zatwierdzono projekt architektoniczno-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280" w:right="16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budowlany pomimo braku możliwości sprawdzenia jego zgodności z zapisami § 5 ust 6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, gdyż ww. projekt nie zawierał informacji ani rysunków określających kolorystykę elewacji projektowanych budynków.</w:t>
      </w:r>
    </w:p>
    <w:p w:rsidR="005703F5" w:rsidRPr="00E6546E" w:rsidRDefault="00E4358B" w:rsidP="00E6546E">
      <w:pPr>
        <w:pStyle w:val="Bodytext20"/>
        <w:shd w:val="clear" w:color="auto" w:fill="auto"/>
        <w:tabs>
          <w:tab w:val="left" w:pos="3172"/>
        </w:tabs>
        <w:spacing w:before="120" w:after="240" w:line="300" w:lineRule="auto"/>
        <w:ind w:left="94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d)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  <w:t>stwierdzono projekt zagospodarowania terenu budynku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2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biurowego, który nie zawierał pochylni przeznaczonej dla osób niepełnosprawnych, co naruszało § 5 ust 10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nakazujący stosowanie rozwiązań technicznych zapewniających dostępność budynku dla osób niepełnosprawnych oraz o ograniczonej mobilności.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2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Na marginesie należy też dodać, że pochylnia przedstawiona wyłącznie na rzucie parteru w projekcie architektoniczno-budowlanym nie posiadała płaszczyzny ruchu o szerokość min. 1,2 m ani obustronnych poręczy, co naruszało § 71 Warunków Technicznych.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5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Jednocześnie należy wskazać, że we wszystkich 4 przypadkach omówionych w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ppkt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od a) do d), w toku prowadzonych postępowań, organ nie zobowiązał inwestora w formie postanowienia do usunięcia opisanych powyżej nieprawidłowości, czym naruszył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35 ust 3 Prawa budowlanego.</w:t>
      </w:r>
    </w:p>
    <w:p w:rsidR="005703F5" w:rsidRPr="00E6546E" w:rsidRDefault="00E4358B" w:rsidP="00E6546E">
      <w:pPr>
        <w:pStyle w:val="Bodytext20"/>
        <w:numPr>
          <w:ilvl w:val="0"/>
          <w:numId w:val="6"/>
        </w:numPr>
        <w:shd w:val="clear" w:color="auto" w:fill="auto"/>
        <w:tabs>
          <w:tab w:val="left" w:pos="839"/>
        </w:tabs>
        <w:spacing w:before="120" w:after="240" w:line="300" w:lineRule="auto"/>
        <w:ind w:left="34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Zatwierdzono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3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projekty architektoniczno-budowlane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19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, które zawierały niespójności w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right="24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zakresie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zgodności planowanej inwestycji z ustaleniami ww. obowiązujących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mpzptj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.:</w:t>
      </w:r>
    </w:p>
    <w:p w:rsidR="005703F5" w:rsidRPr="00E6546E" w:rsidRDefault="00E4358B" w:rsidP="00E6546E">
      <w:pPr>
        <w:pStyle w:val="Bodytext20"/>
        <w:numPr>
          <w:ilvl w:val="0"/>
          <w:numId w:val="8"/>
        </w:numPr>
        <w:shd w:val="clear" w:color="auto" w:fill="auto"/>
        <w:tabs>
          <w:tab w:val="left" w:pos="1514"/>
          <w:tab w:val="left" w:pos="6556"/>
        </w:tabs>
        <w:spacing w:before="120" w:after="240" w:line="300" w:lineRule="auto"/>
        <w:ind w:left="11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lastRenderedPageBreak/>
        <w:t>w projekcie zatwierdzonym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  <w:t>I na przekroju B-B str. 64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5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zaplanowano strych nieużytkowy, natomiast z rzutu poddasza na str. 6ia wynikało, że poddasze to (nazwane strychem) - jest użytkowe. Niespójności tej nie uznano za naruszenie przepisu § 14 ust. 1 pkt 4, który ustalał dla nowej zabudowy - poddasza użytkowe, ponieważ powierzchnia tej kondygnacji została wliczona do wskaźnika intensywności zabudowy;</w:t>
      </w:r>
    </w:p>
    <w:p w:rsidR="005703F5" w:rsidRPr="00E6546E" w:rsidRDefault="00E4358B" w:rsidP="00E6546E">
      <w:pPr>
        <w:pStyle w:val="Bodytext20"/>
        <w:numPr>
          <w:ilvl w:val="0"/>
          <w:numId w:val="8"/>
        </w:numPr>
        <w:shd w:val="clear" w:color="auto" w:fill="auto"/>
        <w:tabs>
          <w:tab w:val="left" w:pos="1514"/>
          <w:tab w:val="left" w:pos="6796"/>
        </w:tabs>
        <w:spacing w:before="120" w:after="240" w:line="300" w:lineRule="auto"/>
        <w:ind w:left="11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 projekcie zatwierdzonym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  <w:t>podano informację w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5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brzmieniu „Poddasze nieużytkowe, po zgłoszeniu zmiany sposobu użytkowania, można będzie wykorzystać na cele mieszkalne”, przy czym wyliczona w projekcie intensywność zabudowy wynosząca 70 </w:t>
      </w:r>
      <w:r w:rsidRPr="00E6546E">
        <w:rPr>
          <w:rStyle w:val="Bodytext295ptItalic"/>
          <w:rFonts w:asciiTheme="minorHAnsi" w:hAnsiTheme="minorHAnsi" w:cstheme="minorHAnsi"/>
          <w:bCs/>
          <w:sz w:val="22"/>
          <w:szCs w:val="22"/>
        </w:rPr>
        <w:t>%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stanowiła maksymalną intensywność zabudowy, a więc zmiana sposobu użytkowania poddasza nieużytkowego na cele mieszkalne nie była możliwa;</w:t>
      </w:r>
    </w:p>
    <w:p w:rsidR="005703F5" w:rsidRPr="00E6546E" w:rsidRDefault="00E4358B" w:rsidP="00E6546E">
      <w:pPr>
        <w:pStyle w:val="Bodytext20"/>
        <w:numPr>
          <w:ilvl w:val="0"/>
          <w:numId w:val="8"/>
        </w:numPr>
        <w:shd w:val="clear" w:color="auto" w:fill="auto"/>
        <w:tabs>
          <w:tab w:val="left" w:pos="1514"/>
          <w:tab w:val="left" w:pos="7353"/>
        </w:tabs>
        <w:spacing w:before="120" w:after="240" w:line="300" w:lineRule="auto"/>
        <w:ind w:left="11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 projekcie zatwierdzonym '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iko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przedmiot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5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opracowania wskazano „Projekt architektoniczno-budowlany dwóch budynków mieszkalnych jednorodzinnych w zabudowie bliźniaczej (_) plus poddasze nieużytkowe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500" w:firstLine="46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natomiast z dalszej części opisu technicznego wynikało, że w poddaszu jednego z budynków zaplanowano „rodzinny pokój wypoczynkowy”, którego doświetlenie gwarantowało, jak wynika z rysunku rzutu poddasza, 5 okien połaciowych. Powyższa niespójność mogła stanowić naruszenie § 26 ust. 2 pkt 2 Et a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, gdyż powierzchnia kondygnacji poddasza nie została wliczona do wskaźnika intensywności zabudowy wynoszącego 0,499, który w zasadzie był maksymalnym wskaźnikiem określonym przez plan jako 0,5.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Przy czym, w żadnym z ww. 3 przypadków, w toku prowadzonego postępowania organ nie zobowiązał inwestora w formie postanowienia do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usunięda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opisanych powyżej nieprawidłowości, czym naruszył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35 ust. 3 Prawa budowlanego.</w:t>
      </w:r>
    </w:p>
    <w:p w:rsidR="005703F5" w:rsidRPr="00E6546E" w:rsidRDefault="00E4358B" w:rsidP="00E6546E">
      <w:pPr>
        <w:pStyle w:val="Bodytext20"/>
        <w:shd w:val="clear" w:color="auto" w:fill="auto"/>
        <w:tabs>
          <w:tab w:val="left" w:pos="7795"/>
        </w:tabs>
        <w:spacing w:before="120" w:after="240" w:line="300" w:lineRule="auto"/>
        <w:ind w:left="340" w:hanging="34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B. Prawidłowość przeprowadzonego postępowania w sprawie decyzji udzielającej pozwolenia na budowę na t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  <w:t>„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176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na terenie obszaru Las w Dzielnicy Wawer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m.sL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Warszawy.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780" w:hanging="36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1. W latach 2018-2019 wydano 2 decyzje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20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odmawiające zatwierdzenia projektu budowlanego i udzielenia pozwolenia na budowę 8 budynków (4 bud x 2) mieszkalnych jednorodzinnych w zabudowie bliźniaczej oraz 8 zbiorników bezodpływowych na ścieki o poj. 9,6 </w:t>
      </w:r>
      <w:r w:rsidRPr="00E6546E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m3,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przy ul.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340" w:hanging="34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lastRenderedPageBreak/>
        <w:t>19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Projekty budowlane zatwierdzone</w:t>
      </w:r>
    </w:p>
    <w:p w:rsidR="005703F5" w:rsidRPr="00E6546E" w:rsidRDefault="00E4358B" w:rsidP="00E6546E">
      <w:pPr>
        <w:pStyle w:val="Heading110"/>
        <w:keepNext/>
        <w:keepLines/>
        <w:shd w:val="clear" w:color="auto" w:fill="auto"/>
        <w:spacing w:before="120" w:after="240" w:line="300" w:lineRule="auto"/>
        <w:ind w:left="340"/>
        <w:rPr>
          <w:rFonts w:asciiTheme="minorHAnsi" w:hAnsiTheme="minorHAnsi" w:cstheme="minorHAnsi"/>
          <w:b w:val="0"/>
          <w:sz w:val="22"/>
          <w:szCs w:val="22"/>
        </w:rPr>
      </w:pPr>
      <w:bookmarkStart w:id="1" w:name="bookmark2"/>
      <w:r w:rsidRPr="00E6546E">
        <w:rPr>
          <w:rFonts w:asciiTheme="minorHAnsi" w:hAnsiTheme="minorHAnsi" w:cstheme="minorHAnsi"/>
          <w:b w:val="0"/>
          <w:sz w:val="22"/>
          <w:szCs w:val="22"/>
        </w:rPr>
        <w:t>X,</w:t>
      </w:r>
      <w:bookmarkEnd w:id="1"/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9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Poprawnej w Warszawie</w:t>
      </w:r>
    </w:p>
    <w:p w:rsidR="005703F5" w:rsidRPr="00E6546E" w:rsidRDefault="00E4358B" w:rsidP="00E6546E">
      <w:pPr>
        <w:pStyle w:val="Bodytext20"/>
        <w:numPr>
          <w:ilvl w:val="0"/>
          <w:numId w:val="7"/>
        </w:numPr>
        <w:shd w:val="clear" w:color="auto" w:fill="auto"/>
        <w:tabs>
          <w:tab w:val="left" w:pos="921"/>
          <w:tab w:val="left" w:pos="5034"/>
        </w:tabs>
        <w:spacing w:before="120" w:after="240" w:line="300" w:lineRule="auto"/>
        <w:ind w:left="900" w:hanging="32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 roku 2021 wydano 3 decyzje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21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zatwierdzające projekty budowlane i udzielające pozwolenia na budowę w rejonie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</w:r>
      <w:r w:rsidRPr="00E6546E">
        <w:rPr>
          <w:rStyle w:val="Bodytext295ptItalic"/>
          <w:rFonts w:asciiTheme="minorHAnsi" w:hAnsiTheme="minorHAnsi" w:cstheme="minorHAnsi"/>
          <w:bCs/>
          <w:sz w:val="22"/>
          <w:szCs w:val="22"/>
        </w:rPr>
        <w:t>&gt;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dla nw. inwestycji, tj.:</w:t>
      </w:r>
    </w:p>
    <w:p w:rsidR="005703F5" w:rsidRPr="00E6546E" w:rsidRDefault="00E4358B" w:rsidP="00E6546E">
      <w:pPr>
        <w:pStyle w:val="Bodytext20"/>
        <w:numPr>
          <w:ilvl w:val="0"/>
          <w:numId w:val="4"/>
        </w:numPr>
        <w:shd w:val="clear" w:color="auto" w:fill="auto"/>
        <w:tabs>
          <w:tab w:val="left" w:pos="1246"/>
        </w:tabs>
        <w:spacing w:before="120" w:after="240" w:line="300" w:lineRule="auto"/>
        <w:ind w:left="1300" w:hanging="40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8 budynków (4 bud </w:t>
      </w:r>
      <w:r w:rsidRPr="00E6546E">
        <w:rPr>
          <w:rStyle w:val="Bodytext295ptItalic"/>
          <w:rFonts w:asciiTheme="minorHAnsi" w:hAnsiTheme="minorHAnsi" w:cstheme="minorHAnsi"/>
          <w:bCs/>
          <w:sz w:val="22"/>
          <w:szCs w:val="22"/>
        </w:rPr>
        <w:t>x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2) mieszkalnych jednorodzinnych w zabudowie bliźniaczej oraz 8 zbiorników bezodpływowych na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śdeki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poj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_ 9,6 </w:t>
      </w:r>
      <w:r w:rsidRPr="00E6546E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m3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każdy,</w:t>
      </w:r>
    </w:p>
    <w:p w:rsidR="005703F5" w:rsidRPr="00E6546E" w:rsidRDefault="00E4358B" w:rsidP="00E6546E">
      <w:pPr>
        <w:pStyle w:val="Bodytext20"/>
        <w:numPr>
          <w:ilvl w:val="0"/>
          <w:numId w:val="4"/>
        </w:numPr>
        <w:shd w:val="clear" w:color="auto" w:fill="auto"/>
        <w:tabs>
          <w:tab w:val="left" w:pos="1246"/>
        </w:tabs>
        <w:spacing w:before="120" w:after="240" w:line="300" w:lineRule="auto"/>
        <w:ind w:left="1300" w:hanging="40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4 budynków mieszkalnych jednorodzinnych (dwupiętrowych z poddaszem nieużytkowym) dwulokalowych w zabudowie bliźniaczej oraz osiem zbiorników bezodpływowych na nieczystości ciekle o poj. 9,8 </w:t>
      </w:r>
      <w:r w:rsidRPr="00E6546E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m3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każde,</w:t>
      </w:r>
    </w:p>
    <w:p w:rsidR="005703F5" w:rsidRPr="00E6546E" w:rsidRDefault="00E4358B" w:rsidP="00E6546E">
      <w:pPr>
        <w:pStyle w:val="Bodytext20"/>
        <w:numPr>
          <w:ilvl w:val="0"/>
          <w:numId w:val="4"/>
        </w:numPr>
        <w:shd w:val="clear" w:color="auto" w:fill="auto"/>
        <w:tabs>
          <w:tab w:val="left" w:pos="1246"/>
        </w:tabs>
        <w:spacing w:before="120" w:after="240" w:line="300" w:lineRule="auto"/>
        <w:ind w:left="9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budynku mieszkalnego jednorodzinnego dwulokalowego (z poddaszem nieużytkowym)</w:t>
      </w:r>
    </w:p>
    <w:p w:rsidR="005703F5" w:rsidRPr="00E6546E" w:rsidRDefault="00E4358B" w:rsidP="00E6546E">
      <w:pPr>
        <w:pStyle w:val="Bodytext20"/>
        <w:shd w:val="clear" w:color="auto" w:fill="auto"/>
        <w:tabs>
          <w:tab w:val="left" w:pos="4473"/>
          <w:tab w:val="left" w:leader="underscore" w:pos="5294"/>
        </w:tabs>
        <w:spacing w:before="120" w:after="240" w:line="300" w:lineRule="auto"/>
        <w:ind w:left="13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wolnostojącego oraz dwóch zbiorników bezodpływowych na nieczystości dekle (szamba) o poj. 9,8 </w:t>
      </w:r>
      <w:r w:rsidRPr="00E6546E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m3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każde </w:t>
      </w:r>
      <w:r w:rsidRPr="00E6546E">
        <w:rPr>
          <w:rStyle w:val="Bodytext21"/>
          <w:rFonts w:asciiTheme="minorHAnsi" w:hAnsiTheme="minorHAnsi" w:cstheme="minorHAnsi"/>
          <w:bCs/>
          <w:sz w:val="22"/>
          <w:szCs w:val="22"/>
        </w:rPr>
        <w:t>i</w:t>
      </w:r>
      <w:r w:rsidRPr="00E6546E">
        <w:rPr>
          <w:rStyle w:val="Bodytext21"/>
          <w:rFonts w:asciiTheme="minorHAnsi" w:hAnsiTheme="minorHAnsi" w:cstheme="minorHAnsi"/>
          <w:bCs/>
          <w:sz w:val="22"/>
          <w:szCs w:val="22"/>
        </w:rPr>
        <w:tab/>
      </w:r>
      <w:r w:rsidRPr="00E6546E">
        <w:rPr>
          <w:rFonts w:asciiTheme="minorHAnsi" w:hAnsiTheme="minorHAnsi" w:cstheme="minorHAnsi"/>
          <w:b w:val="0"/>
          <w:sz w:val="22"/>
          <w:szCs w:val="22"/>
        </w:rPr>
        <w:t>„ ,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9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Od wszystkich trzech decyzji zostało wniesione odwołanie do Wojewody Mazowieckiego, który w każdym przypadku utrzymał w mocy decyzję Prezydenta m.st. Warszawy. Organ II instancji w uzasadnieniu swoich decyzji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każdorazowo, w odniesieniu do zarzutów skarżących, wskazał że inwestycja nie naruszała interesów osób trzecich oraz że inwestor wypełnił wszystkie obowiązki nałożone przepisem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32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usL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4 pkt 1 i 2 Prawa budowlanego, a złożony przez niego projekt budowlany jest zgodny z wymogami określonymi w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35 ust. 1 Prawa budowlanego.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9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Wszystkie 3 decyzje Wojewody Mazowieckiego zostały zaskarżone do Wojewódzkiego Sądu Administracyjnego w Warszawie.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9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Wskutek poddania powyższych 3 spraw kontroli instancyjnej przeprowadzonej w trybie odwoławczym przez Wojewodę Mazowieckiego oraz toczących się przed Wojewódzkim Sądem Administracyjnym w Warszawie postępowań ze skargi stron na rozstrzygnięcia organu II instancji, odstąpiono od oceny prawidłowości przebiegu postępowań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pierwszoinstancyjnych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oraz wydanych w ich wyniku decyzji.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46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Nadzór nad WAB w okresie objętym kontrolą sprawowali:</w:t>
      </w:r>
    </w:p>
    <w:p w:rsidR="005703F5" w:rsidRPr="00E6546E" w:rsidRDefault="00E4358B" w:rsidP="00D63B4D">
      <w:pPr>
        <w:pStyle w:val="Heading210"/>
        <w:keepNext/>
        <w:keepLines/>
        <w:pBdr>
          <w:top w:val="single" w:sz="4" w:space="1" w:color="auto"/>
        </w:pBdr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bookmarkStart w:id="2" w:name="bookmark3"/>
      <w:r w:rsidRPr="00E6546E">
        <w:rPr>
          <w:rFonts w:asciiTheme="minorHAnsi" w:hAnsiTheme="minorHAnsi" w:cstheme="minorHAnsi"/>
          <w:sz w:val="22"/>
          <w:szCs w:val="22"/>
        </w:rPr>
        <w:t>a.</w:t>
      </w:r>
      <w:bookmarkEnd w:id="2"/>
      <w:r w:rsidRPr="00E6546E">
        <w:rPr>
          <w:rFonts w:asciiTheme="minorHAnsi" w:hAnsiTheme="minorHAnsi" w:cstheme="minorHAnsi"/>
          <w:sz w:val="22"/>
          <w:szCs w:val="22"/>
        </w:rPr>
        <w:br w:type="page"/>
      </w:r>
    </w:p>
    <w:p w:rsidR="00D63B4D" w:rsidRDefault="00D63B4D" w:rsidP="00D63B4D">
      <w:pPr>
        <w:pStyle w:val="Bodytext20"/>
        <w:shd w:val="clear" w:color="auto" w:fill="auto"/>
        <w:spacing w:line="317" w:lineRule="exact"/>
        <w:ind w:left="2977" w:right="581" w:hanging="2977"/>
        <w:jc w:val="both"/>
        <w:rPr>
          <w:rStyle w:val="Bodytext2Exact"/>
          <w:rFonts w:asciiTheme="minorHAnsi" w:hAnsiTheme="minorHAnsi" w:cstheme="minorHAnsi"/>
          <w:bCs/>
          <w:sz w:val="22"/>
          <w:szCs w:val="22"/>
        </w:rPr>
      </w:pPr>
      <w:r>
        <w:rPr>
          <w:rStyle w:val="Bodytext2Exact"/>
          <w:rFonts w:asciiTheme="minorHAnsi" w:hAnsiTheme="minorHAnsi" w:cstheme="minorHAnsi"/>
          <w:bCs/>
          <w:sz w:val="22"/>
          <w:szCs w:val="22"/>
        </w:rPr>
        <w:lastRenderedPageBreak/>
        <w:t>Jacek Wiśniews</w:t>
      </w:r>
      <w:r w:rsidRPr="00DB3D7A">
        <w:rPr>
          <w:rStyle w:val="Bodytext2Exact"/>
          <w:rFonts w:asciiTheme="minorHAnsi" w:hAnsiTheme="minorHAnsi" w:cstheme="minorHAnsi"/>
          <w:bCs/>
          <w:sz w:val="22"/>
          <w:szCs w:val="22"/>
        </w:rPr>
        <w:t>ki - Zastępca Burmistrza -od 11.12.2018 r. do 13.09.2020 r.</w:t>
      </w:r>
    </w:p>
    <w:p w:rsidR="00D63B4D" w:rsidRDefault="00D63B4D" w:rsidP="00D63B4D">
      <w:pPr>
        <w:pStyle w:val="Bodytext20"/>
        <w:shd w:val="clear" w:color="auto" w:fill="auto"/>
        <w:spacing w:line="317" w:lineRule="exact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B3D7A">
        <w:rPr>
          <w:rStyle w:val="Bodytext2Exact"/>
          <w:rFonts w:asciiTheme="minorHAnsi" w:hAnsiTheme="minorHAnsi" w:cstheme="minorHAnsi"/>
          <w:bCs/>
          <w:sz w:val="22"/>
          <w:szCs w:val="22"/>
        </w:rPr>
        <w:t xml:space="preserve">Norbert Szczepański </w:t>
      </w:r>
      <w:r>
        <w:rPr>
          <w:rStyle w:val="Bodytext2Exact"/>
          <w:rFonts w:asciiTheme="minorHAnsi" w:hAnsiTheme="minorHAnsi" w:cstheme="minorHAnsi"/>
          <w:bCs/>
          <w:sz w:val="22"/>
          <w:szCs w:val="22"/>
        </w:rPr>
        <w:t>–</w:t>
      </w:r>
      <w:r w:rsidRPr="00DB3D7A">
        <w:rPr>
          <w:rStyle w:val="Bodytext2Exact"/>
          <w:rFonts w:asciiTheme="minorHAnsi" w:hAnsiTheme="minorHAnsi" w:cstheme="minorHAnsi"/>
          <w:bCs/>
          <w:sz w:val="22"/>
          <w:szCs w:val="22"/>
        </w:rPr>
        <w:t xml:space="preserve"> Burmistrz</w:t>
      </w:r>
      <w:r>
        <w:rPr>
          <w:rStyle w:val="Bodytext2Exact"/>
          <w:rFonts w:asciiTheme="minorHAnsi" w:hAnsiTheme="minorHAnsi" w:cstheme="minorHAnsi"/>
          <w:bCs/>
          <w:sz w:val="22"/>
          <w:szCs w:val="22"/>
        </w:rPr>
        <w:t xml:space="preserve"> - od</w:t>
      </w:r>
      <w:r w:rsidRPr="00D63B4D">
        <w:rPr>
          <w:rStyle w:val="Bodytext2SmallCapsExact"/>
          <w:rFonts w:asciiTheme="minorHAnsi" w:hAnsiTheme="minorHAnsi" w:cstheme="minorHAnsi"/>
          <w:bCs/>
          <w:sz w:val="22"/>
          <w:szCs w:val="22"/>
        </w:rPr>
        <w:t xml:space="preserve"> </w:t>
      </w:r>
      <w:r w:rsidRPr="00D63B4D">
        <w:rPr>
          <w:rStyle w:val="Bodytext2Exact"/>
          <w:rFonts w:asciiTheme="minorHAnsi" w:hAnsiTheme="minorHAnsi" w:cstheme="minorHAnsi"/>
          <w:bCs/>
          <w:sz w:val="22"/>
          <w:szCs w:val="22"/>
        </w:rPr>
        <w:t>22.09</w:t>
      </w:r>
      <w:r w:rsidRPr="00DB3D7A">
        <w:rPr>
          <w:rStyle w:val="Bodytext2Exact"/>
          <w:rFonts w:asciiTheme="minorHAnsi" w:hAnsiTheme="minorHAnsi" w:cstheme="minorHAnsi"/>
          <w:bCs/>
          <w:sz w:val="22"/>
          <w:szCs w:val="22"/>
        </w:rPr>
        <w:t>.2020 r. do chwili obecnej</w:t>
      </w:r>
    </w:p>
    <w:p w:rsidR="00D63B4D" w:rsidRDefault="00D63B4D" w:rsidP="00D63B4D">
      <w:pPr>
        <w:pStyle w:val="Bodytext20"/>
        <w:shd w:val="clear" w:color="auto" w:fill="auto"/>
        <w:spacing w:line="317" w:lineRule="exact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 kontrolowanym okresie pracą WAB kierowały:</w:t>
      </w:r>
    </w:p>
    <w:p w:rsidR="005703F5" w:rsidRPr="00E6546E" w:rsidRDefault="00E4358B" w:rsidP="00E6546E">
      <w:pPr>
        <w:pStyle w:val="Bodytext20"/>
        <w:shd w:val="clear" w:color="auto" w:fill="auto"/>
        <w:tabs>
          <w:tab w:val="left" w:pos="2717"/>
        </w:tabs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p. Jolanta Urbanowska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  <w:t>- od 4.02.2019 r. do 3101-2020 r. jako p o. Naczelnika WAB</w:t>
      </w:r>
    </w:p>
    <w:p w:rsidR="005703F5" w:rsidRPr="00E6546E" w:rsidRDefault="00E4358B" w:rsidP="00E6546E">
      <w:pPr>
        <w:pStyle w:val="Bodytext20"/>
        <w:shd w:val="clear" w:color="auto" w:fill="auto"/>
        <w:tabs>
          <w:tab w:val="left" w:pos="2717"/>
        </w:tabs>
        <w:spacing w:before="120" w:after="240" w:line="300" w:lineRule="auto"/>
        <w:ind w:firstLine="288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-od 1.02.2020 r. do 20.07.2021 r. jako Naczelnik WAB p. Teresa Zduńczyk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  <w:t>- od 1.03.2021 r. do 30.09.2021 r. jako p.o. Zastępcy Naczelnika WAB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firstLine="288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—od 01.10.2021 r. do chwili obecnej jako Naczelnik WAB</w:t>
      </w:r>
    </w:p>
    <w:p w:rsidR="005703F5" w:rsidRPr="00E6546E" w:rsidRDefault="00E4358B" w:rsidP="00E6546E">
      <w:pPr>
        <w:pStyle w:val="Bodytext20"/>
        <w:shd w:val="clear" w:color="auto" w:fill="auto"/>
        <w:tabs>
          <w:tab w:val="left" w:pos="7536"/>
        </w:tabs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Spośród 15 badanych decyzji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7"/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: 12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decyzjP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8"/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podpisała p. Teresa Zduńczyk, w tym 3 decyzje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9"/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jako p.o. Zastępcy Naczelnika WAB i 9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decyzjP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jako Naczelnik WAB;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ab/>
        <w:t>i pisała p.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Anna Marczak-Kamińska Kierownik Referatu Administracji Architektoniczno-Budowlanej WAB;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firstLine="196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podpisała p. Jolanta Urbanowska Naczelnik WAB; i podpisała p. Jadwiga Bałdyga Kierownik Referatu Administracji Architektoniczno-Budowlanej WAB.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Przedstawiając powyższe ustalenia i oceny zalecam: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380" w:hanging="38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1. Stosownie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 art.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35 ust. 1 pkt 1 Prawa budowlanego każdorazowe rzetelne sprawdzanie zatwierdzanego projektu zagospodarowania dziatki lub terenu oraz projektu architektoniczno- budowlanego z ustaleniami obowiązującego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: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740" w:hanging="36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- osiedla Anin w szczególności pod względem zgodności z:</w:t>
      </w:r>
    </w:p>
    <w:p w:rsidR="005703F5" w:rsidRPr="00E6546E" w:rsidRDefault="00E4358B" w:rsidP="00E6546E">
      <w:pPr>
        <w:pStyle w:val="Bodytext20"/>
        <w:numPr>
          <w:ilvl w:val="0"/>
          <w:numId w:val="9"/>
        </w:numPr>
        <w:shd w:val="clear" w:color="auto" w:fill="auto"/>
        <w:tabs>
          <w:tab w:val="left" w:pos="723"/>
        </w:tabs>
        <w:spacing w:before="120" w:after="240" w:line="300" w:lineRule="auto"/>
        <w:ind w:left="740" w:hanging="36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przeznaczeniem podstawowym i dopuszczalnym określonym w planie dla poszczególnych terenów;</w:t>
      </w:r>
    </w:p>
    <w:p w:rsidR="005703F5" w:rsidRPr="00E6546E" w:rsidRDefault="00E4358B" w:rsidP="00E6546E">
      <w:pPr>
        <w:pStyle w:val="Bodytext20"/>
        <w:numPr>
          <w:ilvl w:val="0"/>
          <w:numId w:val="9"/>
        </w:numPr>
        <w:shd w:val="clear" w:color="auto" w:fill="auto"/>
        <w:tabs>
          <w:tab w:val="left" w:pos="819"/>
        </w:tabs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§ 14 ust 1 pkt 2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określającym dla nowej zabudowy powierzchnię działki jako 1000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± </w:t>
      </w:r>
      <w:r w:rsidRPr="00E6546E">
        <w:rPr>
          <w:rStyle w:val="Bodytext2CourierNew10pt"/>
          <w:rFonts w:asciiTheme="minorHAnsi" w:hAnsiTheme="minorHAnsi" w:cstheme="minorHAnsi"/>
          <w:bCs/>
          <w:sz w:val="22"/>
          <w:szCs w:val="22"/>
        </w:rPr>
        <w:t>10</w:t>
      </w:r>
      <w:r w:rsidRPr="00E6546E">
        <w:rPr>
          <w:rStyle w:val="Bodytext2105pt"/>
          <w:rFonts w:asciiTheme="minorHAnsi" w:hAnsiTheme="minorHAnsi" w:cstheme="minorHAnsi"/>
          <w:bCs/>
          <w:sz w:val="22"/>
          <w:szCs w:val="22"/>
        </w:rPr>
        <w:t>%;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c § 14 ust. 1 pkt 4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nakazującym realizację dachów stromych o pochyleniu połaci równym lub większym 30° oraz poddasza użytkowego;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d. §12 ust 5 pkt 6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, wykluczającym możliwość wliczenia do powierzchni biologicznie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8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czynnej, zgodnie z definicją zawartą w § 5 ust 9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, powierzchni wyłożonej kratą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lastRenderedPageBreak/>
        <w:t>drogową, pełniącej funkcję ciągu pieszo jezdnego;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82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- obszaru Las w szczególności pod względem zgodności z:</w:t>
      </w:r>
    </w:p>
    <w:p w:rsidR="005703F5" w:rsidRPr="00E6546E" w:rsidRDefault="00E4358B" w:rsidP="00E6546E">
      <w:pPr>
        <w:pStyle w:val="Bodytext20"/>
        <w:numPr>
          <w:ilvl w:val="0"/>
          <w:numId w:val="10"/>
        </w:numPr>
        <w:shd w:val="clear" w:color="auto" w:fill="auto"/>
        <w:tabs>
          <w:tab w:val="left" w:pos="819"/>
        </w:tabs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§ 11 ust 2 pkt 6 GL a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, poprzez uwzględnienie minimalnych powierzchni działek: dla 1 segmentu -400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oraz dla budynku wolnostojącego - 600 m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, przy czym powierzchnie te powinny zostać przypisane poszczególnym budynkom/segmentom, a nie mogą stanowić wyniku dzielenia powierzchni terenu inwestycji przez ilości budynków;</w:t>
      </w:r>
    </w:p>
    <w:p w:rsidR="005703F5" w:rsidRPr="00E6546E" w:rsidRDefault="00E4358B" w:rsidP="00E6546E">
      <w:pPr>
        <w:pStyle w:val="Bodytext20"/>
        <w:numPr>
          <w:ilvl w:val="0"/>
          <w:numId w:val="10"/>
        </w:numPr>
        <w:shd w:val="clear" w:color="auto" w:fill="auto"/>
        <w:tabs>
          <w:tab w:val="left" w:pos="819"/>
        </w:tabs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§20 ust 4 pkt 2 lit e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, poprzez wykluczenie możliwości wliczenia powierzchni terenu pod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nadwieszeniami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projektowanych budynków do powierzchni biologicznie czynnej, w sytuacji nie wykazania w dokumentacji projektowej, że naturalna wegetacja roślin i retencja wód opadowych pod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nadwieszeniami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będzie możliwa;</w:t>
      </w:r>
    </w:p>
    <w:p w:rsidR="005703F5" w:rsidRPr="00E6546E" w:rsidRDefault="00E4358B" w:rsidP="00E6546E">
      <w:pPr>
        <w:pStyle w:val="Bodytext20"/>
        <w:numPr>
          <w:ilvl w:val="0"/>
          <w:numId w:val="10"/>
        </w:numPr>
        <w:shd w:val="clear" w:color="auto" w:fill="auto"/>
        <w:tabs>
          <w:tab w:val="left" w:pos="819"/>
        </w:tabs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§ 5 ust 5 pkt 3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, poprzez wykazanie spełnienia zasad pierzei eksponowanych projektowanych budynków;</w:t>
      </w:r>
    </w:p>
    <w:p w:rsidR="005703F5" w:rsidRPr="00E6546E" w:rsidRDefault="00E4358B" w:rsidP="00E6546E">
      <w:pPr>
        <w:pStyle w:val="Bodytext20"/>
        <w:numPr>
          <w:ilvl w:val="0"/>
          <w:numId w:val="10"/>
        </w:numPr>
        <w:shd w:val="clear" w:color="auto" w:fill="auto"/>
        <w:tabs>
          <w:tab w:val="left" w:pos="819"/>
        </w:tabs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§ 5 ust 10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, poprzez stosowanie rozwiązań technicznych zapewniających dostępność projektowanych budynków dla osób niepełnosprawnych oraz o ograniczonej mobilności.</w:t>
      </w:r>
    </w:p>
    <w:p w:rsidR="005703F5" w:rsidRPr="00E6546E" w:rsidRDefault="00E4358B" w:rsidP="00E6546E">
      <w:pPr>
        <w:pStyle w:val="Bodytext20"/>
        <w:numPr>
          <w:ilvl w:val="0"/>
          <w:numId w:val="2"/>
        </w:numPr>
        <w:shd w:val="clear" w:color="auto" w:fill="auto"/>
        <w:tabs>
          <w:tab w:val="left" w:pos="331"/>
        </w:tabs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W celu sprawdzenia zgodności załączonej dokumentacji projektowej z ustaleniami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,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każdorazowe egzekwowanie od wnioskodawcy:</w:t>
      </w:r>
    </w:p>
    <w:p w:rsidR="005703F5" w:rsidRPr="00E6546E" w:rsidRDefault="00E4358B" w:rsidP="00E6546E">
      <w:pPr>
        <w:pStyle w:val="Bodytext20"/>
        <w:numPr>
          <w:ilvl w:val="0"/>
          <w:numId w:val="11"/>
        </w:numPr>
        <w:shd w:val="clear" w:color="auto" w:fill="auto"/>
        <w:tabs>
          <w:tab w:val="left" w:pos="819"/>
        </w:tabs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widoków elewacji z naniesionym na rysunku określeniem graficznym lub opisowym charakterystycznych wyrobów wykończeniowych i kolorystyki - zgodnie z § 21 pkt 1 lit c rozporządzenia w sprawie szczegółowego zakresu i formy projektu budowlanego</w:t>
      </w:r>
      <w:r w:rsidRPr="00E6546E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0"/>
      </w:r>
      <w:r w:rsidRPr="00E6546E">
        <w:rPr>
          <w:rFonts w:asciiTheme="minorHAnsi" w:hAnsiTheme="minorHAnsi" w:cstheme="minorHAnsi"/>
          <w:b w:val="0"/>
          <w:sz w:val="22"/>
          <w:szCs w:val="22"/>
        </w:rPr>
        <w:t>;</w:t>
      </w:r>
    </w:p>
    <w:p w:rsidR="005703F5" w:rsidRPr="00E6546E" w:rsidRDefault="00E4358B" w:rsidP="00E6546E">
      <w:pPr>
        <w:pStyle w:val="Bodytext20"/>
        <w:numPr>
          <w:ilvl w:val="0"/>
          <w:numId w:val="11"/>
        </w:numPr>
        <w:shd w:val="clear" w:color="auto" w:fill="auto"/>
        <w:tabs>
          <w:tab w:val="left" w:pos="819"/>
        </w:tabs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jednoznacznej informacji czy istniejący drzewostan przeznaczony do wycinki, stanowi bądź nie stanowi starodrzewu - w przypadku inwestycji zlokalizowanej na terenie objętym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 osiedla Anin.</w:t>
      </w:r>
    </w:p>
    <w:p w:rsidR="005703F5" w:rsidRPr="00E6546E" w:rsidRDefault="00E4358B" w:rsidP="00E6546E">
      <w:pPr>
        <w:pStyle w:val="Bodytext20"/>
        <w:numPr>
          <w:ilvl w:val="0"/>
          <w:numId w:val="2"/>
        </w:numPr>
        <w:shd w:val="clear" w:color="auto" w:fill="auto"/>
        <w:tabs>
          <w:tab w:val="left" w:pos="331"/>
        </w:tabs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We wszystkich przypadkach niewykonania, w wyznaczonym terminie, postanowienia wydanego w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left="38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trybie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35 ust 3 Prawa budowlanego, wydawanie decyzji odmawiającej udzielenia pozwolenia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br w:type="page"/>
      </w:r>
      <w:r w:rsidRPr="00E6546E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na budowę i zatwierdzenia projektu zagospodarowania terenu oraz projektu architektoniczno- budowlanego - zgodnie z </w:t>
      </w:r>
      <w:r w:rsidRPr="00E6546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35 ust 5 pkt 1.</w:t>
      </w:r>
    </w:p>
    <w:p w:rsidR="005703F5" w:rsidRPr="00E6546E" w:rsidRDefault="00E4358B" w:rsidP="00E6546E">
      <w:pPr>
        <w:pStyle w:val="Bodytext20"/>
        <w:numPr>
          <w:ilvl w:val="0"/>
          <w:numId w:val="2"/>
        </w:numPr>
        <w:shd w:val="clear" w:color="auto" w:fill="auto"/>
        <w:tabs>
          <w:tab w:val="left" w:pos="344"/>
        </w:tabs>
        <w:spacing w:before="120" w:after="240" w:line="300" w:lineRule="auto"/>
        <w:ind w:left="42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Każdorazową weryfikację zatwierdzanej dokumentacji projektowej pod względem spójności zapisów i rysunków w poszczególnych częściach projektu w odniesieniu do ustaleń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5703F5" w:rsidRPr="00E6546E" w:rsidRDefault="00E4358B" w:rsidP="00E6546E">
      <w:pPr>
        <w:pStyle w:val="Bodytext20"/>
        <w:numPr>
          <w:ilvl w:val="0"/>
          <w:numId w:val="2"/>
        </w:numPr>
        <w:shd w:val="clear" w:color="auto" w:fill="auto"/>
        <w:tabs>
          <w:tab w:val="left" w:pos="344"/>
        </w:tabs>
        <w:spacing w:before="120" w:after="240" w:line="300" w:lineRule="auto"/>
        <w:ind w:left="42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Zorganizowanie cyklicznych szkoleń dotyczących obowiązującego prawa materialnego oraz proceduralnego w zakresie realizowanych zadań.</w:t>
      </w:r>
    </w:p>
    <w:p w:rsidR="005703F5" w:rsidRPr="00E6546E" w:rsidRDefault="00E4358B" w:rsidP="00E6546E">
      <w:pPr>
        <w:pStyle w:val="Bodytext20"/>
        <w:numPr>
          <w:ilvl w:val="0"/>
          <w:numId w:val="2"/>
        </w:numPr>
        <w:shd w:val="clear" w:color="auto" w:fill="auto"/>
        <w:tabs>
          <w:tab w:val="left" w:pos="344"/>
        </w:tabs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Zwiększenie nadzoru nad wykonywaniem obowiązków przez podległych pracowników.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Na podstawie § 22 ust. 10 Regulaminu organizacyjnego oraz § 41 ust. 1 Zarządzenia oczekuję od Pana w terminie nie dłuższym niż 30 dni od daty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134EF0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Na podstawie § 41 ust. 1 Zarządzenia zobowiązuję Pana do przekazania kopii ww. informacji Pani Renacie Kaznowskiej Zastępczyni Prezydenta m.st Warszawy, Pani Marlenie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>Happach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 xml:space="preserve">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Dyrektorce Biura Architektury i Planowania Przestrzennego oraz Dyrektorom Biura Kontroli Urzędu m.st. Warszawy.</w:t>
      </w:r>
    </w:p>
    <w:p w:rsidR="00134EF0" w:rsidRPr="00E6546E" w:rsidRDefault="00E6546E" w:rsidP="00E6546E">
      <w:pPr>
        <w:pStyle w:val="Bodytext20"/>
        <w:shd w:val="clear" w:color="auto" w:fill="auto"/>
        <w:spacing w:before="120" w:after="240" w:line="300" w:lineRule="auto"/>
        <w:ind w:left="4956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Z up. PREZYDENTA MIASTA STOŁECZNEGO WARSZAWAY /-/ Michał Olszewski Zastępca Prezydenta Miasta Stołecznego Warszawy</w:t>
      </w:r>
    </w:p>
    <w:p w:rsidR="005703F5" w:rsidRPr="00E6546E" w:rsidRDefault="00E4358B" w:rsidP="00E6546E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Style w:val="Bodytext22"/>
          <w:rFonts w:asciiTheme="minorHAnsi" w:hAnsiTheme="minorHAnsi" w:cstheme="minorHAnsi"/>
          <w:bCs/>
          <w:sz w:val="22"/>
          <w:szCs w:val="22"/>
        </w:rPr>
        <w:t>Do wiadomości:</w:t>
      </w:r>
    </w:p>
    <w:p w:rsidR="005703F5" w:rsidRPr="00E6546E" w:rsidRDefault="00E4358B" w:rsidP="00E6546E">
      <w:pPr>
        <w:pStyle w:val="Bodytext20"/>
        <w:numPr>
          <w:ilvl w:val="0"/>
          <w:numId w:val="12"/>
        </w:numPr>
        <w:shd w:val="clear" w:color="auto" w:fill="auto"/>
        <w:tabs>
          <w:tab w:val="left" w:pos="658"/>
        </w:tabs>
        <w:spacing w:before="120" w:after="240" w:line="300" w:lineRule="auto"/>
        <w:ind w:left="300" w:firstLine="0"/>
        <w:rPr>
          <w:rFonts w:asciiTheme="minorHAnsi" w:hAnsiTheme="minorHAnsi" w:cstheme="minorHAnsi"/>
          <w:b w:val="0"/>
          <w:sz w:val="22"/>
          <w:szCs w:val="22"/>
        </w:r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>Pani Renata Kaznowska—Zastępczyni Prezydenta m.st Warszawy</w:t>
      </w:r>
    </w:p>
    <w:p w:rsidR="005703F5" w:rsidRPr="00E6546E" w:rsidRDefault="00E4358B" w:rsidP="00E6546E">
      <w:pPr>
        <w:pStyle w:val="Bodytext20"/>
        <w:numPr>
          <w:ilvl w:val="0"/>
          <w:numId w:val="12"/>
        </w:numPr>
        <w:shd w:val="clear" w:color="auto" w:fill="auto"/>
        <w:tabs>
          <w:tab w:val="left" w:pos="658"/>
        </w:tabs>
        <w:spacing w:before="120" w:after="240" w:line="300" w:lineRule="auto"/>
        <w:ind w:left="300" w:firstLine="0"/>
        <w:rPr>
          <w:rFonts w:asciiTheme="minorHAnsi" w:hAnsiTheme="minorHAnsi" w:cstheme="minorHAnsi"/>
          <w:b w:val="0"/>
          <w:sz w:val="22"/>
          <w:szCs w:val="22"/>
        </w:rPr>
        <w:sectPr w:rsidR="005703F5" w:rsidRPr="00E6546E" w:rsidSect="007C64D9">
          <w:footerReference w:type="default" r:id="rId7"/>
          <w:headerReference w:type="first" r:id="rId8"/>
          <w:footerReference w:type="first" r:id="rId9"/>
          <w:type w:val="continuous"/>
          <w:pgSz w:w="11900" w:h="16840"/>
          <w:pgMar w:top="1660" w:right="1468" w:bottom="1682" w:left="1346" w:header="0" w:footer="3" w:gutter="0"/>
          <w:cols w:space="720"/>
          <w:noEndnote/>
          <w:titlePg/>
          <w:docGrid w:linePitch="360"/>
        </w:sectPr>
      </w:pP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Pani Marlena </w:t>
      </w:r>
      <w:proofErr w:type="spellStart"/>
      <w:r w:rsidRPr="00E6546E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>Happach</w:t>
      </w:r>
      <w:proofErr w:type="spellEnd"/>
      <w:r w:rsidRPr="00E6546E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 xml:space="preserve">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 xml:space="preserve">- Dyrektorka </w:t>
      </w:r>
      <w:r w:rsidRPr="00E6546E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Шига </w:t>
      </w:r>
      <w:r w:rsidRPr="00E6546E">
        <w:rPr>
          <w:rFonts w:asciiTheme="minorHAnsi" w:hAnsiTheme="minorHAnsi" w:cstheme="minorHAnsi"/>
          <w:b w:val="0"/>
          <w:sz w:val="22"/>
          <w:szCs w:val="22"/>
        </w:rPr>
        <w:t>Architektury i Planowania Przestrzennego</w:t>
      </w:r>
    </w:p>
    <w:p w:rsidR="005703F5" w:rsidRPr="00E6546E" w:rsidRDefault="005703F5" w:rsidP="00E6546E">
      <w:pPr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</w:p>
    <w:sectPr w:rsidR="005703F5" w:rsidRPr="00E6546E">
      <w:footerReference w:type="default" r:id="rId10"/>
      <w:footerReference w:type="first" r:id="rId11"/>
      <w:pgSz w:w="11900" w:h="16840"/>
      <w:pgMar w:top="10591" w:right="8598" w:bottom="6007" w:left="22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072" w:rsidRDefault="00690072">
      <w:r>
        <w:separator/>
      </w:r>
    </w:p>
  </w:endnote>
  <w:endnote w:type="continuationSeparator" w:id="0">
    <w:p w:rsidR="00690072" w:rsidRDefault="0069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08735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E6546E" w:rsidRPr="00E6546E" w:rsidRDefault="00E6546E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E6546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6546E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6546E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D6F52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E6546E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5703F5" w:rsidRDefault="005703F5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07868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7C64D9" w:rsidRPr="007C64D9" w:rsidRDefault="007C64D9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7C64D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C64D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C64D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D6F52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7C64D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5703F5" w:rsidRDefault="005703F5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3F5" w:rsidRPr="004E2579" w:rsidRDefault="005703F5" w:rsidP="004E257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3F5" w:rsidRDefault="005703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072" w:rsidRDefault="00690072">
      <w:r>
        <w:separator/>
      </w:r>
    </w:p>
  </w:footnote>
  <w:footnote w:type="continuationSeparator" w:id="0">
    <w:p w:rsidR="00690072" w:rsidRDefault="00690072">
      <w:r>
        <w:continuationSeparator/>
      </w:r>
    </w:p>
  </w:footnote>
  <w:footnote w:id="1">
    <w:p w:rsidR="005703F5" w:rsidRPr="007C64D9" w:rsidRDefault="00E4358B" w:rsidP="003D6F52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3A552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Uchwała Nr </w:t>
      </w:r>
      <w:r w:rsidRPr="007C64D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LXXH/2262/2010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>Rady m. st. Warszawy z dnia 18 lutego 2010 r. w sprawie uchwalenia miejscowego planu zagospodarowania przestrzennego osiedla Anin (</w:t>
      </w:r>
      <w:proofErr w:type="spellStart"/>
      <w:r w:rsidRPr="007C64D9">
        <w:rPr>
          <w:rFonts w:asciiTheme="minorHAnsi" w:hAnsiTheme="minorHAnsi" w:cstheme="minorHAnsi"/>
          <w:b w:val="0"/>
          <w:sz w:val="22"/>
          <w:szCs w:val="22"/>
        </w:rPr>
        <w:t>Mazow</w:t>
      </w:r>
      <w:proofErr w:type="spellEnd"/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. z 2010 r. nr 75, </w:t>
      </w:r>
      <w:proofErr w:type="spellStart"/>
      <w:r w:rsidRPr="007C64D9">
        <w:rPr>
          <w:rFonts w:asciiTheme="minorHAnsi" w:hAnsiTheme="minorHAnsi" w:cstheme="minorHAnsi"/>
          <w:b w:val="0"/>
          <w:sz w:val="22"/>
          <w:szCs w:val="22"/>
        </w:rPr>
        <w:t>poz</w:t>
      </w:r>
      <w:proofErr w:type="spellEnd"/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 1162);</w:t>
      </w:r>
    </w:p>
  </w:footnote>
  <w:footnote w:id="2">
    <w:p w:rsidR="005703F5" w:rsidRPr="007C64D9" w:rsidRDefault="00E4358B" w:rsidP="003D6F52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1540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3A552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>Uchwała Nr XVI</w:t>
      </w:r>
      <w:r w:rsidRPr="007C64D9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1/417/2019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>z dnia 29 sierpnia 2019 r. w sprawie miejscowego planu zagospodarowania przestrzennego obszaru Las (</w:t>
      </w:r>
      <w:proofErr w:type="spellStart"/>
      <w:r w:rsidRPr="007C64D9">
        <w:rPr>
          <w:rFonts w:asciiTheme="minorHAnsi" w:hAnsiTheme="minorHAnsi" w:cstheme="minorHAnsi"/>
          <w:b w:val="0"/>
          <w:sz w:val="22"/>
          <w:szCs w:val="22"/>
        </w:rPr>
        <w:t>Mazow</w:t>
      </w:r>
      <w:proofErr w:type="spellEnd"/>
      <w:r w:rsidRPr="007C64D9">
        <w:rPr>
          <w:rFonts w:asciiTheme="minorHAnsi" w:hAnsiTheme="minorHAnsi" w:cstheme="minorHAnsi"/>
          <w:b w:val="0"/>
          <w:sz w:val="22"/>
          <w:szCs w:val="22"/>
        </w:rPr>
        <w:t>. z 2019 r. poz. 10651);</w:t>
      </w:r>
    </w:p>
  </w:footnote>
  <w:footnote w:id="3">
    <w:p w:rsidR="005703F5" w:rsidRPr="007C64D9" w:rsidRDefault="00E4358B" w:rsidP="003D6F52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3A552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Projekty budowlane </w:t>
      </w:r>
      <w:bookmarkStart w:id="0" w:name="_GoBack"/>
      <w:bookmarkEnd w:id="0"/>
      <w:r w:rsidRPr="007C64D9">
        <w:rPr>
          <w:rFonts w:asciiTheme="minorHAnsi" w:hAnsiTheme="minorHAnsi" w:cstheme="minorHAnsi"/>
          <w:b w:val="0"/>
          <w:sz w:val="22"/>
          <w:szCs w:val="22"/>
        </w:rPr>
        <w:t>zatwierdzone</w:t>
      </w:r>
    </w:p>
  </w:footnote>
  <w:footnote w:id="4">
    <w:p w:rsidR="005703F5" w:rsidRPr="007C64D9" w:rsidRDefault="00E4358B" w:rsidP="003D6F52">
      <w:pPr>
        <w:pStyle w:val="Footnote10"/>
        <w:shd w:val="clear" w:color="auto" w:fill="auto"/>
        <w:tabs>
          <w:tab w:val="left" w:pos="0"/>
          <w:tab w:val="left" w:pos="6094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3A552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>Projekty budowlane zatwierdzone •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ab/>
        <w:t>...</w:t>
      </w:r>
    </w:p>
  </w:footnote>
  <w:footnote w:id="5">
    <w:p w:rsidR="005703F5" w:rsidRPr="007C64D9" w:rsidRDefault="00E4358B" w:rsidP="003D6F52">
      <w:pPr>
        <w:pStyle w:val="Footnote20"/>
        <w:shd w:val="clear" w:color="auto" w:fill="auto"/>
        <w:spacing w:before="120" w:after="240" w:line="300" w:lineRule="auto"/>
        <w:ind w:left="32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t>s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>l</w:t>
      </w:r>
    </w:p>
  </w:footnote>
  <w:footnote w:id="6">
    <w:p w:rsidR="005703F5" w:rsidRPr="007C64D9" w:rsidRDefault="00E4358B" w:rsidP="003D6F52">
      <w:pPr>
        <w:pStyle w:val="Footnote10"/>
        <w:shd w:val="clear" w:color="auto" w:fill="auto"/>
        <w:tabs>
          <w:tab w:val="left" w:pos="440"/>
        </w:tabs>
        <w:spacing w:before="120" w:after="240" w:line="300" w:lineRule="auto"/>
        <w:ind w:left="320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7C64D9">
        <w:rPr>
          <w:rFonts w:asciiTheme="minorHAnsi" w:hAnsiTheme="minorHAnsi" w:cstheme="minorHAnsi"/>
          <w:b w:val="0"/>
          <w:sz w:val="22"/>
          <w:szCs w:val="22"/>
        </w:rPr>
        <w:tab/>
        <w:t>Ustawa z dnia z dnia 7 lipca 1994 r. Prawo budowlane Dz.U.2021.2351 z późn. zm.</w:t>
      </w:r>
    </w:p>
  </w:footnote>
  <w:footnote w:id="7">
    <w:p w:rsidR="005703F5" w:rsidRPr="007C64D9" w:rsidRDefault="00E4358B" w:rsidP="003D6F52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7C64D9">
        <w:rPr>
          <w:rFonts w:asciiTheme="minorHAnsi" w:hAnsiTheme="minorHAnsi" w:cstheme="minorHAnsi"/>
          <w:b w:val="0"/>
          <w:sz w:val="22"/>
          <w:szCs w:val="22"/>
        </w:rPr>
        <w:tab/>
        <w:t>Projekty budowlane zatwierdzone &lt;</w:t>
      </w:r>
    </w:p>
  </w:footnote>
  <w:footnote w:id="8">
    <w:p w:rsidR="005703F5" w:rsidRPr="007C64D9" w:rsidRDefault="00E4358B" w:rsidP="003D6F52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140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E33D68">
        <w:rPr>
          <w:rFonts w:asciiTheme="minorHAnsi" w:hAnsiTheme="minorHAnsi" w:cstheme="minorHAnsi"/>
          <w:sz w:val="22"/>
          <w:szCs w:val="22"/>
        </w:rPr>
        <w:t xml:space="preserve">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>Rozporządzenie Ministra Infrastruktury i Budownictwa z dnia 12 kwietnia 2002 r. z p. zm. w sprawie warunków technicznych, jakim powinny odpowiadać budynki i ich usytuowanie {</w:t>
      </w:r>
      <w:proofErr w:type="spellStart"/>
      <w:r w:rsidRPr="007C64D9">
        <w:rPr>
          <w:rFonts w:asciiTheme="minorHAnsi" w:hAnsiTheme="minorHAnsi" w:cstheme="minorHAnsi"/>
          <w:b w:val="0"/>
          <w:sz w:val="22"/>
          <w:szCs w:val="22"/>
        </w:rPr>
        <w:t>t_j</w:t>
      </w:r>
      <w:proofErr w:type="spellEnd"/>
      <w:r w:rsidRPr="007C64D9">
        <w:rPr>
          <w:rFonts w:asciiTheme="minorHAnsi" w:hAnsiTheme="minorHAnsi" w:cstheme="minorHAnsi"/>
          <w:b w:val="0"/>
          <w:sz w:val="22"/>
          <w:szCs w:val="22"/>
        </w:rPr>
        <w:t>. Dz. U. z 2022 r. poz. 1225);</w:t>
      </w:r>
    </w:p>
  </w:footnote>
  <w:footnote w:id="9">
    <w:p w:rsidR="005703F5" w:rsidRPr="007C64D9" w:rsidRDefault="00E4358B" w:rsidP="003D6F52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7C64D9">
        <w:rPr>
          <w:rFonts w:asciiTheme="minorHAnsi" w:hAnsiTheme="minorHAnsi" w:cstheme="minorHAnsi"/>
          <w:b w:val="0"/>
          <w:sz w:val="22"/>
          <w:szCs w:val="22"/>
        </w:rPr>
        <w:tab/>
        <w:t>Wyroki: Naczelnego Sądu Administracyjnego z 11 kwietnia 2019 r., sygn. IIOSK</w:t>
      </w:r>
      <w:r w:rsidRPr="007C64D9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1046/18,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>Wojewódzkiego Sądu Administracyjnego w Warszawie z 9 września 2020 r., sygn. VII SA/</w:t>
      </w:r>
      <w:proofErr w:type="spellStart"/>
      <w:r w:rsidRPr="007C64D9">
        <w:rPr>
          <w:rFonts w:asciiTheme="minorHAnsi" w:hAnsiTheme="minorHAnsi" w:cstheme="minorHAnsi"/>
          <w:b w:val="0"/>
          <w:sz w:val="22"/>
          <w:szCs w:val="22"/>
        </w:rPr>
        <w:t>Wa</w:t>
      </w:r>
      <w:proofErr w:type="spellEnd"/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C64D9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11/20, </w:t>
      </w:r>
      <w:r w:rsidRPr="007C64D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LEX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>Nr 3081935, Wojewódzkiego Sądu Administracyjnego w Warszawie z 28 października 2020 r., sygn. IV SA/</w:t>
      </w:r>
      <w:proofErr w:type="spellStart"/>
      <w:r w:rsidRPr="007C64D9">
        <w:rPr>
          <w:rFonts w:asciiTheme="minorHAnsi" w:hAnsiTheme="minorHAnsi" w:cstheme="minorHAnsi"/>
          <w:b w:val="0"/>
          <w:sz w:val="22"/>
          <w:szCs w:val="22"/>
        </w:rPr>
        <w:t>Wa</w:t>
      </w:r>
      <w:proofErr w:type="spellEnd"/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C64D9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2730/19, </w:t>
      </w:r>
      <w:r w:rsidRPr="007C64D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LEX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>Nr 3110055;</w:t>
      </w:r>
    </w:p>
  </w:footnote>
  <w:footnote w:id="10">
    <w:p w:rsidR="005703F5" w:rsidRPr="007C64D9" w:rsidRDefault="00E4358B" w:rsidP="003D6F52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</w:rPr>
        <w:t>Projekty budowlane zatwierdzone</w:t>
      </w:r>
    </w:p>
  </w:footnote>
  <w:footnote w:id="11">
    <w:p w:rsidR="005703F5" w:rsidRPr="007C64D9" w:rsidRDefault="00E4358B" w:rsidP="003D6F52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7C64D9">
        <w:rPr>
          <w:rFonts w:asciiTheme="minorHAnsi" w:hAnsiTheme="minorHAnsi" w:cstheme="minorHAnsi"/>
          <w:b w:val="0"/>
          <w:sz w:val="22"/>
          <w:szCs w:val="22"/>
        </w:rPr>
        <w:tab/>
        <w:t>Projekty budowlane zatwierdzone</w:t>
      </w:r>
    </w:p>
  </w:footnote>
  <w:footnote w:id="12">
    <w:p w:rsidR="005703F5" w:rsidRPr="007C64D9" w:rsidRDefault="00E4358B" w:rsidP="003D6F52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7C64D9">
        <w:rPr>
          <w:rFonts w:asciiTheme="minorHAnsi" w:hAnsiTheme="minorHAnsi" w:cstheme="minorHAnsi"/>
          <w:b w:val="0"/>
          <w:sz w:val="22"/>
          <w:szCs w:val="22"/>
        </w:rPr>
        <w:tab/>
        <w:t>Projekty budowlane zatwierdzone r</w:t>
      </w:r>
    </w:p>
  </w:footnote>
  <w:footnote w:id="13">
    <w:p w:rsidR="005703F5" w:rsidRPr="007C64D9" w:rsidRDefault="00E4358B" w:rsidP="003D6F52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7C64D9">
        <w:rPr>
          <w:rFonts w:asciiTheme="minorHAnsi" w:hAnsiTheme="minorHAnsi" w:cstheme="minorHAnsi"/>
          <w:b w:val="0"/>
          <w:sz w:val="22"/>
          <w:szCs w:val="22"/>
        </w:rPr>
        <w:tab/>
        <w:t>Projekty budowlane zatwierdzone</w:t>
      </w:r>
    </w:p>
  </w:footnote>
  <w:footnote w:id="14">
    <w:p w:rsidR="005703F5" w:rsidRPr="007C64D9" w:rsidRDefault="00E4358B" w:rsidP="003D6F52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7C64D9">
        <w:rPr>
          <w:rFonts w:asciiTheme="minorHAnsi" w:hAnsiTheme="minorHAnsi" w:cstheme="minorHAnsi"/>
          <w:b w:val="0"/>
          <w:sz w:val="22"/>
          <w:szCs w:val="22"/>
        </w:rPr>
        <w:tab/>
        <w:t>Projekty budowlane zatwierdzone'</w:t>
      </w:r>
    </w:p>
  </w:footnote>
  <w:footnote w:id="15">
    <w:p w:rsidR="005703F5" w:rsidRPr="007C64D9" w:rsidRDefault="00E4358B" w:rsidP="003D6F52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7C64D9">
        <w:rPr>
          <w:rFonts w:asciiTheme="minorHAnsi" w:hAnsiTheme="minorHAnsi" w:cstheme="minorHAnsi"/>
          <w:b w:val="0"/>
          <w:sz w:val="22"/>
          <w:szCs w:val="22"/>
        </w:rPr>
        <w:tab/>
        <w:t>Projekty budowlane zatwierdzone *</w:t>
      </w:r>
    </w:p>
  </w:footnote>
  <w:footnote w:id="16">
    <w:p w:rsidR="005703F5" w:rsidRPr="007C64D9" w:rsidRDefault="00E4358B" w:rsidP="003D6F52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 Projekty budowlane zatwierdzone</w:t>
      </w:r>
    </w:p>
    <w:p w:rsidR="005703F5" w:rsidRPr="007C64D9" w:rsidRDefault="00E4358B" w:rsidP="003D6F52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proofErr w:type="spellStart"/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t>M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>Zgodnie</w:t>
      </w:r>
      <w:proofErr w:type="spellEnd"/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 z definicją podaną na stronie </w:t>
      </w:r>
      <w:hyperlink r:id="rId1" w:history="1">
        <w:r w:rsidRPr="007C64D9">
          <w:rPr>
            <w:rStyle w:val="Footnote19ptNotBold"/>
            <w:rFonts w:asciiTheme="minorHAnsi" w:hAnsiTheme="minorHAnsi" w:cstheme="minorHAnsi"/>
            <w:sz w:val="22"/>
            <w:szCs w:val="22"/>
          </w:rPr>
          <w:t>https://inzvnierbudownfctwa.pl/tynki-w-</w:t>
        </w:r>
      </w:hyperlink>
      <w:r w:rsidRPr="007C64D9">
        <w:rPr>
          <w:rStyle w:val="Footnote19ptNotBold0"/>
          <w:rFonts w:asciiTheme="minorHAnsi" w:hAnsiTheme="minorHAnsi" w:cstheme="minorHAnsi"/>
          <w:sz w:val="22"/>
          <w:szCs w:val="22"/>
        </w:rPr>
        <w:t xml:space="preserve">budownictwie-cz-l/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>tynki szlachetne są wykonywane z zapraw szlachetnych, w których skład wchodzą: biały cement pigmenty, kruszywa</w:t>
      </w:r>
      <w:r w:rsidRPr="007C64D9">
        <w:rPr>
          <w:rFonts w:asciiTheme="minorHAnsi" w:hAnsiTheme="minorHAnsi" w:cstheme="minorHAnsi"/>
          <w:sz w:val="22"/>
          <w:szCs w:val="22"/>
        </w:rPr>
        <w:t xml:space="preserve">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>mineralne szlachetne oraz dodatki dekoracyjne. Mogą również zawierać impregnaty lub</w:t>
      </w:r>
      <w:r w:rsidRPr="007C64D9">
        <w:rPr>
          <w:rFonts w:asciiTheme="minorHAnsi" w:hAnsiTheme="minorHAnsi" w:cstheme="minorHAnsi"/>
          <w:sz w:val="22"/>
          <w:szCs w:val="22"/>
        </w:rPr>
        <w:t xml:space="preserve">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dodatki regulujące wiązanie czy twardnienie. Można nadać im różne faktury: nakrapiane, cyklinowane, zmywane, kamieniarskie, gładzone, zacierane. Rodzaje tynków szlachetnych </w:t>
      </w:r>
      <w:r w:rsidRPr="007C64D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to: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sztablatura, stiuki, </w:t>
      </w:r>
      <w:proofErr w:type="spellStart"/>
      <w:r w:rsidRPr="007C64D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sgraffito</w:t>
      </w:r>
      <w:proofErr w:type="spellEnd"/>
      <w:r w:rsidRPr="007C64D9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, 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>sztukateria.</w:t>
      </w:r>
    </w:p>
  </w:footnote>
  <w:footnote w:id="17">
    <w:p w:rsidR="005703F5" w:rsidRPr="007C64D9" w:rsidRDefault="00E4358B" w:rsidP="003D6F52">
      <w:pPr>
        <w:pStyle w:val="Footnote10"/>
        <w:pBdr>
          <w:top w:val="single" w:sz="4" w:space="1" w:color="auto"/>
        </w:pBdr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 Projekty budowlane</w:t>
      </w:r>
    </w:p>
  </w:footnote>
  <w:footnote w:id="18">
    <w:p w:rsidR="005703F5" w:rsidRPr="007C64D9" w:rsidRDefault="00E4358B" w:rsidP="003D6F52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 Projekty budowlane </w:t>
      </w: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t>23</w:t>
      </w:r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 Projekty budowlane</w:t>
      </w:r>
    </w:p>
  </w:footnote>
  <w:footnote w:id="19">
    <w:p w:rsidR="005703F5" w:rsidRPr="007C64D9" w:rsidRDefault="00E4358B" w:rsidP="003D6F52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 Projekty budowlane</w:t>
      </w:r>
    </w:p>
  </w:footnote>
  <w:footnote w:id="20">
    <w:p w:rsidR="005703F5" w:rsidRPr="007C64D9" w:rsidRDefault="00E4358B" w:rsidP="003D6F52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C64D9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7C64D9">
        <w:rPr>
          <w:rFonts w:asciiTheme="minorHAnsi" w:hAnsiTheme="minorHAnsi" w:cstheme="minorHAnsi"/>
          <w:b w:val="0"/>
          <w:sz w:val="22"/>
          <w:szCs w:val="22"/>
        </w:rPr>
        <w:t xml:space="preserve"> Rozporządzenie Ministra Rozwoju z dnia 11 września 2020 r. w sprawne szczegółowego zakresu i formy projektu budowlanego - Dz.U.2022.1679 tj.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4D9" w:rsidRDefault="007C64D9">
    <w:pPr>
      <w:pStyle w:val="Nagwek"/>
    </w:pPr>
    <w:r>
      <w:rPr>
        <w:noProof/>
      </w:rPr>
      <w:drawing>
        <wp:inline distT="0" distB="0" distL="0" distR="0" wp14:anchorId="2A9E059C" wp14:editId="0B49F0EA">
          <wp:extent cx="5760813" cy="1082057"/>
          <wp:effectExtent l="0" t="0" r="0" b="3810"/>
          <wp:docPr id="5" name="Obraz 5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813" cy="10820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636B7"/>
    <w:multiLevelType w:val="multilevel"/>
    <w:tmpl w:val="B356587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7D02FE"/>
    <w:multiLevelType w:val="multilevel"/>
    <w:tmpl w:val="F9248ED4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47039B"/>
    <w:multiLevelType w:val="multilevel"/>
    <w:tmpl w:val="EBC223E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DE2774"/>
    <w:multiLevelType w:val="multilevel"/>
    <w:tmpl w:val="9C62C972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036ABE"/>
    <w:multiLevelType w:val="multilevel"/>
    <w:tmpl w:val="B582B72E"/>
    <w:lvl w:ilvl="0">
      <w:start w:val="1"/>
      <w:numFmt w:val="low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472472"/>
    <w:multiLevelType w:val="multilevel"/>
    <w:tmpl w:val="CA4E870A"/>
    <w:lvl w:ilvl="0">
      <w:start w:val="1"/>
      <w:numFmt w:val="lowerLetter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3B6142"/>
    <w:multiLevelType w:val="multilevel"/>
    <w:tmpl w:val="B674F06E"/>
    <w:lvl w:ilvl="0">
      <w:start w:val="1"/>
      <w:numFmt w:val="lowerLetter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355068"/>
    <w:multiLevelType w:val="multilevel"/>
    <w:tmpl w:val="BD58692C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E04E25"/>
    <w:multiLevelType w:val="multilevel"/>
    <w:tmpl w:val="51988EE8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80234B"/>
    <w:multiLevelType w:val="multilevel"/>
    <w:tmpl w:val="40487956"/>
    <w:lvl w:ilvl="0">
      <w:start w:val="2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5A06BD"/>
    <w:multiLevelType w:val="multilevel"/>
    <w:tmpl w:val="6074A460"/>
    <w:lvl w:ilvl="0">
      <w:start w:val="1"/>
      <w:numFmt w:val="lowerLetter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A710383"/>
    <w:multiLevelType w:val="multilevel"/>
    <w:tmpl w:val="D3981B3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10"/>
  </w:num>
  <w:num w:numId="10">
    <w:abstractNumId w:val="6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F5"/>
    <w:rsid w:val="00061682"/>
    <w:rsid w:val="000804D7"/>
    <w:rsid w:val="00094CF8"/>
    <w:rsid w:val="00134EF0"/>
    <w:rsid w:val="00145F5A"/>
    <w:rsid w:val="0017198F"/>
    <w:rsid w:val="0019688E"/>
    <w:rsid w:val="001A73C4"/>
    <w:rsid w:val="00241582"/>
    <w:rsid w:val="002A5DB0"/>
    <w:rsid w:val="003204C2"/>
    <w:rsid w:val="003225C8"/>
    <w:rsid w:val="003708F5"/>
    <w:rsid w:val="003A552E"/>
    <w:rsid w:val="003D6F52"/>
    <w:rsid w:val="004E2579"/>
    <w:rsid w:val="005703F5"/>
    <w:rsid w:val="005C2B94"/>
    <w:rsid w:val="0063558B"/>
    <w:rsid w:val="00690072"/>
    <w:rsid w:val="006A08BA"/>
    <w:rsid w:val="006B6A37"/>
    <w:rsid w:val="00775CB8"/>
    <w:rsid w:val="007C64D9"/>
    <w:rsid w:val="00826F06"/>
    <w:rsid w:val="00860E33"/>
    <w:rsid w:val="0090352E"/>
    <w:rsid w:val="00916074"/>
    <w:rsid w:val="00996CA8"/>
    <w:rsid w:val="009A674C"/>
    <w:rsid w:val="009F6D6A"/>
    <w:rsid w:val="00A262E1"/>
    <w:rsid w:val="00AA0D90"/>
    <w:rsid w:val="00B34C14"/>
    <w:rsid w:val="00CB3C27"/>
    <w:rsid w:val="00CD467B"/>
    <w:rsid w:val="00D03311"/>
    <w:rsid w:val="00D066FD"/>
    <w:rsid w:val="00D46566"/>
    <w:rsid w:val="00D63B4D"/>
    <w:rsid w:val="00DB3D7A"/>
    <w:rsid w:val="00E33D68"/>
    <w:rsid w:val="00E4358B"/>
    <w:rsid w:val="00E6546E"/>
    <w:rsid w:val="00E7345F"/>
    <w:rsid w:val="00E91078"/>
    <w:rsid w:val="00EF549B"/>
    <w:rsid w:val="00FD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EA2202F-1AF3-415E-8102-D68F53BFD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08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Footnote2">
    <w:name w:val="Footnote|2_"/>
    <w:basedOn w:val="Domylnaczcionkaakapitu"/>
    <w:link w:val="Footnote20"/>
    <w:rPr>
      <w:b/>
      <w:bCs/>
      <w:i w:val="0"/>
      <w:iCs w:val="0"/>
      <w:smallCaps w:val="0"/>
      <w:strike w:val="0"/>
      <w:spacing w:val="40"/>
      <w:sz w:val="21"/>
      <w:szCs w:val="21"/>
      <w:u w:val="none"/>
    </w:rPr>
  </w:style>
  <w:style w:type="character" w:customStyle="1" w:styleId="Footnote19ptNotBold">
    <w:name w:val="Footnote|1 + 9 pt;Not Bold"/>
    <w:basedOn w:val="Footnote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Footnote19ptNotBold0">
    <w:name w:val="Footnote|1 + 9 pt;Not Bold"/>
    <w:basedOn w:val="Footnote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Heading31Exact">
    <w:name w:val="Heading #3|1 Exact"/>
    <w:basedOn w:val="Domylnaczcionkaakapitu"/>
    <w:link w:val="Heading3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lang w:val="ru-RU" w:eastAsia="ru-RU" w:bidi="ru-RU"/>
    </w:rPr>
  </w:style>
  <w:style w:type="character" w:customStyle="1" w:styleId="Heading31Exact0">
    <w:name w:val="Heading #3|1 Exact"/>
    <w:basedOn w:val="Heading31Exact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D39354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Picturecaption2Exact">
    <w:name w:val="Picture caption|2 Exact"/>
    <w:basedOn w:val="Domylnaczcionkaakapitu"/>
    <w:link w:val="Picturecaption2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Picturecaption2Exact0">
    <w:name w:val="Picture caption|2 Exact"/>
    <w:basedOn w:val="Picturecaption2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39354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Heading41">
    <w:name w:val="Heading #4|1_"/>
    <w:basedOn w:val="Domylnaczcionkaakapitu"/>
    <w:link w:val="Heading4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w w:val="150"/>
      <w:sz w:val="13"/>
      <w:szCs w:val="13"/>
      <w:u w:val="none"/>
    </w:rPr>
  </w:style>
  <w:style w:type="character" w:customStyle="1" w:styleId="Bodytext31">
    <w:name w:val="Body text|3"/>
    <w:basedOn w:val="Bodytext3"/>
    <w:semiHidden/>
    <w:unhideWhenUsed/>
    <w:rPr>
      <w:rFonts w:ascii="Arial" w:eastAsia="Arial" w:hAnsi="Arial" w:cs="Arial"/>
      <w:b/>
      <w:bCs/>
      <w:i w:val="0"/>
      <w:iCs w:val="0"/>
      <w:smallCaps w:val="0"/>
      <w:strike/>
      <w:color w:val="000000"/>
      <w:spacing w:val="0"/>
      <w:w w:val="150"/>
      <w:position w:val="0"/>
      <w:sz w:val="13"/>
      <w:szCs w:val="13"/>
      <w:u w:val="none"/>
      <w:lang w:val="pl-PL" w:eastAsia="pl-PL" w:bidi="pl-PL"/>
    </w:rPr>
  </w:style>
  <w:style w:type="character" w:customStyle="1" w:styleId="Bodytext3CourierNew55ptNotBoldScaling100">
    <w:name w:val="Body text|3 + Courier New;5.5 pt;Not Bold;Scaling 100%"/>
    <w:basedOn w:val="Bodytext3"/>
    <w:semiHidden/>
    <w:unhideWhenUsed/>
    <w:rPr>
      <w:rFonts w:ascii="Courier New" w:eastAsia="Courier New" w:hAnsi="Courier New" w:cs="Courier New"/>
      <w:b/>
      <w:bCs/>
      <w:i w:val="0"/>
      <w:iCs w:val="0"/>
      <w:smallCaps w:val="0"/>
      <w:strike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Bodytext2Exact">
    <w:name w:val="Body text|2 Exact"/>
    <w:basedOn w:val="Domylnaczcionkaakapitu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4Exact">
    <w:name w:val="Body text|4 Exact"/>
    <w:basedOn w:val="Domylnaczcionkaakapitu"/>
    <w:link w:val="Bodytext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SmallCapsExact">
    <w:name w:val="Body text|2 + Small Caps Exact"/>
    <w:basedOn w:val="Bodytext2"/>
    <w:semiHidden/>
    <w:unhideWhenUsed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icturecaption1ItalicExact">
    <w:name w:val="Picture caption|1 + Italic Exact"/>
    <w:basedOn w:val="Picturecaption1Exact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B25B64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icturecaption1Exact0">
    <w:name w:val="Picture caption|1 Exact"/>
    <w:basedOn w:val="Picturecaption1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B25B64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275ptScaling120">
    <w:name w:val="Body text|2 + 7.5 pt;Scaling 120%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20"/>
      <w:position w:val="0"/>
      <w:sz w:val="15"/>
      <w:szCs w:val="15"/>
      <w:u w:val="none"/>
      <w:lang w:val="pl-PL" w:eastAsia="pl-PL" w:bidi="pl-PL"/>
    </w:rPr>
  </w:style>
  <w:style w:type="character" w:customStyle="1" w:styleId="Bodytext295ptItalic">
    <w:name w:val="Body text|2 + 9.5 pt;Italic"/>
    <w:basedOn w:val="Bodytext2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5A91B4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22">
    <w:name w:val="Body text|2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/>
      <w:iCs/>
      <w:smallCaps w:val="0"/>
      <w:strike w:val="0"/>
      <w:spacing w:val="50"/>
      <w:u w:val="none"/>
    </w:rPr>
  </w:style>
  <w:style w:type="character" w:customStyle="1" w:styleId="Heading21">
    <w:name w:val="Heading #2|1_"/>
    <w:basedOn w:val="Domylnaczcionkaakapitu"/>
    <w:link w:val="Heading210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2CourierNew10pt">
    <w:name w:val="Body text|2 + Courier New;10 pt"/>
    <w:basedOn w:val="Bodytext2"/>
    <w:semiHidden/>
    <w:unhideWhenUsed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2105pt">
    <w:name w:val="Body text|2 + 10.5 pt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Bodytext5Exact">
    <w:name w:val="Body text|5 Exact"/>
    <w:basedOn w:val="Domylnaczcionkaakapitu"/>
    <w:link w:val="Bodytext5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6Exact">
    <w:name w:val="Body text|6 Exact"/>
    <w:basedOn w:val="Domylnaczcionkaakapitu"/>
    <w:link w:val="Bodytext6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59" w:lineRule="exact"/>
      <w:ind w:hanging="280"/>
    </w:pPr>
    <w:rPr>
      <w:rFonts w:ascii="Arial" w:eastAsia="Arial" w:hAnsi="Arial" w:cs="Arial"/>
      <w:b/>
      <w:bCs/>
      <w:sz w:val="17"/>
      <w:szCs w:val="17"/>
    </w:rPr>
  </w:style>
  <w:style w:type="paragraph" w:customStyle="1" w:styleId="Footnote20">
    <w:name w:val="Footnote|2"/>
    <w:basedOn w:val="Normalny"/>
    <w:link w:val="Footnote2"/>
    <w:pPr>
      <w:shd w:val="clear" w:color="auto" w:fill="FFFFFF"/>
      <w:spacing w:line="523" w:lineRule="exact"/>
    </w:pPr>
    <w:rPr>
      <w:b/>
      <w:bCs/>
      <w:spacing w:val="40"/>
      <w:sz w:val="21"/>
      <w:szCs w:val="21"/>
    </w:rPr>
  </w:style>
  <w:style w:type="paragraph" w:customStyle="1" w:styleId="Heading31">
    <w:name w:val="Heading #3|1"/>
    <w:basedOn w:val="Normalny"/>
    <w:link w:val="Heading31Exact"/>
    <w:qFormat/>
    <w:pPr>
      <w:shd w:val="clear" w:color="auto" w:fill="FFFFFF"/>
      <w:spacing w:line="246" w:lineRule="exact"/>
      <w:outlineLvl w:val="2"/>
    </w:pPr>
    <w:rPr>
      <w:rFonts w:ascii="Arial" w:eastAsia="Arial" w:hAnsi="Arial" w:cs="Arial"/>
      <w:b/>
      <w:bCs/>
      <w:sz w:val="22"/>
      <w:szCs w:val="22"/>
      <w:lang w:val="ru-RU" w:eastAsia="ru-RU" w:bidi="ru-RU"/>
    </w:rPr>
  </w:style>
  <w:style w:type="paragraph" w:customStyle="1" w:styleId="Picturecaption2">
    <w:name w:val="Picture caption|2"/>
    <w:basedOn w:val="Normalny"/>
    <w:link w:val="Picturecaption2Exact"/>
    <w:pPr>
      <w:shd w:val="clear" w:color="auto" w:fill="FFFFFF"/>
      <w:spacing w:line="90" w:lineRule="exact"/>
    </w:pPr>
    <w:rPr>
      <w:rFonts w:ascii="Arial" w:eastAsia="Arial" w:hAnsi="Arial" w:cs="Arial"/>
      <w:sz w:val="8"/>
      <w:szCs w:val="8"/>
    </w:rPr>
  </w:style>
  <w:style w:type="paragraph" w:customStyle="1" w:styleId="Heading410">
    <w:name w:val="Heading #4|1"/>
    <w:basedOn w:val="Normalny"/>
    <w:link w:val="Heading41"/>
    <w:qFormat/>
    <w:pPr>
      <w:shd w:val="clear" w:color="auto" w:fill="FFFFFF"/>
      <w:spacing w:line="246" w:lineRule="exact"/>
      <w:jc w:val="both"/>
      <w:outlineLvl w:val="3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163" w:lineRule="exact"/>
      <w:jc w:val="both"/>
    </w:pPr>
    <w:rPr>
      <w:rFonts w:ascii="Arial" w:eastAsia="Arial" w:hAnsi="Arial" w:cs="Arial"/>
      <w:b/>
      <w:bCs/>
      <w:w w:val="150"/>
      <w:sz w:val="13"/>
      <w:szCs w:val="13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190" w:lineRule="exact"/>
      <w:ind w:hanging="420"/>
    </w:pPr>
    <w:rPr>
      <w:rFonts w:ascii="Arial" w:eastAsia="Arial" w:hAnsi="Arial" w:cs="Arial"/>
      <w:b/>
      <w:bCs/>
      <w:sz w:val="17"/>
      <w:szCs w:val="17"/>
    </w:rPr>
  </w:style>
  <w:style w:type="paragraph" w:customStyle="1" w:styleId="Bodytext4">
    <w:name w:val="Body text|4"/>
    <w:basedOn w:val="Normalny"/>
    <w:link w:val="Bodytext4Exact"/>
    <w:pPr>
      <w:shd w:val="clear" w:color="auto" w:fill="FFFFFF"/>
      <w:spacing w:line="158" w:lineRule="exact"/>
    </w:pPr>
    <w:rPr>
      <w:rFonts w:ascii="Courier New" w:eastAsia="Courier New" w:hAnsi="Courier New" w:cs="Courier New"/>
      <w:sz w:val="14"/>
      <w:szCs w:val="14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154" w:lineRule="exact"/>
      <w:jc w:val="center"/>
    </w:pPr>
    <w:rPr>
      <w:rFonts w:ascii="Arial" w:eastAsia="Arial" w:hAnsi="Arial" w:cs="Arial"/>
      <w:sz w:val="16"/>
      <w:szCs w:val="16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68" w:lineRule="exact"/>
      <w:outlineLvl w:val="0"/>
    </w:pPr>
    <w:rPr>
      <w:rFonts w:ascii="Arial" w:eastAsia="Arial" w:hAnsi="Arial" w:cs="Arial"/>
      <w:b/>
      <w:bCs/>
      <w:i/>
      <w:iCs/>
      <w:spacing w:val="50"/>
    </w:rPr>
  </w:style>
  <w:style w:type="paragraph" w:customStyle="1" w:styleId="Heading210">
    <w:name w:val="Heading #2|1"/>
    <w:basedOn w:val="Normalny"/>
    <w:link w:val="Heading21"/>
    <w:qFormat/>
    <w:pPr>
      <w:shd w:val="clear" w:color="auto" w:fill="FFFFFF"/>
      <w:spacing w:before="1600" w:line="358" w:lineRule="exact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Bodytext5">
    <w:name w:val="Body text|5"/>
    <w:basedOn w:val="Normalny"/>
    <w:link w:val="Bodytext5Exact"/>
    <w:pPr>
      <w:shd w:val="clear" w:color="auto" w:fill="FFFFFF"/>
      <w:spacing w:line="182" w:lineRule="exact"/>
    </w:pPr>
    <w:rPr>
      <w:rFonts w:ascii="Courier New" w:eastAsia="Courier New" w:hAnsi="Courier New" w:cs="Courier New"/>
      <w:sz w:val="16"/>
      <w:szCs w:val="16"/>
    </w:rPr>
  </w:style>
  <w:style w:type="paragraph" w:customStyle="1" w:styleId="Bodytext6">
    <w:name w:val="Body text|6"/>
    <w:basedOn w:val="Normalny"/>
    <w:link w:val="Bodytext6Exact"/>
    <w:pPr>
      <w:shd w:val="clear" w:color="auto" w:fill="FFFFFF"/>
      <w:spacing w:line="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rsid w:val="00D066FD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D066FD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4E25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579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6A08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nzvnierbudownfctwa.pl/tynki-w-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3867</Words>
  <Characters>23208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Wystąpienie pokontrolne</vt:lpstr>
    </vt:vector>
  </TitlesOfParts>
  <Company>UMSTW</Company>
  <LinksUpToDate>false</LinksUpToDate>
  <CharactersWithSpaces>27021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52</cp:revision>
  <dcterms:created xsi:type="dcterms:W3CDTF">2023-04-06T09:54:00Z</dcterms:created>
  <dcterms:modified xsi:type="dcterms:W3CDTF">2024-04-30T10:54:00Z</dcterms:modified>
</cp:coreProperties>
</file>