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1EE1" w:rsidRPr="00BD483A" w:rsidRDefault="00E44599" w:rsidP="00395493">
      <w:pPr>
        <w:pStyle w:val="Nagwek"/>
        <w:spacing w:before="120"/>
        <w:ind w:left="6372"/>
        <w:rPr>
          <w:rFonts w:cstheme="minorHAnsi"/>
          <w:color w:val="FFFFFF" w:themeColor="background1"/>
          <w:szCs w:val="22"/>
        </w:rPr>
      </w:pPr>
      <w:r w:rsidRPr="00BD483A">
        <w:rPr>
          <w:rStyle w:val="Bodytext5NotItalic"/>
          <w:rFonts w:asciiTheme="minorHAnsi" w:hAnsiTheme="minorHAnsi" w:cstheme="minorHAnsi"/>
          <w:i w:val="0"/>
          <w:sz w:val="22"/>
          <w:szCs w:val="22"/>
        </w:rPr>
        <w:t>Warszawa,</w:t>
      </w:r>
      <w:r w:rsidRPr="00BD483A">
        <w:rPr>
          <w:rStyle w:val="Bodytext5NotItalic"/>
          <w:rFonts w:asciiTheme="minorHAnsi" w:hAnsiTheme="minorHAnsi" w:cstheme="minorHAnsi"/>
          <w:sz w:val="22"/>
          <w:szCs w:val="22"/>
        </w:rPr>
        <w:t xml:space="preserve"> </w:t>
      </w:r>
      <w:r w:rsidR="00CE77BE" w:rsidRPr="00BD483A">
        <w:rPr>
          <w:rFonts w:cstheme="minorHAnsi"/>
          <w:szCs w:val="22"/>
        </w:rPr>
        <w:t>10 października 2022</w:t>
      </w:r>
    </w:p>
    <w:p w:rsidR="003A1EE1" w:rsidRPr="00BD483A" w:rsidRDefault="00BD483A" w:rsidP="00BD483A">
      <w:pPr>
        <w:pStyle w:val="Bodytext20"/>
        <w:shd w:val="clear" w:color="auto" w:fill="auto"/>
        <w:spacing w:before="240" w:after="680" w:line="300" w:lineRule="auto"/>
        <w:ind w:firstLine="0"/>
        <w:contextualSpacing/>
        <w:rPr>
          <w:rFonts w:asciiTheme="minorHAnsi" w:hAnsiTheme="minorHAnsi" w:cstheme="minorHAnsi"/>
          <w:b/>
          <w:sz w:val="22"/>
          <w:szCs w:val="22"/>
        </w:rPr>
      </w:pPr>
      <w:r w:rsidRPr="00BD483A">
        <w:rPr>
          <w:rFonts w:asciiTheme="minorHAnsi" w:hAnsiTheme="minorHAnsi" w:cstheme="minorHAnsi"/>
          <w:b/>
          <w:sz w:val="22"/>
          <w:szCs w:val="22"/>
        </w:rPr>
        <w:t>Znak sprawy:</w:t>
      </w:r>
      <w:r w:rsidRPr="00BD483A">
        <w:rPr>
          <w:rFonts w:asciiTheme="minorHAnsi" w:hAnsiTheme="minorHAnsi" w:cstheme="minorHAnsi"/>
          <w:sz w:val="22"/>
          <w:szCs w:val="22"/>
        </w:rPr>
        <w:t xml:space="preserve"> </w:t>
      </w:r>
      <w:r w:rsidR="00E44599" w:rsidRPr="00BD483A">
        <w:rPr>
          <w:rFonts w:asciiTheme="minorHAnsi" w:hAnsiTheme="minorHAnsi" w:cstheme="minorHAnsi"/>
          <w:sz w:val="22"/>
          <w:szCs w:val="22"/>
        </w:rPr>
        <w:t>KW-WP.1712.3.2022.AMR</w:t>
      </w:r>
    </w:p>
    <w:p w:rsidR="003A1EE1" w:rsidRPr="00BD483A" w:rsidRDefault="00E44599" w:rsidP="00BD483A">
      <w:pPr>
        <w:pStyle w:val="Bodytext20"/>
        <w:shd w:val="clear" w:color="auto" w:fill="auto"/>
        <w:spacing w:before="240" w:after="680" w:line="300" w:lineRule="auto"/>
        <w:ind w:left="5664" w:firstLine="0"/>
        <w:contextualSpacing/>
        <w:rPr>
          <w:rFonts w:asciiTheme="minorHAnsi" w:hAnsiTheme="minorHAnsi" w:cstheme="minorHAnsi"/>
          <w:b/>
          <w:sz w:val="22"/>
          <w:szCs w:val="22"/>
        </w:rPr>
      </w:pPr>
      <w:r w:rsidRPr="00BD483A">
        <w:rPr>
          <w:rFonts w:asciiTheme="minorHAnsi" w:hAnsiTheme="minorHAnsi" w:cstheme="minorHAnsi"/>
          <w:b/>
          <w:sz w:val="22"/>
          <w:szCs w:val="22"/>
        </w:rPr>
        <w:t>Pan</w:t>
      </w:r>
    </w:p>
    <w:p w:rsidR="00CE77BE" w:rsidRPr="00BD483A" w:rsidRDefault="00E44599" w:rsidP="00BD483A">
      <w:pPr>
        <w:pStyle w:val="Bodytext20"/>
        <w:shd w:val="clear" w:color="auto" w:fill="auto"/>
        <w:spacing w:before="240" w:after="680" w:line="300" w:lineRule="auto"/>
        <w:ind w:left="5664" w:firstLine="0"/>
        <w:contextualSpacing/>
        <w:rPr>
          <w:rFonts w:asciiTheme="minorHAnsi" w:hAnsiTheme="minorHAnsi" w:cstheme="minorHAnsi"/>
          <w:b/>
          <w:sz w:val="22"/>
          <w:szCs w:val="22"/>
        </w:rPr>
      </w:pPr>
      <w:r w:rsidRPr="00BD483A">
        <w:rPr>
          <w:rFonts w:asciiTheme="minorHAnsi" w:hAnsiTheme="minorHAnsi" w:cstheme="minorHAnsi"/>
          <w:b/>
          <w:sz w:val="22"/>
          <w:szCs w:val="22"/>
        </w:rPr>
        <w:t>Jarosław Karcz</w:t>
      </w:r>
    </w:p>
    <w:p w:rsidR="00CE77BE" w:rsidRPr="00BD483A" w:rsidRDefault="00E44599" w:rsidP="00BD483A">
      <w:pPr>
        <w:pStyle w:val="Bodytext20"/>
        <w:shd w:val="clear" w:color="auto" w:fill="auto"/>
        <w:spacing w:before="240" w:after="680" w:line="300" w:lineRule="auto"/>
        <w:ind w:left="5664" w:firstLine="0"/>
        <w:contextualSpacing/>
        <w:rPr>
          <w:rFonts w:asciiTheme="minorHAnsi" w:hAnsiTheme="minorHAnsi" w:cstheme="minorHAnsi"/>
          <w:b/>
          <w:sz w:val="22"/>
          <w:szCs w:val="22"/>
        </w:rPr>
      </w:pPr>
      <w:r w:rsidRPr="00BD483A">
        <w:rPr>
          <w:rFonts w:asciiTheme="minorHAnsi" w:hAnsiTheme="minorHAnsi" w:cstheme="minorHAnsi"/>
          <w:b/>
          <w:sz w:val="22"/>
          <w:szCs w:val="22"/>
        </w:rPr>
        <w:t xml:space="preserve">Burmistrz Dzielnicy Włochy </w:t>
      </w:r>
    </w:p>
    <w:p w:rsidR="003A1EE1" w:rsidRPr="00BD483A" w:rsidRDefault="00E44599" w:rsidP="00BD483A">
      <w:pPr>
        <w:pStyle w:val="Bodytext20"/>
        <w:shd w:val="clear" w:color="auto" w:fill="auto"/>
        <w:spacing w:before="240" w:after="680" w:line="300" w:lineRule="auto"/>
        <w:ind w:left="5664" w:firstLine="0"/>
        <w:contextualSpacing/>
        <w:rPr>
          <w:rFonts w:asciiTheme="minorHAnsi" w:hAnsiTheme="minorHAnsi" w:cstheme="minorHAnsi"/>
          <w:b/>
          <w:sz w:val="22"/>
          <w:szCs w:val="22"/>
        </w:rPr>
      </w:pPr>
      <w:r w:rsidRPr="00BD483A">
        <w:rPr>
          <w:b/>
        </w:rPr>
        <w:t>m</w:t>
      </w:r>
      <w:r w:rsidRPr="00BD483A">
        <w:rPr>
          <w:rFonts w:asciiTheme="minorHAnsi" w:hAnsiTheme="minorHAnsi" w:cstheme="minorHAnsi"/>
          <w:b/>
          <w:sz w:val="22"/>
          <w:szCs w:val="22"/>
        </w:rPr>
        <w:t>.st. Warszawy</w:t>
      </w:r>
    </w:p>
    <w:p w:rsidR="003A1EE1" w:rsidRDefault="00E44599" w:rsidP="00BD483A">
      <w:pPr>
        <w:pStyle w:val="Nagwek1"/>
        <w:ind w:left="3540"/>
        <w:rPr>
          <w:rFonts w:asciiTheme="minorHAnsi" w:hAnsiTheme="minorHAnsi" w:cstheme="minorHAnsi"/>
          <w:b/>
          <w:color w:val="auto"/>
          <w:sz w:val="22"/>
          <w:szCs w:val="22"/>
        </w:rPr>
      </w:pPr>
      <w:r w:rsidRPr="00BD483A">
        <w:rPr>
          <w:rFonts w:asciiTheme="minorHAnsi" w:hAnsiTheme="minorHAnsi" w:cstheme="minorHAnsi"/>
          <w:b/>
          <w:color w:val="auto"/>
          <w:sz w:val="22"/>
          <w:szCs w:val="22"/>
        </w:rPr>
        <w:t>Wystąpienie pokontrolne</w:t>
      </w:r>
    </w:p>
    <w:p w:rsidR="00BD483A" w:rsidRPr="00BD483A" w:rsidRDefault="00BD483A" w:rsidP="00BD483A"/>
    <w:p w:rsidR="003A1EE1" w:rsidRPr="00BD483A" w:rsidRDefault="00E44599" w:rsidP="00BD483A">
      <w:pPr>
        <w:pStyle w:val="Bodytext20"/>
        <w:shd w:val="clear" w:color="auto" w:fill="auto"/>
        <w:spacing w:before="120" w:after="240" w:line="300" w:lineRule="auto"/>
        <w:ind w:firstLine="0"/>
        <w:rPr>
          <w:rFonts w:asciiTheme="minorHAnsi" w:hAnsiTheme="minorHAnsi" w:cstheme="minorHAnsi"/>
          <w:sz w:val="22"/>
          <w:szCs w:val="22"/>
        </w:rPr>
      </w:pPr>
      <w:r w:rsidRPr="00BD483A">
        <w:rPr>
          <w:rFonts w:asciiTheme="minorHAnsi" w:hAnsiTheme="minorHAnsi" w:cstheme="minorHAnsi"/>
          <w:sz w:val="22"/>
          <w:szCs w:val="22"/>
        </w:rPr>
        <w:t xml:space="preserve">Na podstawie § 22 ust. 10 Regulaminu organizacyjnego Urzędu miasta stołecznego Warszawy, stanowiącego załącznik do zarządzenia Nr </w:t>
      </w:r>
      <w:r w:rsidRPr="00BD483A">
        <w:rPr>
          <w:rFonts w:asciiTheme="minorHAnsi" w:hAnsiTheme="minorHAnsi" w:cstheme="minorHAnsi"/>
          <w:sz w:val="22"/>
          <w:szCs w:val="22"/>
          <w:lang w:val="ru-RU" w:eastAsia="ru-RU" w:bidi="ru-RU"/>
        </w:rPr>
        <w:t xml:space="preserve">312/2007 </w:t>
      </w:r>
      <w:r w:rsidRPr="00BD483A">
        <w:rPr>
          <w:rFonts w:asciiTheme="minorHAnsi" w:hAnsiTheme="minorHAnsi" w:cstheme="minorHAnsi"/>
          <w:sz w:val="22"/>
          <w:szCs w:val="22"/>
        </w:rPr>
        <w:t xml:space="preserve">Prezydenta miasta stołecznego Warszawy z dnia 4 kwietnia 2007 r. w sprawie nadania regulaminu organizacyjnego Urzędu miasta stołecznego Warszawy (z późn. zm.), w związku kontrolą przeprowadzoną przez Biuro Kontroli Urzędu m.st. Warszawy w Urzędzie Dzielnicy Włochy m.st. Warszawy w okresie od 3.02.2022 r. do 28.02.2022 r., w zakresie prawidłowości wydawania decyzji architektoniczno-budowlanych w Urzędzie Dzielnicy Włochy m.st. Warszawy w 2021 r., której wyniki zostały przedstawione w protokole kontroli podpisanym 15.03.2022 r., stosownie do § 32 ust. 5 Zarządzenia nr </w:t>
      </w:r>
      <w:r w:rsidRPr="00BD483A">
        <w:rPr>
          <w:rFonts w:asciiTheme="minorHAnsi" w:hAnsiTheme="minorHAnsi" w:cstheme="minorHAnsi"/>
          <w:sz w:val="22"/>
          <w:szCs w:val="22"/>
          <w:lang w:val="ru-RU" w:eastAsia="ru-RU" w:bidi="ru-RU"/>
        </w:rPr>
        <w:t xml:space="preserve">1837/2019 </w:t>
      </w:r>
      <w:r w:rsidRPr="00BD483A">
        <w:rPr>
          <w:rFonts w:asciiTheme="minorHAnsi" w:hAnsiTheme="minorHAnsi" w:cstheme="minorHAnsi"/>
          <w:sz w:val="22"/>
          <w:szCs w:val="22"/>
        </w:rPr>
        <w:t>Prezydenta miasta stołecznego Warszawy z dnia 12 grudnia 2019 r. w sprawie zasad i trybu postępowania kontrolnego (zwanego dalej: Zarządzeniem), przekazuję Panu niniejsze wystąpienie pokontrolne nie uwzględniające złożonych przez Pana zastrzeżeń do projektu wystąpienia pokontrolnego.</w:t>
      </w:r>
      <w:r w:rsidR="00BD483A">
        <w:rPr>
          <w:rFonts w:asciiTheme="minorHAnsi" w:hAnsiTheme="minorHAnsi" w:cstheme="minorHAnsi"/>
          <w:sz w:val="22"/>
          <w:szCs w:val="22"/>
        </w:rPr>
        <w:t xml:space="preserve"> </w:t>
      </w:r>
      <w:r w:rsidRPr="00BD483A">
        <w:rPr>
          <w:rFonts w:asciiTheme="minorHAnsi" w:hAnsiTheme="minorHAnsi" w:cstheme="minorHAnsi"/>
          <w:sz w:val="22"/>
          <w:szCs w:val="22"/>
        </w:rPr>
        <w:t xml:space="preserve">W dn. 23.06.2022 </w:t>
      </w:r>
      <w:r w:rsidRPr="00BD483A">
        <w:rPr>
          <w:rFonts w:asciiTheme="minorHAnsi" w:hAnsiTheme="minorHAnsi" w:cstheme="minorHAnsi"/>
          <w:sz w:val="22"/>
          <w:szCs w:val="22"/>
          <w:lang w:val="ru-RU" w:eastAsia="ru-RU" w:bidi="ru-RU"/>
        </w:rPr>
        <w:t xml:space="preserve">г. </w:t>
      </w:r>
      <w:r w:rsidRPr="00BD483A">
        <w:rPr>
          <w:rFonts w:asciiTheme="minorHAnsi" w:hAnsiTheme="minorHAnsi" w:cstheme="minorHAnsi"/>
          <w:sz w:val="22"/>
          <w:szCs w:val="22"/>
        </w:rPr>
        <w:t>Biuro Kontroli przedstawiło swoje stanowisko w sprawie złożonych zastrzeżeń do projektu wystąpienia pokontrolnego wraz z uzasadnieniem dla zastrzeżeń, które nie zostały uwzględnione.</w:t>
      </w:r>
    </w:p>
    <w:p w:rsidR="003A1EE1" w:rsidRPr="00BD483A" w:rsidRDefault="00E44599" w:rsidP="00BD483A">
      <w:pPr>
        <w:pStyle w:val="Bodytext20"/>
        <w:shd w:val="clear" w:color="auto" w:fill="auto"/>
        <w:spacing w:before="120" w:after="240" w:line="300" w:lineRule="auto"/>
        <w:ind w:firstLine="0"/>
        <w:rPr>
          <w:rFonts w:asciiTheme="minorHAnsi" w:hAnsiTheme="minorHAnsi" w:cstheme="minorHAnsi"/>
          <w:sz w:val="22"/>
          <w:szCs w:val="22"/>
        </w:rPr>
      </w:pPr>
      <w:r w:rsidRPr="00BD483A">
        <w:rPr>
          <w:rFonts w:asciiTheme="minorHAnsi" w:hAnsiTheme="minorHAnsi" w:cstheme="minorHAnsi"/>
          <w:sz w:val="22"/>
          <w:szCs w:val="22"/>
        </w:rPr>
        <w:t>W związku z brakiem akceptacji sporządzonego projektu wystąpienia pokontrolnego, w dn. 22.07.2022 r. Biuro Kontroli złożyło do Prezydenta m.st. Warszawy wniosek o powołanie Komisji Uzgodnieniowej w celu rozpatrzenia nieuwzględnionych zastrzeżeń. W związku z decyzją o odstąpieniu od powołania ww. komisji, zgodnie z § 38 ust. 3 Zarządzenia, sporządzono niniejsze wystąpienie pokontrolne.</w:t>
      </w:r>
    </w:p>
    <w:p w:rsidR="003A1EE1" w:rsidRPr="00BD483A" w:rsidRDefault="00E44599" w:rsidP="00BD483A">
      <w:pPr>
        <w:pStyle w:val="Bodytext20"/>
        <w:shd w:val="clear" w:color="auto" w:fill="auto"/>
        <w:spacing w:before="120" w:after="240" w:line="300" w:lineRule="auto"/>
        <w:ind w:firstLine="0"/>
        <w:rPr>
          <w:rFonts w:asciiTheme="minorHAnsi" w:hAnsiTheme="minorHAnsi" w:cstheme="minorHAnsi"/>
          <w:sz w:val="22"/>
          <w:szCs w:val="22"/>
        </w:rPr>
      </w:pPr>
      <w:r w:rsidRPr="00BD483A">
        <w:rPr>
          <w:rFonts w:asciiTheme="minorHAnsi" w:hAnsiTheme="minorHAnsi" w:cstheme="minorHAnsi"/>
          <w:sz w:val="22"/>
          <w:szCs w:val="22"/>
        </w:rPr>
        <w:t>Ustalono, że w badanym okresie, tj. od 1 stycznia 2021 r. do 31 grudnia 2021 r. w Wydziale Architektury i Budownictwa dla Dzielnicy Włochy (zwanym dalej WAB) wydano 302 decyzje architektoniczno-budowlane, w tym 206 decyzji z wniosku o pozwolenie na budowę. W okresie tym zarejestrowano 203 wnioski o pozwolenie na budowę, które zostały wpisane do elektronicznego rejestru wniosków i decyzji o pozwoleniu na budowę oraz przekazane do Wojewody Mazowieckiego i opublikowane w publicznej wyszukiwarce RWDZ udostępnionej przez GUNB n</w:t>
      </w:r>
      <w:bookmarkStart w:id="0" w:name="_GoBack"/>
      <w:bookmarkEnd w:id="0"/>
      <w:r w:rsidRPr="00BD483A">
        <w:rPr>
          <w:rFonts w:asciiTheme="minorHAnsi" w:hAnsiTheme="minorHAnsi" w:cstheme="minorHAnsi"/>
          <w:sz w:val="22"/>
          <w:szCs w:val="22"/>
        </w:rPr>
        <w:t xml:space="preserve">a stronie </w:t>
      </w:r>
      <w:hyperlink r:id="rId8" w:history="1">
        <w:r w:rsidRPr="00BD483A">
          <w:rPr>
            <w:rStyle w:val="Bodytext21"/>
            <w:rFonts w:asciiTheme="minorHAnsi" w:hAnsiTheme="minorHAnsi" w:cstheme="minorHAnsi"/>
            <w:sz w:val="22"/>
            <w:szCs w:val="22"/>
          </w:rPr>
          <w:t>http://wvszukiwarka.gunb.gov.pl/</w:t>
        </w:r>
      </w:hyperlink>
      <w:r w:rsidRPr="00BD483A">
        <w:rPr>
          <w:rFonts w:asciiTheme="minorHAnsi" w:hAnsiTheme="minorHAnsi" w:cstheme="minorHAnsi"/>
          <w:sz w:val="22"/>
          <w:szCs w:val="22"/>
          <w:lang w:val="en-US" w:eastAsia="en-US" w:bidi="en-US"/>
        </w:rPr>
        <w:t xml:space="preserve">. </w:t>
      </w:r>
      <w:r w:rsidRPr="00BD483A">
        <w:rPr>
          <w:rFonts w:asciiTheme="minorHAnsi" w:hAnsiTheme="minorHAnsi" w:cstheme="minorHAnsi"/>
          <w:sz w:val="22"/>
          <w:szCs w:val="22"/>
        </w:rPr>
        <w:t xml:space="preserve">W 70% sprawdzonych przypadków rejestrowano sprawy po upływie od 10 do 103 dni od daty wpływu wniosku, pomimo że </w:t>
      </w:r>
      <w:r w:rsidRPr="00BD483A">
        <w:rPr>
          <w:rFonts w:asciiTheme="minorHAnsi" w:hAnsiTheme="minorHAnsi" w:cstheme="minorHAnsi"/>
          <w:sz w:val="22"/>
          <w:szCs w:val="22"/>
        </w:rPr>
        <w:lastRenderedPageBreak/>
        <w:t xml:space="preserve">zgodnie z </w:t>
      </w:r>
      <w:r w:rsidRPr="00BD483A">
        <w:rPr>
          <w:rFonts w:asciiTheme="minorHAnsi" w:hAnsiTheme="minorHAnsi" w:cstheme="minorHAnsi"/>
          <w:sz w:val="22"/>
          <w:szCs w:val="22"/>
          <w:lang w:val="en-US" w:eastAsia="en-US" w:bidi="en-US"/>
        </w:rPr>
        <w:t xml:space="preserve">art. </w:t>
      </w:r>
      <w:r w:rsidRPr="00BD483A">
        <w:rPr>
          <w:rFonts w:asciiTheme="minorHAnsi" w:hAnsiTheme="minorHAnsi" w:cstheme="minorHAnsi"/>
          <w:sz w:val="22"/>
          <w:szCs w:val="22"/>
        </w:rPr>
        <w:t>82b ust. 2 ustawy z dnia 7 lipca 1994 r. Prawo budowlane</w:t>
      </w:r>
      <w:r w:rsidRPr="00BD483A">
        <w:rPr>
          <w:rFonts w:asciiTheme="minorHAnsi" w:hAnsiTheme="minorHAnsi" w:cstheme="minorHAnsi"/>
          <w:sz w:val="22"/>
          <w:szCs w:val="22"/>
          <w:vertAlign w:val="superscript"/>
        </w:rPr>
        <w:footnoteReference w:id="1"/>
      </w:r>
      <w:r w:rsidRPr="00BD483A">
        <w:rPr>
          <w:rFonts w:asciiTheme="minorHAnsi" w:hAnsiTheme="minorHAnsi" w:cstheme="minorHAnsi"/>
          <w:sz w:val="22"/>
          <w:szCs w:val="22"/>
        </w:rPr>
        <w:t xml:space="preserve"> (dalej zwanej: Prawo budowlane) dane wprowadza się do rejestru i przesyła drogą elektroniczną do organu wyższego stopnia na bieżąco.</w:t>
      </w:r>
    </w:p>
    <w:p w:rsidR="003A1EE1" w:rsidRPr="00BD483A" w:rsidRDefault="00E44599" w:rsidP="00BD483A">
      <w:pPr>
        <w:pStyle w:val="Bodytext20"/>
        <w:shd w:val="clear" w:color="auto" w:fill="auto"/>
        <w:spacing w:before="120" w:after="240" w:line="300" w:lineRule="auto"/>
        <w:ind w:firstLine="0"/>
        <w:rPr>
          <w:rFonts w:asciiTheme="minorHAnsi" w:hAnsiTheme="minorHAnsi" w:cstheme="minorHAnsi"/>
          <w:sz w:val="22"/>
          <w:szCs w:val="22"/>
        </w:rPr>
      </w:pPr>
      <w:r w:rsidRPr="00BD483A">
        <w:rPr>
          <w:rFonts w:asciiTheme="minorHAnsi" w:hAnsiTheme="minorHAnsi" w:cstheme="minorHAnsi"/>
          <w:sz w:val="22"/>
          <w:szCs w:val="22"/>
        </w:rPr>
        <w:t>W tej kwestii Burmistrz wyjaśnił, że do marca 2020 r. nie prowadzono w WAB rejestrów wydanych decyzji w formie elektronicznej oraz, że nie wprowadzano systematycznie do RWDZ wniosków o pozwolenie na budowę oraz decyzji o pozwoleniu na budowę. Ww. wnioski i decyzje są wprowadzane do RWDZ od 2020 roku, a opóźnienia zostały „(...) spowodowane:</w:t>
      </w:r>
    </w:p>
    <w:p w:rsidR="003A1EE1" w:rsidRPr="00BD483A" w:rsidRDefault="00E44599" w:rsidP="00BD483A">
      <w:pPr>
        <w:pStyle w:val="Bodytext20"/>
        <w:numPr>
          <w:ilvl w:val="0"/>
          <w:numId w:val="1"/>
        </w:numPr>
        <w:shd w:val="clear" w:color="auto" w:fill="auto"/>
        <w:tabs>
          <w:tab w:val="left" w:pos="360"/>
        </w:tabs>
        <w:spacing w:before="120" w:after="240" w:line="300" w:lineRule="auto"/>
        <w:ind w:firstLine="0"/>
        <w:rPr>
          <w:rFonts w:asciiTheme="minorHAnsi" w:hAnsiTheme="minorHAnsi" w:cstheme="minorHAnsi"/>
          <w:sz w:val="22"/>
          <w:szCs w:val="22"/>
        </w:rPr>
      </w:pPr>
      <w:r w:rsidRPr="00BD483A">
        <w:rPr>
          <w:rFonts w:asciiTheme="minorHAnsi" w:hAnsiTheme="minorHAnsi" w:cstheme="minorHAnsi"/>
          <w:sz w:val="22"/>
          <w:szCs w:val="22"/>
        </w:rPr>
        <w:t>uzupełnianiem ww. rejestrów;</w:t>
      </w:r>
    </w:p>
    <w:p w:rsidR="003A1EE1" w:rsidRPr="00BD483A" w:rsidRDefault="00E44599" w:rsidP="00BD483A">
      <w:pPr>
        <w:pStyle w:val="Bodytext20"/>
        <w:numPr>
          <w:ilvl w:val="0"/>
          <w:numId w:val="1"/>
        </w:numPr>
        <w:shd w:val="clear" w:color="auto" w:fill="auto"/>
        <w:tabs>
          <w:tab w:val="left" w:pos="360"/>
        </w:tabs>
        <w:spacing w:before="120" w:after="240" w:line="300" w:lineRule="auto"/>
        <w:ind w:left="480" w:hanging="480"/>
        <w:rPr>
          <w:rFonts w:asciiTheme="minorHAnsi" w:hAnsiTheme="minorHAnsi" w:cstheme="minorHAnsi"/>
          <w:sz w:val="22"/>
          <w:szCs w:val="22"/>
        </w:rPr>
      </w:pPr>
      <w:r w:rsidRPr="00BD483A">
        <w:rPr>
          <w:rFonts w:asciiTheme="minorHAnsi" w:hAnsiTheme="minorHAnsi" w:cstheme="minorHAnsi"/>
          <w:sz w:val="22"/>
          <w:szCs w:val="22"/>
        </w:rPr>
        <w:t>prowadzoną przez Biuro Architektury i Planowania Przestrzennego procedurą sporządzania miejscowego planu zagospodarowania przestrzennego obszaru Rakowa, obszaru Salomea, obszaru Opacz, rejonu ulicy Działkowej oraz obszaru Załuski i koniecznością przekazania w formie elektronicznej wszystkich decyzji o warunkach zabudowy (</w:t>
      </w:r>
      <w:proofErr w:type="spellStart"/>
      <w:r w:rsidRPr="00BD483A">
        <w:rPr>
          <w:rFonts w:asciiTheme="minorHAnsi" w:hAnsiTheme="minorHAnsi" w:cstheme="minorHAnsi"/>
          <w:sz w:val="22"/>
          <w:szCs w:val="22"/>
        </w:rPr>
        <w:t>wz</w:t>
      </w:r>
      <w:proofErr w:type="spellEnd"/>
      <w:r w:rsidRPr="00BD483A">
        <w:rPr>
          <w:rFonts w:asciiTheme="minorHAnsi" w:hAnsiTheme="minorHAnsi" w:cstheme="minorHAnsi"/>
          <w:sz w:val="22"/>
          <w:szCs w:val="22"/>
        </w:rPr>
        <w:t xml:space="preserve"> i </w:t>
      </w:r>
      <w:proofErr w:type="spellStart"/>
      <w:r w:rsidRPr="00BD483A">
        <w:rPr>
          <w:rFonts w:asciiTheme="minorHAnsi" w:hAnsiTheme="minorHAnsi" w:cstheme="minorHAnsi"/>
          <w:sz w:val="22"/>
          <w:szCs w:val="22"/>
        </w:rPr>
        <w:t>licp</w:t>
      </w:r>
      <w:proofErr w:type="spellEnd"/>
      <w:r w:rsidRPr="00BD483A">
        <w:rPr>
          <w:rFonts w:asciiTheme="minorHAnsi" w:hAnsiTheme="minorHAnsi" w:cstheme="minorHAnsi"/>
          <w:sz w:val="22"/>
          <w:szCs w:val="22"/>
        </w:rPr>
        <w:t>), pozwoleń na budowę oraz zgód na realizację inwestycji drogowych wydanych w latach 2017-2021;</w:t>
      </w:r>
    </w:p>
    <w:p w:rsidR="003A1EE1" w:rsidRPr="00BD483A" w:rsidRDefault="00E44599" w:rsidP="00BD483A">
      <w:pPr>
        <w:pStyle w:val="Bodytext20"/>
        <w:numPr>
          <w:ilvl w:val="0"/>
          <w:numId w:val="1"/>
        </w:numPr>
        <w:shd w:val="clear" w:color="auto" w:fill="auto"/>
        <w:tabs>
          <w:tab w:val="left" w:pos="360"/>
        </w:tabs>
        <w:spacing w:before="120" w:after="240" w:line="300" w:lineRule="auto"/>
        <w:ind w:left="480" w:hanging="480"/>
        <w:rPr>
          <w:rFonts w:asciiTheme="minorHAnsi" w:hAnsiTheme="minorHAnsi" w:cstheme="minorHAnsi"/>
          <w:sz w:val="22"/>
          <w:szCs w:val="22"/>
        </w:rPr>
      </w:pPr>
      <w:r w:rsidRPr="00BD483A">
        <w:rPr>
          <w:rFonts w:asciiTheme="minorHAnsi" w:hAnsiTheme="minorHAnsi" w:cstheme="minorHAnsi"/>
          <w:sz w:val="22"/>
          <w:szCs w:val="22"/>
        </w:rPr>
        <w:t>kontrolą Najwyższej Izby Kontroli trwającą od lutego do początku czerwca 2021 r. dla której musieliśmy sporządzać statystyki nieprowadzone przez organ;</w:t>
      </w:r>
    </w:p>
    <w:p w:rsidR="003A1EE1" w:rsidRPr="00BD483A" w:rsidRDefault="00E44599" w:rsidP="00BD483A">
      <w:pPr>
        <w:pStyle w:val="Bodytext20"/>
        <w:numPr>
          <w:ilvl w:val="0"/>
          <w:numId w:val="1"/>
        </w:numPr>
        <w:shd w:val="clear" w:color="auto" w:fill="auto"/>
        <w:tabs>
          <w:tab w:val="left" w:pos="360"/>
        </w:tabs>
        <w:spacing w:before="120" w:after="240" w:line="300" w:lineRule="auto"/>
        <w:ind w:left="480" w:hanging="480"/>
        <w:rPr>
          <w:rFonts w:asciiTheme="minorHAnsi" w:hAnsiTheme="minorHAnsi" w:cstheme="minorHAnsi"/>
          <w:sz w:val="22"/>
          <w:szCs w:val="22"/>
        </w:rPr>
      </w:pPr>
      <w:r w:rsidRPr="00BD483A">
        <w:rPr>
          <w:rFonts w:asciiTheme="minorHAnsi" w:hAnsiTheme="minorHAnsi" w:cstheme="minorHAnsi"/>
          <w:sz w:val="22"/>
          <w:szCs w:val="22"/>
        </w:rPr>
        <w:t>nieobecnością pracownika wynikającą z wprowadzenia stanu epidemii w związku z zakażeniami wirusem SARS-CoV-2 i koniecznością sprawowania opieki nad dzieckiem do lat 8".</w:t>
      </w:r>
    </w:p>
    <w:p w:rsidR="00395493" w:rsidRDefault="00E44599" w:rsidP="00395493">
      <w:pPr>
        <w:pStyle w:val="Bodytext20"/>
        <w:shd w:val="clear" w:color="auto" w:fill="auto"/>
        <w:spacing w:before="120" w:after="240" w:line="300" w:lineRule="auto"/>
        <w:ind w:firstLine="0"/>
        <w:rPr>
          <w:rFonts w:asciiTheme="minorHAnsi" w:hAnsiTheme="minorHAnsi" w:cstheme="minorHAnsi"/>
          <w:sz w:val="22"/>
          <w:szCs w:val="22"/>
        </w:rPr>
      </w:pPr>
      <w:r w:rsidRPr="00BD483A">
        <w:rPr>
          <w:rFonts w:asciiTheme="minorHAnsi" w:hAnsiTheme="minorHAnsi" w:cstheme="minorHAnsi"/>
          <w:sz w:val="22"/>
          <w:szCs w:val="22"/>
        </w:rPr>
        <w:t>Kontrolą objęto wybranych 10 postępowań</w:t>
      </w:r>
      <w:r w:rsidRPr="00BD483A">
        <w:rPr>
          <w:rFonts w:asciiTheme="minorHAnsi" w:hAnsiTheme="minorHAnsi" w:cstheme="minorHAnsi"/>
          <w:sz w:val="22"/>
          <w:szCs w:val="22"/>
          <w:vertAlign w:val="superscript"/>
        </w:rPr>
        <w:footnoteReference w:id="2"/>
      </w:r>
      <w:r w:rsidRPr="00BD483A">
        <w:rPr>
          <w:rFonts w:asciiTheme="minorHAnsi" w:hAnsiTheme="minorHAnsi" w:cstheme="minorHAnsi"/>
          <w:sz w:val="22"/>
          <w:szCs w:val="22"/>
        </w:rPr>
        <w:t xml:space="preserve"> zakończonych wydaniem decyzji o pozwoleniu na budowę. Sprawdzenie ww. decyzji oraz poprzedzających ich wydanie postępowań wykazało, że:</w:t>
      </w:r>
      <w:r w:rsidR="00395493">
        <w:rPr>
          <w:rFonts w:asciiTheme="minorHAnsi" w:hAnsiTheme="minorHAnsi" w:cstheme="minorHAnsi"/>
          <w:sz w:val="22"/>
          <w:szCs w:val="22"/>
        </w:rPr>
        <w:t xml:space="preserve"> </w:t>
      </w:r>
    </w:p>
    <w:p w:rsidR="003A1EE1" w:rsidRPr="00BD483A" w:rsidRDefault="00E44599" w:rsidP="00395493">
      <w:pPr>
        <w:pStyle w:val="Bodytext20"/>
        <w:shd w:val="clear" w:color="auto" w:fill="auto"/>
        <w:spacing w:before="120" w:after="240" w:line="300" w:lineRule="auto"/>
        <w:ind w:firstLine="0"/>
        <w:rPr>
          <w:rFonts w:asciiTheme="minorHAnsi" w:hAnsiTheme="minorHAnsi" w:cstheme="minorHAnsi"/>
          <w:sz w:val="22"/>
          <w:szCs w:val="22"/>
        </w:rPr>
      </w:pPr>
      <w:r w:rsidRPr="00BD483A">
        <w:rPr>
          <w:rFonts w:asciiTheme="minorHAnsi" w:hAnsiTheme="minorHAnsi" w:cstheme="minorHAnsi"/>
          <w:sz w:val="22"/>
          <w:szCs w:val="22"/>
        </w:rPr>
        <w:t>1. Wydano 8 decyzji o pozwoleniu na budowę</w:t>
      </w:r>
      <w:r w:rsidRPr="00BD483A">
        <w:rPr>
          <w:rFonts w:asciiTheme="minorHAnsi" w:hAnsiTheme="minorHAnsi" w:cstheme="minorHAnsi"/>
          <w:sz w:val="22"/>
          <w:szCs w:val="22"/>
          <w:vertAlign w:val="superscript"/>
        </w:rPr>
        <w:t>3</w:t>
      </w:r>
      <w:r w:rsidRPr="00BD483A">
        <w:rPr>
          <w:rFonts w:asciiTheme="minorHAnsi" w:hAnsiTheme="minorHAnsi" w:cstheme="minorHAnsi"/>
          <w:sz w:val="22"/>
          <w:szCs w:val="22"/>
        </w:rPr>
        <w:t xml:space="preserve"> pomimo istniejących nieprawidłowości w dokumentacji projektowej, a w szczególności:</w:t>
      </w:r>
    </w:p>
    <w:p w:rsidR="003A1EE1" w:rsidRPr="00BD483A" w:rsidRDefault="00E44599" w:rsidP="00BD483A">
      <w:pPr>
        <w:pStyle w:val="Bodytext20"/>
        <w:numPr>
          <w:ilvl w:val="0"/>
          <w:numId w:val="2"/>
        </w:numPr>
        <w:shd w:val="clear" w:color="auto" w:fill="auto"/>
        <w:tabs>
          <w:tab w:val="left" w:pos="1246"/>
        </w:tabs>
        <w:spacing w:before="120" w:after="240" w:line="300" w:lineRule="auto"/>
        <w:ind w:left="1260" w:right="1140" w:hanging="360"/>
        <w:rPr>
          <w:rFonts w:asciiTheme="minorHAnsi" w:hAnsiTheme="minorHAnsi" w:cstheme="minorHAnsi"/>
          <w:sz w:val="22"/>
          <w:szCs w:val="22"/>
        </w:rPr>
      </w:pPr>
      <w:r w:rsidRPr="00BD483A">
        <w:rPr>
          <w:rFonts w:asciiTheme="minorHAnsi" w:hAnsiTheme="minorHAnsi" w:cstheme="minorHAnsi"/>
          <w:sz w:val="22"/>
          <w:szCs w:val="22"/>
        </w:rPr>
        <w:t>wydano 2 decyzje o pozwoleniu na budowę</w:t>
      </w:r>
      <w:r w:rsidRPr="00BD483A">
        <w:rPr>
          <w:rFonts w:asciiTheme="minorHAnsi" w:hAnsiTheme="minorHAnsi" w:cstheme="minorHAnsi"/>
          <w:sz w:val="22"/>
          <w:szCs w:val="22"/>
          <w:vertAlign w:val="superscript"/>
        </w:rPr>
        <w:t>4</w:t>
      </w:r>
      <w:r w:rsidRPr="00BD483A">
        <w:rPr>
          <w:rFonts w:asciiTheme="minorHAnsi" w:hAnsiTheme="minorHAnsi" w:cstheme="minorHAnsi"/>
          <w:sz w:val="22"/>
          <w:szCs w:val="22"/>
        </w:rPr>
        <w:t xml:space="preserve"> w sytuacji niezgodności treści wniosku z rzeczywistym przedmiotem planowanej inwestycji lub z załączoną dokumentacją projektową, tj.:</w:t>
      </w:r>
    </w:p>
    <w:p w:rsidR="003A1EE1" w:rsidRPr="00BD483A" w:rsidRDefault="00E44599" w:rsidP="00BD483A">
      <w:pPr>
        <w:pStyle w:val="Bodytext20"/>
        <w:shd w:val="clear" w:color="auto" w:fill="auto"/>
        <w:spacing w:before="120" w:after="240" w:line="300" w:lineRule="auto"/>
        <w:ind w:left="1600" w:right="560" w:hanging="340"/>
        <w:rPr>
          <w:rFonts w:asciiTheme="minorHAnsi" w:hAnsiTheme="minorHAnsi" w:cstheme="minorHAnsi"/>
          <w:sz w:val="22"/>
          <w:szCs w:val="22"/>
        </w:rPr>
      </w:pPr>
      <w:r w:rsidRPr="00BD483A">
        <w:rPr>
          <w:rFonts w:asciiTheme="minorHAnsi" w:hAnsiTheme="minorHAnsi" w:cstheme="minorHAnsi"/>
          <w:sz w:val="22"/>
          <w:szCs w:val="22"/>
        </w:rPr>
        <w:t xml:space="preserve">- decyzją Nr </w:t>
      </w:r>
      <w:r w:rsidRPr="00BD483A">
        <w:rPr>
          <w:rFonts w:asciiTheme="minorHAnsi" w:hAnsiTheme="minorHAnsi" w:cstheme="minorHAnsi"/>
          <w:sz w:val="22"/>
          <w:szCs w:val="22"/>
          <w:lang w:val="ru-RU" w:eastAsia="ru-RU" w:bidi="ru-RU"/>
        </w:rPr>
        <w:t xml:space="preserve">287/2021 </w:t>
      </w:r>
      <w:r w:rsidRPr="00BD483A">
        <w:rPr>
          <w:rFonts w:asciiTheme="minorHAnsi" w:hAnsiTheme="minorHAnsi" w:cstheme="minorHAnsi"/>
          <w:sz w:val="22"/>
          <w:szCs w:val="22"/>
        </w:rPr>
        <w:t>udzielono pozwolenia na budowę „budynku mieszkalnego wielorodzinnego o dwóch bryłach zewnętrznych na jednym podziemnym garażu (...)"choć faktycznym przedmiotem inwestycji była budowa 2 budynków mieszkalnych wielorodzinnych. Fakt usytuowania ich na wspólnym garażu podziemnym miał znaczenie drugorzędne.</w:t>
      </w:r>
    </w:p>
    <w:p w:rsidR="003A1EE1" w:rsidRPr="00BD483A" w:rsidRDefault="00E44599" w:rsidP="00BD483A">
      <w:pPr>
        <w:pStyle w:val="Bodytext20"/>
        <w:shd w:val="clear" w:color="auto" w:fill="auto"/>
        <w:spacing w:before="120" w:after="240" w:line="300" w:lineRule="auto"/>
        <w:ind w:left="1600" w:right="560" w:firstLine="0"/>
        <w:rPr>
          <w:rFonts w:asciiTheme="minorHAnsi" w:hAnsiTheme="minorHAnsi" w:cstheme="minorHAnsi"/>
          <w:sz w:val="22"/>
          <w:szCs w:val="22"/>
        </w:rPr>
      </w:pPr>
      <w:r w:rsidRPr="00BD483A">
        <w:rPr>
          <w:rFonts w:asciiTheme="minorHAnsi" w:hAnsiTheme="minorHAnsi" w:cstheme="minorHAnsi"/>
          <w:sz w:val="22"/>
          <w:szCs w:val="22"/>
        </w:rPr>
        <w:lastRenderedPageBreak/>
        <w:t xml:space="preserve">Stosownie </w:t>
      </w:r>
      <w:r w:rsidRPr="00BD483A">
        <w:rPr>
          <w:rFonts w:asciiTheme="minorHAnsi" w:hAnsiTheme="minorHAnsi" w:cstheme="minorHAnsi"/>
          <w:sz w:val="22"/>
          <w:szCs w:val="22"/>
          <w:lang w:val="en-US" w:eastAsia="en-US" w:bidi="en-US"/>
        </w:rPr>
        <w:t xml:space="preserve">do art. </w:t>
      </w:r>
      <w:r w:rsidRPr="00BD483A">
        <w:rPr>
          <w:rFonts w:asciiTheme="minorHAnsi" w:hAnsiTheme="minorHAnsi" w:cstheme="minorHAnsi"/>
          <w:sz w:val="22"/>
          <w:szCs w:val="22"/>
        </w:rPr>
        <w:t>3 pkt 2 Prawa budowlanego ilekroć w ustawie jest mowa o budynku - należy przez to rozumieć taki obiekt budowlany, który jest trwale związany z gruntem, wydzielony z przestrzeni za pomocą przegród budowlanych oraz posiada fundamenty i dach.</w:t>
      </w:r>
    </w:p>
    <w:p w:rsidR="003A1EE1" w:rsidRPr="00BD483A" w:rsidRDefault="00E44599" w:rsidP="00BD483A">
      <w:pPr>
        <w:pStyle w:val="Bodytext20"/>
        <w:shd w:val="clear" w:color="auto" w:fill="auto"/>
        <w:spacing w:before="120" w:after="240" w:line="300" w:lineRule="auto"/>
        <w:ind w:left="1600" w:right="560" w:firstLine="0"/>
        <w:rPr>
          <w:rFonts w:asciiTheme="minorHAnsi" w:hAnsiTheme="minorHAnsi" w:cstheme="minorHAnsi"/>
          <w:sz w:val="22"/>
          <w:szCs w:val="22"/>
        </w:rPr>
      </w:pPr>
      <w:r w:rsidRPr="00BD483A">
        <w:rPr>
          <w:rFonts w:asciiTheme="minorHAnsi" w:hAnsiTheme="minorHAnsi" w:cstheme="minorHAnsi"/>
          <w:sz w:val="22"/>
          <w:szCs w:val="22"/>
        </w:rPr>
        <w:t>Każda z projektowanych dwóch „brył zewnętrznych" stanowiła obiekt trwale związany z gruntem, wydzielony z przestrzeni za pomocą przegród budowlanych (ścian) oraz posiadała fundamenty i dach. Spełniała zatem warunek ww. definicji a więc była budynkiem.</w:t>
      </w:r>
    </w:p>
    <w:p w:rsidR="003A1EE1" w:rsidRPr="00BD483A" w:rsidRDefault="00E44599" w:rsidP="00BD483A">
      <w:pPr>
        <w:pStyle w:val="Bodytext20"/>
        <w:shd w:val="clear" w:color="auto" w:fill="auto"/>
        <w:spacing w:before="120" w:after="240" w:line="300" w:lineRule="auto"/>
        <w:ind w:left="1600" w:right="560" w:firstLine="0"/>
        <w:rPr>
          <w:rFonts w:asciiTheme="minorHAnsi" w:hAnsiTheme="minorHAnsi" w:cstheme="minorHAnsi"/>
          <w:sz w:val="22"/>
          <w:szCs w:val="22"/>
        </w:rPr>
      </w:pPr>
      <w:r w:rsidRPr="00BD483A">
        <w:rPr>
          <w:rFonts w:asciiTheme="minorHAnsi" w:hAnsiTheme="minorHAnsi" w:cstheme="minorHAnsi"/>
          <w:sz w:val="22"/>
          <w:szCs w:val="22"/>
        </w:rPr>
        <w:t>Zaznaczyć trzeba, że od wielu lat prezentowana jest w wyrokach sądów administracyjnych jednolita linia orzecznicza, która w kwestii dokonywania kwalifikacji prawnej zakresu zamierzenia budowlanego polegającego na budowie kilku budynków połączonych kondygnacją podziemną uznaje, że taka inwestycja nie może stanowić jednego budynku.</w:t>
      </w:r>
    </w:p>
    <w:p w:rsidR="003A1EE1" w:rsidRPr="00BD483A" w:rsidRDefault="00E44599" w:rsidP="00BD483A">
      <w:pPr>
        <w:pStyle w:val="Bodytext20"/>
        <w:shd w:val="clear" w:color="auto" w:fill="auto"/>
        <w:spacing w:before="120" w:after="240" w:line="300" w:lineRule="auto"/>
        <w:ind w:left="1600" w:right="560" w:firstLine="0"/>
        <w:rPr>
          <w:rFonts w:asciiTheme="minorHAnsi" w:hAnsiTheme="minorHAnsi" w:cstheme="minorHAnsi"/>
          <w:sz w:val="22"/>
          <w:szCs w:val="22"/>
        </w:rPr>
      </w:pPr>
      <w:r w:rsidRPr="00BD483A">
        <w:rPr>
          <w:rFonts w:asciiTheme="minorHAnsi" w:hAnsiTheme="minorHAnsi" w:cstheme="minorHAnsi"/>
          <w:sz w:val="22"/>
          <w:szCs w:val="22"/>
        </w:rPr>
        <w:t xml:space="preserve">Przytoczony przez Pana Burmistrza wyrok NSA z 28 maja 2019 r., sygn. akt IIOSK </w:t>
      </w:r>
      <w:r w:rsidRPr="00BD483A">
        <w:rPr>
          <w:rFonts w:asciiTheme="minorHAnsi" w:hAnsiTheme="minorHAnsi" w:cstheme="minorHAnsi"/>
          <w:sz w:val="22"/>
          <w:szCs w:val="22"/>
          <w:lang w:val="ru-RU" w:eastAsia="ru-RU" w:bidi="ru-RU"/>
        </w:rPr>
        <w:t xml:space="preserve">2529/18 </w:t>
      </w:r>
      <w:r w:rsidRPr="00BD483A">
        <w:rPr>
          <w:rFonts w:asciiTheme="minorHAnsi" w:hAnsiTheme="minorHAnsi" w:cstheme="minorHAnsi"/>
          <w:sz w:val="22"/>
          <w:szCs w:val="22"/>
        </w:rPr>
        <w:t xml:space="preserve">i zaprezentowany tamże pogląd należy uznać za odosobniony (m.in. brak w nim wskazania jakiegokolwiek innego rozstrzygnięcia sądu potwierdzającego takie stanowisko) wobec powyżej przywołanej linii orzeczniczej. Nadto NSA już w wyroku z 4 września 2019 r., sygn. akt II OSK </w:t>
      </w:r>
      <w:r w:rsidRPr="00BD483A">
        <w:rPr>
          <w:rFonts w:asciiTheme="minorHAnsi" w:hAnsiTheme="minorHAnsi" w:cstheme="minorHAnsi"/>
          <w:sz w:val="22"/>
          <w:szCs w:val="22"/>
          <w:lang w:val="ru-RU" w:eastAsia="ru-RU" w:bidi="ru-RU"/>
        </w:rPr>
        <w:t xml:space="preserve">56/18 </w:t>
      </w:r>
      <w:r w:rsidRPr="00BD483A">
        <w:rPr>
          <w:rFonts w:asciiTheme="minorHAnsi" w:hAnsiTheme="minorHAnsi" w:cstheme="minorHAnsi"/>
          <w:sz w:val="22"/>
          <w:szCs w:val="22"/>
        </w:rPr>
        <w:t xml:space="preserve">powołując się na orzeczenia z lat 2009- 2019 wskazał w uzasadnieniu wyroku: „{...) posiadanie przez budynki wspólnego fundamentu, garażu podziemnego nie stanowi przeszkody aby uznać, że każdy budynek danego zamierzenia inwestycyjnego spełnia warunek samodzielności konstrukcyjnej (por. wyrok NSA z dnia 27 października 2009 r., sygn. akt II OSK </w:t>
      </w:r>
      <w:r w:rsidRPr="00BD483A">
        <w:rPr>
          <w:rFonts w:asciiTheme="minorHAnsi" w:hAnsiTheme="minorHAnsi" w:cstheme="minorHAnsi"/>
          <w:sz w:val="22"/>
          <w:szCs w:val="22"/>
          <w:lang w:val="ru-RU" w:eastAsia="ru-RU" w:bidi="ru-RU"/>
        </w:rPr>
        <w:t xml:space="preserve">1601/08 </w:t>
      </w:r>
      <w:r w:rsidRPr="00BD483A">
        <w:rPr>
          <w:rFonts w:asciiTheme="minorHAnsi" w:hAnsiTheme="minorHAnsi" w:cstheme="minorHAnsi"/>
          <w:sz w:val="22"/>
          <w:szCs w:val="22"/>
        </w:rPr>
        <w:t>- dotyczący zabudowy szeregowej - publik. CBOSA). Okoliczność, że kilka budynków jest posadowionych na wspólnej jednej płycie fundamentowej i ma wspólny garaż podziemny nie czyni z kilku budynków jednego budynku. Sam wspólny</w:t>
      </w:r>
    </w:p>
    <w:p w:rsidR="003A1EE1" w:rsidRPr="00BD483A" w:rsidRDefault="00E44599" w:rsidP="00BD483A">
      <w:pPr>
        <w:pStyle w:val="Bodytext20"/>
        <w:numPr>
          <w:ilvl w:val="0"/>
          <w:numId w:val="3"/>
        </w:numPr>
        <w:shd w:val="clear" w:color="auto" w:fill="auto"/>
        <w:tabs>
          <w:tab w:val="left" w:pos="202"/>
        </w:tabs>
        <w:spacing w:before="120" w:after="240" w:line="300" w:lineRule="auto"/>
        <w:ind w:left="200" w:right="2040" w:hanging="200"/>
        <w:rPr>
          <w:rFonts w:asciiTheme="minorHAnsi" w:hAnsiTheme="minorHAnsi" w:cstheme="minorHAnsi"/>
          <w:sz w:val="22"/>
          <w:szCs w:val="22"/>
        </w:rPr>
      </w:pPr>
      <w:r w:rsidRPr="00BD483A">
        <w:rPr>
          <w:rFonts w:asciiTheme="minorHAnsi" w:hAnsiTheme="minorHAnsi" w:cstheme="minorHAnsi"/>
          <w:sz w:val="22"/>
          <w:szCs w:val="22"/>
          <w:lang w:val="en-US" w:eastAsia="en-US" w:bidi="en-US"/>
        </w:rPr>
        <w:t xml:space="preserve">Dot. </w:t>
      </w:r>
      <w:r w:rsidRPr="00BD483A">
        <w:rPr>
          <w:rFonts w:asciiTheme="minorHAnsi" w:hAnsiTheme="minorHAnsi" w:cstheme="minorHAnsi"/>
          <w:sz w:val="22"/>
          <w:szCs w:val="22"/>
        </w:rPr>
        <w:t xml:space="preserve">postępowań zakończonych wydaniem decyzji Nr: </w:t>
      </w:r>
      <w:r w:rsidRPr="00BD483A">
        <w:rPr>
          <w:rFonts w:asciiTheme="minorHAnsi" w:hAnsiTheme="minorHAnsi" w:cstheme="minorHAnsi"/>
          <w:sz w:val="22"/>
          <w:szCs w:val="22"/>
          <w:lang w:val="ru-RU" w:eastAsia="ru-RU" w:bidi="ru-RU"/>
        </w:rPr>
        <w:t>144/2021,38/2021,274/2021, 287/2021,195/2021, 63/2021, 43/2021,101/2021;</w:t>
      </w:r>
    </w:p>
    <w:p w:rsidR="003A1EE1" w:rsidRPr="00BD483A" w:rsidRDefault="00E44599" w:rsidP="00BD483A">
      <w:pPr>
        <w:pStyle w:val="Bodytext20"/>
        <w:numPr>
          <w:ilvl w:val="0"/>
          <w:numId w:val="3"/>
        </w:numPr>
        <w:shd w:val="clear" w:color="auto" w:fill="auto"/>
        <w:tabs>
          <w:tab w:val="left" w:pos="202"/>
        </w:tabs>
        <w:spacing w:before="120" w:after="240" w:line="300" w:lineRule="auto"/>
        <w:ind w:left="200" w:hanging="200"/>
        <w:rPr>
          <w:rFonts w:asciiTheme="minorHAnsi" w:hAnsiTheme="minorHAnsi" w:cstheme="minorHAnsi"/>
          <w:sz w:val="22"/>
          <w:szCs w:val="22"/>
        </w:rPr>
      </w:pPr>
      <w:r w:rsidRPr="00BD483A">
        <w:rPr>
          <w:rFonts w:asciiTheme="minorHAnsi" w:hAnsiTheme="minorHAnsi" w:cstheme="minorHAnsi"/>
          <w:sz w:val="22"/>
          <w:szCs w:val="22"/>
          <w:lang w:val="en-US" w:eastAsia="en-US" w:bidi="en-US"/>
        </w:rPr>
        <w:t xml:space="preserve">Dot. </w:t>
      </w:r>
      <w:r w:rsidRPr="00BD483A">
        <w:rPr>
          <w:rFonts w:asciiTheme="minorHAnsi" w:hAnsiTheme="minorHAnsi" w:cstheme="minorHAnsi"/>
          <w:sz w:val="22"/>
          <w:szCs w:val="22"/>
        </w:rPr>
        <w:t xml:space="preserve">postępowań zakończonych wydaniem decyzji Nr: </w:t>
      </w:r>
      <w:r w:rsidRPr="00BD483A">
        <w:rPr>
          <w:rFonts w:asciiTheme="minorHAnsi" w:hAnsiTheme="minorHAnsi" w:cstheme="minorHAnsi"/>
          <w:sz w:val="22"/>
          <w:szCs w:val="22"/>
          <w:lang w:val="ru-RU" w:eastAsia="ru-RU" w:bidi="ru-RU"/>
        </w:rPr>
        <w:t>287/2021,195/2021;</w:t>
      </w:r>
    </w:p>
    <w:p w:rsidR="003A1EE1" w:rsidRPr="00BD483A" w:rsidRDefault="00E44599" w:rsidP="00BD483A">
      <w:pPr>
        <w:pStyle w:val="Bodytext20"/>
        <w:shd w:val="clear" w:color="auto" w:fill="auto"/>
        <w:spacing w:before="120" w:after="240" w:line="300" w:lineRule="auto"/>
        <w:ind w:right="640" w:firstLine="0"/>
        <w:rPr>
          <w:rFonts w:asciiTheme="minorHAnsi" w:hAnsiTheme="minorHAnsi" w:cstheme="minorHAnsi"/>
          <w:sz w:val="22"/>
          <w:szCs w:val="22"/>
        </w:rPr>
      </w:pPr>
      <w:r w:rsidRPr="00BD483A">
        <w:rPr>
          <w:rFonts w:asciiTheme="minorHAnsi" w:hAnsiTheme="minorHAnsi" w:cstheme="minorHAnsi"/>
          <w:sz w:val="22"/>
          <w:szCs w:val="22"/>
        </w:rPr>
        <w:t xml:space="preserve">fundament nie oznacza, że kilka budynków staje się jednym budynkiem. Podkreślić należy, iż w aspekcie zagospodarowania przestrzennego, ładu urbanistycznego i parametrów zabudowy, istotne znaczenie mają obiekty nad powierzchnią ziemi, a nie ich części podziemne (por. wyrok NSA z dnia 15 czerwca 2016 r., sygn. akt IIOSK </w:t>
      </w:r>
      <w:r w:rsidRPr="00BD483A">
        <w:rPr>
          <w:rFonts w:asciiTheme="minorHAnsi" w:hAnsiTheme="minorHAnsi" w:cstheme="minorHAnsi"/>
          <w:sz w:val="22"/>
          <w:szCs w:val="22"/>
          <w:lang w:val="ru-RU" w:eastAsia="ru-RU" w:bidi="ru-RU"/>
        </w:rPr>
        <w:t xml:space="preserve">2484/14 </w:t>
      </w:r>
      <w:r w:rsidRPr="00BD483A">
        <w:rPr>
          <w:rFonts w:asciiTheme="minorHAnsi" w:hAnsiTheme="minorHAnsi" w:cstheme="minorHAnsi"/>
          <w:sz w:val="22"/>
          <w:szCs w:val="22"/>
        </w:rPr>
        <w:t>- publik. CBOSA). Za taką wykładnią przemawia również przepis § 210 rozporządzenia Ministra Infrastruktury z dnia 12 kwietnia 2002 r. w sprawie warunków technicznych, jakim powinny odpowiadać budynki i ich usytuowanie (</w:t>
      </w:r>
      <w:proofErr w:type="spellStart"/>
      <w:r w:rsidRPr="00BD483A">
        <w:rPr>
          <w:rFonts w:asciiTheme="minorHAnsi" w:hAnsiTheme="minorHAnsi" w:cstheme="minorHAnsi"/>
          <w:sz w:val="22"/>
          <w:szCs w:val="22"/>
        </w:rPr>
        <w:t>t.j</w:t>
      </w:r>
      <w:proofErr w:type="spellEnd"/>
      <w:r w:rsidRPr="00BD483A">
        <w:rPr>
          <w:rFonts w:asciiTheme="minorHAnsi" w:hAnsiTheme="minorHAnsi" w:cstheme="minorHAnsi"/>
          <w:sz w:val="22"/>
          <w:szCs w:val="22"/>
        </w:rPr>
        <w:t xml:space="preserve">. Dz. U. z 2015 r., poz. 1422 ze zm.). Przepis ten stanowi, iż części budynku wydzielone ścianami oddzielenia przeciwpożarowego </w:t>
      </w:r>
      <w:r w:rsidRPr="00BD483A">
        <w:rPr>
          <w:rFonts w:asciiTheme="minorHAnsi" w:hAnsiTheme="minorHAnsi" w:cstheme="minorHAnsi"/>
          <w:sz w:val="22"/>
          <w:szCs w:val="22"/>
        </w:rPr>
        <w:lastRenderedPageBreak/>
        <w:t xml:space="preserve">w pionie - od fundamentu do </w:t>
      </w:r>
      <w:proofErr w:type="spellStart"/>
      <w:r w:rsidRPr="00BD483A">
        <w:rPr>
          <w:rFonts w:asciiTheme="minorHAnsi" w:hAnsiTheme="minorHAnsi" w:cstheme="minorHAnsi"/>
          <w:sz w:val="22"/>
          <w:szCs w:val="22"/>
        </w:rPr>
        <w:t>przekrycia</w:t>
      </w:r>
      <w:proofErr w:type="spellEnd"/>
      <w:r w:rsidRPr="00BD483A">
        <w:rPr>
          <w:rFonts w:asciiTheme="minorHAnsi" w:hAnsiTheme="minorHAnsi" w:cstheme="minorHAnsi"/>
          <w:sz w:val="22"/>
          <w:szCs w:val="22"/>
        </w:rPr>
        <w:t xml:space="preserve"> dachu - mogą być traktowane jako odrębne budynki. W przepisie tym mowa jest o częściach budynku od fundamentu, a nie z fundamentem. Na jednej płycie fundamentowej mogą być posadowione budynki tego samego lub różnych inwestorów i kompleks budynków różnych inwestorów może mieć jeden podziemny garaż."</w:t>
      </w:r>
    </w:p>
    <w:p w:rsidR="003A1EE1" w:rsidRPr="00BD483A" w:rsidRDefault="00E44599" w:rsidP="00BD483A">
      <w:pPr>
        <w:pStyle w:val="Bodytext20"/>
        <w:shd w:val="clear" w:color="auto" w:fill="auto"/>
        <w:spacing w:before="120" w:after="240" w:line="300" w:lineRule="auto"/>
        <w:ind w:right="640" w:firstLine="0"/>
        <w:rPr>
          <w:rFonts w:asciiTheme="minorHAnsi" w:hAnsiTheme="minorHAnsi" w:cstheme="minorHAnsi"/>
          <w:sz w:val="22"/>
          <w:szCs w:val="22"/>
        </w:rPr>
      </w:pPr>
      <w:r w:rsidRPr="00BD483A">
        <w:rPr>
          <w:rFonts w:asciiTheme="minorHAnsi" w:hAnsiTheme="minorHAnsi" w:cstheme="minorHAnsi"/>
          <w:sz w:val="22"/>
          <w:szCs w:val="22"/>
        </w:rPr>
        <w:t>W tym samym wyroku NSA wskazał również: „Jak podkreślił Naczelny Sąd Administracyjny w uzasadnieniu wyroku z dnia 27 marca 2019 r., sygn. akt II OSK 1187 (publik. CBOSA) aktualnie, z uwagi na możliwości techniczne, powszechną praktyką jest budowanie całych osiedli składających się z kilku budynków na jednej płycie fundamentowej, co wymusza w pewnym stopniu powiązanie infrastrukturalne. To jednak nie oznacza, że taki sposób posadowienia tych budynków wpływa na prawną kwalifikację i uznanie ich za jeden budynek".</w:t>
      </w:r>
    </w:p>
    <w:p w:rsidR="003A1EE1" w:rsidRPr="00BD483A" w:rsidRDefault="00E44599" w:rsidP="00BD483A">
      <w:pPr>
        <w:pStyle w:val="Bodytext20"/>
        <w:shd w:val="clear" w:color="auto" w:fill="auto"/>
        <w:spacing w:before="120" w:after="240" w:line="300" w:lineRule="auto"/>
        <w:ind w:right="640" w:firstLine="0"/>
        <w:rPr>
          <w:rFonts w:asciiTheme="minorHAnsi" w:hAnsiTheme="minorHAnsi" w:cstheme="minorHAnsi"/>
          <w:sz w:val="22"/>
          <w:szCs w:val="22"/>
        </w:rPr>
      </w:pPr>
      <w:r w:rsidRPr="00BD483A">
        <w:rPr>
          <w:rFonts w:asciiTheme="minorHAnsi" w:hAnsiTheme="minorHAnsi" w:cstheme="minorHAnsi"/>
          <w:sz w:val="22"/>
          <w:szCs w:val="22"/>
        </w:rPr>
        <w:t xml:space="preserve">Pomimo to nie wezwano wnioskodawcy w trybie </w:t>
      </w:r>
      <w:r w:rsidRPr="00BD483A">
        <w:rPr>
          <w:rFonts w:asciiTheme="minorHAnsi" w:hAnsiTheme="minorHAnsi" w:cstheme="minorHAnsi"/>
          <w:sz w:val="22"/>
          <w:szCs w:val="22"/>
          <w:lang w:val="en-US" w:eastAsia="en-US" w:bidi="en-US"/>
        </w:rPr>
        <w:t xml:space="preserve">art. </w:t>
      </w:r>
      <w:r w:rsidRPr="00BD483A">
        <w:rPr>
          <w:rFonts w:asciiTheme="minorHAnsi" w:hAnsiTheme="minorHAnsi" w:cstheme="minorHAnsi"/>
          <w:sz w:val="22"/>
          <w:szCs w:val="22"/>
        </w:rPr>
        <w:t>50 § 1 k.p.a. do prawidłowego i zgodnego z definicją budynku określenia przedmiotu inwestycji odzwierciedlającego rzeczywiste zamierzenie inwestora.</w:t>
      </w:r>
    </w:p>
    <w:p w:rsidR="003A1EE1" w:rsidRPr="00BD483A" w:rsidRDefault="00E44599" w:rsidP="00BD483A">
      <w:pPr>
        <w:pStyle w:val="Bodytext20"/>
        <w:shd w:val="clear" w:color="auto" w:fill="auto"/>
        <w:spacing w:before="120" w:after="240" w:line="300" w:lineRule="auto"/>
        <w:ind w:right="640" w:firstLine="0"/>
        <w:rPr>
          <w:rFonts w:asciiTheme="minorHAnsi" w:hAnsiTheme="minorHAnsi" w:cstheme="minorHAnsi"/>
          <w:sz w:val="22"/>
          <w:szCs w:val="22"/>
        </w:rPr>
      </w:pPr>
      <w:r w:rsidRPr="00BD483A">
        <w:rPr>
          <w:rFonts w:asciiTheme="minorHAnsi" w:hAnsiTheme="minorHAnsi" w:cstheme="minorHAnsi"/>
          <w:sz w:val="22"/>
          <w:szCs w:val="22"/>
        </w:rPr>
        <w:t>Błędne ustalenie rodzaju inwestycji miało swoje konsekwencje w postaci nienałożenia na wnioskodawcę obowiązku zaprojektowania placu zabaw dla dzieci, który to obiekt zgodnie z § 40 rozporządzenia Ministra Infrastruktury z dnia 12 kwietnia 2002 r. w sprawie warunków technicznych, jakim powinny odpowiadać budynki i ich usytuowanie</w:t>
      </w:r>
      <w:r w:rsidRPr="00BD483A">
        <w:rPr>
          <w:rFonts w:asciiTheme="minorHAnsi" w:hAnsiTheme="minorHAnsi" w:cstheme="minorHAnsi"/>
          <w:sz w:val="22"/>
          <w:szCs w:val="22"/>
          <w:vertAlign w:val="superscript"/>
        </w:rPr>
        <w:t>5</w:t>
      </w:r>
      <w:r w:rsidRPr="00BD483A">
        <w:rPr>
          <w:rFonts w:asciiTheme="minorHAnsi" w:hAnsiTheme="minorHAnsi" w:cstheme="minorHAnsi"/>
          <w:sz w:val="22"/>
          <w:szCs w:val="22"/>
        </w:rPr>
        <w:t xml:space="preserve"> (dalej: rozporządzenie w sprawie warunków technicznych) jest wymagany przy projektowaniu zespołu budynków mieszkalnych wielorodzinnych. Naruszało </w:t>
      </w:r>
      <w:r w:rsidRPr="00BD483A">
        <w:rPr>
          <w:rFonts w:asciiTheme="minorHAnsi" w:hAnsiTheme="minorHAnsi" w:cstheme="minorHAnsi"/>
          <w:sz w:val="22"/>
          <w:szCs w:val="22"/>
          <w:lang w:val="en-US" w:eastAsia="en-US" w:bidi="en-US"/>
        </w:rPr>
        <w:t xml:space="preserve">to art. </w:t>
      </w:r>
      <w:r w:rsidRPr="00BD483A">
        <w:rPr>
          <w:rFonts w:asciiTheme="minorHAnsi" w:hAnsiTheme="minorHAnsi" w:cstheme="minorHAnsi"/>
          <w:sz w:val="22"/>
          <w:szCs w:val="22"/>
        </w:rPr>
        <w:t>35 ust. 1 pkt 2 Prawa budowlanego;</w:t>
      </w:r>
    </w:p>
    <w:p w:rsidR="003A1EE1" w:rsidRDefault="00E44599" w:rsidP="00395493">
      <w:pPr>
        <w:pStyle w:val="Bodytext20"/>
        <w:shd w:val="clear" w:color="auto" w:fill="auto"/>
        <w:spacing w:before="120" w:after="240" w:line="300" w:lineRule="auto"/>
        <w:ind w:right="640" w:firstLine="0"/>
        <w:rPr>
          <w:rFonts w:asciiTheme="minorHAnsi" w:hAnsiTheme="minorHAnsi" w:cstheme="minorHAnsi"/>
          <w:sz w:val="22"/>
          <w:szCs w:val="22"/>
        </w:rPr>
      </w:pPr>
      <w:r w:rsidRPr="00BD483A">
        <w:rPr>
          <w:rFonts w:asciiTheme="minorHAnsi" w:hAnsiTheme="minorHAnsi" w:cstheme="minorHAnsi"/>
          <w:sz w:val="22"/>
          <w:szCs w:val="22"/>
        </w:rPr>
        <w:t xml:space="preserve">- decyzją Nr </w:t>
      </w:r>
      <w:r w:rsidRPr="00BD483A">
        <w:rPr>
          <w:rFonts w:asciiTheme="minorHAnsi" w:hAnsiTheme="minorHAnsi" w:cstheme="minorHAnsi"/>
          <w:sz w:val="22"/>
          <w:szCs w:val="22"/>
          <w:lang w:val="ru-RU" w:eastAsia="ru-RU" w:bidi="ru-RU"/>
        </w:rPr>
        <w:t xml:space="preserve">195/2021 </w:t>
      </w:r>
      <w:r w:rsidRPr="00BD483A">
        <w:rPr>
          <w:rFonts w:asciiTheme="minorHAnsi" w:hAnsiTheme="minorHAnsi" w:cstheme="minorHAnsi"/>
          <w:sz w:val="22"/>
          <w:szCs w:val="22"/>
        </w:rPr>
        <w:t xml:space="preserve">zatwierdzono projekt zagospodarowania terenu </w:t>
      </w:r>
      <w:r w:rsidRPr="00BD483A">
        <w:rPr>
          <w:rFonts w:asciiTheme="minorHAnsi" w:hAnsiTheme="minorHAnsi" w:cstheme="minorHAnsi"/>
          <w:sz w:val="22"/>
          <w:szCs w:val="22"/>
          <w:lang w:val="en-US" w:eastAsia="en-US" w:bidi="en-US"/>
        </w:rPr>
        <w:t xml:space="preserve">dot. </w:t>
      </w:r>
      <w:r w:rsidRPr="00BD483A">
        <w:rPr>
          <w:rFonts w:asciiTheme="minorHAnsi" w:hAnsiTheme="minorHAnsi" w:cstheme="minorHAnsi"/>
          <w:sz w:val="22"/>
          <w:szCs w:val="22"/>
        </w:rPr>
        <w:t xml:space="preserve">budowy budynku mieszkalnego jednorodzinnego i garażu wolno stojącego oraz projekt architektoniczno-budowlany dla I etapu, tj. budowy budynku mieszkalnego jednorodzinnego, pomimo że wniosek inwestora nie obejmował etapowania inwestycji i </w:t>
      </w:r>
      <w:r w:rsidRPr="00BD483A">
        <w:rPr>
          <w:rFonts w:asciiTheme="minorHAnsi" w:hAnsiTheme="minorHAnsi" w:cstheme="minorHAnsi"/>
          <w:sz w:val="22"/>
          <w:szCs w:val="22"/>
          <w:lang w:val="en-US" w:eastAsia="en-US" w:bidi="en-US"/>
        </w:rPr>
        <w:t xml:space="preserve">dot. </w:t>
      </w:r>
      <w:r w:rsidRPr="00BD483A">
        <w:rPr>
          <w:rFonts w:asciiTheme="minorHAnsi" w:hAnsiTheme="minorHAnsi" w:cstheme="minorHAnsi"/>
          <w:sz w:val="22"/>
          <w:szCs w:val="22"/>
        </w:rPr>
        <w:t xml:space="preserve">budowy obu obiektów. Nie wezwano inwestora w trybie </w:t>
      </w:r>
      <w:r w:rsidRPr="00BD483A">
        <w:rPr>
          <w:rFonts w:asciiTheme="minorHAnsi" w:hAnsiTheme="minorHAnsi" w:cstheme="minorHAnsi"/>
          <w:sz w:val="22"/>
          <w:szCs w:val="22"/>
          <w:lang w:val="en-US" w:eastAsia="en-US" w:bidi="en-US"/>
        </w:rPr>
        <w:t xml:space="preserve">art. </w:t>
      </w:r>
      <w:r w:rsidRPr="00BD483A">
        <w:rPr>
          <w:rFonts w:asciiTheme="minorHAnsi" w:hAnsiTheme="minorHAnsi" w:cstheme="minorHAnsi"/>
          <w:sz w:val="22"/>
          <w:szCs w:val="22"/>
        </w:rPr>
        <w:t xml:space="preserve">50 § 1 k.p.a. do złożenia wyjaśnień </w:t>
      </w:r>
      <w:r w:rsidRPr="00BD483A">
        <w:rPr>
          <w:rFonts w:asciiTheme="minorHAnsi" w:hAnsiTheme="minorHAnsi" w:cstheme="minorHAnsi"/>
          <w:sz w:val="22"/>
          <w:szCs w:val="22"/>
          <w:lang w:val="en-US" w:eastAsia="en-US" w:bidi="en-US"/>
        </w:rPr>
        <w:t xml:space="preserve">dot. </w:t>
      </w:r>
      <w:r w:rsidRPr="00BD483A">
        <w:rPr>
          <w:rFonts w:asciiTheme="minorHAnsi" w:hAnsiTheme="minorHAnsi" w:cstheme="minorHAnsi"/>
          <w:sz w:val="22"/>
          <w:szCs w:val="22"/>
        </w:rPr>
        <w:t>rozbieżności wniosku i załączonej dokumentacji projektowej - alternatywnie - nie zobowiązano inwestora w drodze postanowienia</w:t>
      </w:r>
      <w:r w:rsidR="00395493">
        <w:rPr>
          <w:rFonts w:asciiTheme="minorHAnsi" w:hAnsiTheme="minorHAnsi" w:cstheme="minorHAnsi"/>
          <w:sz w:val="22"/>
          <w:szCs w:val="22"/>
        </w:rPr>
        <w:t xml:space="preserve"> </w:t>
      </w:r>
      <w:r w:rsidRPr="00BD483A">
        <w:rPr>
          <w:rFonts w:asciiTheme="minorHAnsi" w:hAnsiTheme="minorHAnsi" w:cstheme="minorHAnsi"/>
          <w:sz w:val="22"/>
          <w:szCs w:val="22"/>
        </w:rPr>
        <w:t>do złożenia dokumentacji projektowej zgodnej z wnioskiem. Powyższe było niezbędne dla rozstrzygnięcia sprawy zgodnie z żądaniem inwestora.</w:t>
      </w:r>
    </w:p>
    <w:p w:rsidR="000A11A1" w:rsidRPr="000A11A1" w:rsidRDefault="000A11A1" w:rsidP="000A11A1">
      <w:pPr>
        <w:pStyle w:val="Bodytext20"/>
        <w:shd w:val="clear" w:color="auto" w:fill="auto"/>
        <w:spacing w:before="0" w:after="0"/>
        <w:ind w:firstLine="0"/>
      </w:pPr>
      <w:r>
        <w:rPr>
          <w:rStyle w:val="Bodytext2Exact"/>
          <w:vertAlign w:val="superscript"/>
        </w:rPr>
        <w:t>5</w:t>
      </w:r>
      <w:r>
        <w:rPr>
          <w:rStyle w:val="Bodytext2Exact"/>
        </w:rPr>
        <w:t>j.t. Dz. U. z 2022 r., poz. 1225</w:t>
      </w:r>
    </w:p>
    <w:p w:rsidR="003A1EE1" w:rsidRPr="00BD483A" w:rsidRDefault="00E44599" w:rsidP="00BD483A">
      <w:pPr>
        <w:pStyle w:val="Bodytext20"/>
        <w:numPr>
          <w:ilvl w:val="0"/>
          <w:numId w:val="2"/>
        </w:numPr>
        <w:shd w:val="clear" w:color="auto" w:fill="auto"/>
        <w:tabs>
          <w:tab w:val="left" w:pos="1226"/>
        </w:tabs>
        <w:spacing w:before="120" w:after="240" w:line="300" w:lineRule="auto"/>
        <w:ind w:right="1380" w:firstLine="0"/>
        <w:rPr>
          <w:rFonts w:asciiTheme="minorHAnsi" w:hAnsiTheme="minorHAnsi" w:cstheme="minorHAnsi"/>
          <w:sz w:val="22"/>
          <w:szCs w:val="22"/>
        </w:rPr>
      </w:pPr>
      <w:r w:rsidRPr="00BD483A">
        <w:rPr>
          <w:rFonts w:asciiTheme="minorHAnsi" w:hAnsiTheme="minorHAnsi" w:cstheme="minorHAnsi"/>
          <w:sz w:val="22"/>
          <w:szCs w:val="22"/>
        </w:rPr>
        <w:t xml:space="preserve">decyzją nr </w:t>
      </w:r>
      <w:r w:rsidRPr="00BD483A">
        <w:rPr>
          <w:rFonts w:asciiTheme="minorHAnsi" w:hAnsiTheme="minorHAnsi" w:cstheme="minorHAnsi"/>
          <w:sz w:val="22"/>
          <w:szCs w:val="22"/>
          <w:lang w:val="ru-RU" w:eastAsia="ru-RU" w:bidi="ru-RU"/>
        </w:rPr>
        <w:t xml:space="preserve">287/2021 </w:t>
      </w:r>
      <w:r w:rsidRPr="00BD483A">
        <w:rPr>
          <w:rFonts w:asciiTheme="minorHAnsi" w:hAnsiTheme="minorHAnsi" w:cstheme="minorHAnsi"/>
          <w:sz w:val="22"/>
          <w:szCs w:val="22"/>
        </w:rPr>
        <w:t xml:space="preserve">zatwierdzono projekt architektoniczno-budowlany budynku mieszkalnego wielorodzinnego, który nie był zgodny z decyzją ustalającą warunki zabudowy, czym naruszono </w:t>
      </w:r>
      <w:r w:rsidRPr="00BD483A">
        <w:rPr>
          <w:rFonts w:asciiTheme="minorHAnsi" w:hAnsiTheme="minorHAnsi" w:cstheme="minorHAnsi"/>
          <w:sz w:val="22"/>
          <w:szCs w:val="22"/>
          <w:lang w:val="en-US" w:eastAsia="en-US" w:bidi="en-US"/>
        </w:rPr>
        <w:t xml:space="preserve">art. </w:t>
      </w:r>
      <w:r w:rsidRPr="00BD483A">
        <w:rPr>
          <w:rFonts w:asciiTheme="minorHAnsi" w:hAnsiTheme="minorHAnsi" w:cstheme="minorHAnsi"/>
          <w:sz w:val="22"/>
          <w:szCs w:val="22"/>
        </w:rPr>
        <w:t>35 ust. 1 pkt 1 Prawa budowlanego, tj.:</w:t>
      </w:r>
    </w:p>
    <w:p w:rsidR="003A1EE1" w:rsidRPr="00BD483A" w:rsidRDefault="00E44599" w:rsidP="00BD483A">
      <w:pPr>
        <w:pStyle w:val="Bodytext20"/>
        <w:shd w:val="clear" w:color="auto" w:fill="auto"/>
        <w:spacing w:before="120" w:after="240" w:line="300" w:lineRule="auto"/>
        <w:ind w:right="680" w:firstLine="0"/>
        <w:rPr>
          <w:rFonts w:asciiTheme="minorHAnsi" w:hAnsiTheme="minorHAnsi" w:cstheme="minorHAnsi"/>
          <w:sz w:val="22"/>
          <w:szCs w:val="22"/>
        </w:rPr>
      </w:pPr>
      <w:r w:rsidRPr="00BD483A">
        <w:rPr>
          <w:rFonts w:asciiTheme="minorHAnsi" w:hAnsiTheme="minorHAnsi" w:cstheme="minorHAnsi"/>
          <w:sz w:val="22"/>
          <w:szCs w:val="22"/>
        </w:rPr>
        <w:t xml:space="preserve">zaprojektowano budynek, którego wysokość górnej krawędzi elewacji - attyki wynosiła 14,5 m licząc od istniejącego płaskiego poziomu terenu, pomimo że decyzja o warunkach zabudowy nr </w:t>
      </w:r>
      <w:r w:rsidRPr="00BD483A">
        <w:rPr>
          <w:rFonts w:asciiTheme="minorHAnsi" w:hAnsiTheme="minorHAnsi" w:cstheme="minorHAnsi"/>
          <w:sz w:val="22"/>
          <w:szCs w:val="22"/>
          <w:lang w:val="ru-RU" w:eastAsia="ru-RU" w:bidi="ru-RU"/>
        </w:rPr>
        <w:t xml:space="preserve">117/2020 </w:t>
      </w:r>
      <w:r w:rsidRPr="00BD483A">
        <w:rPr>
          <w:rFonts w:asciiTheme="minorHAnsi" w:hAnsiTheme="minorHAnsi" w:cstheme="minorHAnsi"/>
          <w:sz w:val="22"/>
          <w:szCs w:val="22"/>
        </w:rPr>
        <w:t>z 2.09.2020 r. określała wysokość budynku w głównej kalenicy - attyce jako maks. 13 m.</w:t>
      </w:r>
    </w:p>
    <w:p w:rsidR="003A1EE1" w:rsidRPr="00BD483A" w:rsidRDefault="00E44599" w:rsidP="00BD483A">
      <w:pPr>
        <w:pStyle w:val="Bodytext20"/>
        <w:shd w:val="clear" w:color="auto" w:fill="auto"/>
        <w:spacing w:before="120" w:after="240" w:line="300" w:lineRule="auto"/>
        <w:ind w:right="680" w:firstLine="0"/>
        <w:rPr>
          <w:rFonts w:asciiTheme="minorHAnsi" w:hAnsiTheme="minorHAnsi" w:cstheme="minorHAnsi"/>
          <w:sz w:val="22"/>
          <w:szCs w:val="22"/>
        </w:rPr>
      </w:pPr>
      <w:r w:rsidRPr="00BD483A">
        <w:rPr>
          <w:rFonts w:asciiTheme="minorHAnsi" w:hAnsiTheme="minorHAnsi" w:cstheme="minorHAnsi"/>
          <w:sz w:val="22"/>
          <w:szCs w:val="22"/>
        </w:rPr>
        <w:t xml:space="preserve">Burmistrz w tej kwestii wyjaśnił, że „Wysokość budynku została obliczona zgodnie z § 6 </w:t>
      </w:r>
      <w:r w:rsidRPr="00BD483A">
        <w:rPr>
          <w:rFonts w:asciiTheme="minorHAnsi" w:hAnsiTheme="minorHAnsi" w:cstheme="minorHAnsi"/>
          <w:sz w:val="22"/>
          <w:szCs w:val="22"/>
        </w:rPr>
        <w:lastRenderedPageBreak/>
        <w:t xml:space="preserve">rozporządzenia (...) w sprawie warunków technicznych, zgodnie z którym wysokość budynku, służącą do przyporządkowania temu budynkowi odpowiednich wymagań rozporządzenia, mierzy się od poziomu terenu przy najniżej położonym wejściu do budynku lub jego części, znajdującym się na pierwszej kondygnacji nadziemnej budynku, do górnej powierzchni najwyżej położonego stropu, łącznie z grubością izolacji cieplnej i warstwy ją osłaniającej, bez uwzględniania wyniesionych ponad tę płaszczyznę maszynowni dźwigów i innych pomieszczeń technicznych, bądź do najwyżej położonego punktu stropodachu lub konstrukcji </w:t>
      </w:r>
      <w:proofErr w:type="spellStart"/>
      <w:r w:rsidRPr="00BD483A">
        <w:rPr>
          <w:rFonts w:asciiTheme="minorHAnsi" w:hAnsiTheme="minorHAnsi" w:cstheme="minorHAnsi"/>
          <w:sz w:val="22"/>
          <w:szCs w:val="22"/>
        </w:rPr>
        <w:t>przekrycia</w:t>
      </w:r>
      <w:proofErr w:type="spellEnd"/>
      <w:r w:rsidRPr="00BD483A">
        <w:rPr>
          <w:rFonts w:asciiTheme="minorHAnsi" w:hAnsiTheme="minorHAnsi" w:cstheme="minorHAnsi"/>
          <w:sz w:val="22"/>
          <w:szCs w:val="22"/>
        </w:rPr>
        <w:t xml:space="preserve"> budynku znajdującego się bezpośrednio nad pomieszczeniami przeznaczonymi na pobyt ludzi".</w:t>
      </w:r>
    </w:p>
    <w:p w:rsidR="003A1EE1" w:rsidRPr="00BD483A" w:rsidRDefault="00E44599" w:rsidP="00BD483A">
      <w:pPr>
        <w:pStyle w:val="Bodytext20"/>
        <w:shd w:val="clear" w:color="auto" w:fill="auto"/>
        <w:spacing w:before="120" w:after="240" w:line="300" w:lineRule="auto"/>
        <w:ind w:right="680" w:firstLine="0"/>
        <w:rPr>
          <w:rFonts w:asciiTheme="minorHAnsi" w:hAnsiTheme="minorHAnsi" w:cstheme="minorHAnsi"/>
          <w:sz w:val="22"/>
          <w:szCs w:val="22"/>
        </w:rPr>
      </w:pPr>
      <w:r w:rsidRPr="00BD483A">
        <w:rPr>
          <w:rFonts w:asciiTheme="minorHAnsi" w:hAnsiTheme="minorHAnsi" w:cstheme="minorHAnsi"/>
          <w:sz w:val="22"/>
          <w:szCs w:val="22"/>
        </w:rPr>
        <w:t>Jednakże w warunkach zabudowy określono wysokość budynku jako wysokość głównej kalenicy/attyki, a więc w inny sposób niż w wyżej przywołanym przepisie. Cytowana powyżej definicja wysokości budynku, jak wynika z jej treści, służy jedynie do przyporządkowania temu budynkowi odpowiednich wymagań ww. rozporządzenia. Wysokość budynku w decyzji o warunkach zabudowy nie musiała i nie była określana zgodnie z treścią tej definicji.</w:t>
      </w:r>
    </w:p>
    <w:p w:rsidR="003A1EE1" w:rsidRPr="00BD483A" w:rsidRDefault="00E44599" w:rsidP="00BD483A">
      <w:pPr>
        <w:pStyle w:val="Bodytext20"/>
        <w:shd w:val="clear" w:color="auto" w:fill="auto"/>
        <w:spacing w:before="120" w:after="240" w:line="300" w:lineRule="auto"/>
        <w:ind w:right="680" w:firstLine="0"/>
        <w:rPr>
          <w:rFonts w:asciiTheme="minorHAnsi" w:hAnsiTheme="minorHAnsi" w:cstheme="minorHAnsi"/>
          <w:sz w:val="22"/>
          <w:szCs w:val="22"/>
        </w:rPr>
      </w:pPr>
      <w:r w:rsidRPr="00BD483A">
        <w:rPr>
          <w:rFonts w:asciiTheme="minorHAnsi" w:hAnsiTheme="minorHAnsi" w:cstheme="minorHAnsi"/>
          <w:sz w:val="22"/>
          <w:szCs w:val="22"/>
        </w:rPr>
        <w:t>Sprawdzając projekt zagospodarowania oraz projekt architektoniczno-budowlany pominięto fakt zaprojektowanej zmiany naturalnego ukształtowania terenu, tj. podniesienia jego poziomu o ok. 1,5 m na niemal całym obszarze inwestycji.</w:t>
      </w:r>
    </w:p>
    <w:p w:rsidR="003A1EE1" w:rsidRPr="00BD483A" w:rsidRDefault="00E44599" w:rsidP="00BD483A">
      <w:pPr>
        <w:pStyle w:val="Bodytext20"/>
        <w:shd w:val="clear" w:color="auto" w:fill="auto"/>
        <w:spacing w:before="120" w:after="240" w:line="300" w:lineRule="auto"/>
        <w:ind w:right="680" w:firstLine="0"/>
        <w:rPr>
          <w:rFonts w:asciiTheme="minorHAnsi" w:hAnsiTheme="minorHAnsi" w:cstheme="minorHAnsi"/>
          <w:sz w:val="22"/>
          <w:szCs w:val="22"/>
        </w:rPr>
      </w:pPr>
      <w:r w:rsidRPr="00BD483A">
        <w:rPr>
          <w:rFonts w:asciiTheme="minorHAnsi" w:hAnsiTheme="minorHAnsi" w:cstheme="minorHAnsi"/>
          <w:sz w:val="22"/>
          <w:szCs w:val="22"/>
        </w:rPr>
        <w:t xml:space="preserve">Bezspornym jest, że ustalenia decyzji o warunkach zabudowy, co do wysokości budynku nie mogły przewidzieć i uwzględnić takiego zamierzenia, gdyż w pkt 1.2. tej decyzji </w:t>
      </w:r>
      <w:r w:rsidRPr="00BD483A">
        <w:rPr>
          <w:rFonts w:asciiTheme="minorHAnsi" w:hAnsiTheme="minorHAnsi" w:cstheme="minorHAnsi"/>
          <w:sz w:val="22"/>
          <w:szCs w:val="22"/>
          <w:lang w:val="en-US" w:eastAsia="en-US" w:bidi="en-US"/>
        </w:rPr>
        <w:t xml:space="preserve">dot. </w:t>
      </w:r>
      <w:r w:rsidRPr="00BD483A">
        <w:rPr>
          <w:rFonts w:asciiTheme="minorHAnsi" w:hAnsiTheme="minorHAnsi" w:cstheme="minorHAnsi"/>
          <w:sz w:val="22"/>
          <w:szCs w:val="22"/>
        </w:rPr>
        <w:t xml:space="preserve">warunków ochrony środowiska i zdrowia ludzi wskazano obowiązkowe uwzględnienie ochrony naturalnego ukształtowania terenu i stosunków wodnych zgodnie z </w:t>
      </w:r>
      <w:r w:rsidRPr="00BD483A">
        <w:rPr>
          <w:rFonts w:asciiTheme="minorHAnsi" w:hAnsiTheme="minorHAnsi" w:cstheme="minorHAnsi"/>
          <w:sz w:val="22"/>
          <w:szCs w:val="22"/>
          <w:lang w:val="en-US" w:eastAsia="en-US" w:bidi="en-US"/>
        </w:rPr>
        <w:t xml:space="preserve">art. </w:t>
      </w:r>
      <w:r w:rsidRPr="00BD483A">
        <w:rPr>
          <w:rFonts w:asciiTheme="minorHAnsi" w:hAnsiTheme="minorHAnsi" w:cstheme="minorHAnsi"/>
          <w:sz w:val="22"/>
          <w:szCs w:val="22"/>
        </w:rPr>
        <w:t>75 ust. 1 ustawy z dnia 27 kwietnia 2001 r. Prawo ochrony środowiska. Zatem niewątpliwie decyzja o warunkach zabudowy określała wysokość budynku liczoną od istniejącego terenu, a nie zgodnie z definicją zawartą w rozporządzeniu w sprawie warunków technicznych, od zaprojektowanego poziomu terenu przy najniżej położonym wejściu do budynku, tym bardziej, że naturalne ukształtowanie terenu, zgodnie z tą decyzją, nie mogło ulec zmianie.</w:t>
      </w:r>
    </w:p>
    <w:p w:rsidR="003A1EE1" w:rsidRPr="00BD483A" w:rsidRDefault="00E44599" w:rsidP="00BD483A">
      <w:pPr>
        <w:pStyle w:val="Bodytext20"/>
        <w:numPr>
          <w:ilvl w:val="0"/>
          <w:numId w:val="2"/>
        </w:numPr>
        <w:shd w:val="clear" w:color="auto" w:fill="auto"/>
        <w:spacing w:before="120" w:after="240" w:line="300" w:lineRule="auto"/>
        <w:ind w:right="680" w:firstLine="0"/>
        <w:rPr>
          <w:rFonts w:asciiTheme="minorHAnsi" w:hAnsiTheme="minorHAnsi" w:cstheme="minorHAnsi"/>
          <w:sz w:val="22"/>
          <w:szCs w:val="22"/>
        </w:rPr>
      </w:pPr>
      <w:r w:rsidRPr="00BD483A">
        <w:rPr>
          <w:rFonts w:asciiTheme="minorHAnsi" w:hAnsiTheme="minorHAnsi" w:cstheme="minorHAnsi"/>
          <w:sz w:val="22"/>
          <w:szCs w:val="22"/>
        </w:rPr>
        <w:t xml:space="preserve">w </w:t>
      </w:r>
      <w:r w:rsidRPr="00BD483A">
        <w:rPr>
          <w:rFonts w:asciiTheme="minorHAnsi" w:hAnsiTheme="minorHAnsi" w:cstheme="minorHAnsi"/>
          <w:sz w:val="22"/>
          <w:szCs w:val="22"/>
          <w:lang w:val="ru-RU" w:eastAsia="ru-RU" w:bidi="ru-RU"/>
        </w:rPr>
        <w:t xml:space="preserve">б </w:t>
      </w:r>
      <w:r w:rsidRPr="00BD483A">
        <w:rPr>
          <w:rFonts w:asciiTheme="minorHAnsi" w:hAnsiTheme="minorHAnsi" w:cstheme="minorHAnsi"/>
          <w:sz w:val="22"/>
          <w:szCs w:val="22"/>
        </w:rPr>
        <w:t>postępowaniach</w:t>
      </w:r>
      <w:r w:rsidRPr="00BD483A">
        <w:rPr>
          <w:rFonts w:asciiTheme="minorHAnsi" w:hAnsiTheme="minorHAnsi" w:cstheme="minorHAnsi"/>
          <w:sz w:val="22"/>
          <w:szCs w:val="22"/>
          <w:vertAlign w:val="superscript"/>
        </w:rPr>
        <w:footnoteReference w:id="3"/>
      </w:r>
      <w:r w:rsidRPr="00BD483A">
        <w:rPr>
          <w:rFonts w:asciiTheme="minorHAnsi" w:hAnsiTheme="minorHAnsi" w:cstheme="minorHAnsi"/>
          <w:sz w:val="22"/>
          <w:szCs w:val="22"/>
        </w:rPr>
        <w:t xml:space="preserve"> zatwierdzono niekompletny projekt zagospodarowania terenu lub projekt architektoniczno-budowlany, czym naruszono </w:t>
      </w:r>
      <w:r w:rsidRPr="00BD483A">
        <w:rPr>
          <w:rFonts w:asciiTheme="minorHAnsi" w:hAnsiTheme="minorHAnsi" w:cstheme="minorHAnsi"/>
          <w:sz w:val="22"/>
          <w:szCs w:val="22"/>
          <w:lang w:val="en-US" w:eastAsia="en-US" w:bidi="en-US"/>
        </w:rPr>
        <w:t xml:space="preserve">art. </w:t>
      </w:r>
      <w:r w:rsidRPr="00BD483A">
        <w:rPr>
          <w:rFonts w:asciiTheme="minorHAnsi" w:hAnsiTheme="minorHAnsi" w:cstheme="minorHAnsi"/>
          <w:sz w:val="22"/>
          <w:szCs w:val="22"/>
        </w:rPr>
        <w:t>35 ust. 1 pkt 3 Prawa budowlanego, tj.:</w:t>
      </w:r>
    </w:p>
    <w:p w:rsidR="003A1EE1" w:rsidRPr="00BD483A" w:rsidRDefault="00E44599" w:rsidP="00BD483A">
      <w:pPr>
        <w:pStyle w:val="Bodytext20"/>
        <w:numPr>
          <w:ilvl w:val="0"/>
          <w:numId w:val="1"/>
        </w:numPr>
        <w:shd w:val="clear" w:color="auto" w:fill="auto"/>
        <w:tabs>
          <w:tab w:val="left" w:pos="1669"/>
        </w:tabs>
        <w:spacing w:before="120" w:after="240" w:line="300" w:lineRule="auto"/>
        <w:ind w:right="680" w:firstLine="0"/>
        <w:rPr>
          <w:rFonts w:asciiTheme="minorHAnsi" w:hAnsiTheme="minorHAnsi" w:cstheme="minorHAnsi"/>
          <w:sz w:val="22"/>
          <w:szCs w:val="22"/>
        </w:rPr>
      </w:pPr>
      <w:r w:rsidRPr="00BD483A">
        <w:rPr>
          <w:rFonts w:asciiTheme="minorHAnsi" w:hAnsiTheme="minorHAnsi" w:cstheme="minorHAnsi"/>
          <w:sz w:val="22"/>
          <w:szCs w:val="22"/>
        </w:rPr>
        <w:t xml:space="preserve">decyzją Nr </w:t>
      </w:r>
      <w:r w:rsidRPr="00BD483A">
        <w:rPr>
          <w:rFonts w:asciiTheme="minorHAnsi" w:hAnsiTheme="minorHAnsi" w:cstheme="minorHAnsi"/>
          <w:sz w:val="22"/>
          <w:szCs w:val="22"/>
          <w:lang w:val="ru-RU" w:eastAsia="ru-RU" w:bidi="ru-RU"/>
        </w:rPr>
        <w:t xml:space="preserve">38/2021 </w:t>
      </w:r>
      <w:r w:rsidRPr="00BD483A">
        <w:rPr>
          <w:rFonts w:asciiTheme="minorHAnsi" w:hAnsiTheme="minorHAnsi" w:cstheme="minorHAnsi"/>
          <w:sz w:val="22"/>
          <w:szCs w:val="22"/>
        </w:rPr>
        <w:t xml:space="preserve">zatwierdzono projekt zagospodarowania terenu, który nie został sporządzony na mapie do celów projektowych, co naruszało </w:t>
      </w:r>
      <w:r w:rsidRPr="00BD483A">
        <w:rPr>
          <w:rFonts w:asciiTheme="minorHAnsi" w:hAnsiTheme="minorHAnsi" w:cstheme="minorHAnsi"/>
          <w:sz w:val="22"/>
          <w:szCs w:val="22"/>
          <w:lang w:val="en-US" w:eastAsia="en-US" w:bidi="en-US"/>
        </w:rPr>
        <w:t xml:space="preserve">art. </w:t>
      </w:r>
      <w:r w:rsidRPr="00BD483A">
        <w:rPr>
          <w:rFonts w:asciiTheme="minorHAnsi" w:hAnsiTheme="minorHAnsi" w:cstheme="minorHAnsi"/>
          <w:sz w:val="22"/>
          <w:szCs w:val="22"/>
        </w:rPr>
        <w:t>34 ust. 3 pkt 1 Prawa budowlanego;</w:t>
      </w:r>
    </w:p>
    <w:p w:rsidR="003A1EE1" w:rsidRPr="00BD483A" w:rsidRDefault="00E44599" w:rsidP="00BD483A">
      <w:pPr>
        <w:pStyle w:val="Bodytext20"/>
        <w:numPr>
          <w:ilvl w:val="0"/>
          <w:numId w:val="1"/>
        </w:numPr>
        <w:shd w:val="clear" w:color="auto" w:fill="auto"/>
        <w:tabs>
          <w:tab w:val="left" w:pos="1669"/>
        </w:tabs>
        <w:spacing w:before="120" w:after="240" w:line="300" w:lineRule="auto"/>
        <w:ind w:right="680" w:firstLine="0"/>
        <w:rPr>
          <w:rFonts w:asciiTheme="minorHAnsi" w:hAnsiTheme="minorHAnsi" w:cstheme="minorHAnsi"/>
          <w:sz w:val="22"/>
          <w:szCs w:val="22"/>
        </w:rPr>
      </w:pPr>
      <w:r w:rsidRPr="00BD483A">
        <w:rPr>
          <w:rFonts w:asciiTheme="minorHAnsi" w:hAnsiTheme="minorHAnsi" w:cstheme="minorHAnsi"/>
          <w:sz w:val="22"/>
          <w:szCs w:val="22"/>
        </w:rPr>
        <w:t xml:space="preserve">decyzją nr </w:t>
      </w:r>
      <w:r w:rsidRPr="00BD483A">
        <w:rPr>
          <w:rFonts w:asciiTheme="minorHAnsi" w:hAnsiTheme="minorHAnsi" w:cstheme="minorHAnsi"/>
          <w:sz w:val="22"/>
          <w:szCs w:val="22"/>
          <w:lang w:val="ru-RU" w:eastAsia="ru-RU" w:bidi="ru-RU"/>
        </w:rPr>
        <w:t xml:space="preserve">144/2021 </w:t>
      </w:r>
      <w:r w:rsidRPr="00BD483A">
        <w:rPr>
          <w:rFonts w:asciiTheme="minorHAnsi" w:hAnsiTheme="minorHAnsi" w:cstheme="minorHAnsi"/>
          <w:sz w:val="22"/>
          <w:szCs w:val="22"/>
        </w:rPr>
        <w:t xml:space="preserve">zatwierdzono projekt zagospodarowania, który został sporządzony na kopii mapy, na której nie zostały oznaczone granice obszaru aktualizowanego, choć w metryce tej mapy wpisano, że granice te oznaczono kolorem czarnym. Zgodnie § 5 pkt 10 </w:t>
      </w:r>
      <w:r w:rsidRPr="00BD483A">
        <w:rPr>
          <w:rFonts w:asciiTheme="minorHAnsi" w:hAnsiTheme="minorHAnsi" w:cstheme="minorHAnsi"/>
          <w:sz w:val="22"/>
          <w:szCs w:val="22"/>
        </w:rPr>
        <w:lastRenderedPageBreak/>
        <w:t>rozporządzenia</w:t>
      </w:r>
      <w:r w:rsidRPr="00BD483A">
        <w:rPr>
          <w:rFonts w:asciiTheme="minorHAnsi" w:hAnsiTheme="minorHAnsi" w:cstheme="minorHAnsi"/>
          <w:sz w:val="22"/>
          <w:szCs w:val="22"/>
          <w:vertAlign w:val="superscript"/>
        </w:rPr>
        <w:footnoteReference w:id="4"/>
      </w:r>
      <w:r w:rsidRPr="00BD483A">
        <w:rPr>
          <w:rFonts w:asciiTheme="minorHAnsi" w:hAnsiTheme="minorHAnsi" w:cstheme="minorHAnsi"/>
          <w:sz w:val="22"/>
          <w:szCs w:val="22"/>
        </w:rPr>
        <w:t xml:space="preserve"> mapy do celów projektowych, powinny obejmować obszar otaczający teren inwestycji w pasie co najmniej 30 m.</w:t>
      </w:r>
    </w:p>
    <w:p w:rsidR="003A1EE1" w:rsidRPr="00BD483A" w:rsidRDefault="00E44599" w:rsidP="00BD483A">
      <w:pPr>
        <w:pStyle w:val="Bodytext20"/>
        <w:shd w:val="clear" w:color="auto" w:fill="auto"/>
        <w:spacing w:before="120" w:after="240" w:line="300" w:lineRule="auto"/>
        <w:ind w:right="680" w:firstLine="0"/>
        <w:rPr>
          <w:rFonts w:asciiTheme="minorHAnsi" w:hAnsiTheme="minorHAnsi" w:cstheme="minorHAnsi"/>
          <w:sz w:val="22"/>
          <w:szCs w:val="22"/>
        </w:rPr>
      </w:pPr>
      <w:r w:rsidRPr="00BD483A">
        <w:rPr>
          <w:rFonts w:asciiTheme="minorHAnsi" w:hAnsiTheme="minorHAnsi" w:cstheme="minorHAnsi"/>
          <w:sz w:val="22"/>
          <w:szCs w:val="22"/>
        </w:rPr>
        <w:t>Co prawda Burmistrz w tej kwestii wyjaśnił, że granica obszaru, który był przedmiotem aktualizacji została pokazana na dołączonej do projektu „czystej" mapie do celów projektowych i organ porównał treść mapy, to jednak przed wydaniem pozwolenia, po stronie organu istniał obowiązek wyjaśnienia tej kwestii poprzez uzyskanie stosownych uzupełnień dla dokonania oceny, czy kopia mapy, na której sporządzono projekt zagospodarowania terenu jest kopią aktualnej mapy do celów projektowych;</w:t>
      </w:r>
    </w:p>
    <w:p w:rsidR="003A1EE1" w:rsidRPr="00BD483A" w:rsidRDefault="00E44599" w:rsidP="00BD483A">
      <w:pPr>
        <w:pStyle w:val="Bodytext20"/>
        <w:numPr>
          <w:ilvl w:val="0"/>
          <w:numId w:val="1"/>
        </w:numPr>
        <w:shd w:val="clear" w:color="auto" w:fill="auto"/>
        <w:tabs>
          <w:tab w:val="left" w:pos="1669"/>
        </w:tabs>
        <w:spacing w:before="120" w:after="240" w:line="300" w:lineRule="auto"/>
        <w:ind w:right="680" w:firstLine="0"/>
        <w:rPr>
          <w:rFonts w:asciiTheme="minorHAnsi" w:hAnsiTheme="minorHAnsi" w:cstheme="minorHAnsi"/>
          <w:sz w:val="22"/>
          <w:szCs w:val="22"/>
        </w:rPr>
      </w:pPr>
      <w:r w:rsidRPr="00BD483A">
        <w:rPr>
          <w:rFonts w:asciiTheme="minorHAnsi" w:hAnsiTheme="minorHAnsi" w:cstheme="minorHAnsi"/>
          <w:sz w:val="22"/>
          <w:szCs w:val="22"/>
        </w:rPr>
        <w:t xml:space="preserve">decyzją nr </w:t>
      </w:r>
      <w:r w:rsidRPr="00BD483A">
        <w:rPr>
          <w:rFonts w:asciiTheme="minorHAnsi" w:hAnsiTheme="minorHAnsi" w:cstheme="minorHAnsi"/>
          <w:sz w:val="22"/>
          <w:szCs w:val="22"/>
          <w:lang w:val="ru-RU" w:eastAsia="ru-RU" w:bidi="ru-RU"/>
        </w:rPr>
        <w:t xml:space="preserve">287/2021 </w:t>
      </w:r>
      <w:r w:rsidRPr="00BD483A">
        <w:rPr>
          <w:rFonts w:asciiTheme="minorHAnsi" w:hAnsiTheme="minorHAnsi" w:cstheme="minorHAnsi"/>
          <w:sz w:val="22"/>
          <w:szCs w:val="22"/>
        </w:rPr>
        <w:t xml:space="preserve">zatwierdzono projekt zagospodarowania terenu wykonany na mapie, na której oświadczenie wykonawcy prac geodezyjnych o uzyskaniu pozytywnego wyniku weryfikacji było kopią, co naruszało </w:t>
      </w:r>
      <w:r w:rsidRPr="00BD483A">
        <w:rPr>
          <w:rFonts w:asciiTheme="minorHAnsi" w:hAnsiTheme="minorHAnsi" w:cstheme="minorHAnsi"/>
          <w:sz w:val="22"/>
          <w:szCs w:val="22"/>
          <w:lang w:val="en-US" w:eastAsia="en-US" w:bidi="en-US"/>
        </w:rPr>
        <w:t xml:space="preserve">art. </w:t>
      </w:r>
      <w:r w:rsidRPr="00BD483A">
        <w:rPr>
          <w:rFonts w:asciiTheme="minorHAnsi" w:hAnsiTheme="minorHAnsi" w:cstheme="minorHAnsi"/>
          <w:sz w:val="22"/>
          <w:szCs w:val="22"/>
        </w:rPr>
        <w:t>34b Prawa budowlanego;</w:t>
      </w:r>
    </w:p>
    <w:p w:rsidR="003A1EE1" w:rsidRPr="00BD483A" w:rsidRDefault="00E44599" w:rsidP="00BD483A">
      <w:pPr>
        <w:pStyle w:val="Bodytext20"/>
        <w:numPr>
          <w:ilvl w:val="0"/>
          <w:numId w:val="1"/>
        </w:numPr>
        <w:shd w:val="clear" w:color="auto" w:fill="auto"/>
        <w:tabs>
          <w:tab w:val="left" w:pos="1669"/>
        </w:tabs>
        <w:spacing w:before="120" w:after="240" w:line="300" w:lineRule="auto"/>
        <w:ind w:right="680" w:firstLine="0"/>
        <w:rPr>
          <w:rFonts w:asciiTheme="minorHAnsi" w:hAnsiTheme="minorHAnsi" w:cstheme="minorHAnsi"/>
          <w:sz w:val="22"/>
          <w:szCs w:val="22"/>
        </w:rPr>
      </w:pPr>
      <w:r w:rsidRPr="00BD483A">
        <w:rPr>
          <w:rFonts w:asciiTheme="minorHAnsi" w:hAnsiTheme="minorHAnsi" w:cstheme="minorHAnsi"/>
          <w:sz w:val="22"/>
          <w:szCs w:val="22"/>
        </w:rPr>
        <w:t xml:space="preserve">decyzją nr </w:t>
      </w:r>
      <w:r w:rsidRPr="00BD483A">
        <w:rPr>
          <w:rFonts w:asciiTheme="minorHAnsi" w:hAnsiTheme="minorHAnsi" w:cstheme="minorHAnsi"/>
          <w:sz w:val="22"/>
          <w:szCs w:val="22"/>
          <w:lang w:val="ru-RU" w:eastAsia="ru-RU" w:bidi="ru-RU"/>
        </w:rPr>
        <w:t xml:space="preserve">63/2021 </w:t>
      </w:r>
      <w:r w:rsidRPr="00BD483A">
        <w:rPr>
          <w:rFonts w:asciiTheme="minorHAnsi" w:hAnsiTheme="minorHAnsi" w:cstheme="minorHAnsi"/>
          <w:sz w:val="22"/>
          <w:szCs w:val="22"/>
        </w:rPr>
        <w:t xml:space="preserve">zatwierdzono dokumentację projektową w sytuacji braku spójności projektu zagospodarowania terenu z projektem architektoniczno- budowlanym w części </w:t>
      </w:r>
      <w:r w:rsidRPr="00BD483A">
        <w:rPr>
          <w:rFonts w:asciiTheme="minorHAnsi" w:hAnsiTheme="minorHAnsi" w:cstheme="minorHAnsi"/>
          <w:sz w:val="22"/>
          <w:szCs w:val="22"/>
          <w:lang w:val="en-US" w:eastAsia="en-US" w:bidi="en-US"/>
        </w:rPr>
        <w:t xml:space="preserve">dot. </w:t>
      </w:r>
      <w:r w:rsidRPr="00BD483A">
        <w:rPr>
          <w:rFonts w:asciiTheme="minorHAnsi" w:hAnsiTheme="minorHAnsi" w:cstheme="minorHAnsi"/>
          <w:sz w:val="22"/>
          <w:szCs w:val="22"/>
        </w:rPr>
        <w:t>przyłączy oraz zbiorników retencyjnych. Z legendy do projektu zagospodarowania wynikało, że wrysowane przyłącza gazu, wod.-kan.</w:t>
      </w:r>
    </w:p>
    <w:p w:rsidR="003A1EE1" w:rsidRPr="00BD483A" w:rsidRDefault="00E44599" w:rsidP="00BD483A">
      <w:pPr>
        <w:pStyle w:val="Bodytext20"/>
        <w:shd w:val="clear" w:color="auto" w:fill="auto"/>
        <w:spacing w:before="120" w:after="240" w:line="300" w:lineRule="auto"/>
        <w:ind w:right="680" w:firstLine="0"/>
        <w:rPr>
          <w:rFonts w:asciiTheme="minorHAnsi" w:hAnsiTheme="minorHAnsi" w:cstheme="minorHAnsi"/>
          <w:sz w:val="22"/>
          <w:szCs w:val="22"/>
        </w:rPr>
      </w:pPr>
      <w:r w:rsidRPr="00BD483A">
        <w:rPr>
          <w:rFonts w:asciiTheme="minorHAnsi" w:hAnsiTheme="minorHAnsi" w:cstheme="minorHAnsi"/>
          <w:sz w:val="22"/>
          <w:szCs w:val="22"/>
        </w:rPr>
        <w:t>i energetyczne są projektowane, natomiast w opisie wskazano, że przyłącze gazu i energetyczne będzie projektowane wg odrębnego opracowania. Projekt architektoniczno-budowlany nie zawierał jakichkolwiek rysunków/schematów ww. przyłączy. Ponadto na zatwierdzonym projekcie zagospodarowania nie wrysowano 3 zbiorników retencyjnych, do których miały być odprowadzane wody opadowe.</w:t>
      </w:r>
    </w:p>
    <w:p w:rsidR="003A1EE1" w:rsidRPr="00BD483A" w:rsidRDefault="00E44599" w:rsidP="00BD483A">
      <w:pPr>
        <w:pStyle w:val="Bodytext20"/>
        <w:shd w:val="clear" w:color="auto" w:fill="auto"/>
        <w:spacing w:before="120" w:after="240" w:line="300" w:lineRule="auto"/>
        <w:ind w:right="680" w:firstLine="0"/>
        <w:rPr>
          <w:rFonts w:asciiTheme="minorHAnsi" w:hAnsiTheme="minorHAnsi" w:cstheme="minorHAnsi"/>
          <w:sz w:val="22"/>
          <w:szCs w:val="22"/>
        </w:rPr>
      </w:pPr>
      <w:r w:rsidRPr="00BD483A">
        <w:rPr>
          <w:rFonts w:asciiTheme="minorHAnsi" w:hAnsiTheme="minorHAnsi" w:cstheme="minorHAnsi"/>
          <w:sz w:val="22"/>
          <w:szCs w:val="22"/>
        </w:rPr>
        <w:t>Co prawda Burmistrz wyjaśnił, że „Istniejący parking, na którym projektowana jest myjnia posiada trzy własne zbiorniki retencyjne, których wydajność była nadto wystarczająca, by obsłużyć dodatkowo przedmiotową myjnie", jednakże w projekcie</w:t>
      </w:r>
      <w:r w:rsidRPr="00BD483A">
        <w:rPr>
          <w:rFonts w:asciiTheme="minorHAnsi" w:hAnsiTheme="minorHAnsi" w:cstheme="minorHAnsi"/>
          <w:sz w:val="22"/>
          <w:szCs w:val="22"/>
        </w:rPr>
        <w:br w:type="page"/>
      </w:r>
    </w:p>
    <w:p w:rsidR="003A1EE1" w:rsidRPr="00BD483A" w:rsidRDefault="00E44599" w:rsidP="00BD483A">
      <w:pPr>
        <w:pStyle w:val="Bodytext20"/>
        <w:shd w:val="clear" w:color="auto" w:fill="auto"/>
        <w:spacing w:before="120" w:after="240" w:line="300" w:lineRule="auto"/>
        <w:ind w:right="780" w:firstLine="0"/>
        <w:rPr>
          <w:rFonts w:asciiTheme="minorHAnsi" w:hAnsiTheme="minorHAnsi" w:cstheme="minorHAnsi"/>
          <w:sz w:val="22"/>
          <w:szCs w:val="22"/>
        </w:rPr>
      </w:pPr>
      <w:r w:rsidRPr="00BD483A">
        <w:rPr>
          <w:rFonts w:asciiTheme="minorHAnsi" w:hAnsiTheme="minorHAnsi" w:cstheme="minorHAnsi"/>
          <w:sz w:val="22"/>
          <w:szCs w:val="22"/>
        </w:rPr>
        <w:lastRenderedPageBreak/>
        <w:t>brak było informacji o wykorzystaniu istniejących zbiorników do gromadzenia wód opadowych z projektowanego obiektu. Ponadto brak było wyliczeń, w tym bilansu wód opadowych, z którego wynikałoby, że pojemność istniejących zbiorników jest wystarczająca do przejęcia dodatkowej ilości wód opadowych;</w:t>
      </w:r>
    </w:p>
    <w:p w:rsidR="003A1EE1" w:rsidRPr="00BD483A" w:rsidRDefault="00E44599" w:rsidP="00BD483A">
      <w:pPr>
        <w:pStyle w:val="Bodytext20"/>
        <w:numPr>
          <w:ilvl w:val="0"/>
          <w:numId w:val="1"/>
        </w:numPr>
        <w:shd w:val="clear" w:color="auto" w:fill="auto"/>
        <w:tabs>
          <w:tab w:val="left" w:pos="1574"/>
        </w:tabs>
        <w:spacing w:before="120" w:after="240" w:line="300" w:lineRule="auto"/>
        <w:ind w:right="780" w:firstLine="0"/>
        <w:rPr>
          <w:rFonts w:asciiTheme="minorHAnsi" w:hAnsiTheme="minorHAnsi" w:cstheme="minorHAnsi"/>
          <w:sz w:val="22"/>
          <w:szCs w:val="22"/>
        </w:rPr>
      </w:pPr>
      <w:r w:rsidRPr="00BD483A">
        <w:rPr>
          <w:rFonts w:asciiTheme="minorHAnsi" w:hAnsiTheme="minorHAnsi" w:cstheme="minorHAnsi"/>
          <w:sz w:val="22"/>
          <w:szCs w:val="22"/>
        </w:rPr>
        <w:t>W 3 przypadkach</w:t>
      </w:r>
      <w:r w:rsidRPr="00BD483A">
        <w:rPr>
          <w:rFonts w:asciiTheme="minorHAnsi" w:hAnsiTheme="minorHAnsi" w:cstheme="minorHAnsi"/>
          <w:sz w:val="22"/>
          <w:szCs w:val="22"/>
          <w:vertAlign w:val="superscript"/>
        </w:rPr>
        <w:footnoteReference w:id="5"/>
      </w:r>
      <w:r w:rsidRPr="00BD483A">
        <w:rPr>
          <w:rFonts w:asciiTheme="minorHAnsi" w:hAnsiTheme="minorHAnsi" w:cstheme="minorHAnsi"/>
          <w:sz w:val="22"/>
          <w:szCs w:val="22"/>
        </w:rPr>
        <w:t xml:space="preserve"> kopie decyzji nadających projektantowi lub projektantowi sprawdzającemu uprawnienia budowlane nie zostały potwierdzone za zgodność</w:t>
      </w:r>
    </w:p>
    <w:p w:rsidR="003A1EE1" w:rsidRPr="00BD483A" w:rsidRDefault="00E44599" w:rsidP="00BD483A">
      <w:pPr>
        <w:pStyle w:val="Bodytext20"/>
        <w:shd w:val="clear" w:color="auto" w:fill="auto"/>
        <w:spacing w:before="120" w:after="240" w:line="300" w:lineRule="auto"/>
        <w:ind w:right="780" w:firstLine="0"/>
        <w:rPr>
          <w:rFonts w:asciiTheme="minorHAnsi" w:hAnsiTheme="minorHAnsi" w:cstheme="minorHAnsi"/>
          <w:sz w:val="22"/>
          <w:szCs w:val="22"/>
        </w:rPr>
      </w:pPr>
      <w:r w:rsidRPr="00BD483A">
        <w:rPr>
          <w:rFonts w:asciiTheme="minorHAnsi" w:hAnsiTheme="minorHAnsi" w:cstheme="minorHAnsi"/>
          <w:sz w:val="22"/>
          <w:szCs w:val="22"/>
        </w:rPr>
        <w:t xml:space="preserve">z oryginałem przez sporządzającego projekt, co naruszało </w:t>
      </w:r>
      <w:r w:rsidRPr="00BD483A">
        <w:rPr>
          <w:rFonts w:asciiTheme="minorHAnsi" w:hAnsiTheme="minorHAnsi" w:cstheme="minorHAnsi"/>
          <w:sz w:val="22"/>
          <w:szCs w:val="22"/>
          <w:lang w:val="en-US" w:eastAsia="en-US" w:bidi="en-US"/>
        </w:rPr>
        <w:t xml:space="preserve">art. </w:t>
      </w:r>
      <w:r w:rsidRPr="00BD483A">
        <w:rPr>
          <w:rFonts w:asciiTheme="minorHAnsi" w:hAnsiTheme="minorHAnsi" w:cstheme="minorHAnsi"/>
          <w:sz w:val="22"/>
          <w:szCs w:val="22"/>
        </w:rPr>
        <w:t>34 ust. 3d pkt 1 Prawa budowlanego;</w:t>
      </w:r>
    </w:p>
    <w:p w:rsidR="003A1EE1" w:rsidRPr="00BD483A" w:rsidRDefault="00E44599" w:rsidP="00BD483A">
      <w:pPr>
        <w:pStyle w:val="Bodytext20"/>
        <w:numPr>
          <w:ilvl w:val="0"/>
          <w:numId w:val="1"/>
        </w:numPr>
        <w:shd w:val="clear" w:color="auto" w:fill="auto"/>
        <w:tabs>
          <w:tab w:val="left" w:pos="1574"/>
        </w:tabs>
        <w:spacing w:before="120" w:after="240" w:line="300" w:lineRule="auto"/>
        <w:ind w:right="780" w:firstLine="0"/>
        <w:rPr>
          <w:rFonts w:asciiTheme="minorHAnsi" w:hAnsiTheme="minorHAnsi" w:cstheme="minorHAnsi"/>
          <w:sz w:val="22"/>
          <w:szCs w:val="22"/>
        </w:rPr>
      </w:pPr>
      <w:r w:rsidRPr="00BD483A">
        <w:rPr>
          <w:rFonts w:asciiTheme="minorHAnsi" w:hAnsiTheme="minorHAnsi" w:cstheme="minorHAnsi"/>
          <w:sz w:val="22"/>
          <w:szCs w:val="22"/>
        </w:rPr>
        <w:t>W 4 przypadkach</w:t>
      </w:r>
      <w:r w:rsidRPr="00BD483A">
        <w:rPr>
          <w:rFonts w:asciiTheme="minorHAnsi" w:hAnsiTheme="minorHAnsi" w:cstheme="minorHAnsi"/>
          <w:sz w:val="22"/>
          <w:szCs w:val="22"/>
          <w:vertAlign w:val="superscript"/>
        </w:rPr>
        <w:footnoteReference w:id="6"/>
      </w:r>
      <w:r w:rsidRPr="00BD483A">
        <w:rPr>
          <w:rFonts w:asciiTheme="minorHAnsi" w:hAnsiTheme="minorHAnsi" w:cstheme="minorHAnsi"/>
          <w:sz w:val="22"/>
          <w:szCs w:val="22"/>
        </w:rPr>
        <w:t xml:space="preserve"> forma i zakres zatwierdzonego projektu zagospodarowania terenu lub projektu architektoniczno-budowlanego nie była zgodna z przepisami rozporządzenia w sprawie zakresu I formy projektu budowlanego, takimi jak: § 5 ust. 1 pkt 4 lit. c, § 20 ust. 1 pkt 5, § 6 pkt 1, § 23 pkt 2;</w:t>
      </w:r>
    </w:p>
    <w:p w:rsidR="003A1EE1" w:rsidRPr="00BD483A" w:rsidRDefault="00E44599" w:rsidP="00BD483A">
      <w:pPr>
        <w:pStyle w:val="Bodytext20"/>
        <w:numPr>
          <w:ilvl w:val="0"/>
          <w:numId w:val="2"/>
        </w:numPr>
        <w:shd w:val="clear" w:color="auto" w:fill="auto"/>
        <w:tabs>
          <w:tab w:val="left" w:pos="1086"/>
        </w:tabs>
        <w:spacing w:before="120" w:after="240" w:line="300" w:lineRule="auto"/>
        <w:ind w:right="1760" w:firstLine="0"/>
        <w:rPr>
          <w:rFonts w:asciiTheme="minorHAnsi" w:hAnsiTheme="minorHAnsi" w:cstheme="minorHAnsi"/>
          <w:sz w:val="22"/>
          <w:szCs w:val="22"/>
        </w:rPr>
      </w:pPr>
      <w:r w:rsidRPr="00BD483A">
        <w:rPr>
          <w:rFonts w:asciiTheme="minorHAnsi" w:hAnsiTheme="minorHAnsi" w:cstheme="minorHAnsi"/>
          <w:sz w:val="22"/>
          <w:szCs w:val="22"/>
        </w:rPr>
        <w:t>w 3 przypadkach</w:t>
      </w:r>
      <w:r w:rsidRPr="00BD483A">
        <w:rPr>
          <w:rFonts w:asciiTheme="minorHAnsi" w:hAnsiTheme="minorHAnsi" w:cstheme="minorHAnsi"/>
          <w:sz w:val="22"/>
          <w:szCs w:val="22"/>
          <w:vertAlign w:val="superscript"/>
        </w:rPr>
        <w:footnoteReference w:id="7"/>
      </w:r>
      <w:r w:rsidRPr="00BD483A">
        <w:rPr>
          <w:rFonts w:asciiTheme="minorHAnsi" w:hAnsiTheme="minorHAnsi" w:cstheme="minorHAnsi"/>
          <w:sz w:val="22"/>
          <w:szCs w:val="22"/>
        </w:rPr>
        <w:t xml:space="preserve"> zatwierdzono projekt zagospodarowania, którego zgodność z przepisami techniczno-budowlanymi nie była możliwa do sprawdzenia, tj.:</w:t>
      </w:r>
    </w:p>
    <w:p w:rsidR="003A1EE1" w:rsidRPr="00BD483A" w:rsidRDefault="00E44599" w:rsidP="00BD483A">
      <w:pPr>
        <w:pStyle w:val="Bodytext20"/>
        <w:numPr>
          <w:ilvl w:val="0"/>
          <w:numId w:val="1"/>
        </w:numPr>
        <w:shd w:val="clear" w:color="auto" w:fill="auto"/>
        <w:tabs>
          <w:tab w:val="left" w:pos="1574"/>
        </w:tabs>
        <w:spacing w:before="120" w:after="240" w:line="300" w:lineRule="auto"/>
        <w:ind w:right="780" w:firstLine="0"/>
        <w:rPr>
          <w:rFonts w:asciiTheme="minorHAnsi" w:hAnsiTheme="minorHAnsi" w:cstheme="minorHAnsi"/>
          <w:sz w:val="22"/>
          <w:szCs w:val="22"/>
        </w:rPr>
      </w:pPr>
      <w:r w:rsidRPr="00BD483A">
        <w:rPr>
          <w:rFonts w:asciiTheme="minorHAnsi" w:hAnsiTheme="minorHAnsi" w:cstheme="minorHAnsi"/>
          <w:sz w:val="22"/>
          <w:szCs w:val="22"/>
        </w:rPr>
        <w:t xml:space="preserve">w projekcie architektoniczno-budowlanym zatwierdzonym decyzją nr </w:t>
      </w:r>
      <w:r w:rsidRPr="00BD483A">
        <w:rPr>
          <w:rFonts w:asciiTheme="minorHAnsi" w:hAnsiTheme="minorHAnsi" w:cstheme="minorHAnsi"/>
          <w:sz w:val="22"/>
          <w:szCs w:val="22"/>
          <w:lang w:val="ru-RU" w:eastAsia="ru-RU" w:bidi="ru-RU"/>
        </w:rPr>
        <w:t xml:space="preserve">195/2021 </w:t>
      </w:r>
      <w:r w:rsidRPr="00BD483A">
        <w:rPr>
          <w:rFonts w:asciiTheme="minorHAnsi" w:hAnsiTheme="minorHAnsi" w:cstheme="minorHAnsi"/>
          <w:sz w:val="22"/>
          <w:szCs w:val="22"/>
        </w:rPr>
        <w:t>brak było procentowego określenia powierzchni otworów w ścianach oddzielenia przeciwpożarowego w stosunku do tych ścian, co uniemożliwiało weryfikację prawidłowości usytuowania budynku względem istniejącego budynku na działce sąsiedniej oraz względem granicy działki.</w:t>
      </w:r>
    </w:p>
    <w:p w:rsidR="003A1EE1" w:rsidRPr="00BD483A" w:rsidRDefault="00E44599" w:rsidP="00BD483A">
      <w:pPr>
        <w:pStyle w:val="Bodytext20"/>
        <w:shd w:val="clear" w:color="auto" w:fill="auto"/>
        <w:spacing w:before="120" w:after="240" w:line="300" w:lineRule="auto"/>
        <w:ind w:right="780" w:firstLine="0"/>
        <w:rPr>
          <w:rFonts w:asciiTheme="minorHAnsi" w:hAnsiTheme="minorHAnsi" w:cstheme="minorHAnsi"/>
          <w:sz w:val="22"/>
          <w:szCs w:val="22"/>
        </w:rPr>
      </w:pPr>
      <w:r w:rsidRPr="00BD483A">
        <w:rPr>
          <w:rFonts w:asciiTheme="minorHAnsi" w:hAnsiTheme="minorHAnsi" w:cstheme="minorHAnsi"/>
          <w:sz w:val="22"/>
          <w:szCs w:val="22"/>
        </w:rPr>
        <w:t>Projektowany budynek zlokalizowano ścianą z otworami od strony zachodniej w odległości ok. 4 m od istniejącego budynku na działce sąsiedniej oraz ścianą z otworami od strony wschodniej w odległości 3 m od granicy działki. Dodatkowo budynek na działce sąsiedniej posiadał otwór okienny w ścianie zlokalizowanej w granicy działki.</w:t>
      </w:r>
    </w:p>
    <w:p w:rsidR="003A1EE1" w:rsidRPr="00BD483A" w:rsidRDefault="00E44599" w:rsidP="00BD483A">
      <w:pPr>
        <w:pStyle w:val="Bodytext20"/>
        <w:shd w:val="clear" w:color="auto" w:fill="auto"/>
        <w:spacing w:before="120" w:after="240" w:line="300" w:lineRule="auto"/>
        <w:ind w:right="780" w:firstLine="0"/>
        <w:rPr>
          <w:rFonts w:asciiTheme="minorHAnsi" w:hAnsiTheme="minorHAnsi" w:cstheme="minorHAnsi"/>
          <w:sz w:val="22"/>
          <w:szCs w:val="22"/>
        </w:rPr>
      </w:pPr>
      <w:r w:rsidRPr="00BD483A">
        <w:rPr>
          <w:rFonts w:asciiTheme="minorHAnsi" w:hAnsiTheme="minorHAnsi" w:cstheme="minorHAnsi"/>
          <w:sz w:val="22"/>
          <w:szCs w:val="22"/>
        </w:rPr>
        <w:t xml:space="preserve">Takie usytuowanie projektowanego budynku, co do zasady niezgodne z przepisami § 12 ust. 1 pkt 2 i 271 ust. 1 rozporządzenia w sprawie warunków technicznych, było możliwe pod ściśle określonymi warunkami, m.in. zaprojektowania ścian wschodniej i zachodniej jako ścian oddzielenia przeciwpożarowego, które zasadniczo są ścianami pełnymi. Przepis § 232 ust. 1 i 6 ww. rozporządzenia dopuszcza wykonanie w takich ścianach drzwi przeciwpożarowych oraz otworów wypełnionych materiałem przepuszczającym światło m.in. pod warunkiem, że łączna powierzchnia drzwi lub otworów nie powinna przekraczać odpowiednio 15% i 10 % powierzchni ścian. Wskazanie przez projektanta, że ściany wschodnia i zachodnia projektowanego budynku są </w:t>
      </w:r>
      <w:r w:rsidRPr="00BD483A">
        <w:rPr>
          <w:rFonts w:asciiTheme="minorHAnsi" w:hAnsiTheme="minorHAnsi" w:cstheme="minorHAnsi"/>
          <w:sz w:val="22"/>
          <w:szCs w:val="22"/>
        </w:rPr>
        <w:lastRenderedPageBreak/>
        <w:t>ścianami oddzielenia p.poż. było niewystarczające. Brak w projekcie</w:t>
      </w:r>
    </w:p>
    <w:p w:rsidR="003A1EE1" w:rsidRPr="00BD483A" w:rsidRDefault="00E44599" w:rsidP="00BD483A">
      <w:pPr>
        <w:pStyle w:val="Bodytext20"/>
        <w:shd w:val="clear" w:color="auto" w:fill="auto"/>
        <w:spacing w:before="120" w:after="240" w:line="300" w:lineRule="auto"/>
        <w:ind w:right="900" w:firstLine="0"/>
        <w:rPr>
          <w:rFonts w:asciiTheme="minorHAnsi" w:hAnsiTheme="minorHAnsi" w:cstheme="minorHAnsi"/>
          <w:sz w:val="22"/>
          <w:szCs w:val="22"/>
        </w:rPr>
      </w:pPr>
      <w:r w:rsidRPr="00BD483A">
        <w:rPr>
          <w:rFonts w:asciiTheme="minorHAnsi" w:hAnsiTheme="minorHAnsi" w:cstheme="minorHAnsi"/>
          <w:sz w:val="22"/>
          <w:szCs w:val="22"/>
        </w:rPr>
        <w:t xml:space="preserve">danych </w:t>
      </w:r>
      <w:r w:rsidRPr="00BD483A">
        <w:rPr>
          <w:rFonts w:asciiTheme="minorHAnsi" w:hAnsiTheme="minorHAnsi" w:cstheme="minorHAnsi"/>
          <w:sz w:val="22"/>
          <w:szCs w:val="22"/>
          <w:lang w:val="en-US" w:eastAsia="en-US" w:bidi="en-US"/>
        </w:rPr>
        <w:t xml:space="preserve">dot. </w:t>
      </w:r>
      <w:r w:rsidRPr="00BD483A">
        <w:rPr>
          <w:rFonts w:asciiTheme="minorHAnsi" w:hAnsiTheme="minorHAnsi" w:cstheme="minorHAnsi"/>
          <w:sz w:val="22"/>
          <w:szCs w:val="22"/>
        </w:rPr>
        <w:t>ww. powierzchni uniemożliwiał sprawdzenie zgodności projektu zagospodarowania działki z przepisami ww. rozporządzenia.</w:t>
      </w:r>
    </w:p>
    <w:p w:rsidR="003A1EE1" w:rsidRPr="00BD483A" w:rsidRDefault="00E44599" w:rsidP="00BD483A">
      <w:pPr>
        <w:pStyle w:val="Bodytext20"/>
        <w:shd w:val="clear" w:color="auto" w:fill="auto"/>
        <w:spacing w:before="120" w:after="240" w:line="300" w:lineRule="auto"/>
        <w:ind w:right="900" w:firstLine="0"/>
        <w:rPr>
          <w:rFonts w:asciiTheme="minorHAnsi" w:hAnsiTheme="minorHAnsi" w:cstheme="minorHAnsi"/>
          <w:sz w:val="22"/>
          <w:szCs w:val="22"/>
        </w:rPr>
      </w:pPr>
      <w:r w:rsidRPr="00BD483A">
        <w:rPr>
          <w:rFonts w:asciiTheme="minorHAnsi" w:hAnsiTheme="minorHAnsi" w:cstheme="minorHAnsi"/>
          <w:sz w:val="22"/>
          <w:szCs w:val="22"/>
        </w:rPr>
        <w:t>- w 2 przypadkach</w:t>
      </w:r>
      <w:r w:rsidRPr="00BD483A">
        <w:rPr>
          <w:rFonts w:asciiTheme="minorHAnsi" w:hAnsiTheme="minorHAnsi" w:cstheme="minorHAnsi"/>
          <w:sz w:val="22"/>
          <w:szCs w:val="22"/>
          <w:vertAlign w:val="superscript"/>
        </w:rPr>
        <w:footnoteReference w:id="8"/>
      </w:r>
      <w:r w:rsidRPr="00BD483A">
        <w:rPr>
          <w:rFonts w:asciiTheme="minorHAnsi" w:hAnsiTheme="minorHAnsi" w:cstheme="minorHAnsi"/>
          <w:sz w:val="22"/>
          <w:szCs w:val="22"/>
        </w:rPr>
        <w:t xml:space="preserve"> zatwierdzono projekt zagospodarowania terenu w sytuacji braku analizy nasłonecznienia bądź jej nieprawidłowego wykonania, przez co niemożliwa była ocena prawidłowości usytuowania projektowanych budynków względem istniejących budynków: mieszkalnego i szkoły. Zgodnie z § 60 rozporządzenia w sprawie warunków technicznych pomieszczenia przeznaczone do zbiorowego przebywania dzieci w szkole, powinny mieć zapewniony czas nasłonecznienia wynoszący co najmniej 3 godziny w dniach równonocy w godzinach </w:t>
      </w:r>
      <w:r w:rsidRPr="00BD483A">
        <w:rPr>
          <w:rFonts w:asciiTheme="minorHAnsi" w:hAnsiTheme="minorHAnsi" w:cstheme="minorHAnsi"/>
          <w:sz w:val="22"/>
          <w:szCs w:val="22"/>
          <w:lang w:val="ru-RU" w:eastAsia="ru-RU" w:bidi="ru-RU"/>
        </w:rPr>
        <w:t>в^-іб</w:t>
      </w:r>
      <w:r w:rsidRPr="00BD483A">
        <w:rPr>
          <w:rFonts w:asciiTheme="minorHAnsi" w:hAnsiTheme="minorHAnsi" w:cstheme="minorHAnsi"/>
          <w:sz w:val="22"/>
          <w:szCs w:val="22"/>
          <w:vertAlign w:val="superscript"/>
          <w:lang w:val="ru-RU" w:eastAsia="ru-RU" w:bidi="ru-RU"/>
        </w:rPr>
        <w:t>00</w:t>
      </w:r>
      <w:r w:rsidRPr="00BD483A">
        <w:rPr>
          <w:rFonts w:asciiTheme="minorHAnsi" w:hAnsiTheme="minorHAnsi" w:cstheme="minorHAnsi"/>
          <w:sz w:val="22"/>
          <w:szCs w:val="22"/>
          <w:lang w:val="ru-RU" w:eastAsia="ru-RU" w:bidi="ru-RU"/>
        </w:rPr>
        <w:t xml:space="preserve">, </w:t>
      </w:r>
      <w:r w:rsidRPr="00BD483A">
        <w:rPr>
          <w:rFonts w:asciiTheme="minorHAnsi" w:hAnsiTheme="minorHAnsi" w:cstheme="minorHAnsi"/>
          <w:sz w:val="22"/>
          <w:szCs w:val="22"/>
        </w:rPr>
        <w:t xml:space="preserve">natomiast pokoje mieszkalne - w godzinach </w:t>
      </w:r>
      <w:r w:rsidRPr="00BD483A">
        <w:rPr>
          <w:rFonts w:asciiTheme="minorHAnsi" w:hAnsiTheme="minorHAnsi" w:cstheme="minorHAnsi"/>
          <w:sz w:val="22"/>
          <w:szCs w:val="22"/>
          <w:lang w:val="ru-RU" w:eastAsia="ru-RU" w:bidi="ru-RU"/>
        </w:rPr>
        <w:t>У</w:t>
      </w:r>
      <w:r w:rsidRPr="00BD483A">
        <w:rPr>
          <w:rFonts w:asciiTheme="minorHAnsi" w:hAnsiTheme="minorHAnsi" w:cstheme="minorHAnsi"/>
          <w:sz w:val="22"/>
          <w:szCs w:val="22"/>
          <w:vertAlign w:val="superscript"/>
          <w:lang w:val="ru-RU" w:eastAsia="ru-RU" w:bidi="ru-RU"/>
        </w:rPr>
        <w:t>00</w:t>
      </w:r>
      <w:r w:rsidRPr="00BD483A">
        <w:rPr>
          <w:rFonts w:asciiTheme="minorHAnsi" w:hAnsiTheme="minorHAnsi" w:cstheme="minorHAnsi"/>
          <w:sz w:val="22"/>
          <w:szCs w:val="22"/>
          <w:lang w:val="ru-RU" w:eastAsia="ru-RU" w:bidi="ru-RU"/>
        </w:rPr>
        <w:t>-!?</w:t>
      </w:r>
      <w:r w:rsidRPr="00BD483A">
        <w:rPr>
          <w:rFonts w:asciiTheme="minorHAnsi" w:hAnsiTheme="minorHAnsi" w:cstheme="minorHAnsi"/>
          <w:sz w:val="22"/>
          <w:szCs w:val="22"/>
          <w:vertAlign w:val="superscript"/>
          <w:lang w:val="ru-RU" w:eastAsia="ru-RU" w:bidi="ru-RU"/>
        </w:rPr>
        <w:t>00</w:t>
      </w:r>
      <w:r w:rsidRPr="00BD483A">
        <w:rPr>
          <w:rFonts w:asciiTheme="minorHAnsi" w:hAnsiTheme="minorHAnsi" w:cstheme="minorHAnsi"/>
          <w:sz w:val="22"/>
          <w:szCs w:val="22"/>
          <w:lang w:val="ru-RU" w:eastAsia="ru-RU" w:bidi="ru-RU"/>
        </w:rPr>
        <w:t xml:space="preserve">. </w:t>
      </w:r>
      <w:r w:rsidRPr="00BD483A">
        <w:rPr>
          <w:rFonts w:asciiTheme="minorHAnsi" w:hAnsiTheme="minorHAnsi" w:cstheme="minorHAnsi"/>
          <w:sz w:val="22"/>
          <w:szCs w:val="22"/>
        </w:rPr>
        <w:t xml:space="preserve">Spełnienie ww. normy w istniejących obiektach jest uzależnione m.in. od usytuowania projektowanych budynków względem tych obiektów. Konsekwencją niewykazania w dokumentacji projektowej spełnienia ww. normy jest brak możliwości dokonania obligatoryjnego sprawdzenia </w:t>
      </w:r>
      <w:r w:rsidRPr="00BD483A">
        <w:rPr>
          <w:rFonts w:asciiTheme="minorHAnsi" w:hAnsiTheme="minorHAnsi" w:cstheme="minorHAnsi"/>
          <w:sz w:val="22"/>
          <w:szCs w:val="22"/>
          <w:lang w:val="en-US" w:eastAsia="en-US" w:bidi="en-US"/>
        </w:rPr>
        <w:t xml:space="preserve">{art. </w:t>
      </w:r>
      <w:r w:rsidRPr="00BD483A">
        <w:rPr>
          <w:rFonts w:asciiTheme="minorHAnsi" w:hAnsiTheme="minorHAnsi" w:cstheme="minorHAnsi"/>
          <w:sz w:val="22"/>
          <w:szCs w:val="22"/>
        </w:rPr>
        <w:t>35 ust. 1 pkt 2) zgodności projektu zagospodarowania działki lub terenu z przepisami techniczno-budowlanymi.</w:t>
      </w:r>
    </w:p>
    <w:p w:rsidR="003A1EE1" w:rsidRPr="00BD483A" w:rsidRDefault="00E44599" w:rsidP="00BD483A">
      <w:pPr>
        <w:pStyle w:val="Bodytext20"/>
        <w:shd w:val="clear" w:color="auto" w:fill="auto"/>
        <w:spacing w:before="120" w:after="240" w:line="300" w:lineRule="auto"/>
        <w:ind w:right="900" w:firstLine="0"/>
        <w:rPr>
          <w:rFonts w:asciiTheme="minorHAnsi" w:hAnsiTheme="minorHAnsi" w:cstheme="minorHAnsi"/>
          <w:sz w:val="22"/>
          <w:szCs w:val="22"/>
        </w:rPr>
      </w:pPr>
      <w:r w:rsidRPr="00BD483A">
        <w:rPr>
          <w:rFonts w:asciiTheme="minorHAnsi" w:hAnsiTheme="minorHAnsi" w:cstheme="minorHAnsi"/>
          <w:sz w:val="22"/>
          <w:szCs w:val="22"/>
        </w:rPr>
        <w:t xml:space="preserve">Przy czym, w żadnym z ww. postępowań nie zobowiązano inwestora w formie postanowienia do usunięcia wymienionych nieprawidłowości, czym naruszono </w:t>
      </w:r>
      <w:r w:rsidRPr="00BD483A">
        <w:rPr>
          <w:rFonts w:asciiTheme="minorHAnsi" w:hAnsiTheme="minorHAnsi" w:cstheme="minorHAnsi"/>
          <w:sz w:val="22"/>
          <w:szCs w:val="22"/>
          <w:lang w:val="en-US" w:eastAsia="en-US" w:bidi="en-US"/>
        </w:rPr>
        <w:t xml:space="preserve">art. </w:t>
      </w:r>
      <w:r w:rsidRPr="00BD483A">
        <w:rPr>
          <w:rFonts w:asciiTheme="minorHAnsi" w:hAnsiTheme="minorHAnsi" w:cstheme="minorHAnsi"/>
          <w:sz w:val="22"/>
          <w:szCs w:val="22"/>
        </w:rPr>
        <w:t>35 ust. 3 Prawa budowlanego.</w:t>
      </w:r>
    </w:p>
    <w:p w:rsidR="003A1EE1" w:rsidRPr="00BD483A" w:rsidRDefault="00E44599" w:rsidP="00BD483A">
      <w:pPr>
        <w:pStyle w:val="Bodytext20"/>
        <w:numPr>
          <w:ilvl w:val="0"/>
          <w:numId w:val="4"/>
        </w:numPr>
        <w:shd w:val="clear" w:color="auto" w:fill="auto"/>
        <w:tabs>
          <w:tab w:val="left" w:pos="346"/>
        </w:tabs>
        <w:spacing w:before="120" w:after="240" w:line="300" w:lineRule="auto"/>
        <w:ind w:left="420" w:right="900" w:hanging="420"/>
        <w:rPr>
          <w:rFonts w:asciiTheme="minorHAnsi" w:hAnsiTheme="minorHAnsi" w:cstheme="minorHAnsi"/>
          <w:sz w:val="22"/>
          <w:szCs w:val="22"/>
        </w:rPr>
      </w:pPr>
      <w:r w:rsidRPr="00BD483A">
        <w:rPr>
          <w:rFonts w:asciiTheme="minorHAnsi" w:hAnsiTheme="minorHAnsi" w:cstheme="minorHAnsi"/>
          <w:sz w:val="22"/>
          <w:szCs w:val="22"/>
        </w:rPr>
        <w:t>W 3 postępowaniach</w:t>
      </w:r>
      <w:r w:rsidRPr="00BD483A">
        <w:rPr>
          <w:rFonts w:asciiTheme="minorHAnsi" w:hAnsiTheme="minorHAnsi" w:cstheme="minorHAnsi"/>
          <w:sz w:val="22"/>
          <w:szCs w:val="22"/>
          <w:vertAlign w:val="superscript"/>
        </w:rPr>
        <w:footnoteReference w:id="9"/>
      </w:r>
      <w:r w:rsidRPr="00BD483A">
        <w:rPr>
          <w:rFonts w:asciiTheme="minorHAnsi" w:hAnsiTheme="minorHAnsi" w:cstheme="minorHAnsi"/>
          <w:sz w:val="22"/>
          <w:szCs w:val="22"/>
        </w:rPr>
        <w:t xml:space="preserve"> naruszono zasadę szybkości postępowania zawartą w </w:t>
      </w:r>
      <w:r w:rsidRPr="00BD483A">
        <w:rPr>
          <w:rFonts w:asciiTheme="minorHAnsi" w:hAnsiTheme="minorHAnsi" w:cstheme="minorHAnsi"/>
          <w:sz w:val="22"/>
          <w:szCs w:val="22"/>
          <w:lang w:val="en-US" w:eastAsia="en-US" w:bidi="en-US"/>
        </w:rPr>
        <w:t xml:space="preserve">art. </w:t>
      </w:r>
      <w:r w:rsidRPr="00BD483A">
        <w:rPr>
          <w:rFonts w:asciiTheme="minorHAnsi" w:hAnsiTheme="minorHAnsi" w:cstheme="minorHAnsi"/>
          <w:sz w:val="22"/>
          <w:szCs w:val="22"/>
        </w:rPr>
        <w:t xml:space="preserve">12 § 1 k.p.a. oraz nie wypełniono obowiązku załatwienia sprawy bez zbędnej zwłoki ujętego w </w:t>
      </w:r>
      <w:r w:rsidRPr="00BD483A">
        <w:rPr>
          <w:rFonts w:asciiTheme="minorHAnsi" w:hAnsiTheme="minorHAnsi" w:cstheme="minorHAnsi"/>
          <w:sz w:val="22"/>
          <w:szCs w:val="22"/>
          <w:lang w:val="en-US" w:eastAsia="en-US" w:bidi="en-US"/>
        </w:rPr>
        <w:t xml:space="preserve">art. </w:t>
      </w:r>
      <w:r w:rsidRPr="00BD483A">
        <w:rPr>
          <w:rFonts w:asciiTheme="minorHAnsi" w:hAnsiTheme="minorHAnsi" w:cstheme="minorHAnsi"/>
          <w:sz w:val="22"/>
          <w:szCs w:val="22"/>
        </w:rPr>
        <w:t>35 § 1 k.p.a., gdyż:</w:t>
      </w:r>
    </w:p>
    <w:p w:rsidR="003A1EE1" w:rsidRPr="00BD483A" w:rsidRDefault="00E44599" w:rsidP="00BD483A">
      <w:pPr>
        <w:pStyle w:val="Bodytext20"/>
        <w:numPr>
          <w:ilvl w:val="0"/>
          <w:numId w:val="1"/>
        </w:numPr>
        <w:shd w:val="clear" w:color="auto" w:fill="auto"/>
        <w:tabs>
          <w:tab w:val="left" w:pos="770"/>
        </w:tabs>
        <w:spacing w:before="120" w:after="240" w:line="300" w:lineRule="auto"/>
        <w:ind w:left="800" w:right="900" w:hanging="380"/>
        <w:rPr>
          <w:rFonts w:asciiTheme="minorHAnsi" w:hAnsiTheme="minorHAnsi" w:cstheme="minorHAnsi"/>
          <w:sz w:val="22"/>
          <w:szCs w:val="22"/>
        </w:rPr>
      </w:pPr>
      <w:r w:rsidRPr="00BD483A">
        <w:rPr>
          <w:rFonts w:asciiTheme="minorHAnsi" w:hAnsiTheme="minorHAnsi" w:cstheme="minorHAnsi"/>
          <w:sz w:val="22"/>
          <w:szCs w:val="22"/>
        </w:rPr>
        <w:t xml:space="preserve">w postępowaniu zakończonym decyzją nr </w:t>
      </w:r>
      <w:r w:rsidRPr="00BD483A">
        <w:rPr>
          <w:rFonts w:asciiTheme="minorHAnsi" w:hAnsiTheme="minorHAnsi" w:cstheme="minorHAnsi"/>
          <w:sz w:val="22"/>
          <w:szCs w:val="22"/>
          <w:lang w:val="ru-RU" w:eastAsia="ru-RU" w:bidi="ru-RU"/>
        </w:rPr>
        <w:t xml:space="preserve">73/2021 </w:t>
      </w:r>
      <w:r w:rsidRPr="00BD483A">
        <w:rPr>
          <w:rFonts w:asciiTheme="minorHAnsi" w:hAnsiTheme="minorHAnsi" w:cstheme="minorHAnsi"/>
          <w:sz w:val="22"/>
          <w:szCs w:val="22"/>
        </w:rPr>
        <w:t xml:space="preserve">wezwano inwestora do uzupełnienia wniosku po 41 dniach od daty jego wpływu, pomimo że zgodnie z </w:t>
      </w:r>
      <w:r w:rsidRPr="00BD483A">
        <w:rPr>
          <w:rFonts w:asciiTheme="minorHAnsi" w:hAnsiTheme="minorHAnsi" w:cstheme="minorHAnsi"/>
          <w:sz w:val="22"/>
          <w:szCs w:val="22"/>
          <w:lang w:val="en-US" w:eastAsia="en-US" w:bidi="en-US"/>
        </w:rPr>
        <w:t xml:space="preserve">art. </w:t>
      </w:r>
      <w:r w:rsidRPr="00BD483A">
        <w:rPr>
          <w:rFonts w:asciiTheme="minorHAnsi" w:hAnsiTheme="minorHAnsi" w:cstheme="minorHAnsi"/>
          <w:sz w:val="22"/>
          <w:szCs w:val="22"/>
        </w:rPr>
        <w:t>33 ust. 6 Prawa budowlanego wezwanie wnioskodawcy nie powinno nastąpić później niż po upływie 14 dni od dnia wpływu wniosku;</w:t>
      </w:r>
    </w:p>
    <w:p w:rsidR="003A1EE1" w:rsidRPr="00BD483A" w:rsidRDefault="00E44599" w:rsidP="00BD483A">
      <w:pPr>
        <w:pStyle w:val="Bodytext20"/>
        <w:numPr>
          <w:ilvl w:val="0"/>
          <w:numId w:val="1"/>
        </w:numPr>
        <w:shd w:val="clear" w:color="auto" w:fill="auto"/>
        <w:tabs>
          <w:tab w:val="left" w:pos="770"/>
        </w:tabs>
        <w:spacing w:before="120" w:after="240" w:line="300" w:lineRule="auto"/>
        <w:ind w:left="800" w:right="900" w:hanging="380"/>
        <w:rPr>
          <w:rFonts w:asciiTheme="minorHAnsi" w:hAnsiTheme="minorHAnsi" w:cstheme="minorHAnsi"/>
          <w:sz w:val="22"/>
          <w:szCs w:val="22"/>
        </w:rPr>
      </w:pPr>
      <w:r w:rsidRPr="00BD483A">
        <w:rPr>
          <w:rFonts w:asciiTheme="minorHAnsi" w:hAnsiTheme="minorHAnsi" w:cstheme="minorHAnsi"/>
          <w:sz w:val="22"/>
          <w:szCs w:val="22"/>
        </w:rPr>
        <w:t xml:space="preserve">w postępowaniach zakończonych decyzjami Nr </w:t>
      </w:r>
      <w:r w:rsidRPr="00BD483A">
        <w:rPr>
          <w:rFonts w:asciiTheme="minorHAnsi" w:hAnsiTheme="minorHAnsi" w:cstheme="minorHAnsi"/>
          <w:sz w:val="22"/>
          <w:szCs w:val="22"/>
          <w:lang w:val="ru-RU" w:eastAsia="ru-RU" w:bidi="ru-RU"/>
        </w:rPr>
        <w:t xml:space="preserve">64/2021 </w:t>
      </w:r>
      <w:r w:rsidRPr="00BD483A">
        <w:rPr>
          <w:rFonts w:asciiTheme="minorHAnsi" w:hAnsiTheme="minorHAnsi" w:cstheme="minorHAnsi"/>
          <w:sz w:val="22"/>
          <w:szCs w:val="22"/>
        </w:rPr>
        <w:t xml:space="preserve">i Nr </w:t>
      </w:r>
      <w:r w:rsidRPr="00BD483A">
        <w:rPr>
          <w:rFonts w:asciiTheme="minorHAnsi" w:hAnsiTheme="minorHAnsi" w:cstheme="minorHAnsi"/>
          <w:sz w:val="22"/>
          <w:szCs w:val="22"/>
          <w:lang w:val="ru-RU" w:eastAsia="ru-RU" w:bidi="ru-RU"/>
        </w:rPr>
        <w:t xml:space="preserve">195/2021 </w:t>
      </w:r>
      <w:r w:rsidRPr="00BD483A">
        <w:rPr>
          <w:rFonts w:asciiTheme="minorHAnsi" w:hAnsiTheme="minorHAnsi" w:cstheme="minorHAnsi"/>
          <w:sz w:val="22"/>
          <w:szCs w:val="22"/>
        </w:rPr>
        <w:t xml:space="preserve">pierwsza udokumentowana czynność w sprawie, tj. zawiadomienie stron o wszczęciu postępowania została wykonana odpowiednio po 61 i 49 dniach od daty wpływu wniosku. Co prawda Burmistrz wyjaśnił, że wniosek, w wyniku którego wydano decyzję Nr </w:t>
      </w:r>
      <w:r w:rsidRPr="00BD483A">
        <w:rPr>
          <w:rFonts w:asciiTheme="minorHAnsi" w:hAnsiTheme="minorHAnsi" w:cstheme="minorHAnsi"/>
          <w:sz w:val="22"/>
          <w:szCs w:val="22"/>
          <w:lang w:val="ru-RU" w:eastAsia="ru-RU" w:bidi="ru-RU"/>
        </w:rPr>
        <w:t xml:space="preserve">64/2021 </w:t>
      </w:r>
      <w:r w:rsidRPr="00BD483A">
        <w:rPr>
          <w:rFonts w:asciiTheme="minorHAnsi" w:hAnsiTheme="minorHAnsi" w:cstheme="minorHAnsi"/>
          <w:sz w:val="22"/>
          <w:szCs w:val="22"/>
        </w:rPr>
        <w:t xml:space="preserve">był niekompletny i został uzupełniony po telefonicznym wezwaniu, jednakże w aktach sprawy brak było sporządzonej przez prowadzącego sprawę notatki służbowej </w:t>
      </w:r>
      <w:r w:rsidRPr="00BD483A">
        <w:rPr>
          <w:rFonts w:asciiTheme="minorHAnsi" w:hAnsiTheme="minorHAnsi" w:cstheme="minorHAnsi"/>
          <w:sz w:val="22"/>
          <w:szCs w:val="22"/>
          <w:lang w:val="en-US" w:eastAsia="en-US" w:bidi="en-US"/>
        </w:rPr>
        <w:t xml:space="preserve">dot. </w:t>
      </w:r>
      <w:r w:rsidRPr="00BD483A">
        <w:rPr>
          <w:rFonts w:asciiTheme="minorHAnsi" w:hAnsiTheme="minorHAnsi" w:cstheme="minorHAnsi"/>
          <w:sz w:val="22"/>
          <w:szCs w:val="22"/>
        </w:rPr>
        <w:t>poinformowania wnioskodawcy o brakach formalnych wniosku.</w:t>
      </w:r>
    </w:p>
    <w:p w:rsidR="003A1EE1" w:rsidRPr="00BD483A" w:rsidRDefault="00E44599" w:rsidP="00BD483A">
      <w:pPr>
        <w:pStyle w:val="Bodytext20"/>
        <w:shd w:val="clear" w:color="auto" w:fill="auto"/>
        <w:spacing w:before="120" w:after="240" w:line="300" w:lineRule="auto"/>
        <w:ind w:right="900" w:firstLine="0"/>
        <w:rPr>
          <w:rFonts w:asciiTheme="minorHAnsi" w:hAnsiTheme="minorHAnsi" w:cstheme="minorHAnsi"/>
          <w:sz w:val="22"/>
          <w:szCs w:val="22"/>
        </w:rPr>
        <w:sectPr w:rsidR="003A1EE1" w:rsidRPr="00BD483A">
          <w:footerReference w:type="default" r:id="rId9"/>
          <w:headerReference w:type="first" r:id="rId10"/>
          <w:footerReference w:type="first" r:id="rId11"/>
          <w:pgSz w:w="11900" w:h="16840"/>
          <w:pgMar w:top="1738" w:right="873" w:bottom="1600" w:left="1407" w:header="0" w:footer="3" w:gutter="0"/>
          <w:cols w:space="720"/>
          <w:noEndnote/>
          <w:titlePg/>
          <w:docGrid w:linePitch="360"/>
        </w:sectPr>
      </w:pPr>
      <w:r w:rsidRPr="00BD483A">
        <w:rPr>
          <w:rFonts w:asciiTheme="minorHAnsi" w:hAnsiTheme="minorHAnsi" w:cstheme="minorHAnsi"/>
          <w:sz w:val="22"/>
          <w:szCs w:val="22"/>
        </w:rPr>
        <w:t>Co więcej w 2 z ww. postępowań</w:t>
      </w:r>
      <w:r w:rsidRPr="00BD483A">
        <w:rPr>
          <w:rFonts w:asciiTheme="minorHAnsi" w:hAnsiTheme="minorHAnsi" w:cstheme="minorHAnsi"/>
          <w:sz w:val="22"/>
          <w:szCs w:val="22"/>
          <w:vertAlign w:val="superscript"/>
        </w:rPr>
        <w:footnoteReference w:id="10"/>
      </w:r>
      <w:r w:rsidRPr="00BD483A">
        <w:rPr>
          <w:rFonts w:asciiTheme="minorHAnsi" w:hAnsiTheme="minorHAnsi" w:cstheme="minorHAnsi"/>
          <w:sz w:val="22"/>
          <w:szCs w:val="22"/>
        </w:rPr>
        <w:t xml:space="preserve"> przekroczono 65-dniowy termin wydania decyzji {o 2 i 21 dni), </w:t>
      </w:r>
      <w:r w:rsidRPr="00BD483A">
        <w:rPr>
          <w:rFonts w:asciiTheme="minorHAnsi" w:hAnsiTheme="minorHAnsi" w:cstheme="minorHAnsi"/>
          <w:sz w:val="22"/>
          <w:szCs w:val="22"/>
        </w:rPr>
        <w:lastRenderedPageBreak/>
        <w:t xml:space="preserve">co może skutkować, zgodnie z </w:t>
      </w:r>
      <w:r w:rsidRPr="00BD483A">
        <w:rPr>
          <w:rFonts w:asciiTheme="minorHAnsi" w:hAnsiTheme="minorHAnsi" w:cstheme="minorHAnsi"/>
          <w:sz w:val="22"/>
          <w:szCs w:val="22"/>
          <w:lang w:val="en-US" w:eastAsia="en-US" w:bidi="en-US"/>
        </w:rPr>
        <w:t xml:space="preserve">art. </w:t>
      </w:r>
      <w:r w:rsidRPr="00BD483A">
        <w:rPr>
          <w:rFonts w:asciiTheme="minorHAnsi" w:hAnsiTheme="minorHAnsi" w:cstheme="minorHAnsi"/>
          <w:sz w:val="22"/>
          <w:szCs w:val="22"/>
        </w:rPr>
        <w:t>35 ust. 6 Prawa budowlanego, wymierzeniem przez Wojewodę Mazowieckiego kary w wysokości 500 zł za każdy dzień zwłoki.</w:t>
      </w:r>
    </w:p>
    <w:p w:rsidR="003A1EE1" w:rsidRPr="00BD483A" w:rsidRDefault="00E44599" w:rsidP="00BD483A">
      <w:pPr>
        <w:pStyle w:val="Bodytext20"/>
        <w:numPr>
          <w:ilvl w:val="0"/>
          <w:numId w:val="4"/>
        </w:numPr>
        <w:shd w:val="clear" w:color="auto" w:fill="auto"/>
        <w:tabs>
          <w:tab w:val="left" w:pos="309"/>
        </w:tabs>
        <w:spacing w:before="120" w:after="240" w:line="300" w:lineRule="auto"/>
        <w:ind w:left="400" w:right="660" w:hanging="400"/>
        <w:rPr>
          <w:rFonts w:asciiTheme="minorHAnsi" w:hAnsiTheme="minorHAnsi" w:cstheme="minorHAnsi"/>
          <w:sz w:val="22"/>
          <w:szCs w:val="22"/>
        </w:rPr>
      </w:pPr>
      <w:r w:rsidRPr="00BD483A">
        <w:rPr>
          <w:rFonts w:asciiTheme="minorHAnsi" w:hAnsiTheme="minorHAnsi" w:cstheme="minorHAnsi"/>
          <w:sz w:val="22"/>
          <w:szCs w:val="22"/>
        </w:rPr>
        <w:t xml:space="preserve">W </w:t>
      </w:r>
      <w:r w:rsidRPr="00BD483A">
        <w:rPr>
          <w:rFonts w:asciiTheme="minorHAnsi" w:hAnsiTheme="minorHAnsi" w:cstheme="minorHAnsi"/>
          <w:sz w:val="22"/>
          <w:szCs w:val="22"/>
          <w:lang w:val="ru-RU" w:eastAsia="ru-RU" w:bidi="ru-RU"/>
        </w:rPr>
        <w:t xml:space="preserve">5 </w:t>
      </w:r>
      <w:r w:rsidRPr="00BD483A">
        <w:rPr>
          <w:rFonts w:asciiTheme="minorHAnsi" w:hAnsiTheme="minorHAnsi" w:cstheme="minorHAnsi"/>
          <w:sz w:val="22"/>
          <w:szCs w:val="22"/>
        </w:rPr>
        <w:t>przypadkach</w:t>
      </w:r>
      <w:r w:rsidRPr="00BD483A">
        <w:rPr>
          <w:rFonts w:asciiTheme="minorHAnsi" w:hAnsiTheme="minorHAnsi" w:cstheme="minorHAnsi"/>
          <w:sz w:val="22"/>
          <w:szCs w:val="22"/>
          <w:vertAlign w:val="superscript"/>
        </w:rPr>
        <w:t>14</w:t>
      </w:r>
      <w:r w:rsidRPr="00BD483A">
        <w:rPr>
          <w:rFonts w:asciiTheme="minorHAnsi" w:hAnsiTheme="minorHAnsi" w:cstheme="minorHAnsi"/>
          <w:sz w:val="22"/>
          <w:szCs w:val="22"/>
        </w:rPr>
        <w:t xml:space="preserve"> naruszono zasadę czynnego udziału strony w postępowaniu określoną w </w:t>
      </w:r>
      <w:r w:rsidRPr="00BD483A">
        <w:rPr>
          <w:rFonts w:asciiTheme="minorHAnsi" w:hAnsiTheme="minorHAnsi" w:cstheme="minorHAnsi"/>
          <w:sz w:val="22"/>
          <w:szCs w:val="22"/>
          <w:lang w:val="en-US" w:eastAsia="en-US" w:bidi="en-US"/>
        </w:rPr>
        <w:t xml:space="preserve">art. </w:t>
      </w:r>
      <w:r w:rsidRPr="00BD483A">
        <w:rPr>
          <w:rFonts w:asciiTheme="minorHAnsi" w:hAnsiTheme="minorHAnsi" w:cstheme="minorHAnsi"/>
          <w:sz w:val="22"/>
          <w:szCs w:val="22"/>
        </w:rPr>
        <w:t>10 § 1 k.p.a., gdyż po usunięciu wskazanych w postanowieniu nieprawidłowości</w:t>
      </w:r>
    </w:p>
    <w:p w:rsidR="003A1EE1" w:rsidRPr="00BD483A" w:rsidRDefault="00E44599" w:rsidP="00BD483A">
      <w:pPr>
        <w:pStyle w:val="Bodytext20"/>
        <w:shd w:val="clear" w:color="auto" w:fill="auto"/>
        <w:spacing w:before="120" w:after="240" w:line="300" w:lineRule="auto"/>
        <w:ind w:left="400" w:right="660" w:firstLine="0"/>
        <w:rPr>
          <w:rFonts w:asciiTheme="minorHAnsi" w:hAnsiTheme="minorHAnsi" w:cstheme="minorHAnsi"/>
          <w:sz w:val="22"/>
          <w:szCs w:val="22"/>
        </w:rPr>
      </w:pPr>
      <w:r w:rsidRPr="00BD483A">
        <w:rPr>
          <w:rFonts w:asciiTheme="minorHAnsi" w:hAnsiTheme="minorHAnsi" w:cstheme="minorHAnsi"/>
          <w:sz w:val="22"/>
          <w:szCs w:val="22"/>
        </w:rPr>
        <w:t>w dokumentacji projektowej, nie zawiadomiono stron postępowania o fakcie zebrania dowodów i materiałów w tym postępowaniu oraz o możliwości wypowiedzenia się co do zebranych dowodów i materiałów przed wydaniem decyzji.</w:t>
      </w:r>
    </w:p>
    <w:p w:rsidR="003A1EE1" w:rsidRPr="00BD483A" w:rsidRDefault="00E44599" w:rsidP="00BD483A">
      <w:pPr>
        <w:pStyle w:val="Bodytext20"/>
        <w:shd w:val="clear" w:color="auto" w:fill="auto"/>
        <w:spacing w:before="120" w:after="240" w:line="300" w:lineRule="auto"/>
        <w:ind w:left="400" w:right="660" w:firstLine="0"/>
        <w:rPr>
          <w:rFonts w:asciiTheme="minorHAnsi" w:hAnsiTheme="minorHAnsi" w:cstheme="minorHAnsi"/>
          <w:sz w:val="22"/>
          <w:szCs w:val="22"/>
        </w:rPr>
      </w:pPr>
      <w:r w:rsidRPr="00BD483A">
        <w:rPr>
          <w:rFonts w:asciiTheme="minorHAnsi" w:hAnsiTheme="minorHAnsi" w:cstheme="minorHAnsi"/>
          <w:sz w:val="22"/>
          <w:szCs w:val="22"/>
        </w:rPr>
        <w:t xml:space="preserve">Dodatkowo w postępowaniu zakończonym wydaniem decyzji Nr </w:t>
      </w:r>
      <w:r w:rsidRPr="00BD483A">
        <w:rPr>
          <w:rFonts w:asciiTheme="minorHAnsi" w:hAnsiTheme="minorHAnsi" w:cstheme="minorHAnsi"/>
          <w:sz w:val="22"/>
          <w:szCs w:val="22"/>
          <w:lang w:val="ru-RU" w:eastAsia="ru-RU" w:bidi="ru-RU"/>
        </w:rPr>
        <w:t xml:space="preserve">195/2021 </w:t>
      </w:r>
      <w:r w:rsidRPr="00BD483A">
        <w:rPr>
          <w:rFonts w:asciiTheme="minorHAnsi" w:hAnsiTheme="minorHAnsi" w:cstheme="minorHAnsi"/>
          <w:sz w:val="22"/>
          <w:szCs w:val="22"/>
        </w:rPr>
        <w:t>nie uznano za stronę właściciela działki nr 70, na której zlokalizowany był budynek mieszkalny usytuowany ścianą z otworem okiennym w granicy działki, oddalony od projektowanego obiektu o ok. 4 m.</w:t>
      </w:r>
    </w:p>
    <w:p w:rsidR="003A1EE1" w:rsidRPr="00BD483A" w:rsidRDefault="00E44599" w:rsidP="00BD483A">
      <w:pPr>
        <w:pStyle w:val="Bodytext20"/>
        <w:numPr>
          <w:ilvl w:val="0"/>
          <w:numId w:val="4"/>
        </w:numPr>
        <w:shd w:val="clear" w:color="auto" w:fill="auto"/>
        <w:tabs>
          <w:tab w:val="left" w:pos="309"/>
        </w:tabs>
        <w:spacing w:before="120" w:after="240" w:line="300" w:lineRule="auto"/>
        <w:ind w:left="400" w:right="660" w:hanging="400"/>
        <w:rPr>
          <w:rFonts w:asciiTheme="minorHAnsi" w:hAnsiTheme="minorHAnsi" w:cstheme="minorHAnsi"/>
          <w:sz w:val="22"/>
          <w:szCs w:val="22"/>
        </w:rPr>
      </w:pPr>
      <w:r w:rsidRPr="00BD483A">
        <w:rPr>
          <w:rFonts w:asciiTheme="minorHAnsi" w:hAnsiTheme="minorHAnsi" w:cstheme="minorHAnsi"/>
          <w:sz w:val="22"/>
          <w:szCs w:val="22"/>
        </w:rPr>
        <w:t xml:space="preserve">W postępowaniu zakończonym decyzją nr </w:t>
      </w:r>
      <w:r w:rsidRPr="00BD483A">
        <w:rPr>
          <w:rFonts w:asciiTheme="minorHAnsi" w:hAnsiTheme="minorHAnsi" w:cstheme="minorHAnsi"/>
          <w:sz w:val="22"/>
          <w:szCs w:val="22"/>
          <w:lang w:val="ru-RU" w:eastAsia="ru-RU" w:bidi="ru-RU"/>
        </w:rPr>
        <w:t xml:space="preserve">73/2021 </w:t>
      </w:r>
      <w:r w:rsidRPr="00BD483A">
        <w:rPr>
          <w:rFonts w:asciiTheme="minorHAnsi" w:hAnsiTheme="minorHAnsi" w:cstheme="minorHAnsi"/>
          <w:sz w:val="22"/>
          <w:szCs w:val="22"/>
        </w:rPr>
        <w:t xml:space="preserve">naruszono </w:t>
      </w:r>
      <w:r w:rsidRPr="00BD483A">
        <w:rPr>
          <w:rFonts w:asciiTheme="minorHAnsi" w:hAnsiTheme="minorHAnsi" w:cstheme="minorHAnsi"/>
          <w:sz w:val="22"/>
          <w:szCs w:val="22"/>
          <w:lang w:val="en-US" w:eastAsia="en-US" w:bidi="en-US"/>
        </w:rPr>
        <w:t xml:space="preserve">art. </w:t>
      </w:r>
      <w:r w:rsidRPr="00BD483A">
        <w:rPr>
          <w:rFonts w:asciiTheme="minorHAnsi" w:hAnsiTheme="minorHAnsi" w:cstheme="minorHAnsi"/>
          <w:sz w:val="22"/>
          <w:szCs w:val="22"/>
        </w:rPr>
        <w:t xml:space="preserve">64 ust. 2 k.p.a., gdyż wezwano inwestora do doręczenia decyzji wyłączającej grunty z produkcji rolniczej, która zgodnie z </w:t>
      </w:r>
      <w:r w:rsidRPr="00BD483A">
        <w:rPr>
          <w:rFonts w:asciiTheme="minorHAnsi" w:hAnsiTheme="minorHAnsi" w:cstheme="minorHAnsi"/>
          <w:sz w:val="22"/>
          <w:szCs w:val="22"/>
          <w:lang w:val="en-US" w:eastAsia="en-US" w:bidi="en-US"/>
        </w:rPr>
        <w:t xml:space="preserve">art. </w:t>
      </w:r>
      <w:r w:rsidRPr="00BD483A">
        <w:rPr>
          <w:rFonts w:asciiTheme="minorHAnsi" w:hAnsiTheme="minorHAnsi" w:cstheme="minorHAnsi"/>
          <w:sz w:val="22"/>
          <w:szCs w:val="22"/>
        </w:rPr>
        <w:t>33 ust. 2 Prawa budowlanego nie stanowiła braku formalnego wniosku o pozwolenie na budowę.</w:t>
      </w:r>
    </w:p>
    <w:p w:rsidR="003A1EE1" w:rsidRPr="00BD483A" w:rsidRDefault="00E44599" w:rsidP="00BD483A">
      <w:pPr>
        <w:pStyle w:val="Bodytext20"/>
        <w:shd w:val="clear" w:color="auto" w:fill="auto"/>
        <w:spacing w:before="120" w:after="240" w:line="300" w:lineRule="auto"/>
        <w:ind w:left="400" w:right="660" w:firstLine="0"/>
        <w:rPr>
          <w:rFonts w:asciiTheme="minorHAnsi" w:hAnsiTheme="minorHAnsi" w:cstheme="minorHAnsi"/>
          <w:sz w:val="22"/>
          <w:szCs w:val="22"/>
        </w:rPr>
      </w:pPr>
      <w:r w:rsidRPr="00BD483A">
        <w:rPr>
          <w:rFonts w:asciiTheme="minorHAnsi" w:hAnsiTheme="minorHAnsi" w:cstheme="minorHAnsi"/>
          <w:sz w:val="22"/>
          <w:szCs w:val="22"/>
        </w:rPr>
        <w:t xml:space="preserve">W przypadku niedoręczenia przez inwestora ww. decyzji i w konsekwencji pozostawienia sprawy bez rozpoznania, organ pozostałby w bezczynności, co mogłoby grozić m.in. naliczeniem kary przez Wojewodę Mazowieckiego zgodnie z </w:t>
      </w:r>
      <w:r w:rsidRPr="00BD483A">
        <w:rPr>
          <w:rFonts w:asciiTheme="minorHAnsi" w:hAnsiTheme="minorHAnsi" w:cstheme="minorHAnsi"/>
          <w:sz w:val="22"/>
          <w:szCs w:val="22"/>
          <w:lang w:val="en-US" w:eastAsia="en-US" w:bidi="en-US"/>
        </w:rPr>
        <w:t xml:space="preserve">art. </w:t>
      </w:r>
      <w:r w:rsidRPr="00BD483A">
        <w:rPr>
          <w:rFonts w:asciiTheme="minorHAnsi" w:hAnsiTheme="minorHAnsi" w:cstheme="minorHAnsi"/>
          <w:sz w:val="22"/>
          <w:szCs w:val="22"/>
        </w:rPr>
        <w:t>35 ust. 6 Prawa budowlanego.</w:t>
      </w:r>
    </w:p>
    <w:p w:rsidR="003A1EE1" w:rsidRPr="00BD483A" w:rsidRDefault="00E44599" w:rsidP="00BD483A">
      <w:pPr>
        <w:pStyle w:val="Bodytext20"/>
        <w:numPr>
          <w:ilvl w:val="0"/>
          <w:numId w:val="4"/>
        </w:numPr>
        <w:shd w:val="clear" w:color="auto" w:fill="auto"/>
        <w:tabs>
          <w:tab w:val="left" w:pos="309"/>
        </w:tabs>
        <w:spacing w:before="120" w:after="240" w:line="300" w:lineRule="auto"/>
        <w:ind w:left="400" w:hanging="400"/>
        <w:rPr>
          <w:rFonts w:asciiTheme="minorHAnsi" w:hAnsiTheme="minorHAnsi" w:cstheme="minorHAnsi"/>
          <w:sz w:val="22"/>
          <w:szCs w:val="22"/>
        </w:rPr>
      </w:pPr>
      <w:r w:rsidRPr="00BD483A">
        <w:rPr>
          <w:rFonts w:asciiTheme="minorHAnsi" w:hAnsiTheme="minorHAnsi" w:cstheme="minorHAnsi"/>
          <w:sz w:val="22"/>
          <w:szCs w:val="22"/>
        </w:rPr>
        <w:t>W 4 przypadkach</w:t>
      </w:r>
      <w:r w:rsidRPr="00BD483A">
        <w:rPr>
          <w:rFonts w:asciiTheme="minorHAnsi" w:hAnsiTheme="minorHAnsi" w:cstheme="minorHAnsi"/>
          <w:sz w:val="22"/>
          <w:szCs w:val="22"/>
          <w:vertAlign w:val="superscript"/>
        </w:rPr>
        <w:t>15</w:t>
      </w:r>
      <w:r w:rsidRPr="00BD483A">
        <w:rPr>
          <w:rFonts w:asciiTheme="minorHAnsi" w:hAnsiTheme="minorHAnsi" w:cstheme="minorHAnsi"/>
          <w:sz w:val="22"/>
          <w:szCs w:val="22"/>
        </w:rPr>
        <w:t xml:space="preserve"> nie wypełniono wymogów ustalonych w § 2 ust. 1 zarządzenia Nr </w:t>
      </w:r>
      <w:r w:rsidRPr="00BD483A">
        <w:rPr>
          <w:rFonts w:asciiTheme="minorHAnsi" w:hAnsiTheme="minorHAnsi" w:cstheme="minorHAnsi"/>
          <w:sz w:val="22"/>
          <w:szCs w:val="22"/>
          <w:lang w:val="ru-RU" w:eastAsia="ru-RU" w:bidi="ru-RU"/>
        </w:rPr>
        <w:t xml:space="preserve">1793/2016 </w:t>
      </w:r>
      <w:r w:rsidRPr="00BD483A">
        <w:rPr>
          <w:rFonts w:asciiTheme="minorHAnsi" w:hAnsiTheme="minorHAnsi" w:cstheme="minorHAnsi"/>
          <w:sz w:val="22"/>
          <w:szCs w:val="22"/>
        </w:rPr>
        <w:t xml:space="preserve">Prezydenta Miasta Stołecznego Warszawy z dnia 9 grudnia 2016 r. </w:t>
      </w:r>
      <w:r w:rsidRPr="00BD483A">
        <w:rPr>
          <w:rFonts w:asciiTheme="minorHAnsi" w:hAnsiTheme="minorHAnsi" w:cstheme="minorHAnsi"/>
          <w:sz w:val="22"/>
          <w:szCs w:val="22"/>
          <w:lang w:val="en-US" w:eastAsia="en-US" w:bidi="en-US"/>
        </w:rPr>
        <w:t xml:space="preserve">dot. </w:t>
      </w:r>
      <w:r w:rsidRPr="00BD483A">
        <w:rPr>
          <w:rFonts w:asciiTheme="minorHAnsi" w:hAnsiTheme="minorHAnsi" w:cstheme="minorHAnsi"/>
          <w:sz w:val="22"/>
          <w:szCs w:val="22"/>
        </w:rPr>
        <w:t>złożenia oświadczenia</w:t>
      </w:r>
    </w:p>
    <w:p w:rsidR="003A1EE1" w:rsidRPr="00BD483A" w:rsidRDefault="00E44599" w:rsidP="00BD483A">
      <w:pPr>
        <w:pStyle w:val="Bodytext20"/>
        <w:shd w:val="clear" w:color="auto" w:fill="auto"/>
        <w:spacing w:before="120" w:after="240" w:line="300" w:lineRule="auto"/>
        <w:ind w:left="400" w:firstLine="0"/>
        <w:rPr>
          <w:rFonts w:asciiTheme="minorHAnsi" w:hAnsiTheme="minorHAnsi" w:cstheme="minorHAnsi"/>
          <w:sz w:val="22"/>
          <w:szCs w:val="22"/>
        </w:rPr>
      </w:pPr>
      <w:r w:rsidRPr="00BD483A">
        <w:rPr>
          <w:rFonts w:asciiTheme="minorHAnsi" w:hAnsiTheme="minorHAnsi" w:cstheme="minorHAnsi"/>
          <w:sz w:val="22"/>
          <w:szCs w:val="22"/>
        </w:rPr>
        <w:t>o bezstronności w rozpatrywaniu sprawy.</w:t>
      </w:r>
    </w:p>
    <w:p w:rsidR="003A1EE1" w:rsidRPr="00BD483A" w:rsidRDefault="00E44599" w:rsidP="00BD483A">
      <w:pPr>
        <w:pStyle w:val="Bodytext20"/>
        <w:shd w:val="clear" w:color="auto" w:fill="auto"/>
        <w:spacing w:before="120" w:after="240" w:line="300" w:lineRule="auto"/>
        <w:ind w:left="400" w:firstLine="0"/>
        <w:rPr>
          <w:rFonts w:asciiTheme="minorHAnsi" w:hAnsiTheme="minorHAnsi" w:cstheme="minorHAnsi"/>
          <w:sz w:val="22"/>
          <w:szCs w:val="22"/>
        </w:rPr>
      </w:pPr>
      <w:r w:rsidRPr="00BD483A">
        <w:rPr>
          <w:rFonts w:asciiTheme="minorHAnsi" w:hAnsiTheme="minorHAnsi" w:cstheme="minorHAnsi"/>
          <w:sz w:val="22"/>
          <w:szCs w:val="22"/>
        </w:rPr>
        <w:t>Brakujące oświadczenia przedłożono w toku kontroli.</w:t>
      </w:r>
    </w:p>
    <w:p w:rsidR="003A1EE1" w:rsidRPr="00BD483A" w:rsidRDefault="00E44599" w:rsidP="00BD483A">
      <w:pPr>
        <w:pStyle w:val="Bodytext20"/>
        <w:numPr>
          <w:ilvl w:val="0"/>
          <w:numId w:val="4"/>
        </w:numPr>
        <w:shd w:val="clear" w:color="auto" w:fill="auto"/>
        <w:tabs>
          <w:tab w:val="left" w:pos="309"/>
        </w:tabs>
        <w:spacing w:before="120" w:after="240" w:line="300" w:lineRule="auto"/>
        <w:ind w:left="400" w:right="660" w:hanging="400"/>
        <w:rPr>
          <w:rFonts w:asciiTheme="minorHAnsi" w:hAnsiTheme="minorHAnsi" w:cstheme="minorHAnsi"/>
          <w:sz w:val="22"/>
          <w:szCs w:val="22"/>
        </w:rPr>
      </w:pPr>
      <w:r w:rsidRPr="00BD483A">
        <w:rPr>
          <w:rFonts w:asciiTheme="minorHAnsi" w:hAnsiTheme="minorHAnsi" w:cstheme="minorHAnsi"/>
          <w:sz w:val="22"/>
          <w:szCs w:val="22"/>
        </w:rPr>
        <w:t>W 2 przypadkach</w:t>
      </w:r>
      <w:r w:rsidRPr="00BD483A">
        <w:rPr>
          <w:rFonts w:asciiTheme="minorHAnsi" w:hAnsiTheme="minorHAnsi" w:cstheme="minorHAnsi"/>
          <w:sz w:val="22"/>
          <w:szCs w:val="22"/>
          <w:vertAlign w:val="superscript"/>
        </w:rPr>
        <w:t>16</w:t>
      </w:r>
      <w:r w:rsidRPr="00BD483A">
        <w:rPr>
          <w:rFonts w:asciiTheme="minorHAnsi" w:hAnsiTheme="minorHAnsi" w:cstheme="minorHAnsi"/>
          <w:sz w:val="22"/>
          <w:szCs w:val="22"/>
        </w:rPr>
        <w:t xml:space="preserve"> błędnie ustalono datę ostateczności decyzji wskazując datę o 15 i 18 dni późniejszą niż ostatni dzień terminu do wniesienia odwołania określony w </w:t>
      </w:r>
      <w:r w:rsidRPr="00BD483A">
        <w:rPr>
          <w:rFonts w:asciiTheme="minorHAnsi" w:hAnsiTheme="minorHAnsi" w:cstheme="minorHAnsi"/>
          <w:sz w:val="22"/>
          <w:szCs w:val="22"/>
          <w:lang w:val="en-US" w:eastAsia="en-US" w:bidi="en-US"/>
        </w:rPr>
        <w:t xml:space="preserve">art. </w:t>
      </w:r>
      <w:r w:rsidRPr="00BD483A">
        <w:rPr>
          <w:rFonts w:asciiTheme="minorHAnsi" w:hAnsiTheme="minorHAnsi" w:cstheme="minorHAnsi"/>
          <w:sz w:val="22"/>
          <w:szCs w:val="22"/>
        </w:rPr>
        <w:t>129 § 2 k.p.a.</w:t>
      </w:r>
    </w:p>
    <w:p w:rsidR="003A1EE1" w:rsidRPr="00BD483A" w:rsidRDefault="00E44599" w:rsidP="00BD483A">
      <w:pPr>
        <w:pStyle w:val="Bodytext20"/>
        <w:numPr>
          <w:ilvl w:val="0"/>
          <w:numId w:val="4"/>
        </w:numPr>
        <w:shd w:val="clear" w:color="auto" w:fill="auto"/>
        <w:tabs>
          <w:tab w:val="left" w:pos="309"/>
        </w:tabs>
        <w:spacing w:before="120" w:after="240" w:line="300" w:lineRule="auto"/>
        <w:ind w:left="400" w:right="660" w:hanging="400"/>
        <w:rPr>
          <w:rFonts w:asciiTheme="minorHAnsi" w:hAnsiTheme="minorHAnsi" w:cstheme="minorHAnsi"/>
          <w:sz w:val="22"/>
          <w:szCs w:val="22"/>
        </w:rPr>
      </w:pPr>
      <w:r w:rsidRPr="00BD483A">
        <w:rPr>
          <w:rFonts w:asciiTheme="minorHAnsi" w:hAnsiTheme="minorHAnsi" w:cstheme="minorHAnsi"/>
          <w:sz w:val="22"/>
          <w:szCs w:val="22"/>
        </w:rPr>
        <w:t xml:space="preserve">W decyzji nr </w:t>
      </w:r>
      <w:r w:rsidRPr="00BD483A">
        <w:rPr>
          <w:rFonts w:asciiTheme="minorHAnsi" w:hAnsiTheme="minorHAnsi" w:cstheme="minorHAnsi"/>
          <w:sz w:val="22"/>
          <w:szCs w:val="22"/>
          <w:lang w:val="ru-RU" w:eastAsia="ru-RU" w:bidi="ru-RU"/>
        </w:rPr>
        <w:t xml:space="preserve">287/2021 </w:t>
      </w:r>
      <w:r w:rsidRPr="00BD483A">
        <w:rPr>
          <w:rFonts w:asciiTheme="minorHAnsi" w:hAnsiTheme="minorHAnsi" w:cstheme="minorHAnsi"/>
          <w:sz w:val="22"/>
          <w:szCs w:val="22"/>
        </w:rPr>
        <w:t>nie wskazano kryteriów ani przepisu rozporządzenia</w:t>
      </w:r>
      <w:r w:rsidRPr="00BD483A">
        <w:rPr>
          <w:rFonts w:asciiTheme="minorHAnsi" w:hAnsiTheme="minorHAnsi" w:cstheme="minorHAnsi"/>
          <w:sz w:val="22"/>
          <w:szCs w:val="22"/>
          <w:vertAlign w:val="superscript"/>
        </w:rPr>
        <w:t>17</w:t>
      </w:r>
      <w:r w:rsidRPr="00BD483A">
        <w:rPr>
          <w:rFonts w:asciiTheme="minorHAnsi" w:hAnsiTheme="minorHAnsi" w:cstheme="minorHAnsi"/>
          <w:sz w:val="22"/>
          <w:szCs w:val="22"/>
        </w:rPr>
        <w:t>, na podstawie których nałożono na wnioskodawcę obowiązek ustanowienia inspektora nadzoru inwestorskiego. Należy podkreślić, że obowiązek ten nie wynikał wprost z ww. rozporządzenia.</w:t>
      </w:r>
    </w:p>
    <w:p w:rsidR="003A1EE1" w:rsidRPr="00BD483A" w:rsidRDefault="00E44599" w:rsidP="00BD483A">
      <w:pPr>
        <w:pStyle w:val="Bodytext20"/>
        <w:numPr>
          <w:ilvl w:val="0"/>
          <w:numId w:val="4"/>
        </w:numPr>
        <w:shd w:val="clear" w:color="auto" w:fill="auto"/>
        <w:tabs>
          <w:tab w:val="left" w:pos="309"/>
        </w:tabs>
        <w:spacing w:before="120" w:after="240" w:line="300" w:lineRule="auto"/>
        <w:ind w:left="403" w:right="658" w:hanging="403"/>
        <w:rPr>
          <w:rFonts w:asciiTheme="minorHAnsi" w:hAnsiTheme="minorHAnsi" w:cstheme="minorHAnsi"/>
          <w:sz w:val="22"/>
          <w:szCs w:val="22"/>
        </w:rPr>
      </w:pPr>
      <w:r w:rsidRPr="00BD483A">
        <w:rPr>
          <w:rFonts w:asciiTheme="minorHAnsi" w:hAnsiTheme="minorHAnsi" w:cstheme="minorHAnsi"/>
          <w:sz w:val="22"/>
          <w:szCs w:val="22"/>
        </w:rPr>
        <w:t xml:space="preserve">Decyzję nr </w:t>
      </w:r>
      <w:r w:rsidRPr="00BD483A">
        <w:rPr>
          <w:rFonts w:asciiTheme="minorHAnsi" w:hAnsiTheme="minorHAnsi" w:cstheme="minorHAnsi"/>
          <w:sz w:val="22"/>
          <w:szCs w:val="22"/>
          <w:lang w:val="ru-RU" w:eastAsia="ru-RU" w:bidi="ru-RU"/>
        </w:rPr>
        <w:t xml:space="preserve">195/2021 </w:t>
      </w:r>
      <w:r w:rsidRPr="00BD483A">
        <w:rPr>
          <w:rFonts w:asciiTheme="minorHAnsi" w:hAnsiTheme="minorHAnsi" w:cstheme="minorHAnsi"/>
          <w:sz w:val="22"/>
          <w:szCs w:val="22"/>
        </w:rPr>
        <w:t xml:space="preserve">przesłano do Powiatowego Inspektora Nadzoru Budowlanego oraz do Centrum Obsługi Podatnika dopiero po ok. 4 miesiącach od dnia, w którym decyzja ta stała się ostateczna, co naruszało odpowiednio </w:t>
      </w:r>
      <w:r w:rsidRPr="00BD483A">
        <w:rPr>
          <w:rFonts w:asciiTheme="minorHAnsi" w:hAnsiTheme="minorHAnsi" w:cstheme="minorHAnsi"/>
          <w:sz w:val="22"/>
          <w:szCs w:val="22"/>
          <w:lang w:val="en-US" w:eastAsia="en-US" w:bidi="en-US"/>
        </w:rPr>
        <w:t xml:space="preserve">art. </w:t>
      </w:r>
      <w:r w:rsidRPr="00BD483A">
        <w:rPr>
          <w:rFonts w:asciiTheme="minorHAnsi" w:hAnsiTheme="minorHAnsi" w:cstheme="minorHAnsi"/>
          <w:sz w:val="22"/>
          <w:szCs w:val="22"/>
        </w:rPr>
        <w:t xml:space="preserve">82b ust. 1 pkt 2 Prawa budowlanego oraz § 6 ust. 1 rozporządzenia Ministra Finansów z dnia 24 grudnia 2002 r. w sprawie informacji </w:t>
      </w:r>
      <w:r w:rsidRPr="00BD483A">
        <w:rPr>
          <w:rFonts w:asciiTheme="minorHAnsi" w:hAnsiTheme="minorHAnsi" w:cstheme="minorHAnsi"/>
          <w:sz w:val="22"/>
          <w:szCs w:val="22"/>
        </w:rPr>
        <w:lastRenderedPageBreak/>
        <w:t>podatkowych</w:t>
      </w:r>
      <w:r w:rsidRPr="00BD483A">
        <w:rPr>
          <w:rFonts w:asciiTheme="minorHAnsi" w:hAnsiTheme="minorHAnsi" w:cstheme="minorHAnsi"/>
          <w:sz w:val="22"/>
          <w:szCs w:val="22"/>
          <w:vertAlign w:val="superscript"/>
        </w:rPr>
        <w:t>18</w:t>
      </w:r>
      <w:r w:rsidRPr="00BD483A">
        <w:rPr>
          <w:rFonts w:asciiTheme="minorHAnsi" w:hAnsiTheme="minorHAnsi" w:cstheme="minorHAnsi"/>
          <w:sz w:val="22"/>
          <w:szCs w:val="22"/>
        </w:rPr>
        <w:t>.</w:t>
      </w:r>
    </w:p>
    <w:p w:rsidR="003A1EE1" w:rsidRPr="00BD483A" w:rsidRDefault="00E44599" w:rsidP="00BD483A">
      <w:pPr>
        <w:pStyle w:val="Bodytext20"/>
        <w:numPr>
          <w:ilvl w:val="0"/>
          <w:numId w:val="5"/>
        </w:numPr>
        <w:shd w:val="clear" w:color="auto" w:fill="auto"/>
        <w:tabs>
          <w:tab w:val="left" w:pos="267"/>
        </w:tabs>
        <w:spacing w:before="120" w:after="240" w:line="300" w:lineRule="auto"/>
        <w:ind w:left="280" w:right="660" w:hanging="280"/>
        <w:rPr>
          <w:rFonts w:asciiTheme="minorHAnsi" w:hAnsiTheme="minorHAnsi" w:cstheme="minorHAnsi"/>
          <w:sz w:val="22"/>
          <w:szCs w:val="22"/>
        </w:rPr>
      </w:pPr>
      <w:r w:rsidRPr="00BD483A">
        <w:rPr>
          <w:rFonts w:asciiTheme="minorHAnsi" w:hAnsiTheme="minorHAnsi" w:cstheme="minorHAnsi"/>
          <w:sz w:val="22"/>
          <w:szCs w:val="22"/>
          <w:lang w:val="en-US" w:eastAsia="en-US" w:bidi="en-US"/>
        </w:rPr>
        <w:t xml:space="preserve">Dot. </w:t>
      </w:r>
      <w:r w:rsidRPr="00BD483A">
        <w:rPr>
          <w:rFonts w:asciiTheme="minorHAnsi" w:hAnsiTheme="minorHAnsi" w:cstheme="minorHAnsi"/>
          <w:sz w:val="22"/>
          <w:szCs w:val="22"/>
        </w:rPr>
        <w:t xml:space="preserve">postępowań zakończonych wydaniem decyzji Nr: </w:t>
      </w:r>
      <w:r w:rsidRPr="00BD483A">
        <w:rPr>
          <w:rFonts w:asciiTheme="minorHAnsi" w:hAnsiTheme="minorHAnsi" w:cstheme="minorHAnsi"/>
          <w:sz w:val="22"/>
          <w:szCs w:val="22"/>
          <w:lang w:val="ru-RU" w:eastAsia="ru-RU" w:bidi="ru-RU"/>
        </w:rPr>
        <w:t>144/2021,38/2021,287/2021,195/2021, 43/2021;</w:t>
      </w:r>
    </w:p>
    <w:p w:rsidR="003A1EE1" w:rsidRPr="00BD483A" w:rsidRDefault="00E44599" w:rsidP="00BD483A">
      <w:pPr>
        <w:pStyle w:val="Bodytext20"/>
        <w:numPr>
          <w:ilvl w:val="0"/>
          <w:numId w:val="5"/>
        </w:numPr>
        <w:shd w:val="clear" w:color="auto" w:fill="auto"/>
        <w:tabs>
          <w:tab w:val="left" w:pos="267"/>
        </w:tabs>
        <w:spacing w:before="120" w:after="240" w:line="300" w:lineRule="auto"/>
        <w:ind w:left="400" w:hanging="400"/>
        <w:rPr>
          <w:rFonts w:asciiTheme="minorHAnsi" w:hAnsiTheme="minorHAnsi" w:cstheme="minorHAnsi"/>
          <w:sz w:val="22"/>
          <w:szCs w:val="22"/>
        </w:rPr>
      </w:pPr>
      <w:r w:rsidRPr="00BD483A">
        <w:rPr>
          <w:rFonts w:asciiTheme="minorHAnsi" w:hAnsiTheme="minorHAnsi" w:cstheme="minorHAnsi"/>
          <w:sz w:val="22"/>
          <w:szCs w:val="22"/>
          <w:lang w:val="en-US" w:eastAsia="en-US" w:bidi="en-US"/>
        </w:rPr>
        <w:t xml:space="preserve">Dot. </w:t>
      </w:r>
      <w:r w:rsidRPr="00BD483A">
        <w:rPr>
          <w:rFonts w:asciiTheme="minorHAnsi" w:hAnsiTheme="minorHAnsi" w:cstheme="minorHAnsi"/>
          <w:sz w:val="22"/>
          <w:szCs w:val="22"/>
        </w:rPr>
        <w:t xml:space="preserve">postępowań zakończonych wydaniem decyzji Nr: </w:t>
      </w:r>
      <w:r w:rsidRPr="00BD483A">
        <w:rPr>
          <w:rFonts w:asciiTheme="minorHAnsi" w:hAnsiTheme="minorHAnsi" w:cstheme="minorHAnsi"/>
          <w:sz w:val="22"/>
          <w:szCs w:val="22"/>
          <w:lang w:val="ru-RU" w:eastAsia="ru-RU" w:bidi="ru-RU"/>
        </w:rPr>
        <w:t>287/2021,73/2021,195/2021,101/2021;</w:t>
      </w:r>
    </w:p>
    <w:p w:rsidR="003A1EE1" w:rsidRPr="00BD483A" w:rsidRDefault="00E44599" w:rsidP="00BD483A">
      <w:pPr>
        <w:pStyle w:val="Bodytext20"/>
        <w:numPr>
          <w:ilvl w:val="0"/>
          <w:numId w:val="5"/>
        </w:numPr>
        <w:shd w:val="clear" w:color="auto" w:fill="auto"/>
        <w:tabs>
          <w:tab w:val="left" w:pos="271"/>
        </w:tabs>
        <w:spacing w:before="120" w:after="240" w:line="300" w:lineRule="auto"/>
        <w:ind w:left="400" w:hanging="400"/>
        <w:rPr>
          <w:rFonts w:asciiTheme="minorHAnsi" w:hAnsiTheme="minorHAnsi" w:cstheme="minorHAnsi"/>
          <w:sz w:val="22"/>
          <w:szCs w:val="22"/>
        </w:rPr>
      </w:pPr>
      <w:r w:rsidRPr="00BD483A">
        <w:rPr>
          <w:rFonts w:asciiTheme="minorHAnsi" w:hAnsiTheme="minorHAnsi" w:cstheme="minorHAnsi"/>
          <w:sz w:val="22"/>
          <w:szCs w:val="22"/>
          <w:lang w:val="en-US" w:eastAsia="en-US" w:bidi="en-US"/>
        </w:rPr>
        <w:t xml:space="preserve">Dot. </w:t>
      </w:r>
      <w:r w:rsidRPr="00BD483A">
        <w:rPr>
          <w:rFonts w:asciiTheme="minorHAnsi" w:hAnsiTheme="minorHAnsi" w:cstheme="minorHAnsi"/>
          <w:sz w:val="22"/>
          <w:szCs w:val="22"/>
        </w:rPr>
        <w:t xml:space="preserve">postępowań zakończonych wydaniem decyzji Nr: </w:t>
      </w:r>
      <w:r w:rsidRPr="00BD483A">
        <w:rPr>
          <w:rFonts w:asciiTheme="minorHAnsi" w:hAnsiTheme="minorHAnsi" w:cstheme="minorHAnsi"/>
          <w:sz w:val="22"/>
          <w:szCs w:val="22"/>
          <w:lang w:val="ru-RU" w:eastAsia="ru-RU" w:bidi="ru-RU"/>
        </w:rPr>
        <w:t>43/2021,73/2021;</w:t>
      </w:r>
    </w:p>
    <w:p w:rsidR="003A1EE1" w:rsidRPr="00BD483A" w:rsidRDefault="00E44599" w:rsidP="00BD483A">
      <w:pPr>
        <w:pStyle w:val="Bodytext20"/>
        <w:numPr>
          <w:ilvl w:val="0"/>
          <w:numId w:val="5"/>
        </w:numPr>
        <w:shd w:val="clear" w:color="auto" w:fill="auto"/>
        <w:tabs>
          <w:tab w:val="left" w:pos="271"/>
        </w:tabs>
        <w:spacing w:before="120" w:after="240" w:line="300" w:lineRule="auto"/>
        <w:ind w:left="400" w:right="660" w:hanging="400"/>
        <w:rPr>
          <w:rFonts w:asciiTheme="minorHAnsi" w:hAnsiTheme="minorHAnsi" w:cstheme="minorHAnsi"/>
          <w:sz w:val="22"/>
          <w:szCs w:val="22"/>
        </w:rPr>
      </w:pPr>
      <w:r w:rsidRPr="00BD483A">
        <w:rPr>
          <w:rFonts w:asciiTheme="minorHAnsi" w:hAnsiTheme="minorHAnsi" w:cstheme="minorHAnsi"/>
          <w:sz w:val="22"/>
          <w:szCs w:val="22"/>
        </w:rPr>
        <w:t>Rozporządzenie Ministra Infrastruktury z dnia 19 listopada 2001 r. w sprawie rodzajów obiektów budowlanych, przy których realizacji jest wymagane ustanowienie inspektora nadzoru inwestorskiego Dz. U. z 2001 r., Nr 138, poz. 1554;</w:t>
      </w:r>
    </w:p>
    <w:p w:rsidR="003A1EE1" w:rsidRPr="00BD483A" w:rsidRDefault="00E44599" w:rsidP="00BD483A">
      <w:pPr>
        <w:pStyle w:val="Bodytext20"/>
        <w:numPr>
          <w:ilvl w:val="0"/>
          <w:numId w:val="5"/>
        </w:numPr>
        <w:shd w:val="clear" w:color="auto" w:fill="auto"/>
        <w:tabs>
          <w:tab w:val="left" w:pos="309"/>
        </w:tabs>
        <w:spacing w:before="120" w:after="240" w:line="300" w:lineRule="auto"/>
        <w:ind w:left="400" w:hanging="400"/>
        <w:rPr>
          <w:rFonts w:asciiTheme="minorHAnsi" w:hAnsiTheme="minorHAnsi" w:cstheme="minorHAnsi"/>
          <w:sz w:val="22"/>
          <w:szCs w:val="22"/>
        </w:rPr>
      </w:pPr>
      <w:r w:rsidRPr="00BD483A">
        <w:rPr>
          <w:rFonts w:asciiTheme="minorHAnsi" w:hAnsiTheme="minorHAnsi" w:cstheme="minorHAnsi"/>
          <w:sz w:val="22"/>
          <w:szCs w:val="22"/>
        </w:rPr>
        <w:t>Dz. U. z 2002 r., Nr 240, poz. 2061;</w:t>
      </w:r>
    </w:p>
    <w:p w:rsidR="003A1EE1" w:rsidRPr="00BD483A" w:rsidRDefault="003A1EE1" w:rsidP="00BD483A">
      <w:pPr>
        <w:framePr w:h="384" w:wrap="notBeside" w:vAnchor="text" w:hAnchor="text" w:xAlign="right" w:y="1"/>
        <w:spacing w:before="120" w:after="240" w:line="300" w:lineRule="auto"/>
        <w:rPr>
          <w:rFonts w:asciiTheme="minorHAnsi" w:hAnsiTheme="minorHAnsi" w:cstheme="minorHAnsi"/>
          <w:sz w:val="22"/>
          <w:szCs w:val="22"/>
        </w:rPr>
      </w:pPr>
    </w:p>
    <w:p w:rsidR="003A1EE1" w:rsidRPr="00BD483A" w:rsidRDefault="00E44599" w:rsidP="00BD483A">
      <w:pPr>
        <w:pStyle w:val="Bodytext20"/>
        <w:numPr>
          <w:ilvl w:val="0"/>
          <w:numId w:val="4"/>
        </w:numPr>
        <w:shd w:val="clear" w:color="auto" w:fill="auto"/>
        <w:tabs>
          <w:tab w:val="left" w:pos="520"/>
        </w:tabs>
        <w:spacing w:before="120" w:after="240" w:line="300" w:lineRule="auto"/>
        <w:ind w:left="500" w:right="600" w:hanging="340"/>
        <w:rPr>
          <w:rFonts w:asciiTheme="minorHAnsi" w:hAnsiTheme="minorHAnsi" w:cstheme="minorHAnsi"/>
          <w:sz w:val="22"/>
          <w:szCs w:val="22"/>
        </w:rPr>
      </w:pPr>
      <w:r w:rsidRPr="00BD483A">
        <w:rPr>
          <w:rFonts w:asciiTheme="minorHAnsi" w:hAnsiTheme="minorHAnsi" w:cstheme="minorHAnsi"/>
          <w:sz w:val="22"/>
          <w:szCs w:val="22"/>
        </w:rPr>
        <w:t xml:space="preserve">W postępowaniu zakończonym decyzją nr </w:t>
      </w:r>
      <w:r w:rsidRPr="00BD483A">
        <w:rPr>
          <w:rFonts w:asciiTheme="minorHAnsi" w:hAnsiTheme="minorHAnsi" w:cstheme="minorHAnsi"/>
          <w:sz w:val="22"/>
          <w:szCs w:val="22"/>
          <w:lang w:val="ru-RU" w:eastAsia="ru-RU" w:bidi="ru-RU"/>
        </w:rPr>
        <w:t xml:space="preserve">38/2021 </w:t>
      </w:r>
      <w:r w:rsidRPr="00BD483A">
        <w:rPr>
          <w:rFonts w:asciiTheme="minorHAnsi" w:hAnsiTheme="minorHAnsi" w:cstheme="minorHAnsi"/>
          <w:sz w:val="22"/>
          <w:szCs w:val="22"/>
        </w:rPr>
        <w:t xml:space="preserve">naruszono </w:t>
      </w:r>
      <w:r w:rsidRPr="00BD483A">
        <w:rPr>
          <w:rFonts w:asciiTheme="minorHAnsi" w:hAnsiTheme="minorHAnsi" w:cstheme="minorHAnsi"/>
          <w:sz w:val="22"/>
          <w:szCs w:val="22"/>
          <w:lang w:val="en-US" w:eastAsia="en-US" w:bidi="en-US"/>
        </w:rPr>
        <w:t xml:space="preserve">art. </w:t>
      </w:r>
      <w:r w:rsidRPr="00BD483A">
        <w:rPr>
          <w:rFonts w:asciiTheme="minorHAnsi" w:hAnsiTheme="minorHAnsi" w:cstheme="minorHAnsi"/>
          <w:sz w:val="22"/>
          <w:szCs w:val="22"/>
        </w:rPr>
        <w:t>76a § 2 k.p.a., gdyż kopia pełnomocnictwa załączonego do wniosku została potwierdzona za zgodność z oryginałem przez radcę prawnego nie będącego pełnomocnikiem w sprawie.</w:t>
      </w:r>
    </w:p>
    <w:p w:rsidR="003A1EE1" w:rsidRPr="00BD483A" w:rsidRDefault="00E44599" w:rsidP="00BD483A">
      <w:pPr>
        <w:pStyle w:val="Bodytext20"/>
        <w:shd w:val="clear" w:color="auto" w:fill="auto"/>
        <w:spacing w:before="120" w:after="240" w:line="300" w:lineRule="auto"/>
        <w:ind w:left="500" w:hanging="340"/>
        <w:rPr>
          <w:rFonts w:asciiTheme="minorHAnsi" w:hAnsiTheme="minorHAnsi" w:cstheme="minorHAnsi"/>
          <w:sz w:val="22"/>
          <w:szCs w:val="22"/>
        </w:rPr>
      </w:pPr>
      <w:r w:rsidRPr="00BD483A">
        <w:rPr>
          <w:rFonts w:asciiTheme="minorHAnsi" w:hAnsiTheme="minorHAnsi" w:cstheme="minorHAnsi"/>
          <w:sz w:val="22"/>
          <w:szCs w:val="22"/>
        </w:rPr>
        <w:t>Ponadto wyniki kontroli pokazały przypadki prowadzenia postępowań lub sporządzania dokumentów</w:t>
      </w:r>
    </w:p>
    <w:p w:rsidR="003A1EE1" w:rsidRPr="00BD483A" w:rsidRDefault="00E44599" w:rsidP="00BD483A">
      <w:pPr>
        <w:pStyle w:val="Bodytext20"/>
        <w:shd w:val="clear" w:color="auto" w:fill="auto"/>
        <w:spacing w:before="120" w:after="240" w:line="300" w:lineRule="auto"/>
        <w:ind w:left="500" w:hanging="340"/>
        <w:rPr>
          <w:rFonts w:asciiTheme="minorHAnsi" w:hAnsiTheme="minorHAnsi" w:cstheme="minorHAnsi"/>
          <w:sz w:val="22"/>
          <w:szCs w:val="22"/>
        </w:rPr>
      </w:pPr>
      <w:r w:rsidRPr="00BD483A">
        <w:rPr>
          <w:rFonts w:asciiTheme="minorHAnsi" w:hAnsiTheme="minorHAnsi" w:cstheme="minorHAnsi"/>
          <w:sz w:val="22"/>
          <w:szCs w:val="22"/>
        </w:rPr>
        <w:t>bez należytej staranności, w tym m.in.:</w:t>
      </w:r>
    </w:p>
    <w:p w:rsidR="003A1EE1" w:rsidRPr="00BD483A" w:rsidRDefault="00E44599" w:rsidP="00BD483A">
      <w:pPr>
        <w:pStyle w:val="Bodytext20"/>
        <w:numPr>
          <w:ilvl w:val="0"/>
          <w:numId w:val="1"/>
        </w:numPr>
        <w:shd w:val="clear" w:color="auto" w:fill="auto"/>
        <w:tabs>
          <w:tab w:val="left" w:pos="520"/>
        </w:tabs>
        <w:spacing w:before="120" w:after="240" w:line="300" w:lineRule="auto"/>
        <w:ind w:left="500" w:hanging="340"/>
        <w:rPr>
          <w:rFonts w:asciiTheme="minorHAnsi" w:hAnsiTheme="minorHAnsi" w:cstheme="minorHAnsi"/>
          <w:sz w:val="22"/>
          <w:szCs w:val="22"/>
        </w:rPr>
      </w:pPr>
      <w:r w:rsidRPr="00BD483A">
        <w:rPr>
          <w:rFonts w:asciiTheme="minorHAnsi" w:hAnsiTheme="minorHAnsi" w:cstheme="minorHAnsi"/>
          <w:sz w:val="22"/>
          <w:szCs w:val="22"/>
        </w:rPr>
        <w:t>w 1 przypadku</w:t>
      </w:r>
      <w:r w:rsidRPr="00BD483A">
        <w:rPr>
          <w:rFonts w:asciiTheme="minorHAnsi" w:hAnsiTheme="minorHAnsi" w:cstheme="minorHAnsi"/>
          <w:sz w:val="22"/>
          <w:szCs w:val="22"/>
          <w:vertAlign w:val="superscript"/>
        </w:rPr>
        <w:footnoteReference w:id="11"/>
      </w:r>
      <w:r w:rsidRPr="00BD483A">
        <w:rPr>
          <w:rFonts w:asciiTheme="minorHAnsi" w:hAnsiTheme="minorHAnsi" w:cstheme="minorHAnsi"/>
          <w:sz w:val="22"/>
          <w:szCs w:val="22"/>
        </w:rPr>
        <w:t xml:space="preserve"> w aktach sprawy brak było 6 potwierdzeń odbioru korespondencji;</w:t>
      </w:r>
    </w:p>
    <w:p w:rsidR="003A1EE1" w:rsidRPr="00BD483A" w:rsidRDefault="00E44599" w:rsidP="00BD483A">
      <w:pPr>
        <w:pStyle w:val="Bodytext20"/>
        <w:numPr>
          <w:ilvl w:val="0"/>
          <w:numId w:val="1"/>
        </w:numPr>
        <w:shd w:val="clear" w:color="auto" w:fill="auto"/>
        <w:tabs>
          <w:tab w:val="left" w:pos="520"/>
        </w:tabs>
        <w:spacing w:before="120" w:after="240" w:line="300" w:lineRule="auto"/>
        <w:ind w:left="500" w:right="600" w:hanging="340"/>
        <w:rPr>
          <w:rFonts w:asciiTheme="minorHAnsi" w:hAnsiTheme="minorHAnsi" w:cstheme="minorHAnsi"/>
          <w:sz w:val="22"/>
          <w:szCs w:val="22"/>
        </w:rPr>
      </w:pPr>
      <w:r w:rsidRPr="00BD483A">
        <w:rPr>
          <w:rFonts w:asciiTheme="minorHAnsi" w:hAnsiTheme="minorHAnsi" w:cstheme="minorHAnsi"/>
          <w:sz w:val="22"/>
          <w:szCs w:val="22"/>
        </w:rPr>
        <w:t>w 5 przypadkach</w:t>
      </w:r>
      <w:r w:rsidRPr="00BD483A">
        <w:rPr>
          <w:rFonts w:asciiTheme="minorHAnsi" w:hAnsiTheme="minorHAnsi" w:cstheme="minorHAnsi"/>
          <w:sz w:val="22"/>
          <w:szCs w:val="22"/>
          <w:vertAlign w:val="superscript"/>
        </w:rPr>
        <w:footnoteReference w:id="12"/>
      </w:r>
      <w:r w:rsidRPr="00BD483A">
        <w:rPr>
          <w:rFonts w:asciiTheme="minorHAnsi" w:hAnsiTheme="minorHAnsi" w:cstheme="minorHAnsi"/>
          <w:sz w:val="22"/>
          <w:szCs w:val="22"/>
        </w:rPr>
        <w:t xml:space="preserve"> wydano decyzje zatwierdzające „projekt budowlany", pomimo że zgodnie z </w:t>
      </w:r>
      <w:r w:rsidRPr="00BD483A">
        <w:rPr>
          <w:rFonts w:asciiTheme="minorHAnsi" w:hAnsiTheme="minorHAnsi" w:cstheme="minorHAnsi"/>
          <w:sz w:val="22"/>
          <w:szCs w:val="22"/>
          <w:lang w:val="en-US" w:eastAsia="en-US" w:bidi="en-US"/>
        </w:rPr>
        <w:t xml:space="preserve">art. </w:t>
      </w:r>
      <w:r w:rsidRPr="00BD483A">
        <w:rPr>
          <w:rFonts w:asciiTheme="minorHAnsi" w:hAnsiTheme="minorHAnsi" w:cstheme="minorHAnsi"/>
          <w:sz w:val="22"/>
          <w:szCs w:val="22"/>
        </w:rPr>
        <w:t>34 ust. 4 Prawa budowlanego zatwierdzeniu w decyzji o pozwoleniu na budowę podlegał projekt zagospodarowania działki lub terenu oraz projekt architektoniczno-budowlany, a więc tylko część projektu budowlanego. Nie podlegał natomiast zatwierdzeniu przez organ projekt techniczny będący również częścią składową projektu budowlanego;</w:t>
      </w:r>
    </w:p>
    <w:p w:rsidR="003A1EE1" w:rsidRPr="00BD483A" w:rsidRDefault="00E44599" w:rsidP="00BD483A">
      <w:pPr>
        <w:pStyle w:val="Bodytext20"/>
        <w:numPr>
          <w:ilvl w:val="0"/>
          <w:numId w:val="1"/>
        </w:numPr>
        <w:shd w:val="clear" w:color="auto" w:fill="auto"/>
        <w:tabs>
          <w:tab w:val="left" w:pos="520"/>
        </w:tabs>
        <w:spacing w:before="120" w:after="240" w:line="300" w:lineRule="auto"/>
        <w:ind w:left="500" w:right="600" w:hanging="340"/>
        <w:rPr>
          <w:rFonts w:asciiTheme="minorHAnsi" w:hAnsiTheme="minorHAnsi" w:cstheme="minorHAnsi"/>
          <w:sz w:val="22"/>
          <w:szCs w:val="22"/>
        </w:rPr>
      </w:pPr>
      <w:r w:rsidRPr="00BD483A">
        <w:rPr>
          <w:rFonts w:asciiTheme="minorHAnsi" w:hAnsiTheme="minorHAnsi" w:cstheme="minorHAnsi"/>
          <w:sz w:val="22"/>
          <w:szCs w:val="22"/>
        </w:rPr>
        <w:t>w 1 przypadku</w:t>
      </w:r>
      <w:r w:rsidRPr="00BD483A">
        <w:rPr>
          <w:rFonts w:asciiTheme="minorHAnsi" w:hAnsiTheme="minorHAnsi" w:cstheme="minorHAnsi"/>
          <w:sz w:val="22"/>
          <w:szCs w:val="22"/>
          <w:vertAlign w:val="superscript"/>
        </w:rPr>
        <w:footnoteReference w:id="13"/>
      </w:r>
      <w:r w:rsidRPr="00BD483A">
        <w:rPr>
          <w:rFonts w:asciiTheme="minorHAnsi" w:hAnsiTheme="minorHAnsi" w:cstheme="minorHAnsi"/>
          <w:sz w:val="22"/>
          <w:szCs w:val="22"/>
        </w:rPr>
        <w:t xml:space="preserve"> nieprawidłowo sporządzony rozdzielnik uniemożliwiał weryfikację ustanowionych stron postępowania;</w:t>
      </w:r>
    </w:p>
    <w:p w:rsidR="003A1EE1" w:rsidRPr="00BD483A" w:rsidRDefault="00E44599" w:rsidP="00BD483A">
      <w:pPr>
        <w:pStyle w:val="Bodytext20"/>
        <w:numPr>
          <w:ilvl w:val="0"/>
          <w:numId w:val="1"/>
        </w:numPr>
        <w:shd w:val="clear" w:color="auto" w:fill="auto"/>
        <w:tabs>
          <w:tab w:val="left" w:pos="520"/>
        </w:tabs>
        <w:spacing w:before="120" w:after="240" w:line="300" w:lineRule="auto"/>
        <w:ind w:left="500" w:right="600" w:hanging="340"/>
        <w:rPr>
          <w:rFonts w:asciiTheme="minorHAnsi" w:hAnsiTheme="minorHAnsi" w:cstheme="minorHAnsi"/>
          <w:sz w:val="22"/>
          <w:szCs w:val="22"/>
        </w:rPr>
      </w:pPr>
      <w:r w:rsidRPr="00BD483A">
        <w:rPr>
          <w:rFonts w:asciiTheme="minorHAnsi" w:hAnsiTheme="minorHAnsi" w:cstheme="minorHAnsi"/>
          <w:sz w:val="22"/>
          <w:szCs w:val="22"/>
        </w:rPr>
        <w:t>w 1 przypadku</w:t>
      </w:r>
      <w:r w:rsidRPr="00BD483A">
        <w:rPr>
          <w:rFonts w:asciiTheme="minorHAnsi" w:hAnsiTheme="minorHAnsi" w:cstheme="minorHAnsi"/>
          <w:sz w:val="22"/>
          <w:szCs w:val="22"/>
          <w:vertAlign w:val="superscript"/>
        </w:rPr>
        <w:footnoteReference w:id="14"/>
      </w:r>
      <w:r w:rsidRPr="00BD483A">
        <w:rPr>
          <w:rFonts w:asciiTheme="minorHAnsi" w:hAnsiTheme="minorHAnsi" w:cstheme="minorHAnsi"/>
          <w:sz w:val="22"/>
          <w:szCs w:val="22"/>
        </w:rPr>
        <w:t xml:space="preserve"> posługiwano się znakiem sprawy niezgodnym ze znakiem nadanym w systemie SIGNUM.</w:t>
      </w:r>
    </w:p>
    <w:p w:rsidR="003A1EE1" w:rsidRPr="00BD483A" w:rsidRDefault="00E44599" w:rsidP="00BD483A">
      <w:pPr>
        <w:pStyle w:val="Bodytext20"/>
        <w:shd w:val="clear" w:color="auto" w:fill="auto"/>
        <w:spacing w:before="120" w:after="240" w:line="300" w:lineRule="auto"/>
        <w:ind w:left="500" w:hanging="340"/>
        <w:rPr>
          <w:rFonts w:asciiTheme="minorHAnsi" w:hAnsiTheme="minorHAnsi" w:cstheme="minorHAnsi"/>
          <w:sz w:val="22"/>
          <w:szCs w:val="22"/>
        </w:rPr>
      </w:pPr>
      <w:r w:rsidRPr="00BD483A">
        <w:rPr>
          <w:rFonts w:asciiTheme="minorHAnsi" w:hAnsiTheme="minorHAnsi" w:cstheme="minorHAnsi"/>
          <w:sz w:val="22"/>
          <w:szCs w:val="22"/>
        </w:rPr>
        <w:lastRenderedPageBreak/>
        <w:t>Stwierdzono, że 9</w:t>
      </w:r>
      <w:r w:rsidRPr="00BD483A">
        <w:rPr>
          <w:rFonts w:asciiTheme="minorHAnsi" w:hAnsiTheme="minorHAnsi" w:cstheme="minorHAnsi"/>
          <w:sz w:val="22"/>
          <w:szCs w:val="22"/>
          <w:vertAlign w:val="superscript"/>
        </w:rPr>
        <w:footnoteReference w:id="15"/>
      </w:r>
      <w:r w:rsidRPr="00BD483A">
        <w:rPr>
          <w:rFonts w:asciiTheme="minorHAnsi" w:hAnsiTheme="minorHAnsi" w:cstheme="minorHAnsi"/>
          <w:sz w:val="22"/>
          <w:szCs w:val="22"/>
        </w:rPr>
        <w:t xml:space="preserve"> z 10 skontrolowanych decyzji podpisała Pani Bożena Goran Naczelnik WAB,</w:t>
      </w:r>
    </w:p>
    <w:p w:rsidR="003A1EE1" w:rsidRPr="00BD483A" w:rsidRDefault="00E44599" w:rsidP="00BD483A">
      <w:pPr>
        <w:pStyle w:val="Bodytext20"/>
        <w:shd w:val="clear" w:color="auto" w:fill="auto"/>
        <w:spacing w:before="120" w:after="240" w:line="300" w:lineRule="auto"/>
        <w:ind w:left="500" w:hanging="340"/>
        <w:rPr>
          <w:rFonts w:asciiTheme="minorHAnsi" w:hAnsiTheme="minorHAnsi" w:cstheme="minorHAnsi"/>
          <w:sz w:val="22"/>
          <w:szCs w:val="22"/>
        </w:rPr>
      </w:pPr>
      <w:r w:rsidRPr="00BD483A">
        <w:rPr>
          <w:rFonts w:asciiTheme="minorHAnsi" w:hAnsiTheme="minorHAnsi" w:cstheme="minorHAnsi"/>
          <w:sz w:val="22"/>
          <w:szCs w:val="22"/>
        </w:rPr>
        <w:t>a 1 decyzję</w:t>
      </w:r>
      <w:r w:rsidRPr="00BD483A">
        <w:rPr>
          <w:rFonts w:asciiTheme="minorHAnsi" w:hAnsiTheme="minorHAnsi" w:cstheme="minorHAnsi"/>
          <w:sz w:val="22"/>
          <w:szCs w:val="22"/>
          <w:vertAlign w:val="superscript"/>
        </w:rPr>
        <w:footnoteReference w:id="16"/>
      </w:r>
      <w:r w:rsidRPr="00BD483A">
        <w:rPr>
          <w:rFonts w:asciiTheme="minorHAnsi" w:hAnsiTheme="minorHAnsi" w:cstheme="minorHAnsi"/>
          <w:sz w:val="22"/>
          <w:szCs w:val="22"/>
        </w:rPr>
        <w:t xml:space="preserve"> Pan Stanisław Kalabiński główny specjalista w WAB.</w:t>
      </w:r>
    </w:p>
    <w:p w:rsidR="003A1EE1" w:rsidRPr="00BD483A" w:rsidRDefault="00E44599" w:rsidP="00BD483A">
      <w:pPr>
        <w:pStyle w:val="Bodytext20"/>
        <w:shd w:val="clear" w:color="auto" w:fill="auto"/>
        <w:spacing w:before="120" w:after="240" w:line="300" w:lineRule="auto"/>
        <w:ind w:left="500" w:hanging="340"/>
        <w:rPr>
          <w:rFonts w:asciiTheme="minorHAnsi" w:hAnsiTheme="minorHAnsi" w:cstheme="minorHAnsi"/>
          <w:sz w:val="22"/>
          <w:szCs w:val="22"/>
        </w:rPr>
      </w:pPr>
      <w:r w:rsidRPr="00BD483A">
        <w:rPr>
          <w:rFonts w:asciiTheme="minorHAnsi" w:hAnsiTheme="minorHAnsi" w:cstheme="minorHAnsi"/>
          <w:sz w:val="22"/>
          <w:szCs w:val="22"/>
        </w:rPr>
        <w:t>W badanym okresie bezpośredni nadzór nad WAB sprawował Burmistrz Dzielnicy Włochy Pan</w:t>
      </w:r>
    </w:p>
    <w:p w:rsidR="003A1EE1" w:rsidRPr="00BD483A" w:rsidRDefault="00E44599" w:rsidP="00BD483A">
      <w:pPr>
        <w:pStyle w:val="Bodytext20"/>
        <w:shd w:val="clear" w:color="auto" w:fill="auto"/>
        <w:spacing w:before="120" w:after="240" w:line="300" w:lineRule="auto"/>
        <w:ind w:left="500" w:hanging="340"/>
        <w:rPr>
          <w:rFonts w:asciiTheme="minorHAnsi" w:hAnsiTheme="minorHAnsi" w:cstheme="minorHAnsi"/>
          <w:sz w:val="22"/>
          <w:szCs w:val="22"/>
        </w:rPr>
      </w:pPr>
      <w:r w:rsidRPr="00BD483A">
        <w:rPr>
          <w:rFonts w:asciiTheme="minorHAnsi" w:hAnsiTheme="minorHAnsi" w:cstheme="minorHAnsi"/>
          <w:sz w:val="22"/>
          <w:szCs w:val="22"/>
        </w:rPr>
        <w:t>Jarosław Karcz.</w:t>
      </w:r>
    </w:p>
    <w:p w:rsidR="003A1EE1" w:rsidRPr="00BD483A" w:rsidRDefault="00E44599" w:rsidP="00BD483A">
      <w:pPr>
        <w:pStyle w:val="Bodytext20"/>
        <w:shd w:val="clear" w:color="auto" w:fill="auto"/>
        <w:spacing w:before="120" w:after="240" w:line="300" w:lineRule="auto"/>
        <w:ind w:firstLine="0"/>
        <w:rPr>
          <w:rFonts w:asciiTheme="minorHAnsi" w:hAnsiTheme="minorHAnsi" w:cstheme="minorHAnsi"/>
          <w:sz w:val="22"/>
          <w:szCs w:val="22"/>
        </w:rPr>
      </w:pPr>
      <w:r w:rsidRPr="00BD483A">
        <w:rPr>
          <w:rFonts w:asciiTheme="minorHAnsi" w:hAnsiTheme="minorHAnsi" w:cstheme="minorHAnsi"/>
          <w:sz w:val="22"/>
          <w:szCs w:val="22"/>
        </w:rPr>
        <w:t>Przedstawiając powyższe ustalenia i oceny zalecam:</w:t>
      </w:r>
    </w:p>
    <w:p w:rsidR="003A1EE1" w:rsidRPr="00BD483A" w:rsidRDefault="00E44599" w:rsidP="00BD483A">
      <w:pPr>
        <w:pStyle w:val="Bodytext20"/>
        <w:numPr>
          <w:ilvl w:val="0"/>
          <w:numId w:val="6"/>
        </w:numPr>
        <w:shd w:val="clear" w:color="auto" w:fill="auto"/>
        <w:tabs>
          <w:tab w:val="left" w:pos="520"/>
        </w:tabs>
        <w:spacing w:before="120" w:after="240" w:line="300" w:lineRule="auto"/>
        <w:ind w:left="500" w:right="600" w:hanging="340"/>
        <w:rPr>
          <w:rFonts w:asciiTheme="minorHAnsi" w:hAnsiTheme="minorHAnsi" w:cstheme="minorHAnsi"/>
          <w:sz w:val="22"/>
          <w:szCs w:val="22"/>
        </w:rPr>
      </w:pPr>
      <w:r w:rsidRPr="00BD483A">
        <w:rPr>
          <w:rFonts w:asciiTheme="minorHAnsi" w:hAnsiTheme="minorHAnsi" w:cstheme="minorHAnsi"/>
          <w:sz w:val="22"/>
          <w:szCs w:val="22"/>
        </w:rPr>
        <w:t>W sytuacji niezgodności treści wniosku z rzeczywistym przedmiotem planowanej inwestycji lub z załączoną dokumentacją projektową, każdorazowe podejmowanie działań w celu ustalenia właściwej nazwy przedsięwzięcia oraz wyjaśnienia faktycznej woli strony, przed wydaniem decyzji o pozwoleniu na budowę.</w:t>
      </w:r>
    </w:p>
    <w:p w:rsidR="003A1EE1" w:rsidRPr="00BD483A" w:rsidRDefault="00E44599" w:rsidP="00BD483A">
      <w:pPr>
        <w:pStyle w:val="Bodytext20"/>
        <w:numPr>
          <w:ilvl w:val="0"/>
          <w:numId w:val="6"/>
        </w:numPr>
        <w:shd w:val="clear" w:color="auto" w:fill="auto"/>
        <w:tabs>
          <w:tab w:val="left" w:pos="569"/>
        </w:tabs>
        <w:spacing w:before="120" w:after="240" w:line="300" w:lineRule="auto"/>
        <w:ind w:left="600" w:right="860" w:hanging="340"/>
        <w:rPr>
          <w:rFonts w:asciiTheme="minorHAnsi" w:hAnsiTheme="minorHAnsi" w:cstheme="minorHAnsi"/>
          <w:sz w:val="22"/>
          <w:szCs w:val="22"/>
        </w:rPr>
      </w:pPr>
      <w:r w:rsidRPr="00BD483A">
        <w:rPr>
          <w:rFonts w:asciiTheme="minorHAnsi" w:hAnsiTheme="minorHAnsi" w:cstheme="minorHAnsi"/>
          <w:sz w:val="22"/>
          <w:szCs w:val="22"/>
        </w:rPr>
        <w:t xml:space="preserve">Każdorazowe rzetelne sprawdzenie zatwierdzanego projektu zagospodarowania działki lub terenu oraz projektu architektoniczno-budowlanego zgodnie z dyspozycją </w:t>
      </w:r>
      <w:r w:rsidRPr="00BD483A">
        <w:rPr>
          <w:rFonts w:asciiTheme="minorHAnsi" w:hAnsiTheme="minorHAnsi" w:cstheme="minorHAnsi"/>
          <w:sz w:val="22"/>
          <w:szCs w:val="22"/>
          <w:lang w:val="en-US" w:eastAsia="en-US" w:bidi="en-US"/>
        </w:rPr>
        <w:t xml:space="preserve">art. </w:t>
      </w:r>
      <w:r w:rsidRPr="00BD483A">
        <w:rPr>
          <w:rFonts w:asciiTheme="minorHAnsi" w:hAnsiTheme="minorHAnsi" w:cstheme="minorHAnsi"/>
          <w:sz w:val="22"/>
          <w:szCs w:val="22"/>
        </w:rPr>
        <w:t>35 ust. 1 Prawa budowlanego, w szczególności pod względem:</w:t>
      </w:r>
    </w:p>
    <w:p w:rsidR="003A1EE1" w:rsidRPr="00BD483A" w:rsidRDefault="00E44599" w:rsidP="00E82432">
      <w:pPr>
        <w:pStyle w:val="Bodytext20"/>
        <w:shd w:val="clear" w:color="auto" w:fill="auto"/>
        <w:spacing w:before="120" w:after="240" w:line="300" w:lineRule="auto"/>
        <w:ind w:left="500" w:firstLine="0"/>
        <w:rPr>
          <w:rFonts w:asciiTheme="minorHAnsi" w:hAnsiTheme="minorHAnsi" w:cstheme="minorHAnsi"/>
          <w:sz w:val="22"/>
          <w:szCs w:val="22"/>
        </w:rPr>
      </w:pPr>
      <w:r w:rsidRPr="00BD483A">
        <w:rPr>
          <w:rFonts w:asciiTheme="minorHAnsi" w:hAnsiTheme="minorHAnsi" w:cstheme="minorHAnsi"/>
          <w:sz w:val="22"/>
          <w:szCs w:val="22"/>
        </w:rPr>
        <w:t>- zgodności z decyzją o warunkach zabudowy,</w:t>
      </w:r>
      <w:r w:rsidR="00E82432">
        <w:rPr>
          <w:rFonts w:asciiTheme="minorHAnsi" w:hAnsiTheme="minorHAnsi" w:cstheme="minorHAnsi"/>
          <w:sz w:val="22"/>
          <w:szCs w:val="22"/>
        </w:rPr>
        <w:t xml:space="preserve"> </w:t>
      </w:r>
      <w:r w:rsidRPr="00BD483A">
        <w:rPr>
          <w:rFonts w:asciiTheme="minorHAnsi" w:hAnsiTheme="minorHAnsi" w:cstheme="minorHAnsi"/>
          <w:sz w:val="22"/>
          <w:szCs w:val="22"/>
        </w:rPr>
        <w:t>zgodności z przepisami techniczno-budowlanymi,</w:t>
      </w:r>
    </w:p>
    <w:p w:rsidR="003A1EE1" w:rsidRPr="00BD483A" w:rsidRDefault="00E44599" w:rsidP="00BD483A">
      <w:pPr>
        <w:pStyle w:val="Bodytext20"/>
        <w:numPr>
          <w:ilvl w:val="0"/>
          <w:numId w:val="1"/>
        </w:numPr>
        <w:shd w:val="clear" w:color="auto" w:fill="auto"/>
        <w:tabs>
          <w:tab w:val="left" w:pos="998"/>
        </w:tabs>
        <w:spacing w:before="120" w:after="240" w:line="300" w:lineRule="auto"/>
        <w:ind w:left="1040" w:hanging="400"/>
        <w:rPr>
          <w:rFonts w:asciiTheme="minorHAnsi" w:hAnsiTheme="minorHAnsi" w:cstheme="minorHAnsi"/>
          <w:sz w:val="22"/>
          <w:szCs w:val="22"/>
        </w:rPr>
      </w:pPr>
      <w:r w:rsidRPr="00BD483A">
        <w:rPr>
          <w:rFonts w:asciiTheme="minorHAnsi" w:hAnsiTheme="minorHAnsi" w:cstheme="minorHAnsi"/>
          <w:sz w:val="22"/>
          <w:szCs w:val="22"/>
        </w:rPr>
        <w:t>kompletności projektu zagospodarowania działki lub terenu oraz projektu architektoniczno- budowlanego,</w:t>
      </w:r>
    </w:p>
    <w:p w:rsidR="003A1EE1" w:rsidRPr="00BD483A" w:rsidRDefault="00E44599" w:rsidP="00BD483A">
      <w:pPr>
        <w:pStyle w:val="Bodytext20"/>
        <w:numPr>
          <w:ilvl w:val="0"/>
          <w:numId w:val="1"/>
        </w:numPr>
        <w:shd w:val="clear" w:color="auto" w:fill="auto"/>
        <w:tabs>
          <w:tab w:val="left" w:pos="998"/>
        </w:tabs>
        <w:spacing w:before="120" w:after="240" w:line="300" w:lineRule="auto"/>
        <w:ind w:left="1040" w:right="460" w:hanging="400"/>
        <w:rPr>
          <w:rFonts w:asciiTheme="minorHAnsi" w:hAnsiTheme="minorHAnsi" w:cstheme="minorHAnsi"/>
          <w:sz w:val="22"/>
          <w:szCs w:val="22"/>
        </w:rPr>
      </w:pPr>
      <w:r w:rsidRPr="00BD483A">
        <w:rPr>
          <w:rFonts w:asciiTheme="minorHAnsi" w:hAnsiTheme="minorHAnsi" w:cstheme="minorHAnsi"/>
          <w:sz w:val="22"/>
          <w:szCs w:val="22"/>
        </w:rPr>
        <w:t>załączenia, potwierdzonej za zgodność z oryginałem przez sporządzającego projekt, kopii decyzji o nadaniu projektantowi lub projektantowi sprawdzającemu, jeżeli jest wymagany, uprawnień budowlanych w odpowiedniej specjalności - w przypadku uprawnień niewpisanych do centralnego rejestru osób posiadających uprawnienia budowlane.</w:t>
      </w:r>
    </w:p>
    <w:p w:rsidR="003A1EE1" w:rsidRPr="00BD483A" w:rsidRDefault="00E44599" w:rsidP="00BD483A">
      <w:pPr>
        <w:pStyle w:val="Bodytext20"/>
        <w:numPr>
          <w:ilvl w:val="0"/>
          <w:numId w:val="6"/>
        </w:numPr>
        <w:shd w:val="clear" w:color="auto" w:fill="auto"/>
        <w:tabs>
          <w:tab w:val="left" w:pos="599"/>
        </w:tabs>
        <w:spacing w:before="120" w:after="240" w:line="300" w:lineRule="auto"/>
        <w:ind w:left="640" w:right="460" w:hanging="400"/>
        <w:rPr>
          <w:rFonts w:asciiTheme="minorHAnsi" w:hAnsiTheme="minorHAnsi" w:cstheme="minorHAnsi"/>
          <w:sz w:val="22"/>
          <w:szCs w:val="22"/>
        </w:rPr>
      </w:pPr>
      <w:r w:rsidRPr="00BD483A">
        <w:rPr>
          <w:rFonts w:asciiTheme="minorHAnsi" w:hAnsiTheme="minorHAnsi" w:cstheme="minorHAnsi"/>
          <w:sz w:val="22"/>
          <w:szCs w:val="22"/>
        </w:rPr>
        <w:t xml:space="preserve">Każdorazowe prowadzenie postępowań administracyjnych z zachowaniem zasady szybkości postępowania zawartej w </w:t>
      </w:r>
      <w:r w:rsidRPr="00BD483A">
        <w:rPr>
          <w:rFonts w:asciiTheme="minorHAnsi" w:hAnsiTheme="minorHAnsi" w:cstheme="minorHAnsi"/>
          <w:sz w:val="22"/>
          <w:szCs w:val="22"/>
          <w:lang w:val="en-US" w:eastAsia="en-US" w:bidi="en-US"/>
        </w:rPr>
        <w:t xml:space="preserve">art. </w:t>
      </w:r>
      <w:r w:rsidRPr="00BD483A">
        <w:rPr>
          <w:rFonts w:asciiTheme="minorHAnsi" w:hAnsiTheme="minorHAnsi" w:cstheme="minorHAnsi"/>
          <w:sz w:val="22"/>
          <w:szCs w:val="22"/>
        </w:rPr>
        <w:t xml:space="preserve">12 § 1 k.p.a. oraz wypełnieniem obowiązku załatwienia sprawy bez zbędnej zwłoki ujętym w </w:t>
      </w:r>
      <w:r w:rsidRPr="00BD483A">
        <w:rPr>
          <w:rFonts w:asciiTheme="minorHAnsi" w:hAnsiTheme="minorHAnsi" w:cstheme="minorHAnsi"/>
          <w:sz w:val="22"/>
          <w:szCs w:val="22"/>
          <w:lang w:val="en-US" w:eastAsia="en-US" w:bidi="en-US"/>
        </w:rPr>
        <w:t xml:space="preserve">art. </w:t>
      </w:r>
      <w:r w:rsidRPr="00BD483A">
        <w:rPr>
          <w:rFonts w:asciiTheme="minorHAnsi" w:hAnsiTheme="minorHAnsi" w:cstheme="minorHAnsi"/>
          <w:sz w:val="22"/>
          <w:szCs w:val="22"/>
        </w:rPr>
        <w:t>35 § 1 k.p.a.</w:t>
      </w:r>
    </w:p>
    <w:p w:rsidR="003A1EE1" w:rsidRPr="00BD483A" w:rsidRDefault="00E44599" w:rsidP="00BD483A">
      <w:pPr>
        <w:pStyle w:val="Bodytext20"/>
        <w:numPr>
          <w:ilvl w:val="0"/>
          <w:numId w:val="6"/>
        </w:numPr>
        <w:shd w:val="clear" w:color="auto" w:fill="auto"/>
        <w:tabs>
          <w:tab w:val="left" w:pos="599"/>
        </w:tabs>
        <w:spacing w:before="120" w:after="240" w:line="300" w:lineRule="auto"/>
        <w:ind w:left="640" w:hanging="400"/>
        <w:rPr>
          <w:rFonts w:asciiTheme="minorHAnsi" w:hAnsiTheme="minorHAnsi" w:cstheme="minorHAnsi"/>
          <w:sz w:val="22"/>
          <w:szCs w:val="22"/>
        </w:rPr>
      </w:pPr>
      <w:r w:rsidRPr="00BD483A">
        <w:rPr>
          <w:rFonts w:asciiTheme="minorHAnsi" w:hAnsiTheme="minorHAnsi" w:cstheme="minorHAnsi"/>
          <w:sz w:val="22"/>
          <w:szCs w:val="22"/>
        </w:rPr>
        <w:t xml:space="preserve">Rygorystyczne przestrzeganie 65-dniowego maksymalnego terminu dla wydania decyzji w celu uniknięcia kary w wysokości 500 zł za każdy dzień zwłoki, wymierzanej przez Wojewodę Mazowieckiego w trybie </w:t>
      </w:r>
      <w:r w:rsidRPr="00BD483A">
        <w:rPr>
          <w:rFonts w:asciiTheme="minorHAnsi" w:hAnsiTheme="minorHAnsi" w:cstheme="minorHAnsi"/>
          <w:sz w:val="22"/>
          <w:szCs w:val="22"/>
          <w:lang w:val="en-US" w:eastAsia="en-US" w:bidi="en-US"/>
        </w:rPr>
        <w:t xml:space="preserve">art. </w:t>
      </w:r>
      <w:r w:rsidRPr="00BD483A">
        <w:rPr>
          <w:rFonts w:asciiTheme="minorHAnsi" w:hAnsiTheme="minorHAnsi" w:cstheme="minorHAnsi"/>
          <w:sz w:val="22"/>
          <w:szCs w:val="22"/>
        </w:rPr>
        <w:t>35 ust. 6 Prawa budowlanego.</w:t>
      </w:r>
    </w:p>
    <w:p w:rsidR="003A1EE1" w:rsidRPr="00BD483A" w:rsidRDefault="00E44599" w:rsidP="00BD483A">
      <w:pPr>
        <w:pStyle w:val="Bodytext20"/>
        <w:numPr>
          <w:ilvl w:val="0"/>
          <w:numId w:val="6"/>
        </w:numPr>
        <w:shd w:val="clear" w:color="auto" w:fill="auto"/>
        <w:tabs>
          <w:tab w:val="left" w:pos="599"/>
        </w:tabs>
        <w:spacing w:before="120" w:after="240" w:line="300" w:lineRule="auto"/>
        <w:ind w:left="520" w:hanging="280"/>
        <w:rPr>
          <w:rFonts w:asciiTheme="minorHAnsi" w:hAnsiTheme="minorHAnsi" w:cstheme="minorHAnsi"/>
          <w:sz w:val="22"/>
          <w:szCs w:val="22"/>
        </w:rPr>
      </w:pPr>
      <w:r w:rsidRPr="00BD483A">
        <w:rPr>
          <w:rFonts w:asciiTheme="minorHAnsi" w:hAnsiTheme="minorHAnsi" w:cstheme="minorHAnsi"/>
          <w:sz w:val="22"/>
          <w:szCs w:val="22"/>
        </w:rPr>
        <w:t xml:space="preserve">Ustalanie stron postępowania zgodnie z </w:t>
      </w:r>
      <w:r w:rsidRPr="00BD483A">
        <w:rPr>
          <w:rFonts w:asciiTheme="minorHAnsi" w:hAnsiTheme="minorHAnsi" w:cstheme="minorHAnsi"/>
          <w:sz w:val="22"/>
          <w:szCs w:val="22"/>
          <w:lang w:val="en-US" w:eastAsia="en-US" w:bidi="en-US"/>
        </w:rPr>
        <w:t xml:space="preserve">art. </w:t>
      </w:r>
      <w:r w:rsidRPr="00BD483A">
        <w:rPr>
          <w:rFonts w:asciiTheme="minorHAnsi" w:hAnsiTheme="minorHAnsi" w:cstheme="minorHAnsi"/>
          <w:sz w:val="22"/>
          <w:szCs w:val="22"/>
        </w:rPr>
        <w:t>28 ust. 2 Prawa budowlanego.</w:t>
      </w:r>
    </w:p>
    <w:p w:rsidR="003A1EE1" w:rsidRPr="00BD483A" w:rsidRDefault="00E44599" w:rsidP="00BD483A">
      <w:pPr>
        <w:pStyle w:val="Bodytext20"/>
        <w:numPr>
          <w:ilvl w:val="0"/>
          <w:numId w:val="6"/>
        </w:numPr>
        <w:shd w:val="clear" w:color="auto" w:fill="auto"/>
        <w:tabs>
          <w:tab w:val="left" w:pos="599"/>
        </w:tabs>
        <w:spacing w:before="120" w:after="240" w:line="300" w:lineRule="auto"/>
        <w:ind w:left="640" w:right="460" w:hanging="400"/>
        <w:rPr>
          <w:rFonts w:asciiTheme="minorHAnsi" w:hAnsiTheme="minorHAnsi" w:cstheme="minorHAnsi"/>
          <w:sz w:val="22"/>
          <w:szCs w:val="22"/>
        </w:rPr>
      </w:pPr>
      <w:r w:rsidRPr="00BD483A">
        <w:rPr>
          <w:rFonts w:asciiTheme="minorHAnsi" w:hAnsiTheme="minorHAnsi" w:cstheme="minorHAnsi"/>
          <w:sz w:val="22"/>
          <w:szCs w:val="22"/>
        </w:rPr>
        <w:lastRenderedPageBreak/>
        <w:t xml:space="preserve">Prowadzenie postępowań z zachowaniem zasady zapewniającej stronom czynny udział w każdym stadium postępowania zgodnie z dyspozycją </w:t>
      </w:r>
      <w:r w:rsidRPr="00BD483A">
        <w:rPr>
          <w:rFonts w:asciiTheme="minorHAnsi" w:hAnsiTheme="minorHAnsi" w:cstheme="minorHAnsi"/>
          <w:sz w:val="22"/>
          <w:szCs w:val="22"/>
          <w:lang w:val="en-US" w:eastAsia="en-US" w:bidi="en-US"/>
        </w:rPr>
        <w:t xml:space="preserve">art. </w:t>
      </w:r>
      <w:r w:rsidRPr="00BD483A">
        <w:rPr>
          <w:rFonts w:asciiTheme="minorHAnsi" w:hAnsiTheme="minorHAnsi" w:cstheme="minorHAnsi"/>
          <w:sz w:val="22"/>
          <w:szCs w:val="22"/>
        </w:rPr>
        <w:t>10 § 1 k.p.a., w tym umożliwienie im wypowiedzenia się, co do zebranych dowodów i materiałów oraz zgłoszonych żądań przed wydaniem decyzji.</w:t>
      </w:r>
    </w:p>
    <w:p w:rsidR="003A1EE1" w:rsidRPr="00BD483A" w:rsidRDefault="00E44599" w:rsidP="00BD483A">
      <w:pPr>
        <w:pStyle w:val="Bodytext20"/>
        <w:numPr>
          <w:ilvl w:val="0"/>
          <w:numId w:val="6"/>
        </w:numPr>
        <w:shd w:val="clear" w:color="auto" w:fill="auto"/>
        <w:tabs>
          <w:tab w:val="left" w:pos="599"/>
        </w:tabs>
        <w:spacing w:before="120" w:after="240" w:line="300" w:lineRule="auto"/>
        <w:ind w:left="240" w:right="460" w:firstLine="0"/>
        <w:rPr>
          <w:rFonts w:asciiTheme="minorHAnsi" w:hAnsiTheme="minorHAnsi" w:cstheme="minorHAnsi"/>
          <w:sz w:val="22"/>
          <w:szCs w:val="22"/>
        </w:rPr>
      </w:pPr>
      <w:r w:rsidRPr="00BD483A">
        <w:rPr>
          <w:rFonts w:asciiTheme="minorHAnsi" w:hAnsiTheme="minorHAnsi" w:cstheme="minorHAnsi"/>
          <w:sz w:val="22"/>
          <w:szCs w:val="22"/>
        </w:rPr>
        <w:t xml:space="preserve">Stosowanie wezwania do uzupełnienia wniosku o pozwolenie na budowę w trybie </w:t>
      </w:r>
      <w:r w:rsidRPr="00BD483A">
        <w:rPr>
          <w:rFonts w:asciiTheme="minorHAnsi" w:hAnsiTheme="minorHAnsi" w:cstheme="minorHAnsi"/>
          <w:sz w:val="22"/>
          <w:szCs w:val="22"/>
          <w:lang w:val="en-US" w:eastAsia="en-US" w:bidi="en-US"/>
        </w:rPr>
        <w:t xml:space="preserve">art. </w:t>
      </w:r>
      <w:r w:rsidRPr="00BD483A">
        <w:rPr>
          <w:rFonts w:asciiTheme="minorHAnsi" w:hAnsiTheme="minorHAnsi" w:cstheme="minorHAnsi"/>
          <w:sz w:val="22"/>
          <w:szCs w:val="22"/>
        </w:rPr>
        <w:t xml:space="preserve">64 ust. 2 k.p.a. w sposób zgodny z dyspozycją </w:t>
      </w:r>
      <w:r w:rsidRPr="00BD483A">
        <w:rPr>
          <w:rFonts w:asciiTheme="minorHAnsi" w:hAnsiTheme="minorHAnsi" w:cstheme="minorHAnsi"/>
          <w:sz w:val="22"/>
          <w:szCs w:val="22"/>
          <w:lang w:val="en-US" w:eastAsia="en-US" w:bidi="en-US"/>
        </w:rPr>
        <w:t xml:space="preserve">art. </w:t>
      </w:r>
      <w:r w:rsidRPr="00BD483A">
        <w:rPr>
          <w:rFonts w:asciiTheme="minorHAnsi" w:hAnsiTheme="minorHAnsi" w:cstheme="minorHAnsi"/>
          <w:sz w:val="22"/>
          <w:szCs w:val="22"/>
        </w:rPr>
        <w:t xml:space="preserve">33 ust. 6 Prawa budowlanego, tj. tylko wtedy, gdy wniosek posiada brak? inne niż te, o których mowa w </w:t>
      </w:r>
      <w:r w:rsidRPr="00BD483A">
        <w:rPr>
          <w:rFonts w:asciiTheme="minorHAnsi" w:hAnsiTheme="minorHAnsi" w:cstheme="minorHAnsi"/>
          <w:sz w:val="22"/>
          <w:szCs w:val="22"/>
          <w:lang w:val="en-US" w:eastAsia="en-US" w:bidi="en-US"/>
        </w:rPr>
        <w:t xml:space="preserve">art. </w:t>
      </w:r>
      <w:r w:rsidRPr="00BD483A">
        <w:rPr>
          <w:rFonts w:asciiTheme="minorHAnsi" w:hAnsiTheme="minorHAnsi" w:cstheme="minorHAnsi"/>
          <w:sz w:val="22"/>
          <w:szCs w:val="22"/>
        </w:rPr>
        <w:t>35 ust. 1 Prawa budowlanego.</w:t>
      </w:r>
    </w:p>
    <w:p w:rsidR="003A1EE1" w:rsidRPr="00BD483A" w:rsidRDefault="00E44599" w:rsidP="00BD483A">
      <w:pPr>
        <w:pStyle w:val="Bodytext20"/>
        <w:numPr>
          <w:ilvl w:val="0"/>
          <w:numId w:val="6"/>
        </w:numPr>
        <w:shd w:val="clear" w:color="auto" w:fill="auto"/>
        <w:tabs>
          <w:tab w:val="left" w:pos="599"/>
        </w:tabs>
        <w:spacing w:before="120" w:after="240" w:line="300" w:lineRule="auto"/>
        <w:ind w:left="520" w:right="460" w:hanging="280"/>
        <w:rPr>
          <w:rFonts w:asciiTheme="minorHAnsi" w:hAnsiTheme="minorHAnsi" w:cstheme="minorHAnsi"/>
          <w:sz w:val="22"/>
          <w:szCs w:val="22"/>
        </w:rPr>
      </w:pPr>
      <w:r w:rsidRPr="00BD483A">
        <w:rPr>
          <w:rFonts w:asciiTheme="minorHAnsi" w:hAnsiTheme="minorHAnsi" w:cstheme="minorHAnsi"/>
          <w:sz w:val="22"/>
          <w:szCs w:val="22"/>
        </w:rPr>
        <w:t xml:space="preserve">Każdorazowe składanie oświadczeń zgodnie z wymogiem ustalonym w § 2 ust. 1 zarządzenia Nr </w:t>
      </w:r>
      <w:r w:rsidRPr="00BD483A">
        <w:rPr>
          <w:rFonts w:asciiTheme="minorHAnsi" w:hAnsiTheme="minorHAnsi" w:cstheme="minorHAnsi"/>
          <w:sz w:val="22"/>
          <w:szCs w:val="22"/>
          <w:lang w:val="ru-RU" w:eastAsia="ru-RU" w:bidi="ru-RU"/>
        </w:rPr>
        <w:t xml:space="preserve">1793/2016 </w:t>
      </w:r>
      <w:r w:rsidRPr="00BD483A">
        <w:rPr>
          <w:rFonts w:asciiTheme="minorHAnsi" w:hAnsiTheme="minorHAnsi" w:cstheme="minorHAnsi"/>
          <w:sz w:val="22"/>
          <w:szCs w:val="22"/>
        </w:rPr>
        <w:t>Prezydenta Miasta Stołecznego Warszawy z dnia 9 grudnia 2016 r.</w:t>
      </w:r>
    </w:p>
    <w:p w:rsidR="003A1EE1" w:rsidRPr="00BD483A" w:rsidRDefault="00E44599" w:rsidP="00BD483A">
      <w:pPr>
        <w:pStyle w:val="Bodytext20"/>
        <w:numPr>
          <w:ilvl w:val="0"/>
          <w:numId w:val="6"/>
        </w:numPr>
        <w:shd w:val="clear" w:color="auto" w:fill="auto"/>
        <w:tabs>
          <w:tab w:val="left" w:pos="599"/>
        </w:tabs>
        <w:spacing w:before="120" w:after="240" w:line="300" w:lineRule="auto"/>
        <w:ind w:left="520" w:hanging="280"/>
        <w:rPr>
          <w:rFonts w:asciiTheme="minorHAnsi" w:hAnsiTheme="minorHAnsi" w:cstheme="minorHAnsi"/>
          <w:sz w:val="22"/>
          <w:szCs w:val="22"/>
        </w:rPr>
      </w:pPr>
      <w:r w:rsidRPr="00BD483A">
        <w:rPr>
          <w:rFonts w:asciiTheme="minorHAnsi" w:hAnsiTheme="minorHAnsi" w:cstheme="minorHAnsi"/>
          <w:sz w:val="22"/>
          <w:szCs w:val="22"/>
        </w:rPr>
        <w:t xml:space="preserve">Ze szczególną starannością ustalanie daty, w której decyzja o pozwoleniu na budowę stała się ostateczna, mając na uwadze ostatni dzień terminu do wniesienia odwołania określony w </w:t>
      </w:r>
      <w:r w:rsidRPr="00BD483A">
        <w:rPr>
          <w:rFonts w:asciiTheme="minorHAnsi" w:hAnsiTheme="minorHAnsi" w:cstheme="minorHAnsi"/>
          <w:sz w:val="22"/>
          <w:szCs w:val="22"/>
          <w:lang w:val="en-US" w:eastAsia="en-US" w:bidi="en-US"/>
        </w:rPr>
        <w:t>art.</w:t>
      </w:r>
    </w:p>
    <w:p w:rsidR="003A1EE1" w:rsidRPr="00BD483A" w:rsidRDefault="00E44599" w:rsidP="00BD483A">
      <w:pPr>
        <w:pStyle w:val="Bodytext20"/>
        <w:shd w:val="clear" w:color="auto" w:fill="auto"/>
        <w:spacing w:before="120" w:after="240" w:line="300" w:lineRule="auto"/>
        <w:ind w:left="520" w:firstLine="0"/>
        <w:rPr>
          <w:rFonts w:asciiTheme="minorHAnsi" w:hAnsiTheme="minorHAnsi" w:cstheme="minorHAnsi"/>
          <w:sz w:val="22"/>
          <w:szCs w:val="22"/>
        </w:rPr>
      </w:pPr>
      <w:r w:rsidRPr="00BD483A">
        <w:rPr>
          <w:rFonts w:asciiTheme="minorHAnsi" w:hAnsiTheme="minorHAnsi" w:cstheme="minorHAnsi"/>
          <w:sz w:val="22"/>
          <w:szCs w:val="22"/>
        </w:rPr>
        <w:t>129 § 2 k.p.a.</w:t>
      </w:r>
    </w:p>
    <w:p w:rsidR="003A1EE1" w:rsidRPr="00BD483A" w:rsidRDefault="00E44599" w:rsidP="00BD483A">
      <w:pPr>
        <w:pStyle w:val="Bodytext20"/>
        <w:numPr>
          <w:ilvl w:val="0"/>
          <w:numId w:val="6"/>
        </w:numPr>
        <w:shd w:val="clear" w:color="auto" w:fill="auto"/>
        <w:tabs>
          <w:tab w:val="left" w:pos="630"/>
        </w:tabs>
        <w:spacing w:before="120" w:after="240" w:line="300" w:lineRule="auto"/>
        <w:ind w:left="520" w:right="460" w:hanging="280"/>
        <w:rPr>
          <w:rFonts w:asciiTheme="minorHAnsi" w:hAnsiTheme="minorHAnsi" w:cstheme="minorHAnsi"/>
          <w:sz w:val="22"/>
          <w:szCs w:val="22"/>
        </w:rPr>
      </w:pPr>
      <w:r w:rsidRPr="00BD483A">
        <w:rPr>
          <w:rFonts w:asciiTheme="minorHAnsi" w:hAnsiTheme="minorHAnsi" w:cstheme="minorHAnsi"/>
          <w:sz w:val="22"/>
          <w:szCs w:val="22"/>
        </w:rPr>
        <w:t xml:space="preserve">Każdorazowo, w przypadku nakładania w decyzji o pozwoleniu na budowę obowiązku ustanowienia inspektora nadzoru inwestorskiego, wskazanie odpowiedniego przepisu </w:t>
      </w:r>
      <w:r w:rsidRPr="00BD483A">
        <w:rPr>
          <w:rStyle w:val="Bodytext2Italic"/>
          <w:rFonts w:asciiTheme="minorHAnsi" w:hAnsiTheme="minorHAnsi" w:cstheme="minorHAnsi"/>
          <w:sz w:val="22"/>
          <w:szCs w:val="22"/>
        </w:rPr>
        <w:t xml:space="preserve">г </w:t>
      </w:r>
      <w:r w:rsidRPr="00BD483A">
        <w:rPr>
          <w:rFonts w:asciiTheme="minorHAnsi" w:hAnsiTheme="minorHAnsi" w:cstheme="minorHAnsi"/>
          <w:sz w:val="22"/>
          <w:szCs w:val="22"/>
        </w:rPr>
        <w:t>rozporządzenia</w:t>
      </w:r>
      <w:r w:rsidRPr="00BD483A">
        <w:rPr>
          <w:rFonts w:asciiTheme="minorHAnsi" w:hAnsiTheme="minorHAnsi" w:cstheme="minorHAnsi"/>
          <w:sz w:val="22"/>
          <w:szCs w:val="22"/>
          <w:vertAlign w:val="superscript"/>
        </w:rPr>
        <w:footnoteReference w:id="17"/>
      </w:r>
      <w:r w:rsidRPr="00BD483A">
        <w:rPr>
          <w:rFonts w:asciiTheme="minorHAnsi" w:hAnsiTheme="minorHAnsi" w:cstheme="minorHAnsi"/>
          <w:sz w:val="22"/>
          <w:szCs w:val="22"/>
        </w:rPr>
        <w:t>, który stanowił podstawę nałożenia na wnioskodawcę tego obowiązku, m.in. w celu określenia specjalności, w której ustanowiony inspektor powinien posiadać uprawnienia budowlane.</w:t>
      </w:r>
    </w:p>
    <w:p w:rsidR="003A1EE1" w:rsidRPr="00BD483A" w:rsidRDefault="00E44599" w:rsidP="00BD483A">
      <w:pPr>
        <w:pStyle w:val="Bodytext20"/>
        <w:numPr>
          <w:ilvl w:val="0"/>
          <w:numId w:val="6"/>
        </w:numPr>
        <w:shd w:val="clear" w:color="auto" w:fill="auto"/>
        <w:tabs>
          <w:tab w:val="left" w:pos="390"/>
        </w:tabs>
        <w:spacing w:before="120" w:after="240" w:line="300" w:lineRule="auto"/>
        <w:ind w:left="520" w:right="460"/>
        <w:rPr>
          <w:rFonts w:asciiTheme="minorHAnsi" w:hAnsiTheme="minorHAnsi" w:cstheme="minorHAnsi"/>
          <w:sz w:val="22"/>
          <w:szCs w:val="22"/>
        </w:rPr>
      </w:pPr>
      <w:r w:rsidRPr="00BD483A">
        <w:rPr>
          <w:rFonts w:asciiTheme="minorHAnsi" w:hAnsiTheme="minorHAnsi" w:cstheme="minorHAnsi"/>
          <w:sz w:val="22"/>
          <w:szCs w:val="22"/>
        </w:rPr>
        <w:t xml:space="preserve">Bezzwłoczne przekazywanie ostatecznych decyzji do Powiatowego Inspektora Nadzoru Budowlanego, zgodnie z dyspozycją </w:t>
      </w:r>
      <w:r w:rsidRPr="00BD483A">
        <w:rPr>
          <w:rFonts w:asciiTheme="minorHAnsi" w:hAnsiTheme="minorHAnsi" w:cstheme="minorHAnsi"/>
          <w:sz w:val="22"/>
          <w:szCs w:val="22"/>
          <w:lang w:val="en-US" w:eastAsia="en-US" w:bidi="en-US"/>
        </w:rPr>
        <w:t xml:space="preserve">art. </w:t>
      </w:r>
      <w:r w:rsidRPr="00BD483A">
        <w:rPr>
          <w:rFonts w:asciiTheme="minorHAnsi" w:hAnsiTheme="minorHAnsi" w:cstheme="minorHAnsi"/>
          <w:sz w:val="22"/>
          <w:szCs w:val="22"/>
        </w:rPr>
        <w:t>82b ust. 1 pkt 2 Prawa budowlanego.</w:t>
      </w:r>
    </w:p>
    <w:p w:rsidR="003A1EE1" w:rsidRPr="00BD483A" w:rsidRDefault="00E44599" w:rsidP="00BD483A">
      <w:pPr>
        <w:pStyle w:val="Bodytext20"/>
        <w:numPr>
          <w:ilvl w:val="0"/>
          <w:numId w:val="6"/>
        </w:numPr>
        <w:shd w:val="clear" w:color="auto" w:fill="auto"/>
        <w:tabs>
          <w:tab w:val="left" w:pos="660"/>
        </w:tabs>
        <w:spacing w:before="120" w:after="240" w:line="300" w:lineRule="auto"/>
        <w:ind w:left="660" w:right="540" w:hanging="380"/>
        <w:rPr>
          <w:rFonts w:asciiTheme="minorHAnsi" w:hAnsiTheme="minorHAnsi" w:cstheme="minorHAnsi"/>
          <w:sz w:val="22"/>
          <w:szCs w:val="22"/>
        </w:rPr>
      </w:pPr>
      <w:r w:rsidRPr="00BD483A">
        <w:rPr>
          <w:rFonts w:asciiTheme="minorHAnsi" w:hAnsiTheme="minorHAnsi" w:cstheme="minorHAnsi"/>
          <w:sz w:val="22"/>
          <w:szCs w:val="22"/>
        </w:rPr>
        <w:t>Przekazywanie ostatecznych decyzji do Centrum Obsługi Podatnika w terminie wskazanym w § 6 ust. 1 rozporządzenia Ministra Finansów z dnia 24 grudnia 2002 r. w sprawie informacji podatkowych</w:t>
      </w:r>
      <w:r w:rsidRPr="00BD483A">
        <w:rPr>
          <w:rFonts w:asciiTheme="minorHAnsi" w:hAnsiTheme="minorHAnsi" w:cstheme="minorHAnsi"/>
          <w:sz w:val="22"/>
          <w:szCs w:val="22"/>
          <w:vertAlign w:val="superscript"/>
        </w:rPr>
        <w:t>26</w:t>
      </w:r>
      <w:r w:rsidRPr="00BD483A">
        <w:rPr>
          <w:rFonts w:asciiTheme="minorHAnsi" w:hAnsiTheme="minorHAnsi" w:cstheme="minorHAnsi"/>
          <w:sz w:val="22"/>
          <w:szCs w:val="22"/>
        </w:rPr>
        <w:t>.</w:t>
      </w:r>
    </w:p>
    <w:p w:rsidR="003A1EE1" w:rsidRPr="00BD483A" w:rsidRDefault="00E44599" w:rsidP="00BD483A">
      <w:pPr>
        <w:pStyle w:val="Bodytext20"/>
        <w:numPr>
          <w:ilvl w:val="0"/>
          <w:numId w:val="6"/>
        </w:numPr>
        <w:shd w:val="clear" w:color="auto" w:fill="auto"/>
        <w:tabs>
          <w:tab w:val="left" w:pos="665"/>
        </w:tabs>
        <w:spacing w:before="120" w:after="240" w:line="300" w:lineRule="auto"/>
        <w:ind w:left="660" w:right="540" w:hanging="380"/>
        <w:rPr>
          <w:rFonts w:asciiTheme="minorHAnsi" w:hAnsiTheme="minorHAnsi" w:cstheme="minorHAnsi"/>
          <w:sz w:val="22"/>
          <w:szCs w:val="22"/>
        </w:rPr>
      </w:pPr>
      <w:r w:rsidRPr="00BD483A">
        <w:rPr>
          <w:rFonts w:asciiTheme="minorHAnsi" w:hAnsiTheme="minorHAnsi" w:cstheme="minorHAnsi"/>
          <w:sz w:val="22"/>
          <w:szCs w:val="22"/>
        </w:rPr>
        <w:t xml:space="preserve">Wprowadzanie danych do RWDZ i przesyłanie ich drogą elektroniczną do organu wyższego stopnia na bieżąco - zgodnie z dyspozycją </w:t>
      </w:r>
      <w:r w:rsidRPr="00BD483A">
        <w:rPr>
          <w:rFonts w:asciiTheme="minorHAnsi" w:hAnsiTheme="minorHAnsi" w:cstheme="minorHAnsi"/>
          <w:sz w:val="22"/>
          <w:szCs w:val="22"/>
          <w:lang w:val="en-US" w:eastAsia="en-US" w:bidi="en-US"/>
        </w:rPr>
        <w:t xml:space="preserve">art. </w:t>
      </w:r>
      <w:r w:rsidRPr="00BD483A">
        <w:rPr>
          <w:rFonts w:asciiTheme="minorHAnsi" w:hAnsiTheme="minorHAnsi" w:cstheme="minorHAnsi"/>
          <w:sz w:val="22"/>
          <w:szCs w:val="22"/>
        </w:rPr>
        <w:t>82b ust. 2 Prawa budowlanego.</w:t>
      </w:r>
    </w:p>
    <w:p w:rsidR="003A1EE1" w:rsidRPr="00BD483A" w:rsidRDefault="00E44599" w:rsidP="00BD483A">
      <w:pPr>
        <w:pStyle w:val="Bodytext20"/>
        <w:numPr>
          <w:ilvl w:val="0"/>
          <w:numId w:val="6"/>
        </w:numPr>
        <w:shd w:val="clear" w:color="auto" w:fill="auto"/>
        <w:tabs>
          <w:tab w:val="left" w:pos="665"/>
        </w:tabs>
        <w:spacing w:before="120" w:after="240" w:line="300" w:lineRule="auto"/>
        <w:ind w:left="660" w:right="540" w:hanging="380"/>
        <w:rPr>
          <w:rFonts w:asciiTheme="minorHAnsi" w:hAnsiTheme="minorHAnsi" w:cstheme="minorHAnsi"/>
          <w:sz w:val="22"/>
          <w:szCs w:val="22"/>
        </w:rPr>
      </w:pPr>
      <w:r w:rsidRPr="00BD483A">
        <w:rPr>
          <w:rFonts w:asciiTheme="minorHAnsi" w:hAnsiTheme="minorHAnsi" w:cstheme="minorHAnsi"/>
          <w:sz w:val="22"/>
          <w:szCs w:val="22"/>
        </w:rPr>
        <w:t xml:space="preserve">Każdorazowe przestrzeganie </w:t>
      </w:r>
      <w:r w:rsidRPr="00BD483A">
        <w:rPr>
          <w:rFonts w:asciiTheme="minorHAnsi" w:hAnsiTheme="minorHAnsi" w:cstheme="minorHAnsi"/>
          <w:sz w:val="22"/>
          <w:szCs w:val="22"/>
          <w:lang w:val="en-US" w:eastAsia="en-US" w:bidi="en-US"/>
        </w:rPr>
        <w:t xml:space="preserve">art. </w:t>
      </w:r>
      <w:r w:rsidRPr="00BD483A">
        <w:rPr>
          <w:rFonts w:asciiTheme="minorHAnsi" w:hAnsiTheme="minorHAnsi" w:cstheme="minorHAnsi"/>
          <w:sz w:val="22"/>
          <w:szCs w:val="22"/>
        </w:rPr>
        <w:t xml:space="preserve">76a § 2 k.p.a., tj. w przypadkach składania przez strony odpisów dokumentów zamiast ich oryginałów, włączania do akt sprawy jedynie kopii dokumentów, których zgodność z oryginałem została poświadczona przez notariusza albo przez występującego w sprawie pełnomocnika strony będącego adwokatem, radcą </w:t>
      </w:r>
      <w:r w:rsidRPr="00BD483A">
        <w:rPr>
          <w:rFonts w:asciiTheme="minorHAnsi" w:hAnsiTheme="minorHAnsi" w:cstheme="minorHAnsi"/>
          <w:sz w:val="22"/>
          <w:szCs w:val="22"/>
        </w:rPr>
        <w:lastRenderedPageBreak/>
        <w:t>prawnym, rzecznikiem patentowym lub doradcą podatkowym.</w:t>
      </w:r>
    </w:p>
    <w:p w:rsidR="003A1EE1" w:rsidRPr="00BD483A" w:rsidRDefault="00E44599" w:rsidP="00BD483A">
      <w:pPr>
        <w:pStyle w:val="Bodytext20"/>
        <w:numPr>
          <w:ilvl w:val="0"/>
          <w:numId w:val="6"/>
        </w:numPr>
        <w:shd w:val="clear" w:color="auto" w:fill="auto"/>
        <w:tabs>
          <w:tab w:val="left" w:pos="665"/>
        </w:tabs>
        <w:spacing w:before="120" w:after="240" w:line="300" w:lineRule="auto"/>
        <w:ind w:left="660" w:right="540" w:hanging="380"/>
        <w:rPr>
          <w:rFonts w:asciiTheme="minorHAnsi" w:hAnsiTheme="minorHAnsi" w:cstheme="minorHAnsi"/>
          <w:sz w:val="22"/>
          <w:szCs w:val="22"/>
        </w:rPr>
      </w:pPr>
      <w:r w:rsidRPr="00BD483A">
        <w:rPr>
          <w:rFonts w:asciiTheme="minorHAnsi" w:hAnsiTheme="minorHAnsi" w:cstheme="minorHAnsi"/>
          <w:sz w:val="22"/>
          <w:szCs w:val="22"/>
        </w:rPr>
        <w:t>Prowadzenie postępowań administracyjnych i sporządzanie dokumentów z należytą starannością.</w:t>
      </w:r>
    </w:p>
    <w:p w:rsidR="003A1EE1" w:rsidRPr="00BD483A" w:rsidRDefault="00E44599" w:rsidP="00BD483A">
      <w:pPr>
        <w:pStyle w:val="Bodytext20"/>
        <w:numPr>
          <w:ilvl w:val="0"/>
          <w:numId w:val="6"/>
        </w:numPr>
        <w:shd w:val="clear" w:color="auto" w:fill="auto"/>
        <w:tabs>
          <w:tab w:val="left" w:pos="665"/>
        </w:tabs>
        <w:spacing w:before="120" w:after="240" w:line="300" w:lineRule="auto"/>
        <w:ind w:left="660" w:hanging="380"/>
        <w:rPr>
          <w:rFonts w:asciiTheme="minorHAnsi" w:hAnsiTheme="minorHAnsi" w:cstheme="minorHAnsi"/>
          <w:sz w:val="22"/>
          <w:szCs w:val="22"/>
        </w:rPr>
      </w:pPr>
      <w:r w:rsidRPr="00BD483A">
        <w:rPr>
          <w:rFonts w:asciiTheme="minorHAnsi" w:hAnsiTheme="minorHAnsi" w:cstheme="minorHAnsi"/>
          <w:sz w:val="22"/>
          <w:szCs w:val="22"/>
        </w:rPr>
        <w:t>Zorganizowanie cyklicznych szkoleń dotyczących obowiązującego prawa materialnego oraz proceduralnego w zakresie realizowanych zadań.</w:t>
      </w:r>
    </w:p>
    <w:p w:rsidR="003A1EE1" w:rsidRPr="00BD483A" w:rsidRDefault="00E44599" w:rsidP="00BD483A">
      <w:pPr>
        <w:pStyle w:val="Bodytext20"/>
        <w:numPr>
          <w:ilvl w:val="0"/>
          <w:numId w:val="6"/>
        </w:numPr>
        <w:shd w:val="clear" w:color="auto" w:fill="auto"/>
        <w:tabs>
          <w:tab w:val="left" w:pos="665"/>
        </w:tabs>
        <w:spacing w:before="120" w:after="240" w:line="300" w:lineRule="auto"/>
        <w:ind w:left="280" w:firstLine="0"/>
        <w:rPr>
          <w:rFonts w:asciiTheme="minorHAnsi" w:hAnsiTheme="minorHAnsi" w:cstheme="minorHAnsi"/>
          <w:sz w:val="22"/>
          <w:szCs w:val="22"/>
        </w:rPr>
      </w:pPr>
      <w:r w:rsidRPr="00BD483A">
        <w:rPr>
          <w:rFonts w:asciiTheme="minorHAnsi" w:hAnsiTheme="minorHAnsi" w:cstheme="minorHAnsi"/>
          <w:sz w:val="22"/>
          <w:szCs w:val="22"/>
        </w:rPr>
        <w:t>Zwiększenie nadzoru nad wykonywaniem obowiązków przez podległych pracowników.</w:t>
      </w:r>
    </w:p>
    <w:p w:rsidR="003A1EE1" w:rsidRPr="00BD483A" w:rsidRDefault="00E44599" w:rsidP="00BD483A">
      <w:pPr>
        <w:pStyle w:val="Bodytext20"/>
        <w:shd w:val="clear" w:color="auto" w:fill="auto"/>
        <w:spacing w:before="120" w:after="240" w:line="300" w:lineRule="auto"/>
        <w:ind w:left="280" w:right="540" w:firstLine="0"/>
        <w:rPr>
          <w:rFonts w:asciiTheme="minorHAnsi" w:hAnsiTheme="minorHAnsi" w:cstheme="minorHAnsi"/>
          <w:sz w:val="22"/>
          <w:szCs w:val="22"/>
        </w:rPr>
      </w:pPr>
      <w:r w:rsidRPr="00BD483A">
        <w:rPr>
          <w:rFonts w:asciiTheme="minorHAnsi" w:hAnsiTheme="minorHAnsi" w:cstheme="minorHAnsi"/>
          <w:sz w:val="22"/>
          <w:szCs w:val="22"/>
        </w:rPr>
        <w:t>Na podstawie § 22 ust. 10 Regulaminu organizacyjnego oraz § 41 ust. 1 Zarządzenia oczekuję od Pana w terminie nie dłuższym niż 30 dni od daty doręczenia niniejszego Wystąpienia pokontrolnego, informacji o sposobie realizacji zaleceń pokontrolnych i wykorzystaniu uwag zawartych w wystąpieniu pokontrolnym lub przyczynach braku realizacji zaleceń pokontrolnych lub niewykorzystaniu uwag bądź o innym sposobie usunięcia stwierdzonych nieprawidłowości lub uchybień.</w:t>
      </w:r>
    </w:p>
    <w:p w:rsidR="00E82432" w:rsidRDefault="00E44599" w:rsidP="00E82432">
      <w:pPr>
        <w:pStyle w:val="Bodytext20"/>
        <w:shd w:val="clear" w:color="auto" w:fill="auto"/>
        <w:spacing w:before="120" w:after="240" w:line="300" w:lineRule="auto"/>
        <w:ind w:left="280" w:right="540" w:firstLine="0"/>
        <w:rPr>
          <w:rFonts w:asciiTheme="minorHAnsi" w:hAnsiTheme="minorHAnsi" w:cstheme="minorHAnsi"/>
          <w:sz w:val="22"/>
          <w:szCs w:val="22"/>
        </w:rPr>
      </w:pPr>
      <w:r w:rsidRPr="00BD483A">
        <w:rPr>
          <w:rFonts w:asciiTheme="minorHAnsi" w:hAnsiTheme="minorHAnsi" w:cstheme="minorHAnsi"/>
          <w:sz w:val="22"/>
          <w:szCs w:val="22"/>
        </w:rPr>
        <w:t>Na podstawie § 41 ust. 1 Zarządzenia zobowiązuję Pana do przekazania kopii ww. informacji Prezydentowi m.st. Warszawy.</w:t>
      </w:r>
    </w:p>
    <w:p w:rsidR="007A1D24" w:rsidRPr="007A1D24" w:rsidRDefault="007A1D24" w:rsidP="007A1D24">
      <w:pPr>
        <w:tabs>
          <w:tab w:val="left" w:pos="426"/>
        </w:tabs>
        <w:spacing w:before="120" w:after="240" w:line="300" w:lineRule="auto"/>
        <w:ind w:left="4536"/>
        <w:rPr>
          <w:rFonts w:asciiTheme="minorHAnsi" w:eastAsia="Arial" w:hAnsiTheme="minorHAnsi" w:cstheme="minorHAnsi"/>
          <w:sz w:val="22"/>
          <w:szCs w:val="22"/>
        </w:rPr>
      </w:pPr>
      <w:r w:rsidRPr="007A1D24">
        <w:rPr>
          <w:rFonts w:asciiTheme="minorHAnsi" w:eastAsia="Arial" w:hAnsiTheme="minorHAnsi" w:cstheme="minorHAnsi"/>
          <w:sz w:val="22"/>
          <w:szCs w:val="22"/>
        </w:rPr>
        <w:t>PREZYDENT MIASTA STOŁECZNEGO WARSZAWY /-/ Rafał Trzaskowski</w:t>
      </w:r>
    </w:p>
    <w:p w:rsidR="007A1D24" w:rsidRDefault="007A1D24" w:rsidP="00E82432">
      <w:pPr>
        <w:pStyle w:val="Bodytext20"/>
        <w:shd w:val="clear" w:color="auto" w:fill="auto"/>
        <w:spacing w:before="120" w:after="240" w:line="300" w:lineRule="auto"/>
        <w:ind w:left="280" w:right="540" w:firstLine="0"/>
        <w:rPr>
          <w:rFonts w:asciiTheme="minorHAnsi" w:hAnsiTheme="minorHAnsi" w:cstheme="minorHAnsi"/>
          <w:sz w:val="22"/>
          <w:szCs w:val="22"/>
        </w:rPr>
      </w:pPr>
    </w:p>
    <w:p w:rsidR="007A1D24" w:rsidRDefault="007A1D24" w:rsidP="00E82432">
      <w:pPr>
        <w:pStyle w:val="Bodytext20"/>
        <w:shd w:val="clear" w:color="auto" w:fill="auto"/>
        <w:spacing w:before="120" w:after="240" w:line="300" w:lineRule="auto"/>
        <w:ind w:left="280" w:right="540" w:firstLine="0"/>
        <w:rPr>
          <w:rFonts w:asciiTheme="minorHAnsi" w:hAnsiTheme="minorHAnsi" w:cstheme="minorHAnsi"/>
          <w:sz w:val="22"/>
          <w:szCs w:val="22"/>
        </w:rPr>
      </w:pPr>
    </w:p>
    <w:p w:rsidR="003A1EE1" w:rsidRPr="00BD483A" w:rsidRDefault="007A1D24" w:rsidP="00E82432">
      <w:pPr>
        <w:pStyle w:val="Bodytext20"/>
        <w:shd w:val="clear" w:color="auto" w:fill="auto"/>
        <w:spacing w:before="120" w:after="240" w:line="300" w:lineRule="auto"/>
        <w:ind w:left="280" w:right="540" w:firstLine="0"/>
        <w:rPr>
          <w:rFonts w:asciiTheme="minorHAnsi" w:hAnsiTheme="minorHAnsi" w:cstheme="minorHAnsi"/>
          <w:sz w:val="22"/>
          <w:szCs w:val="22"/>
        </w:rPr>
      </w:pPr>
      <w:r w:rsidRPr="00B74FAD">
        <w:rPr>
          <w:rStyle w:val="Bodytext2Exact"/>
          <w:rFonts w:asciiTheme="minorHAnsi" w:hAnsiTheme="minorHAnsi" w:cstheme="minorHAnsi"/>
          <w:sz w:val="22"/>
          <w:szCs w:val="22"/>
          <w:vertAlign w:val="superscript"/>
        </w:rPr>
        <w:t>26</w:t>
      </w:r>
      <w:r w:rsidRPr="00B74FAD">
        <w:rPr>
          <w:rStyle w:val="Bodytext2Exact"/>
          <w:rFonts w:asciiTheme="minorHAnsi" w:hAnsiTheme="minorHAnsi" w:cstheme="minorHAnsi"/>
          <w:sz w:val="22"/>
          <w:szCs w:val="22"/>
        </w:rPr>
        <w:t xml:space="preserve"> Dz. U. z 2002 r.. Nr 240, poz. 2061</w:t>
      </w:r>
    </w:p>
    <w:sectPr w:rsidR="003A1EE1" w:rsidRPr="00BD483A">
      <w:footerReference w:type="default" r:id="rId12"/>
      <w:type w:val="continuous"/>
      <w:pgSz w:w="11900" w:h="16840"/>
      <w:pgMar w:top="1644" w:right="1031" w:bottom="1556" w:left="1383"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4599" w:rsidRDefault="00E44599">
      <w:r>
        <w:separator/>
      </w:r>
    </w:p>
  </w:endnote>
  <w:endnote w:type="continuationSeparator" w:id="0">
    <w:p w:rsidR="00E44599" w:rsidRDefault="00E445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6981047"/>
      <w:docPartObj>
        <w:docPartGallery w:val="Page Numbers (Bottom of Page)"/>
        <w:docPartUnique/>
      </w:docPartObj>
    </w:sdtPr>
    <w:sdtEndPr/>
    <w:sdtContent>
      <w:p w:rsidR="00395493" w:rsidRDefault="00395493">
        <w:pPr>
          <w:pStyle w:val="Stopka"/>
          <w:jc w:val="right"/>
        </w:pPr>
        <w:r w:rsidRPr="00395493">
          <w:rPr>
            <w:rFonts w:asciiTheme="minorHAnsi" w:hAnsiTheme="minorHAnsi" w:cstheme="minorHAnsi"/>
            <w:sz w:val="22"/>
            <w:szCs w:val="22"/>
          </w:rPr>
          <w:fldChar w:fldCharType="begin"/>
        </w:r>
        <w:r w:rsidRPr="00395493">
          <w:rPr>
            <w:rFonts w:asciiTheme="minorHAnsi" w:hAnsiTheme="minorHAnsi" w:cstheme="minorHAnsi"/>
            <w:sz w:val="22"/>
            <w:szCs w:val="22"/>
          </w:rPr>
          <w:instrText>PAGE   \* MERGEFORMAT</w:instrText>
        </w:r>
        <w:r w:rsidRPr="00395493">
          <w:rPr>
            <w:rFonts w:asciiTheme="minorHAnsi" w:hAnsiTheme="minorHAnsi" w:cstheme="minorHAnsi"/>
            <w:sz w:val="22"/>
            <w:szCs w:val="22"/>
          </w:rPr>
          <w:fldChar w:fldCharType="separate"/>
        </w:r>
        <w:r w:rsidR="00E03FCE">
          <w:rPr>
            <w:rFonts w:asciiTheme="minorHAnsi" w:hAnsiTheme="minorHAnsi" w:cstheme="minorHAnsi"/>
            <w:noProof/>
            <w:sz w:val="22"/>
            <w:szCs w:val="22"/>
          </w:rPr>
          <w:t>4</w:t>
        </w:r>
        <w:r w:rsidRPr="00395493">
          <w:rPr>
            <w:rFonts w:asciiTheme="minorHAnsi" w:hAnsiTheme="minorHAnsi" w:cstheme="minorHAnsi"/>
            <w:sz w:val="22"/>
            <w:szCs w:val="22"/>
          </w:rPr>
          <w:fldChar w:fldCharType="end"/>
        </w:r>
      </w:p>
    </w:sdtContent>
  </w:sdt>
  <w:p w:rsidR="00395493" w:rsidRDefault="0039549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7697170"/>
      <w:docPartObj>
        <w:docPartGallery w:val="Page Numbers (Bottom of Page)"/>
        <w:docPartUnique/>
      </w:docPartObj>
    </w:sdtPr>
    <w:sdtEndPr/>
    <w:sdtContent>
      <w:p w:rsidR="00E82432" w:rsidRDefault="00E82432">
        <w:pPr>
          <w:pStyle w:val="Stopka"/>
          <w:jc w:val="right"/>
        </w:pPr>
        <w:r w:rsidRPr="00E82432">
          <w:rPr>
            <w:rFonts w:asciiTheme="minorHAnsi" w:hAnsiTheme="minorHAnsi" w:cstheme="minorHAnsi"/>
            <w:sz w:val="22"/>
            <w:szCs w:val="22"/>
          </w:rPr>
          <w:fldChar w:fldCharType="begin"/>
        </w:r>
        <w:r w:rsidRPr="00E82432">
          <w:rPr>
            <w:rFonts w:asciiTheme="minorHAnsi" w:hAnsiTheme="minorHAnsi" w:cstheme="minorHAnsi"/>
            <w:sz w:val="22"/>
            <w:szCs w:val="22"/>
          </w:rPr>
          <w:instrText>PAGE   \* MERGEFORMAT</w:instrText>
        </w:r>
        <w:r w:rsidRPr="00E82432">
          <w:rPr>
            <w:rFonts w:asciiTheme="minorHAnsi" w:hAnsiTheme="minorHAnsi" w:cstheme="minorHAnsi"/>
            <w:sz w:val="22"/>
            <w:szCs w:val="22"/>
          </w:rPr>
          <w:fldChar w:fldCharType="separate"/>
        </w:r>
        <w:r w:rsidR="00E03FCE">
          <w:rPr>
            <w:rFonts w:asciiTheme="minorHAnsi" w:hAnsiTheme="minorHAnsi" w:cstheme="minorHAnsi"/>
            <w:noProof/>
            <w:sz w:val="22"/>
            <w:szCs w:val="22"/>
          </w:rPr>
          <w:t>1</w:t>
        </w:r>
        <w:r w:rsidRPr="00E82432">
          <w:rPr>
            <w:rFonts w:asciiTheme="minorHAnsi" w:hAnsiTheme="minorHAnsi" w:cstheme="minorHAnsi"/>
            <w:sz w:val="22"/>
            <w:szCs w:val="22"/>
          </w:rPr>
          <w:fldChar w:fldCharType="end"/>
        </w:r>
      </w:p>
    </w:sdtContent>
  </w:sdt>
  <w:p w:rsidR="00E82432" w:rsidRDefault="00E8243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8253258"/>
      <w:docPartObj>
        <w:docPartGallery w:val="Page Numbers (Bottom of Page)"/>
        <w:docPartUnique/>
      </w:docPartObj>
    </w:sdtPr>
    <w:sdtEndPr/>
    <w:sdtContent>
      <w:p w:rsidR="00E82432" w:rsidRDefault="00E82432">
        <w:pPr>
          <w:pStyle w:val="Stopka"/>
          <w:jc w:val="right"/>
        </w:pPr>
        <w:r w:rsidRPr="00E82432">
          <w:rPr>
            <w:rFonts w:asciiTheme="minorHAnsi" w:hAnsiTheme="minorHAnsi" w:cstheme="minorHAnsi"/>
            <w:sz w:val="22"/>
            <w:szCs w:val="22"/>
          </w:rPr>
          <w:fldChar w:fldCharType="begin"/>
        </w:r>
        <w:r w:rsidRPr="00E82432">
          <w:rPr>
            <w:rFonts w:asciiTheme="minorHAnsi" w:hAnsiTheme="minorHAnsi" w:cstheme="minorHAnsi"/>
            <w:sz w:val="22"/>
            <w:szCs w:val="22"/>
          </w:rPr>
          <w:instrText>PAGE   \* MERGEFORMAT</w:instrText>
        </w:r>
        <w:r w:rsidRPr="00E82432">
          <w:rPr>
            <w:rFonts w:asciiTheme="minorHAnsi" w:hAnsiTheme="minorHAnsi" w:cstheme="minorHAnsi"/>
            <w:sz w:val="22"/>
            <w:szCs w:val="22"/>
          </w:rPr>
          <w:fldChar w:fldCharType="separate"/>
        </w:r>
        <w:r w:rsidR="00E03FCE">
          <w:rPr>
            <w:rFonts w:asciiTheme="minorHAnsi" w:hAnsiTheme="minorHAnsi" w:cstheme="minorHAnsi"/>
            <w:noProof/>
            <w:sz w:val="22"/>
            <w:szCs w:val="22"/>
          </w:rPr>
          <w:t>13</w:t>
        </w:r>
        <w:r w:rsidRPr="00E82432">
          <w:rPr>
            <w:rFonts w:asciiTheme="minorHAnsi" w:hAnsiTheme="minorHAnsi" w:cstheme="minorHAnsi"/>
            <w:sz w:val="22"/>
            <w:szCs w:val="22"/>
          </w:rPr>
          <w:fldChar w:fldCharType="end"/>
        </w:r>
      </w:p>
    </w:sdtContent>
  </w:sdt>
  <w:p w:rsidR="003A1EE1" w:rsidRDefault="003A1EE1">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4599" w:rsidRDefault="00E44599">
      <w:r>
        <w:separator/>
      </w:r>
    </w:p>
  </w:footnote>
  <w:footnote w:type="continuationSeparator" w:id="0">
    <w:p w:rsidR="00E44599" w:rsidRDefault="00E44599">
      <w:r>
        <w:continuationSeparator/>
      </w:r>
    </w:p>
  </w:footnote>
  <w:footnote w:id="1">
    <w:p w:rsidR="003A1EE1" w:rsidRPr="00395493" w:rsidRDefault="00E44599" w:rsidP="00E03FCE">
      <w:pPr>
        <w:pStyle w:val="Footnote10"/>
        <w:shd w:val="clear" w:color="auto" w:fill="auto"/>
        <w:spacing w:before="120" w:after="240" w:line="300" w:lineRule="auto"/>
        <w:ind w:firstLine="0"/>
        <w:contextualSpacing/>
        <w:rPr>
          <w:rFonts w:asciiTheme="minorHAnsi" w:hAnsiTheme="minorHAnsi" w:cstheme="minorHAnsi"/>
          <w:sz w:val="22"/>
          <w:szCs w:val="22"/>
        </w:rPr>
      </w:pPr>
      <w:r w:rsidRPr="00395493">
        <w:rPr>
          <w:rFonts w:asciiTheme="minorHAnsi" w:hAnsiTheme="minorHAnsi" w:cstheme="minorHAnsi"/>
          <w:sz w:val="22"/>
          <w:szCs w:val="22"/>
        </w:rPr>
        <w:t>Dz. U. z 2021 r., poz. 2351 z późn. zm.</w:t>
      </w:r>
    </w:p>
  </w:footnote>
  <w:footnote w:id="2">
    <w:p w:rsidR="003A1EE1" w:rsidRPr="00395493" w:rsidRDefault="00E44599" w:rsidP="00E03FCE">
      <w:pPr>
        <w:pStyle w:val="Footnote10"/>
        <w:shd w:val="clear" w:color="auto" w:fill="auto"/>
        <w:spacing w:before="120" w:after="240" w:line="300" w:lineRule="auto"/>
        <w:ind w:right="680" w:firstLine="0"/>
        <w:contextualSpacing/>
        <w:rPr>
          <w:rFonts w:asciiTheme="minorHAnsi" w:hAnsiTheme="minorHAnsi" w:cstheme="minorHAnsi"/>
          <w:sz w:val="22"/>
          <w:szCs w:val="22"/>
        </w:rPr>
      </w:pPr>
      <w:r w:rsidRPr="00395493">
        <w:rPr>
          <w:rFonts w:asciiTheme="minorHAnsi" w:hAnsiTheme="minorHAnsi" w:cstheme="minorHAnsi"/>
          <w:sz w:val="22"/>
          <w:szCs w:val="22"/>
          <w:lang w:val="en-US" w:eastAsia="en-US" w:bidi="en-US"/>
        </w:rPr>
        <w:t xml:space="preserve">Dot. </w:t>
      </w:r>
      <w:r w:rsidRPr="00395493">
        <w:rPr>
          <w:rFonts w:asciiTheme="minorHAnsi" w:hAnsiTheme="minorHAnsi" w:cstheme="minorHAnsi"/>
          <w:sz w:val="22"/>
          <w:szCs w:val="22"/>
        </w:rPr>
        <w:t xml:space="preserve">postępowań zakończonych wydaniem decyzji Nr: </w:t>
      </w:r>
      <w:r w:rsidRPr="00395493">
        <w:rPr>
          <w:rFonts w:asciiTheme="minorHAnsi" w:hAnsiTheme="minorHAnsi" w:cstheme="minorHAnsi"/>
          <w:sz w:val="22"/>
          <w:szCs w:val="22"/>
          <w:lang w:val="ru-RU" w:eastAsia="ru-RU" w:bidi="ru-RU"/>
        </w:rPr>
        <w:t>144/2021,38/2021,73/2021, 274/2021, 287/2021, 64/2021,195/2021, 63/2021, 43/2021,101/2021;</w:t>
      </w:r>
    </w:p>
  </w:footnote>
  <w:footnote w:id="3">
    <w:p w:rsidR="003A1EE1" w:rsidRPr="00395493" w:rsidRDefault="00E44599" w:rsidP="00E03FCE">
      <w:pPr>
        <w:pStyle w:val="Footnote10"/>
        <w:shd w:val="clear" w:color="auto" w:fill="auto"/>
        <w:tabs>
          <w:tab w:val="left" w:pos="427"/>
        </w:tabs>
        <w:spacing w:before="120" w:after="240" w:line="300" w:lineRule="auto"/>
        <w:ind w:left="440" w:right="1040" w:hanging="200"/>
        <w:contextualSpacing/>
        <w:rPr>
          <w:rFonts w:asciiTheme="minorHAnsi" w:hAnsiTheme="minorHAnsi" w:cstheme="minorHAnsi"/>
          <w:sz w:val="22"/>
          <w:szCs w:val="22"/>
        </w:rPr>
      </w:pPr>
      <w:r w:rsidRPr="00395493">
        <w:rPr>
          <w:rFonts w:asciiTheme="minorHAnsi" w:hAnsiTheme="minorHAnsi" w:cstheme="minorHAnsi"/>
          <w:sz w:val="22"/>
          <w:szCs w:val="22"/>
          <w:vertAlign w:val="superscript"/>
        </w:rPr>
        <w:footnoteRef/>
      </w:r>
      <w:r w:rsidRPr="00395493">
        <w:rPr>
          <w:rFonts w:asciiTheme="minorHAnsi" w:hAnsiTheme="minorHAnsi" w:cstheme="minorHAnsi"/>
          <w:sz w:val="22"/>
          <w:szCs w:val="22"/>
        </w:rPr>
        <w:tab/>
      </w:r>
      <w:r w:rsidRPr="00395493">
        <w:rPr>
          <w:rFonts w:asciiTheme="minorHAnsi" w:hAnsiTheme="minorHAnsi" w:cstheme="minorHAnsi"/>
          <w:sz w:val="22"/>
          <w:szCs w:val="22"/>
          <w:lang w:val="en-US" w:eastAsia="en-US" w:bidi="en-US"/>
        </w:rPr>
        <w:t xml:space="preserve">Dot. </w:t>
      </w:r>
      <w:r w:rsidRPr="00395493">
        <w:rPr>
          <w:rFonts w:asciiTheme="minorHAnsi" w:hAnsiTheme="minorHAnsi" w:cstheme="minorHAnsi"/>
          <w:sz w:val="22"/>
          <w:szCs w:val="22"/>
        </w:rPr>
        <w:t xml:space="preserve">postępowań zakończonych wydaniem decyzji Nr: </w:t>
      </w:r>
      <w:r w:rsidRPr="00395493">
        <w:rPr>
          <w:rFonts w:asciiTheme="minorHAnsi" w:hAnsiTheme="minorHAnsi" w:cstheme="minorHAnsi"/>
          <w:sz w:val="22"/>
          <w:szCs w:val="22"/>
          <w:lang w:val="ru-RU" w:eastAsia="ru-RU" w:bidi="ru-RU"/>
        </w:rPr>
        <w:t>38/2021,144/2021, 287/2021, 63/2021, 101/2021, 274/2021;</w:t>
      </w:r>
    </w:p>
  </w:footnote>
  <w:footnote w:id="4">
    <w:p w:rsidR="003A1EE1" w:rsidRPr="00395493" w:rsidRDefault="00E44599" w:rsidP="00E03FCE">
      <w:pPr>
        <w:pStyle w:val="Footnote10"/>
        <w:shd w:val="clear" w:color="auto" w:fill="auto"/>
        <w:tabs>
          <w:tab w:val="left" w:pos="427"/>
        </w:tabs>
        <w:spacing w:before="120" w:after="240" w:line="300" w:lineRule="auto"/>
        <w:ind w:left="380" w:right="1020" w:hanging="140"/>
        <w:contextualSpacing/>
        <w:rPr>
          <w:rFonts w:asciiTheme="minorHAnsi" w:hAnsiTheme="minorHAnsi" w:cstheme="minorHAnsi"/>
          <w:sz w:val="22"/>
          <w:szCs w:val="22"/>
        </w:rPr>
      </w:pPr>
      <w:r w:rsidRPr="00395493">
        <w:rPr>
          <w:rFonts w:asciiTheme="minorHAnsi" w:hAnsiTheme="minorHAnsi" w:cstheme="minorHAnsi"/>
          <w:sz w:val="22"/>
          <w:szCs w:val="22"/>
          <w:vertAlign w:val="superscript"/>
        </w:rPr>
        <w:footnoteRef/>
      </w:r>
      <w:r w:rsidRPr="00395493">
        <w:rPr>
          <w:rFonts w:asciiTheme="minorHAnsi" w:hAnsiTheme="minorHAnsi" w:cstheme="minorHAnsi"/>
          <w:sz w:val="22"/>
          <w:szCs w:val="22"/>
        </w:rPr>
        <w:tab/>
        <w:t>Rozporządzenie Ministra Gospodarki Przestrzennej I Budownictwa z dnia 21 lutego 1995 r. w sprawie rodzaju i zakresu opracowań geodezyjno-kartograficznych oraz czynności geodezyjnych obowiązujących w budownictwie Dz. U. z 1995 r., nr 25, poz. 133 j.t.</w:t>
      </w:r>
    </w:p>
  </w:footnote>
  <w:footnote w:id="5">
    <w:p w:rsidR="003A1EE1" w:rsidRPr="00395493" w:rsidRDefault="00E44599" w:rsidP="00E03FCE">
      <w:pPr>
        <w:pStyle w:val="Footnote10"/>
        <w:shd w:val="clear" w:color="auto" w:fill="auto"/>
        <w:tabs>
          <w:tab w:val="left" w:pos="182"/>
        </w:tabs>
        <w:spacing w:before="120" w:after="240" w:line="300" w:lineRule="auto"/>
        <w:ind w:firstLine="0"/>
        <w:contextualSpacing/>
        <w:rPr>
          <w:rFonts w:asciiTheme="minorHAnsi" w:hAnsiTheme="minorHAnsi" w:cstheme="minorHAnsi"/>
          <w:sz w:val="22"/>
          <w:szCs w:val="22"/>
        </w:rPr>
      </w:pPr>
      <w:r w:rsidRPr="00395493">
        <w:rPr>
          <w:rFonts w:asciiTheme="minorHAnsi" w:hAnsiTheme="minorHAnsi" w:cstheme="minorHAnsi"/>
          <w:sz w:val="22"/>
          <w:szCs w:val="22"/>
          <w:vertAlign w:val="superscript"/>
        </w:rPr>
        <w:footnoteRef/>
      </w:r>
      <w:r w:rsidRPr="00395493">
        <w:rPr>
          <w:rFonts w:asciiTheme="minorHAnsi" w:hAnsiTheme="minorHAnsi" w:cstheme="minorHAnsi"/>
          <w:sz w:val="22"/>
          <w:szCs w:val="22"/>
        </w:rPr>
        <w:tab/>
      </w:r>
      <w:r w:rsidRPr="00395493">
        <w:rPr>
          <w:rFonts w:asciiTheme="minorHAnsi" w:hAnsiTheme="minorHAnsi" w:cstheme="minorHAnsi"/>
          <w:sz w:val="22"/>
          <w:szCs w:val="22"/>
          <w:lang w:val="en-US" w:eastAsia="en-US" w:bidi="en-US"/>
        </w:rPr>
        <w:t xml:space="preserve">Dot. </w:t>
      </w:r>
      <w:r w:rsidRPr="00395493">
        <w:rPr>
          <w:rFonts w:asciiTheme="minorHAnsi" w:hAnsiTheme="minorHAnsi" w:cstheme="minorHAnsi"/>
          <w:sz w:val="22"/>
          <w:szCs w:val="22"/>
        </w:rPr>
        <w:t xml:space="preserve">postępowań zakończonych wydaniem decyzji Nr: </w:t>
      </w:r>
      <w:r w:rsidRPr="00395493">
        <w:rPr>
          <w:rFonts w:asciiTheme="minorHAnsi" w:hAnsiTheme="minorHAnsi" w:cstheme="minorHAnsi"/>
          <w:sz w:val="22"/>
          <w:szCs w:val="22"/>
          <w:lang w:val="ru-RU" w:eastAsia="ru-RU" w:bidi="ru-RU"/>
        </w:rPr>
        <w:t>144/2021, 38/2021,101/2021;</w:t>
      </w:r>
    </w:p>
  </w:footnote>
  <w:footnote w:id="6">
    <w:p w:rsidR="003A1EE1" w:rsidRPr="00395493" w:rsidRDefault="00E44599" w:rsidP="00E03FCE">
      <w:pPr>
        <w:pStyle w:val="Footnote10"/>
        <w:shd w:val="clear" w:color="auto" w:fill="auto"/>
        <w:tabs>
          <w:tab w:val="left" w:pos="187"/>
        </w:tabs>
        <w:spacing w:before="120" w:after="240" w:line="300" w:lineRule="auto"/>
        <w:ind w:firstLine="0"/>
        <w:contextualSpacing/>
        <w:rPr>
          <w:rFonts w:asciiTheme="minorHAnsi" w:hAnsiTheme="minorHAnsi" w:cstheme="minorHAnsi"/>
          <w:sz w:val="22"/>
          <w:szCs w:val="22"/>
        </w:rPr>
      </w:pPr>
      <w:r w:rsidRPr="00395493">
        <w:rPr>
          <w:rFonts w:asciiTheme="minorHAnsi" w:hAnsiTheme="minorHAnsi" w:cstheme="minorHAnsi"/>
          <w:sz w:val="22"/>
          <w:szCs w:val="22"/>
          <w:vertAlign w:val="superscript"/>
        </w:rPr>
        <w:footnoteRef/>
      </w:r>
      <w:r w:rsidRPr="00395493">
        <w:rPr>
          <w:rFonts w:asciiTheme="minorHAnsi" w:hAnsiTheme="minorHAnsi" w:cstheme="minorHAnsi"/>
          <w:sz w:val="22"/>
          <w:szCs w:val="22"/>
        </w:rPr>
        <w:tab/>
      </w:r>
      <w:r w:rsidRPr="00395493">
        <w:rPr>
          <w:rFonts w:asciiTheme="minorHAnsi" w:hAnsiTheme="minorHAnsi" w:cstheme="minorHAnsi"/>
          <w:sz w:val="22"/>
          <w:szCs w:val="22"/>
          <w:lang w:val="en-US" w:eastAsia="en-US" w:bidi="en-US"/>
        </w:rPr>
        <w:t xml:space="preserve">Dot. </w:t>
      </w:r>
      <w:r w:rsidRPr="00395493">
        <w:rPr>
          <w:rFonts w:asciiTheme="minorHAnsi" w:hAnsiTheme="minorHAnsi" w:cstheme="minorHAnsi"/>
          <w:sz w:val="22"/>
          <w:szCs w:val="22"/>
        </w:rPr>
        <w:t xml:space="preserve">postępowań zakończonych wydaniem decyzji Nr: </w:t>
      </w:r>
      <w:r w:rsidRPr="00395493">
        <w:rPr>
          <w:rFonts w:asciiTheme="minorHAnsi" w:hAnsiTheme="minorHAnsi" w:cstheme="minorHAnsi"/>
          <w:sz w:val="22"/>
          <w:szCs w:val="22"/>
          <w:lang w:val="ru-RU" w:eastAsia="ru-RU" w:bidi="ru-RU"/>
        </w:rPr>
        <w:t>144/2021, 38/2021, 287/2021, 274/2021;</w:t>
      </w:r>
    </w:p>
  </w:footnote>
  <w:footnote w:id="7">
    <w:p w:rsidR="003A1EE1" w:rsidRPr="00395493" w:rsidRDefault="00E44599" w:rsidP="00E03FCE">
      <w:pPr>
        <w:pStyle w:val="Footnote10"/>
        <w:shd w:val="clear" w:color="auto" w:fill="auto"/>
        <w:tabs>
          <w:tab w:val="left" w:pos="192"/>
        </w:tabs>
        <w:spacing w:before="120" w:after="240" w:line="300" w:lineRule="auto"/>
        <w:ind w:firstLine="0"/>
        <w:contextualSpacing/>
        <w:rPr>
          <w:rFonts w:asciiTheme="minorHAnsi" w:hAnsiTheme="minorHAnsi" w:cstheme="minorHAnsi"/>
          <w:sz w:val="22"/>
          <w:szCs w:val="22"/>
        </w:rPr>
      </w:pPr>
      <w:r w:rsidRPr="00395493">
        <w:rPr>
          <w:rFonts w:asciiTheme="minorHAnsi" w:hAnsiTheme="minorHAnsi" w:cstheme="minorHAnsi"/>
          <w:sz w:val="22"/>
          <w:szCs w:val="22"/>
          <w:vertAlign w:val="superscript"/>
        </w:rPr>
        <w:footnoteRef/>
      </w:r>
      <w:r w:rsidRPr="00395493">
        <w:rPr>
          <w:rFonts w:asciiTheme="minorHAnsi" w:hAnsiTheme="minorHAnsi" w:cstheme="minorHAnsi"/>
          <w:sz w:val="22"/>
          <w:szCs w:val="22"/>
        </w:rPr>
        <w:tab/>
      </w:r>
      <w:r w:rsidRPr="00395493">
        <w:rPr>
          <w:rFonts w:asciiTheme="minorHAnsi" w:hAnsiTheme="minorHAnsi" w:cstheme="minorHAnsi"/>
          <w:sz w:val="22"/>
          <w:szCs w:val="22"/>
          <w:lang w:val="en-US" w:eastAsia="en-US" w:bidi="en-US"/>
        </w:rPr>
        <w:t xml:space="preserve">Dot. </w:t>
      </w:r>
      <w:r w:rsidRPr="00395493">
        <w:rPr>
          <w:rFonts w:asciiTheme="minorHAnsi" w:hAnsiTheme="minorHAnsi" w:cstheme="minorHAnsi"/>
          <w:sz w:val="22"/>
          <w:szCs w:val="22"/>
        </w:rPr>
        <w:t xml:space="preserve">postępowań zakończonych wydaniem decyzji Nr: </w:t>
      </w:r>
      <w:r w:rsidRPr="00395493">
        <w:rPr>
          <w:rFonts w:asciiTheme="minorHAnsi" w:hAnsiTheme="minorHAnsi" w:cstheme="minorHAnsi"/>
          <w:sz w:val="22"/>
          <w:szCs w:val="22"/>
          <w:lang w:val="ru-RU" w:eastAsia="ru-RU" w:bidi="ru-RU"/>
        </w:rPr>
        <w:t>195/2021, 287/2021,43/2021;</w:t>
      </w:r>
    </w:p>
  </w:footnote>
  <w:footnote w:id="8">
    <w:p w:rsidR="003A1EE1" w:rsidRPr="00395493" w:rsidRDefault="00E44599" w:rsidP="00E03FCE">
      <w:pPr>
        <w:pStyle w:val="Footnote10"/>
        <w:shd w:val="clear" w:color="auto" w:fill="auto"/>
        <w:tabs>
          <w:tab w:val="left" w:pos="187"/>
        </w:tabs>
        <w:spacing w:before="120" w:after="240" w:line="300" w:lineRule="auto"/>
        <w:ind w:firstLine="0"/>
        <w:contextualSpacing/>
        <w:rPr>
          <w:rFonts w:asciiTheme="minorHAnsi" w:hAnsiTheme="minorHAnsi" w:cstheme="minorHAnsi"/>
          <w:sz w:val="22"/>
          <w:szCs w:val="22"/>
        </w:rPr>
      </w:pPr>
      <w:r w:rsidRPr="00395493">
        <w:rPr>
          <w:rFonts w:asciiTheme="minorHAnsi" w:hAnsiTheme="minorHAnsi" w:cstheme="minorHAnsi"/>
          <w:sz w:val="22"/>
          <w:szCs w:val="22"/>
          <w:vertAlign w:val="superscript"/>
        </w:rPr>
        <w:footnoteRef/>
      </w:r>
      <w:r w:rsidRPr="00395493">
        <w:rPr>
          <w:rFonts w:asciiTheme="minorHAnsi" w:hAnsiTheme="minorHAnsi" w:cstheme="minorHAnsi"/>
          <w:sz w:val="22"/>
          <w:szCs w:val="22"/>
        </w:rPr>
        <w:tab/>
      </w:r>
      <w:r w:rsidRPr="00395493">
        <w:rPr>
          <w:rFonts w:asciiTheme="minorHAnsi" w:hAnsiTheme="minorHAnsi" w:cstheme="minorHAnsi"/>
          <w:sz w:val="22"/>
          <w:szCs w:val="22"/>
          <w:lang w:val="en-US" w:eastAsia="en-US" w:bidi="en-US"/>
        </w:rPr>
        <w:t xml:space="preserve">Dot. </w:t>
      </w:r>
      <w:r w:rsidRPr="00395493">
        <w:rPr>
          <w:rFonts w:asciiTheme="minorHAnsi" w:hAnsiTheme="minorHAnsi" w:cstheme="minorHAnsi"/>
          <w:sz w:val="22"/>
          <w:szCs w:val="22"/>
        </w:rPr>
        <w:t xml:space="preserve">postępowań zakończonych wydaniem decyzji Nr: </w:t>
      </w:r>
      <w:r w:rsidRPr="00395493">
        <w:rPr>
          <w:rFonts w:asciiTheme="minorHAnsi" w:hAnsiTheme="minorHAnsi" w:cstheme="minorHAnsi"/>
          <w:sz w:val="22"/>
          <w:szCs w:val="22"/>
          <w:lang w:val="ru-RU" w:eastAsia="ru-RU" w:bidi="ru-RU"/>
        </w:rPr>
        <w:t>43/2021,287/2021;</w:t>
      </w:r>
    </w:p>
  </w:footnote>
  <w:footnote w:id="9">
    <w:p w:rsidR="003A1EE1" w:rsidRPr="00395493" w:rsidRDefault="00E44599" w:rsidP="00E03FCE">
      <w:pPr>
        <w:pStyle w:val="Footnote10"/>
        <w:shd w:val="clear" w:color="auto" w:fill="auto"/>
        <w:tabs>
          <w:tab w:val="left" w:pos="182"/>
        </w:tabs>
        <w:spacing w:before="120" w:after="240" w:line="300" w:lineRule="auto"/>
        <w:ind w:firstLine="0"/>
        <w:contextualSpacing/>
        <w:rPr>
          <w:rFonts w:asciiTheme="minorHAnsi" w:hAnsiTheme="minorHAnsi" w:cstheme="minorHAnsi"/>
          <w:sz w:val="22"/>
          <w:szCs w:val="22"/>
        </w:rPr>
      </w:pPr>
      <w:r w:rsidRPr="00395493">
        <w:rPr>
          <w:rFonts w:asciiTheme="minorHAnsi" w:hAnsiTheme="minorHAnsi" w:cstheme="minorHAnsi"/>
          <w:sz w:val="22"/>
          <w:szCs w:val="22"/>
          <w:vertAlign w:val="superscript"/>
        </w:rPr>
        <w:footnoteRef/>
      </w:r>
      <w:r w:rsidRPr="00395493">
        <w:rPr>
          <w:rFonts w:asciiTheme="minorHAnsi" w:hAnsiTheme="minorHAnsi" w:cstheme="minorHAnsi"/>
          <w:sz w:val="22"/>
          <w:szCs w:val="22"/>
        </w:rPr>
        <w:tab/>
      </w:r>
      <w:r w:rsidRPr="00395493">
        <w:rPr>
          <w:rFonts w:asciiTheme="minorHAnsi" w:hAnsiTheme="minorHAnsi" w:cstheme="minorHAnsi"/>
          <w:sz w:val="22"/>
          <w:szCs w:val="22"/>
          <w:lang w:val="en-US" w:eastAsia="en-US" w:bidi="en-US"/>
        </w:rPr>
        <w:t xml:space="preserve">Dot. </w:t>
      </w:r>
      <w:r w:rsidRPr="00395493">
        <w:rPr>
          <w:rFonts w:asciiTheme="minorHAnsi" w:hAnsiTheme="minorHAnsi" w:cstheme="minorHAnsi"/>
          <w:sz w:val="22"/>
          <w:szCs w:val="22"/>
        </w:rPr>
        <w:t xml:space="preserve">postępowań zakończonych wydaniem decyzji Nr: </w:t>
      </w:r>
      <w:r w:rsidRPr="00395493">
        <w:rPr>
          <w:rFonts w:asciiTheme="minorHAnsi" w:hAnsiTheme="minorHAnsi" w:cstheme="minorHAnsi"/>
          <w:sz w:val="22"/>
          <w:szCs w:val="22"/>
          <w:lang w:val="ru-RU" w:eastAsia="ru-RU" w:bidi="ru-RU"/>
        </w:rPr>
        <w:t>73/2021, 64/2021,195/2021;</w:t>
      </w:r>
    </w:p>
  </w:footnote>
  <w:footnote w:id="10">
    <w:p w:rsidR="003A1EE1" w:rsidRPr="00395493" w:rsidRDefault="00E44599" w:rsidP="00E03FCE">
      <w:pPr>
        <w:pStyle w:val="Footnote10"/>
        <w:shd w:val="clear" w:color="auto" w:fill="auto"/>
        <w:tabs>
          <w:tab w:val="left" w:pos="182"/>
        </w:tabs>
        <w:spacing w:before="120" w:after="240" w:line="300" w:lineRule="auto"/>
        <w:ind w:firstLine="0"/>
        <w:contextualSpacing/>
        <w:rPr>
          <w:rFonts w:asciiTheme="minorHAnsi" w:hAnsiTheme="minorHAnsi" w:cstheme="minorHAnsi"/>
          <w:sz w:val="22"/>
          <w:szCs w:val="22"/>
        </w:rPr>
      </w:pPr>
      <w:r w:rsidRPr="00395493">
        <w:rPr>
          <w:rFonts w:asciiTheme="minorHAnsi" w:hAnsiTheme="minorHAnsi" w:cstheme="minorHAnsi"/>
          <w:sz w:val="22"/>
          <w:szCs w:val="22"/>
          <w:vertAlign w:val="superscript"/>
        </w:rPr>
        <w:footnoteRef/>
      </w:r>
      <w:r w:rsidRPr="00395493">
        <w:rPr>
          <w:rFonts w:asciiTheme="minorHAnsi" w:hAnsiTheme="minorHAnsi" w:cstheme="minorHAnsi"/>
          <w:sz w:val="22"/>
          <w:szCs w:val="22"/>
        </w:rPr>
        <w:tab/>
      </w:r>
      <w:r w:rsidRPr="00395493">
        <w:rPr>
          <w:rFonts w:asciiTheme="minorHAnsi" w:hAnsiTheme="minorHAnsi" w:cstheme="minorHAnsi"/>
          <w:sz w:val="22"/>
          <w:szCs w:val="22"/>
          <w:lang w:val="en-US" w:eastAsia="en-US" w:bidi="en-US"/>
        </w:rPr>
        <w:t xml:space="preserve">Dot. </w:t>
      </w:r>
      <w:r w:rsidRPr="00395493">
        <w:rPr>
          <w:rFonts w:asciiTheme="minorHAnsi" w:hAnsiTheme="minorHAnsi" w:cstheme="minorHAnsi"/>
          <w:sz w:val="22"/>
          <w:szCs w:val="22"/>
        </w:rPr>
        <w:t xml:space="preserve">postępowań zakończonych wydaniem decyzji Nr: </w:t>
      </w:r>
      <w:r w:rsidRPr="00395493">
        <w:rPr>
          <w:rFonts w:asciiTheme="minorHAnsi" w:hAnsiTheme="minorHAnsi" w:cstheme="minorHAnsi"/>
          <w:sz w:val="22"/>
          <w:szCs w:val="22"/>
          <w:lang w:val="ru-RU" w:eastAsia="ru-RU" w:bidi="ru-RU"/>
        </w:rPr>
        <w:t>73/2021, 64/2021;</w:t>
      </w:r>
    </w:p>
  </w:footnote>
  <w:footnote w:id="11">
    <w:p w:rsidR="003A1EE1" w:rsidRPr="00395493" w:rsidRDefault="00E44599" w:rsidP="00E03FCE">
      <w:pPr>
        <w:pStyle w:val="Footnote10"/>
        <w:shd w:val="clear" w:color="auto" w:fill="auto"/>
        <w:tabs>
          <w:tab w:val="left" w:pos="288"/>
        </w:tabs>
        <w:spacing w:before="120" w:after="240" w:line="300" w:lineRule="auto"/>
        <w:ind w:firstLine="0"/>
        <w:contextualSpacing/>
        <w:rPr>
          <w:rFonts w:asciiTheme="minorHAnsi" w:hAnsiTheme="minorHAnsi" w:cstheme="minorHAnsi"/>
          <w:sz w:val="22"/>
          <w:szCs w:val="22"/>
        </w:rPr>
      </w:pPr>
      <w:r w:rsidRPr="00395493">
        <w:rPr>
          <w:rFonts w:asciiTheme="minorHAnsi" w:hAnsiTheme="minorHAnsi" w:cstheme="minorHAnsi"/>
          <w:sz w:val="22"/>
          <w:szCs w:val="22"/>
          <w:vertAlign w:val="superscript"/>
        </w:rPr>
        <w:footnoteRef/>
      </w:r>
      <w:r w:rsidRPr="00395493">
        <w:rPr>
          <w:rFonts w:asciiTheme="minorHAnsi" w:hAnsiTheme="minorHAnsi" w:cstheme="minorHAnsi"/>
          <w:sz w:val="22"/>
          <w:szCs w:val="22"/>
        </w:rPr>
        <w:tab/>
      </w:r>
      <w:r w:rsidRPr="00395493">
        <w:rPr>
          <w:rFonts w:asciiTheme="minorHAnsi" w:hAnsiTheme="minorHAnsi" w:cstheme="minorHAnsi"/>
          <w:sz w:val="22"/>
          <w:szCs w:val="22"/>
          <w:lang w:val="en-US" w:eastAsia="en-US" w:bidi="en-US"/>
        </w:rPr>
        <w:t xml:space="preserve">Dot. </w:t>
      </w:r>
      <w:r w:rsidRPr="00395493">
        <w:rPr>
          <w:rFonts w:asciiTheme="minorHAnsi" w:hAnsiTheme="minorHAnsi" w:cstheme="minorHAnsi"/>
          <w:sz w:val="22"/>
          <w:szCs w:val="22"/>
        </w:rPr>
        <w:t xml:space="preserve">postępowania zakończonego decyzją Nr: </w:t>
      </w:r>
      <w:r w:rsidRPr="00395493">
        <w:rPr>
          <w:rFonts w:asciiTheme="minorHAnsi" w:hAnsiTheme="minorHAnsi" w:cstheme="minorHAnsi"/>
          <w:sz w:val="22"/>
          <w:szCs w:val="22"/>
          <w:lang w:val="ru-RU" w:eastAsia="ru-RU" w:bidi="ru-RU"/>
        </w:rPr>
        <w:t>43/2021;</w:t>
      </w:r>
    </w:p>
  </w:footnote>
  <w:footnote w:id="12">
    <w:p w:rsidR="003A1EE1" w:rsidRPr="00395493" w:rsidRDefault="00E44599" w:rsidP="00E03FCE">
      <w:pPr>
        <w:pStyle w:val="Footnote10"/>
        <w:shd w:val="clear" w:color="auto" w:fill="auto"/>
        <w:tabs>
          <w:tab w:val="left" w:pos="293"/>
        </w:tabs>
        <w:spacing w:before="120" w:after="240" w:line="300" w:lineRule="auto"/>
        <w:ind w:firstLine="0"/>
        <w:contextualSpacing/>
        <w:rPr>
          <w:rFonts w:asciiTheme="minorHAnsi" w:hAnsiTheme="minorHAnsi" w:cstheme="minorHAnsi"/>
          <w:sz w:val="22"/>
          <w:szCs w:val="22"/>
        </w:rPr>
      </w:pPr>
      <w:r w:rsidRPr="00395493">
        <w:rPr>
          <w:rFonts w:asciiTheme="minorHAnsi" w:hAnsiTheme="minorHAnsi" w:cstheme="minorHAnsi"/>
          <w:sz w:val="22"/>
          <w:szCs w:val="22"/>
          <w:vertAlign w:val="superscript"/>
        </w:rPr>
        <w:footnoteRef/>
      </w:r>
      <w:r w:rsidRPr="00395493">
        <w:rPr>
          <w:rFonts w:asciiTheme="minorHAnsi" w:hAnsiTheme="minorHAnsi" w:cstheme="minorHAnsi"/>
          <w:sz w:val="22"/>
          <w:szCs w:val="22"/>
        </w:rPr>
        <w:tab/>
      </w:r>
      <w:r w:rsidRPr="00395493">
        <w:rPr>
          <w:rFonts w:asciiTheme="minorHAnsi" w:hAnsiTheme="minorHAnsi" w:cstheme="minorHAnsi"/>
          <w:sz w:val="22"/>
          <w:szCs w:val="22"/>
          <w:lang w:val="en-US" w:eastAsia="en-US" w:bidi="en-US"/>
        </w:rPr>
        <w:t xml:space="preserve">Dot. </w:t>
      </w:r>
      <w:r w:rsidRPr="00395493">
        <w:rPr>
          <w:rFonts w:asciiTheme="minorHAnsi" w:hAnsiTheme="minorHAnsi" w:cstheme="minorHAnsi"/>
          <w:sz w:val="22"/>
          <w:szCs w:val="22"/>
        </w:rPr>
        <w:t xml:space="preserve">decyzji Nr: </w:t>
      </w:r>
      <w:r w:rsidRPr="00395493">
        <w:rPr>
          <w:rFonts w:asciiTheme="minorHAnsi" w:hAnsiTheme="minorHAnsi" w:cstheme="minorHAnsi"/>
          <w:sz w:val="22"/>
          <w:szCs w:val="22"/>
          <w:lang w:val="ru-RU" w:eastAsia="ru-RU" w:bidi="ru-RU"/>
        </w:rPr>
        <w:t>144/2021, 38/2021, 274/2021, 287/2021,101/2021;</w:t>
      </w:r>
    </w:p>
  </w:footnote>
  <w:footnote w:id="13">
    <w:p w:rsidR="003A1EE1" w:rsidRPr="00395493" w:rsidRDefault="00E44599" w:rsidP="00E03FCE">
      <w:pPr>
        <w:pStyle w:val="Footnote10"/>
        <w:shd w:val="clear" w:color="auto" w:fill="auto"/>
        <w:tabs>
          <w:tab w:val="left" w:pos="293"/>
        </w:tabs>
        <w:spacing w:before="120" w:after="240" w:line="300" w:lineRule="auto"/>
        <w:ind w:firstLine="0"/>
        <w:contextualSpacing/>
        <w:rPr>
          <w:rFonts w:asciiTheme="minorHAnsi" w:hAnsiTheme="minorHAnsi" w:cstheme="minorHAnsi"/>
          <w:sz w:val="22"/>
          <w:szCs w:val="22"/>
        </w:rPr>
      </w:pPr>
      <w:r w:rsidRPr="00395493">
        <w:rPr>
          <w:rFonts w:asciiTheme="minorHAnsi" w:hAnsiTheme="minorHAnsi" w:cstheme="minorHAnsi"/>
          <w:sz w:val="22"/>
          <w:szCs w:val="22"/>
          <w:vertAlign w:val="superscript"/>
        </w:rPr>
        <w:footnoteRef/>
      </w:r>
      <w:r w:rsidRPr="00395493">
        <w:rPr>
          <w:rFonts w:asciiTheme="minorHAnsi" w:hAnsiTheme="minorHAnsi" w:cstheme="minorHAnsi"/>
          <w:sz w:val="22"/>
          <w:szCs w:val="22"/>
        </w:rPr>
        <w:tab/>
      </w:r>
      <w:r w:rsidRPr="00395493">
        <w:rPr>
          <w:rFonts w:asciiTheme="minorHAnsi" w:hAnsiTheme="minorHAnsi" w:cstheme="minorHAnsi"/>
          <w:sz w:val="22"/>
          <w:szCs w:val="22"/>
          <w:lang w:val="en-US" w:eastAsia="en-US" w:bidi="en-US"/>
        </w:rPr>
        <w:t xml:space="preserve">Dot. </w:t>
      </w:r>
      <w:r w:rsidRPr="00395493">
        <w:rPr>
          <w:rFonts w:asciiTheme="minorHAnsi" w:hAnsiTheme="minorHAnsi" w:cstheme="minorHAnsi"/>
          <w:sz w:val="22"/>
          <w:szCs w:val="22"/>
        </w:rPr>
        <w:t xml:space="preserve">postępowania zakończonego wydaniem decyzji Nr: </w:t>
      </w:r>
      <w:r w:rsidRPr="00395493">
        <w:rPr>
          <w:rFonts w:asciiTheme="minorHAnsi" w:hAnsiTheme="minorHAnsi" w:cstheme="minorHAnsi"/>
          <w:sz w:val="22"/>
          <w:szCs w:val="22"/>
          <w:lang w:val="ru-RU" w:eastAsia="ru-RU" w:bidi="ru-RU"/>
        </w:rPr>
        <w:t>73/2021,</w:t>
      </w:r>
    </w:p>
  </w:footnote>
  <w:footnote w:id="14">
    <w:p w:rsidR="003A1EE1" w:rsidRPr="00395493" w:rsidRDefault="00E44599" w:rsidP="00E03FCE">
      <w:pPr>
        <w:pStyle w:val="Footnote10"/>
        <w:shd w:val="clear" w:color="auto" w:fill="auto"/>
        <w:tabs>
          <w:tab w:val="left" w:pos="293"/>
        </w:tabs>
        <w:spacing w:before="120" w:after="240" w:line="300" w:lineRule="auto"/>
        <w:ind w:firstLine="0"/>
        <w:contextualSpacing/>
        <w:rPr>
          <w:rFonts w:asciiTheme="minorHAnsi" w:hAnsiTheme="minorHAnsi" w:cstheme="minorHAnsi"/>
          <w:sz w:val="22"/>
          <w:szCs w:val="22"/>
        </w:rPr>
      </w:pPr>
      <w:r w:rsidRPr="00395493">
        <w:rPr>
          <w:rFonts w:asciiTheme="minorHAnsi" w:hAnsiTheme="minorHAnsi" w:cstheme="minorHAnsi"/>
          <w:sz w:val="22"/>
          <w:szCs w:val="22"/>
          <w:vertAlign w:val="superscript"/>
        </w:rPr>
        <w:footnoteRef/>
      </w:r>
      <w:r w:rsidRPr="00395493">
        <w:rPr>
          <w:rFonts w:asciiTheme="minorHAnsi" w:hAnsiTheme="minorHAnsi" w:cstheme="minorHAnsi"/>
          <w:sz w:val="22"/>
          <w:szCs w:val="22"/>
        </w:rPr>
        <w:tab/>
      </w:r>
      <w:r w:rsidRPr="00395493">
        <w:rPr>
          <w:rFonts w:asciiTheme="minorHAnsi" w:hAnsiTheme="minorHAnsi" w:cstheme="minorHAnsi"/>
          <w:sz w:val="22"/>
          <w:szCs w:val="22"/>
          <w:lang w:val="en-US" w:eastAsia="en-US" w:bidi="en-US"/>
        </w:rPr>
        <w:t xml:space="preserve">Dot. </w:t>
      </w:r>
      <w:r w:rsidRPr="00395493">
        <w:rPr>
          <w:rFonts w:asciiTheme="minorHAnsi" w:hAnsiTheme="minorHAnsi" w:cstheme="minorHAnsi"/>
          <w:sz w:val="22"/>
          <w:szCs w:val="22"/>
        </w:rPr>
        <w:t xml:space="preserve">postępowania zakończonego wydaniem decyzji Nr: </w:t>
      </w:r>
      <w:r w:rsidRPr="00395493">
        <w:rPr>
          <w:rFonts w:asciiTheme="minorHAnsi" w:hAnsiTheme="minorHAnsi" w:cstheme="minorHAnsi"/>
          <w:sz w:val="22"/>
          <w:szCs w:val="22"/>
          <w:lang w:val="ru-RU" w:eastAsia="ru-RU" w:bidi="ru-RU"/>
        </w:rPr>
        <w:t>43/2021;</w:t>
      </w:r>
    </w:p>
  </w:footnote>
  <w:footnote w:id="15">
    <w:p w:rsidR="003A1EE1" w:rsidRPr="00395493" w:rsidRDefault="00E44599" w:rsidP="00E03FCE">
      <w:pPr>
        <w:pStyle w:val="Footnote10"/>
        <w:shd w:val="clear" w:color="auto" w:fill="auto"/>
        <w:tabs>
          <w:tab w:val="left" w:pos="293"/>
        </w:tabs>
        <w:spacing w:before="120" w:after="240" w:line="300" w:lineRule="auto"/>
        <w:ind w:left="340" w:right="1300" w:hanging="340"/>
        <w:contextualSpacing/>
        <w:rPr>
          <w:rFonts w:asciiTheme="minorHAnsi" w:hAnsiTheme="minorHAnsi" w:cstheme="minorHAnsi"/>
          <w:sz w:val="22"/>
          <w:szCs w:val="22"/>
        </w:rPr>
      </w:pPr>
      <w:r w:rsidRPr="00395493">
        <w:rPr>
          <w:rFonts w:asciiTheme="minorHAnsi" w:hAnsiTheme="minorHAnsi" w:cstheme="minorHAnsi"/>
          <w:sz w:val="22"/>
          <w:szCs w:val="22"/>
          <w:vertAlign w:val="superscript"/>
        </w:rPr>
        <w:footnoteRef/>
      </w:r>
      <w:r w:rsidRPr="00395493">
        <w:rPr>
          <w:rFonts w:asciiTheme="minorHAnsi" w:hAnsiTheme="minorHAnsi" w:cstheme="minorHAnsi"/>
          <w:sz w:val="22"/>
          <w:szCs w:val="22"/>
        </w:rPr>
        <w:tab/>
        <w:t xml:space="preserve">Decyzje Nr: </w:t>
      </w:r>
      <w:r w:rsidRPr="00395493">
        <w:rPr>
          <w:rFonts w:asciiTheme="minorHAnsi" w:hAnsiTheme="minorHAnsi" w:cstheme="minorHAnsi"/>
          <w:sz w:val="22"/>
          <w:szCs w:val="22"/>
          <w:lang w:val="ru-RU" w:eastAsia="ru-RU" w:bidi="ru-RU"/>
        </w:rPr>
        <w:t xml:space="preserve">144/2021, 38/2021, 73/2021, 274/2021, 287/2021, 64/2021, 63/2021,43/2021, </w:t>
      </w:r>
      <w:r w:rsidRPr="00395493">
        <w:rPr>
          <w:rStyle w:val="Footnote1Bold"/>
          <w:rFonts w:asciiTheme="minorHAnsi" w:hAnsiTheme="minorHAnsi" w:cstheme="minorHAnsi"/>
          <w:sz w:val="22"/>
          <w:szCs w:val="22"/>
        </w:rPr>
        <w:t>101/2021;</w:t>
      </w:r>
    </w:p>
  </w:footnote>
  <w:footnote w:id="16">
    <w:p w:rsidR="003A1EE1" w:rsidRPr="00395493" w:rsidRDefault="00E44599" w:rsidP="00E03FCE">
      <w:pPr>
        <w:pStyle w:val="Footnote10"/>
        <w:shd w:val="clear" w:color="auto" w:fill="auto"/>
        <w:tabs>
          <w:tab w:val="left" w:pos="293"/>
        </w:tabs>
        <w:spacing w:before="120" w:after="240" w:line="300" w:lineRule="auto"/>
        <w:ind w:firstLine="0"/>
        <w:contextualSpacing/>
        <w:rPr>
          <w:rFonts w:asciiTheme="minorHAnsi" w:hAnsiTheme="minorHAnsi" w:cstheme="minorHAnsi"/>
          <w:sz w:val="22"/>
          <w:szCs w:val="22"/>
        </w:rPr>
      </w:pPr>
      <w:r w:rsidRPr="00395493">
        <w:rPr>
          <w:rFonts w:asciiTheme="minorHAnsi" w:hAnsiTheme="minorHAnsi" w:cstheme="minorHAnsi"/>
          <w:sz w:val="22"/>
          <w:szCs w:val="22"/>
          <w:vertAlign w:val="superscript"/>
        </w:rPr>
        <w:footnoteRef/>
      </w:r>
      <w:r w:rsidRPr="00395493">
        <w:rPr>
          <w:rFonts w:asciiTheme="minorHAnsi" w:hAnsiTheme="minorHAnsi" w:cstheme="minorHAnsi"/>
          <w:sz w:val="22"/>
          <w:szCs w:val="22"/>
        </w:rPr>
        <w:tab/>
        <w:t xml:space="preserve">Decyzja Nr: </w:t>
      </w:r>
      <w:r w:rsidRPr="00395493">
        <w:rPr>
          <w:rFonts w:asciiTheme="minorHAnsi" w:hAnsiTheme="minorHAnsi" w:cstheme="minorHAnsi"/>
          <w:sz w:val="22"/>
          <w:szCs w:val="22"/>
          <w:lang w:val="ru-RU" w:eastAsia="ru-RU" w:bidi="ru-RU"/>
        </w:rPr>
        <w:t>195/2021;</w:t>
      </w:r>
    </w:p>
  </w:footnote>
  <w:footnote w:id="17">
    <w:p w:rsidR="003A1EE1" w:rsidRPr="00395493" w:rsidRDefault="00E44599" w:rsidP="00E03FCE">
      <w:pPr>
        <w:pStyle w:val="Footnote10"/>
        <w:shd w:val="clear" w:color="auto" w:fill="auto"/>
        <w:tabs>
          <w:tab w:val="left" w:pos="240"/>
        </w:tabs>
        <w:spacing w:before="120" w:after="240" w:line="300" w:lineRule="auto"/>
        <w:ind w:left="400" w:right="740"/>
        <w:contextualSpacing/>
        <w:rPr>
          <w:rFonts w:asciiTheme="minorHAnsi" w:hAnsiTheme="minorHAnsi" w:cstheme="minorHAnsi"/>
          <w:sz w:val="22"/>
          <w:szCs w:val="22"/>
        </w:rPr>
      </w:pPr>
      <w:r w:rsidRPr="00395493">
        <w:rPr>
          <w:rFonts w:asciiTheme="minorHAnsi" w:hAnsiTheme="minorHAnsi" w:cstheme="minorHAnsi"/>
          <w:sz w:val="22"/>
          <w:szCs w:val="22"/>
          <w:vertAlign w:val="superscript"/>
        </w:rPr>
        <w:footnoteRef/>
      </w:r>
      <w:r w:rsidRPr="00395493">
        <w:rPr>
          <w:rFonts w:asciiTheme="minorHAnsi" w:hAnsiTheme="minorHAnsi" w:cstheme="minorHAnsi"/>
          <w:sz w:val="22"/>
          <w:szCs w:val="22"/>
        </w:rPr>
        <w:tab/>
        <w:t>Rozporządzenie Ministra Infrastruktury z dnia 19 listopada 2001 r. w sprawie rodzajów obiektów budowlanych, przy których realizacji jest wymagane ustanowienie inspektora nadzoru inwestorskiego Dz. U. z 2001 r., Nr 138, poz. 1554;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5B9C" w:rsidRPr="00AC5B9C" w:rsidRDefault="00AC5B9C" w:rsidP="00AC5B9C">
    <w:pPr>
      <w:pStyle w:val="Nagwek"/>
    </w:pPr>
    <w:r>
      <w:rPr>
        <w:noProof/>
      </w:rPr>
      <w:drawing>
        <wp:inline distT="0" distB="0" distL="0" distR="0" wp14:anchorId="00612005" wp14:editId="29162115">
          <wp:extent cx="5760813" cy="1082057"/>
          <wp:effectExtent l="0" t="0" r="0" b="3810"/>
          <wp:docPr id="2" name="Obraz 2" descr="Prezydent Miasta Stołecznego Warszawy, pl. Bankowy 3/5, 00-950 Warszawa, tel. 22 443 10 01, faks 22 443 10 02, sekretariatprezydenta@um.warszawa.pl, um.warszawa.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Prezydent Miasta Stołecznego Warszawy, pl. Bankowy 3/5, 00-950 Warszawa, tel. 22 443 10 01, faks 22 443 10 02, sekretariatprezydenta@um.warszawa.pl, um.warszawa.pl"/>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813" cy="108205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468E5"/>
    <w:multiLevelType w:val="multilevel"/>
    <w:tmpl w:val="D4B6CEA6"/>
    <w:lvl w:ilvl="0">
      <w:start w:val="14"/>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vertAlign w:val="superscript"/>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D520488"/>
    <w:multiLevelType w:val="multilevel"/>
    <w:tmpl w:val="23A271B8"/>
    <w:lvl w:ilvl="0">
      <w:start w:val="2"/>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9BA4505"/>
    <w:multiLevelType w:val="multilevel"/>
    <w:tmpl w:val="222689BE"/>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1E536A4"/>
    <w:multiLevelType w:val="multilevel"/>
    <w:tmpl w:val="FF48F3D0"/>
    <w:lvl w:ilvl="0">
      <w:start w:val="3"/>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vertAlign w:val="superscript"/>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6A23F39"/>
    <w:multiLevelType w:val="multilevel"/>
    <w:tmpl w:val="54AE0C5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50E7914"/>
    <w:multiLevelType w:val="multilevel"/>
    <w:tmpl w:val="7754419E"/>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4"/>
  </w:num>
  <w:num w:numId="3">
    <w:abstractNumId w:val="3"/>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81"/>
  <w:drawingGridVerticalSpacing w:val="181"/>
  <w:characterSpacingControl w:val="compressPunctuation"/>
  <w:hdrShapeDefaults>
    <o:shapedefaults v:ext="edit" spidmax="819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EE1"/>
    <w:rsid w:val="000A11A1"/>
    <w:rsid w:val="00395493"/>
    <w:rsid w:val="003A1EE1"/>
    <w:rsid w:val="007101BF"/>
    <w:rsid w:val="007A1D24"/>
    <w:rsid w:val="00AC5B9C"/>
    <w:rsid w:val="00B4106D"/>
    <w:rsid w:val="00B74FAD"/>
    <w:rsid w:val="00BD483A"/>
    <w:rsid w:val="00CE77BE"/>
    <w:rsid w:val="00D940E9"/>
    <w:rsid w:val="00E03FCE"/>
    <w:rsid w:val="00E44599"/>
    <w:rsid w:val="00E824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45889E5C-0797-4494-BA1C-71BD8DD57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1">
    <w:name w:val="heading 1"/>
    <w:basedOn w:val="Normalny"/>
    <w:next w:val="Normalny"/>
    <w:link w:val="Nagwek1Znak"/>
    <w:uiPriority w:val="9"/>
    <w:qFormat/>
    <w:rsid w:val="00BD483A"/>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otnote1">
    <w:name w:val="Footnote|1_"/>
    <w:basedOn w:val="Domylnaczcionkaakapitu"/>
    <w:link w:val="Footnote10"/>
    <w:rPr>
      <w:rFonts w:ascii="Arial" w:eastAsia="Arial" w:hAnsi="Arial" w:cs="Arial"/>
      <w:b w:val="0"/>
      <w:bCs w:val="0"/>
      <w:i w:val="0"/>
      <w:iCs w:val="0"/>
      <w:smallCaps w:val="0"/>
      <w:strike w:val="0"/>
      <w:sz w:val="19"/>
      <w:szCs w:val="19"/>
      <w:u w:val="none"/>
    </w:rPr>
  </w:style>
  <w:style w:type="character" w:customStyle="1" w:styleId="Footnote1Bold">
    <w:name w:val="Footnote|1 + Bold"/>
    <w:basedOn w:val="Footnote1"/>
    <w:semiHidden/>
    <w:unhideWhenUsed/>
    <w:rPr>
      <w:rFonts w:ascii="Arial" w:eastAsia="Arial" w:hAnsi="Arial" w:cs="Arial"/>
      <w:b/>
      <w:bCs/>
      <w:i w:val="0"/>
      <w:iCs w:val="0"/>
      <w:smallCaps w:val="0"/>
      <w:strike w:val="0"/>
      <w:color w:val="000000"/>
      <w:spacing w:val="0"/>
      <w:w w:val="100"/>
      <w:position w:val="0"/>
      <w:sz w:val="19"/>
      <w:szCs w:val="19"/>
      <w:u w:val="none"/>
      <w:lang w:val="ru-RU" w:eastAsia="ru-RU" w:bidi="ru-RU"/>
    </w:rPr>
  </w:style>
  <w:style w:type="character" w:customStyle="1" w:styleId="Bodytext3">
    <w:name w:val="Body text|3_"/>
    <w:basedOn w:val="Domylnaczcionkaakapitu"/>
    <w:link w:val="Bodytext30"/>
    <w:rPr>
      <w:rFonts w:ascii="Arial" w:eastAsia="Arial" w:hAnsi="Arial" w:cs="Arial"/>
      <w:b/>
      <w:bCs/>
      <w:i w:val="0"/>
      <w:iCs w:val="0"/>
      <w:smallCaps w:val="0"/>
      <w:strike w:val="0"/>
      <w:w w:val="70"/>
      <w:sz w:val="22"/>
      <w:szCs w:val="22"/>
      <w:u w:val="none"/>
    </w:rPr>
  </w:style>
  <w:style w:type="character" w:customStyle="1" w:styleId="Bodytext4">
    <w:name w:val="Body text|4_"/>
    <w:basedOn w:val="Domylnaczcionkaakapitu"/>
    <w:link w:val="Bodytext40"/>
    <w:rPr>
      <w:rFonts w:ascii="Arial" w:eastAsia="Arial" w:hAnsi="Arial" w:cs="Arial"/>
      <w:b w:val="0"/>
      <w:bCs w:val="0"/>
      <w:i w:val="0"/>
      <w:iCs w:val="0"/>
      <w:smallCaps w:val="0"/>
      <w:strike w:val="0"/>
      <w:sz w:val="13"/>
      <w:szCs w:val="13"/>
      <w:u w:val="none"/>
    </w:rPr>
  </w:style>
  <w:style w:type="character" w:customStyle="1" w:styleId="Bodytext5">
    <w:name w:val="Body text|5_"/>
    <w:basedOn w:val="Domylnaczcionkaakapitu"/>
    <w:link w:val="Bodytext50"/>
    <w:rPr>
      <w:rFonts w:ascii="Arial" w:eastAsia="Arial" w:hAnsi="Arial" w:cs="Arial"/>
      <w:b w:val="0"/>
      <w:bCs w:val="0"/>
      <w:i/>
      <w:iCs/>
      <w:smallCaps w:val="0"/>
      <w:strike w:val="0"/>
      <w:sz w:val="19"/>
      <w:szCs w:val="19"/>
      <w:u w:val="none"/>
    </w:rPr>
  </w:style>
  <w:style w:type="character" w:customStyle="1" w:styleId="Bodytext5NotItalic">
    <w:name w:val="Body text|5 + Not Italic"/>
    <w:basedOn w:val="Bodytext5"/>
    <w:semiHidden/>
    <w:unhideWhenUsed/>
    <w:rPr>
      <w:rFonts w:ascii="Arial" w:eastAsia="Arial" w:hAnsi="Arial" w:cs="Arial"/>
      <w:b w:val="0"/>
      <w:bCs w:val="0"/>
      <w:i/>
      <w:iCs/>
      <w:smallCaps w:val="0"/>
      <w:strike w:val="0"/>
      <w:color w:val="000000"/>
      <w:spacing w:val="0"/>
      <w:w w:val="100"/>
      <w:position w:val="0"/>
      <w:sz w:val="19"/>
      <w:szCs w:val="19"/>
      <w:u w:val="none"/>
      <w:lang w:val="pl-PL" w:eastAsia="pl-PL" w:bidi="pl-PL"/>
    </w:rPr>
  </w:style>
  <w:style w:type="character" w:customStyle="1" w:styleId="Bodytext2">
    <w:name w:val="Body text|2_"/>
    <w:basedOn w:val="Domylnaczcionkaakapitu"/>
    <w:link w:val="Bodytext20"/>
    <w:rPr>
      <w:rFonts w:ascii="Arial" w:eastAsia="Arial" w:hAnsi="Arial" w:cs="Arial"/>
      <w:b w:val="0"/>
      <w:bCs w:val="0"/>
      <w:i w:val="0"/>
      <w:iCs w:val="0"/>
      <w:smallCaps w:val="0"/>
      <w:strike w:val="0"/>
      <w:sz w:val="19"/>
      <w:szCs w:val="19"/>
      <w:u w:val="none"/>
    </w:rPr>
  </w:style>
  <w:style w:type="character" w:customStyle="1" w:styleId="Bodytext21">
    <w:name w:val="Body text|2"/>
    <w:basedOn w:val="Bodytext2"/>
    <w:semiHidden/>
    <w:unhideWhenUsed/>
    <w:rPr>
      <w:rFonts w:ascii="Arial" w:eastAsia="Arial" w:hAnsi="Arial" w:cs="Arial"/>
      <w:b w:val="0"/>
      <w:bCs w:val="0"/>
      <w:i w:val="0"/>
      <w:iCs w:val="0"/>
      <w:smallCaps w:val="0"/>
      <w:strike w:val="0"/>
      <w:color w:val="000000"/>
      <w:spacing w:val="0"/>
      <w:w w:val="100"/>
      <w:position w:val="0"/>
      <w:sz w:val="19"/>
      <w:szCs w:val="19"/>
      <w:u w:val="single"/>
      <w:lang w:val="en-US" w:eastAsia="en-US" w:bidi="en-US"/>
    </w:rPr>
  </w:style>
  <w:style w:type="character" w:customStyle="1" w:styleId="Headerorfooter1">
    <w:name w:val="Header or footer|1_"/>
    <w:basedOn w:val="Domylnaczcionkaakapitu"/>
    <w:link w:val="Headerorfooter10"/>
    <w:rPr>
      <w:b/>
      <w:bCs/>
      <w:i w:val="0"/>
      <w:iCs w:val="0"/>
      <w:smallCaps w:val="0"/>
      <w:strike w:val="0"/>
      <w:sz w:val="22"/>
      <w:szCs w:val="22"/>
      <w:u w:val="none"/>
      <w:lang w:val="ru-RU" w:eastAsia="ru-RU" w:bidi="ru-RU"/>
    </w:rPr>
  </w:style>
  <w:style w:type="character" w:customStyle="1" w:styleId="Headerorfooter11">
    <w:name w:val="Header or footer|1"/>
    <w:basedOn w:val="Headerorfooter1"/>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Heading11">
    <w:name w:val="Heading #1|1_"/>
    <w:basedOn w:val="Domylnaczcionkaakapitu"/>
    <w:link w:val="Heading110"/>
    <w:rPr>
      <w:rFonts w:ascii="Arial" w:eastAsia="Arial" w:hAnsi="Arial" w:cs="Arial"/>
      <w:b w:val="0"/>
      <w:bCs w:val="0"/>
      <w:i w:val="0"/>
      <w:iCs w:val="0"/>
      <w:smallCaps w:val="0"/>
      <w:strike w:val="0"/>
      <w:sz w:val="48"/>
      <w:szCs w:val="48"/>
      <w:u w:val="none"/>
    </w:rPr>
  </w:style>
  <w:style w:type="character" w:customStyle="1" w:styleId="Heading111">
    <w:name w:val="Heading #1|1"/>
    <w:basedOn w:val="Heading11"/>
    <w:semiHidden/>
    <w:unhideWhenUsed/>
    <w:rPr>
      <w:rFonts w:ascii="Arial" w:eastAsia="Arial" w:hAnsi="Arial" w:cs="Arial"/>
      <w:b w:val="0"/>
      <w:bCs w:val="0"/>
      <w:i w:val="0"/>
      <w:iCs w:val="0"/>
      <w:smallCaps w:val="0"/>
      <w:strike w:val="0"/>
      <w:color w:val="425B7D"/>
      <w:spacing w:val="0"/>
      <w:w w:val="100"/>
      <w:position w:val="0"/>
      <w:sz w:val="48"/>
      <w:szCs w:val="48"/>
      <w:u w:val="none"/>
      <w:lang w:val="pl-PL" w:eastAsia="pl-PL" w:bidi="pl-PL"/>
    </w:rPr>
  </w:style>
  <w:style w:type="character" w:customStyle="1" w:styleId="Bodytext2Exact">
    <w:name w:val="Body text|2 Exact"/>
    <w:basedOn w:val="Domylnaczcionkaakapitu"/>
    <w:semiHidden/>
    <w:unhideWhenUsed/>
    <w:rPr>
      <w:rFonts w:ascii="Arial" w:eastAsia="Arial" w:hAnsi="Arial" w:cs="Arial"/>
      <w:b w:val="0"/>
      <w:bCs w:val="0"/>
      <w:i w:val="0"/>
      <w:iCs w:val="0"/>
      <w:smallCaps w:val="0"/>
      <w:strike w:val="0"/>
      <w:sz w:val="19"/>
      <w:szCs w:val="19"/>
      <w:u w:val="none"/>
    </w:rPr>
  </w:style>
  <w:style w:type="character" w:customStyle="1" w:styleId="Bodytext2Italic">
    <w:name w:val="Body text|2 + Italic"/>
    <w:basedOn w:val="Bodytext2"/>
    <w:semiHidden/>
    <w:unhideWhenUsed/>
    <w:rPr>
      <w:rFonts w:ascii="Arial" w:eastAsia="Arial" w:hAnsi="Arial" w:cs="Arial"/>
      <w:b w:val="0"/>
      <w:bCs w:val="0"/>
      <w:i/>
      <w:iCs/>
      <w:smallCaps w:val="0"/>
      <w:strike w:val="0"/>
      <w:color w:val="000000"/>
      <w:spacing w:val="0"/>
      <w:w w:val="100"/>
      <w:position w:val="0"/>
      <w:sz w:val="19"/>
      <w:szCs w:val="19"/>
      <w:u w:val="none"/>
      <w:lang w:val="ru-RU" w:eastAsia="ru-RU" w:bidi="ru-RU"/>
    </w:rPr>
  </w:style>
  <w:style w:type="character" w:customStyle="1" w:styleId="Picturecaption1Exact">
    <w:name w:val="Picture caption|1 Exact"/>
    <w:basedOn w:val="Domylnaczcionkaakapitu"/>
    <w:link w:val="Picturecaption1"/>
    <w:rPr>
      <w:rFonts w:ascii="Arial" w:eastAsia="Arial" w:hAnsi="Arial" w:cs="Arial"/>
      <w:b w:val="0"/>
      <w:bCs w:val="0"/>
      <w:i w:val="0"/>
      <w:iCs w:val="0"/>
      <w:smallCaps w:val="0"/>
      <w:strike w:val="0"/>
      <w:sz w:val="16"/>
      <w:szCs w:val="16"/>
      <w:u w:val="none"/>
    </w:rPr>
  </w:style>
  <w:style w:type="character" w:customStyle="1" w:styleId="Picturecaption1Exact0">
    <w:name w:val="Picture caption|1 Exact"/>
    <w:basedOn w:val="Picturecaption1Exact"/>
    <w:semiHidden/>
    <w:unhideWhenUsed/>
    <w:rPr>
      <w:rFonts w:ascii="Arial" w:eastAsia="Arial" w:hAnsi="Arial" w:cs="Arial"/>
      <w:b w:val="0"/>
      <w:bCs w:val="0"/>
      <w:i w:val="0"/>
      <w:iCs w:val="0"/>
      <w:smallCaps w:val="0"/>
      <w:strike w:val="0"/>
      <w:color w:val="824051"/>
      <w:spacing w:val="0"/>
      <w:w w:val="100"/>
      <w:position w:val="0"/>
      <w:sz w:val="16"/>
      <w:szCs w:val="16"/>
      <w:u w:val="none"/>
      <w:lang w:val="pl-PL" w:eastAsia="pl-PL" w:bidi="pl-PL"/>
    </w:rPr>
  </w:style>
  <w:style w:type="paragraph" w:customStyle="1" w:styleId="Footnote10">
    <w:name w:val="Footnote|1"/>
    <w:basedOn w:val="Normalny"/>
    <w:link w:val="Footnote1"/>
    <w:qFormat/>
    <w:pPr>
      <w:shd w:val="clear" w:color="auto" w:fill="FFFFFF"/>
      <w:spacing w:line="259" w:lineRule="exact"/>
      <w:ind w:hanging="400"/>
    </w:pPr>
    <w:rPr>
      <w:rFonts w:ascii="Arial" w:eastAsia="Arial" w:hAnsi="Arial" w:cs="Arial"/>
      <w:sz w:val="19"/>
      <w:szCs w:val="19"/>
    </w:rPr>
  </w:style>
  <w:style w:type="paragraph" w:customStyle="1" w:styleId="Bodytext30">
    <w:name w:val="Body text|3"/>
    <w:basedOn w:val="Normalny"/>
    <w:link w:val="Bodytext3"/>
    <w:pPr>
      <w:shd w:val="clear" w:color="auto" w:fill="FFFFFF"/>
      <w:spacing w:line="2614" w:lineRule="exact"/>
    </w:pPr>
    <w:rPr>
      <w:rFonts w:ascii="Arial" w:eastAsia="Arial" w:hAnsi="Arial" w:cs="Arial"/>
      <w:b/>
      <w:bCs/>
      <w:w w:val="70"/>
      <w:sz w:val="22"/>
      <w:szCs w:val="22"/>
    </w:rPr>
  </w:style>
  <w:style w:type="paragraph" w:customStyle="1" w:styleId="Bodytext40">
    <w:name w:val="Body text|4"/>
    <w:basedOn w:val="Normalny"/>
    <w:link w:val="Bodytext4"/>
    <w:pPr>
      <w:shd w:val="clear" w:color="auto" w:fill="FFFFFF"/>
      <w:spacing w:line="206" w:lineRule="exact"/>
    </w:pPr>
    <w:rPr>
      <w:rFonts w:ascii="Arial" w:eastAsia="Arial" w:hAnsi="Arial" w:cs="Arial"/>
      <w:sz w:val="13"/>
      <w:szCs w:val="13"/>
    </w:rPr>
  </w:style>
  <w:style w:type="paragraph" w:customStyle="1" w:styleId="Bodytext50">
    <w:name w:val="Body text|5"/>
    <w:basedOn w:val="Normalny"/>
    <w:link w:val="Bodytext5"/>
    <w:pPr>
      <w:shd w:val="clear" w:color="auto" w:fill="FFFFFF"/>
      <w:spacing w:before="380" w:after="380" w:line="212" w:lineRule="exact"/>
      <w:jc w:val="right"/>
    </w:pPr>
    <w:rPr>
      <w:rFonts w:ascii="Arial" w:eastAsia="Arial" w:hAnsi="Arial" w:cs="Arial"/>
      <w:i/>
      <w:iCs/>
      <w:sz w:val="19"/>
      <w:szCs w:val="19"/>
    </w:rPr>
  </w:style>
  <w:style w:type="paragraph" w:customStyle="1" w:styleId="Bodytext20">
    <w:name w:val="Body text|2"/>
    <w:basedOn w:val="Normalny"/>
    <w:link w:val="Bodytext2"/>
    <w:qFormat/>
    <w:pPr>
      <w:shd w:val="clear" w:color="auto" w:fill="FFFFFF"/>
      <w:spacing w:before="380" w:after="840" w:line="212" w:lineRule="exact"/>
      <w:ind w:hanging="520"/>
    </w:pPr>
    <w:rPr>
      <w:rFonts w:ascii="Arial" w:eastAsia="Arial" w:hAnsi="Arial" w:cs="Arial"/>
      <w:sz w:val="19"/>
      <w:szCs w:val="19"/>
    </w:rPr>
  </w:style>
  <w:style w:type="paragraph" w:customStyle="1" w:styleId="Headerorfooter10">
    <w:name w:val="Header or footer|1"/>
    <w:basedOn w:val="Normalny"/>
    <w:link w:val="Headerorfooter1"/>
    <w:qFormat/>
    <w:pPr>
      <w:shd w:val="clear" w:color="auto" w:fill="FFFFFF"/>
      <w:spacing w:line="244" w:lineRule="exact"/>
    </w:pPr>
    <w:rPr>
      <w:b/>
      <w:bCs/>
      <w:sz w:val="22"/>
      <w:szCs w:val="22"/>
      <w:lang w:val="ru-RU" w:eastAsia="ru-RU" w:bidi="ru-RU"/>
    </w:rPr>
  </w:style>
  <w:style w:type="paragraph" w:customStyle="1" w:styleId="Heading110">
    <w:name w:val="Heading #1|1"/>
    <w:basedOn w:val="Normalny"/>
    <w:link w:val="Heading11"/>
    <w:qFormat/>
    <w:pPr>
      <w:shd w:val="clear" w:color="auto" w:fill="FFFFFF"/>
      <w:spacing w:before="1080" w:line="536" w:lineRule="exact"/>
      <w:jc w:val="right"/>
      <w:outlineLvl w:val="0"/>
    </w:pPr>
    <w:rPr>
      <w:rFonts w:ascii="Arial" w:eastAsia="Arial" w:hAnsi="Arial" w:cs="Arial"/>
      <w:sz w:val="48"/>
      <w:szCs w:val="48"/>
    </w:rPr>
  </w:style>
  <w:style w:type="paragraph" w:customStyle="1" w:styleId="Picturecaption1">
    <w:name w:val="Picture caption|1"/>
    <w:basedOn w:val="Normalny"/>
    <w:link w:val="Picturecaption1Exact"/>
    <w:qFormat/>
    <w:pPr>
      <w:shd w:val="clear" w:color="auto" w:fill="FFFFFF"/>
      <w:spacing w:line="192" w:lineRule="exact"/>
      <w:jc w:val="center"/>
    </w:pPr>
    <w:rPr>
      <w:rFonts w:ascii="Arial" w:eastAsia="Arial" w:hAnsi="Arial" w:cs="Arial"/>
      <w:sz w:val="16"/>
      <w:szCs w:val="16"/>
    </w:rPr>
  </w:style>
  <w:style w:type="paragraph" w:styleId="Nagwek">
    <w:name w:val="header"/>
    <w:basedOn w:val="Normalny"/>
    <w:link w:val="NagwekZnak"/>
    <w:rsid w:val="00B74FAD"/>
    <w:pPr>
      <w:widowControl/>
      <w:tabs>
        <w:tab w:val="center" w:pos="4536"/>
        <w:tab w:val="right" w:pos="9072"/>
      </w:tabs>
      <w:spacing w:after="240" w:line="300" w:lineRule="auto"/>
    </w:pPr>
    <w:rPr>
      <w:rFonts w:asciiTheme="minorHAnsi" w:hAnsiTheme="minorHAnsi"/>
      <w:color w:val="auto"/>
      <w:sz w:val="22"/>
      <w:lang w:bidi="ar-SA"/>
    </w:rPr>
  </w:style>
  <w:style w:type="character" w:customStyle="1" w:styleId="NagwekZnak">
    <w:name w:val="Nagłówek Znak"/>
    <w:basedOn w:val="Domylnaczcionkaakapitu"/>
    <w:link w:val="Nagwek"/>
    <w:rsid w:val="00B74FAD"/>
    <w:rPr>
      <w:rFonts w:asciiTheme="minorHAnsi" w:hAnsiTheme="minorHAnsi"/>
      <w:sz w:val="22"/>
      <w:lang w:bidi="ar-SA"/>
    </w:rPr>
  </w:style>
  <w:style w:type="paragraph" w:styleId="Stopka">
    <w:name w:val="footer"/>
    <w:basedOn w:val="Normalny"/>
    <w:link w:val="StopkaZnak"/>
    <w:uiPriority w:val="99"/>
    <w:unhideWhenUsed/>
    <w:rsid w:val="00BD483A"/>
    <w:pPr>
      <w:tabs>
        <w:tab w:val="center" w:pos="4536"/>
        <w:tab w:val="right" w:pos="9072"/>
      </w:tabs>
    </w:pPr>
  </w:style>
  <w:style w:type="character" w:customStyle="1" w:styleId="StopkaZnak">
    <w:name w:val="Stopka Znak"/>
    <w:basedOn w:val="Domylnaczcionkaakapitu"/>
    <w:link w:val="Stopka"/>
    <w:uiPriority w:val="99"/>
    <w:rsid w:val="00BD483A"/>
    <w:rPr>
      <w:color w:val="000000"/>
    </w:rPr>
  </w:style>
  <w:style w:type="character" w:customStyle="1" w:styleId="Nagwek1Znak">
    <w:name w:val="Nagłówek 1 Znak"/>
    <w:basedOn w:val="Domylnaczcionkaakapitu"/>
    <w:link w:val="Nagwek1"/>
    <w:uiPriority w:val="9"/>
    <w:rsid w:val="00BD483A"/>
    <w:rPr>
      <w:rFonts w:asciiTheme="majorHAnsi" w:eastAsiaTheme="majorEastAsia" w:hAnsiTheme="majorHAnsi" w:cstheme="majorBidi"/>
      <w:color w:val="2E74B5" w:themeColor="accent1" w:themeShade="BF"/>
      <w:sz w:val="32"/>
      <w:szCs w:val="32"/>
    </w:rPr>
  </w:style>
  <w:style w:type="paragraph" w:styleId="Tekstprzypisudolnego">
    <w:name w:val="footnote text"/>
    <w:basedOn w:val="Normalny"/>
    <w:link w:val="TekstprzypisudolnegoZnak"/>
    <w:uiPriority w:val="99"/>
    <w:semiHidden/>
    <w:unhideWhenUsed/>
    <w:rsid w:val="000A11A1"/>
    <w:rPr>
      <w:sz w:val="20"/>
      <w:szCs w:val="20"/>
    </w:rPr>
  </w:style>
  <w:style w:type="character" w:customStyle="1" w:styleId="TekstprzypisudolnegoZnak">
    <w:name w:val="Tekst przypisu dolnego Znak"/>
    <w:basedOn w:val="Domylnaczcionkaakapitu"/>
    <w:link w:val="Tekstprzypisudolnego"/>
    <w:uiPriority w:val="99"/>
    <w:semiHidden/>
    <w:rsid w:val="000A11A1"/>
    <w:rPr>
      <w:color w:val="000000"/>
      <w:sz w:val="20"/>
      <w:szCs w:val="20"/>
    </w:rPr>
  </w:style>
  <w:style w:type="character" w:styleId="Odwoanieprzypisudolnego">
    <w:name w:val="footnote reference"/>
    <w:basedOn w:val="Domylnaczcionkaakapitu"/>
    <w:uiPriority w:val="99"/>
    <w:semiHidden/>
    <w:unhideWhenUsed/>
    <w:rsid w:val="000A11A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vszukiwarka.gunb.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1C4539-8F69-418D-BEB1-37EEF7ACA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13</Pages>
  <Words>4068</Words>
  <Characters>24413</Characters>
  <Application>Microsoft Office Word</Application>
  <DocSecurity>0</DocSecurity>
  <Lines>203</Lines>
  <Paragraphs>56</Paragraphs>
  <ScaleCrop>false</ScaleCrop>
  <HeadingPairs>
    <vt:vector size="2" baseType="variant">
      <vt:variant>
        <vt:lpstr>Tytuł</vt:lpstr>
      </vt:variant>
      <vt:variant>
        <vt:i4>1</vt:i4>
      </vt:variant>
    </vt:vector>
  </HeadingPairs>
  <TitlesOfParts>
    <vt:vector size="1" baseType="lpstr">
      <vt:lpstr>00206BFA04F1230404150931</vt:lpstr>
    </vt:vector>
  </TitlesOfParts>
  <Company>UMSTW</Company>
  <LinksUpToDate>false</LinksUpToDate>
  <CharactersWithSpaces>28425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Wystąpienie pokontrolne</dc:title>
  <dc:subject/>
  <dc:creator>Marzanna Urban</dc:creator>
  <cp:keywords/>
  <cp:lastModifiedBy>Nalazek Izabela (KW)</cp:lastModifiedBy>
  <cp:revision>10</cp:revision>
  <dcterms:created xsi:type="dcterms:W3CDTF">2023-04-05T10:15:00Z</dcterms:created>
  <dcterms:modified xsi:type="dcterms:W3CDTF">2024-04-30T10:47:00Z</dcterms:modified>
</cp:coreProperties>
</file>