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EC0" w:rsidRPr="00AC1164" w:rsidRDefault="003E2EC0" w:rsidP="003E2EC0">
      <w:pPr>
        <w:pStyle w:val="Bodytext20"/>
        <w:shd w:val="clear" w:color="auto" w:fill="auto"/>
        <w:spacing w:before="0" w:after="472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Warszawa</w:t>
      </w:r>
      <w:r w:rsidR="00AC1164">
        <w:rPr>
          <w:rFonts w:asciiTheme="minorHAnsi" w:hAnsiTheme="minorHAnsi" w:cstheme="minorHAnsi"/>
          <w:sz w:val="22"/>
          <w:szCs w:val="22"/>
        </w:rPr>
        <w:t>,</w:t>
      </w:r>
      <w:r w:rsidRPr="00AC1164">
        <w:rPr>
          <w:rFonts w:asciiTheme="minorHAnsi" w:hAnsiTheme="minorHAnsi" w:cstheme="minorHAnsi"/>
          <w:sz w:val="22"/>
          <w:szCs w:val="22"/>
        </w:rPr>
        <w:t xml:space="preserve"> 30.05.2023 r.</w:t>
      </w:r>
    </w:p>
    <w:p w:rsidR="005B5074" w:rsidRPr="00AC1164" w:rsidRDefault="00670989">
      <w:pPr>
        <w:pStyle w:val="Bodytext20"/>
        <w:shd w:val="clear" w:color="auto" w:fill="auto"/>
        <w:spacing w:before="0" w:after="472"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AC1164">
        <w:rPr>
          <w:rFonts w:asciiTheme="minorHAnsi" w:hAnsiTheme="minorHAnsi" w:cstheme="minorHAnsi"/>
          <w:b/>
          <w:sz w:val="22"/>
          <w:szCs w:val="22"/>
        </w:rPr>
        <w:t xml:space="preserve">Znak sprawy: </w:t>
      </w:r>
      <w:r w:rsidRPr="00AC1164">
        <w:rPr>
          <w:rFonts w:asciiTheme="minorHAnsi" w:hAnsiTheme="minorHAnsi" w:cstheme="minorHAnsi"/>
          <w:b/>
          <w:sz w:val="22"/>
          <w:szCs w:val="22"/>
          <w:lang w:val="de-DE" w:eastAsia="de-DE" w:bidi="de-DE"/>
        </w:rPr>
        <w:t xml:space="preserve">KW </w:t>
      </w:r>
      <w:r w:rsidRPr="00AC1164">
        <w:rPr>
          <w:rFonts w:asciiTheme="minorHAnsi" w:hAnsiTheme="minorHAnsi" w:cstheme="minorHAnsi"/>
          <w:b/>
          <w:sz w:val="22"/>
          <w:szCs w:val="22"/>
        </w:rPr>
        <w:t>WGF.1712.27.202? JDO</w:t>
      </w:r>
    </w:p>
    <w:p w:rsidR="005B5074" w:rsidRPr="00AC1164" w:rsidRDefault="00670989" w:rsidP="00AC1164">
      <w:pPr>
        <w:pStyle w:val="Bodytext20"/>
        <w:shd w:val="clear" w:color="auto" w:fill="auto"/>
        <w:spacing w:before="240" w:after="680" w:line="300" w:lineRule="auto"/>
        <w:ind w:left="4248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C1164">
        <w:rPr>
          <w:rFonts w:asciiTheme="minorHAnsi" w:hAnsiTheme="minorHAnsi" w:cstheme="minorHAnsi"/>
          <w:b/>
          <w:sz w:val="22"/>
          <w:szCs w:val="22"/>
        </w:rPr>
        <w:t>Pani</w:t>
      </w:r>
    </w:p>
    <w:p w:rsidR="005B5074" w:rsidRPr="00AC1164" w:rsidRDefault="00670989" w:rsidP="00AC1164">
      <w:pPr>
        <w:pStyle w:val="Bodytext20"/>
        <w:shd w:val="clear" w:color="auto" w:fill="auto"/>
        <w:spacing w:before="240" w:after="680" w:line="300" w:lineRule="auto"/>
        <w:ind w:left="4248" w:right="2600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C1164">
        <w:rPr>
          <w:rFonts w:asciiTheme="minorHAnsi" w:hAnsiTheme="minorHAnsi" w:cstheme="minorHAnsi"/>
          <w:b/>
          <w:sz w:val="22"/>
          <w:szCs w:val="22"/>
        </w:rPr>
        <w:t>Małgorzata Gawęcka Dyrektor</w:t>
      </w:r>
    </w:p>
    <w:p w:rsidR="005B5074" w:rsidRPr="00AC1164" w:rsidRDefault="00670989" w:rsidP="00AC1164">
      <w:pPr>
        <w:pStyle w:val="Bodytext20"/>
        <w:shd w:val="clear" w:color="auto" w:fill="auto"/>
        <w:spacing w:before="240" w:after="680" w:line="300" w:lineRule="auto"/>
        <w:ind w:left="4248" w:right="580" w:firstLine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C1164">
        <w:rPr>
          <w:rFonts w:asciiTheme="minorHAnsi" w:hAnsiTheme="minorHAnsi" w:cstheme="minorHAnsi"/>
          <w:b/>
          <w:sz w:val="22"/>
          <w:szCs w:val="22"/>
        </w:rPr>
        <w:t>Zakładu Gospodarowania Nieruchomościami w Dzielnicy Śródmieście m.st. Warszawy</w:t>
      </w:r>
    </w:p>
    <w:p w:rsidR="003E2EC0" w:rsidRPr="0008201B" w:rsidRDefault="00670989" w:rsidP="0008201B">
      <w:pPr>
        <w:pStyle w:val="Nagwek1"/>
        <w:spacing w:before="120" w:after="240" w:line="300" w:lineRule="auto"/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C1164">
        <w:rPr>
          <w:rFonts w:asciiTheme="minorHAnsi" w:hAnsiTheme="minorHAnsi" w:cstheme="minorHAnsi"/>
          <w:b/>
          <w:color w:val="auto"/>
          <w:sz w:val="22"/>
          <w:szCs w:val="22"/>
        </w:rPr>
        <w:t>Wystąpienie pokontrolne</w:t>
      </w:r>
    </w:p>
    <w:p w:rsidR="005B5074" w:rsidRPr="00AC1164" w:rsidRDefault="003E2EC0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Style w:val="Bodytext2SmallCaps"/>
          <w:rFonts w:asciiTheme="minorHAnsi" w:hAnsiTheme="minorHAnsi" w:cstheme="minorHAnsi"/>
          <w:sz w:val="22"/>
          <w:szCs w:val="22"/>
        </w:rPr>
        <w:t>N</w:t>
      </w:r>
      <w:r w:rsidR="00670989" w:rsidRPr="00AC1164">
        <w:rPr>
          <w:rFonts w:asciiTheme="minorHAnsi" w:hAnsiTheme="minorHAnsi" w:cstheme="minorHAnsi"/>
          <w:sz w:val="22"/>
          <w:szCs w:val="22"/>
        </w:rPr>
        <w:t xml:space="preserve"> podstawie § 22 ust. 10 Regulaminu organizacyjnego Urzędu m.st. Warszawy, stanowiącego załącznik do zarządzenia Nr </w:t>
      </w:r>
      <w:r w:rsidR="00670989"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="00670989" w:rsidRPr="00AC1164">
        <w:rPr>
          <w:rFonts w:asciiTheme="minorHAnsi" w:hAnsiTheme="minorHAnsi" w:cstheme="minorHAnsi"/>
          <w:sz w:val="22"/>
          <w:szCs w:val="22"/>
        </w:rPr>
        <w:t>Prezydenta Miasta Stołecznego Warszawy z dnia 4 kwietnia 2007 r. w sprawie nadania regulaminu organizacyjnego Urzędu m.st. Warszawy (ze zm.), w związku kontrolą</w:t>
      </w:r>
      <w:r w:rsidR="00670989"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="00670989" w:rsidRPr="00AC1164">
        <w:rPr>
          <w:rFonts w:asciiTheme="minorHAnsi" w:hAnsiTheme="minorHAnsi" w:cstheme="minorHAnsi"/>
          <w:sz w:val="22"/>
          <w:szCs w:val="22"/>
        </w:rPr>
        <w:t xml:space="preserve"> przeprowadzoną przez Biuro Kontroli Urzędu m.st. Warszawy w Zakładzie Gospodarowania Nieruchomościami w Dzielnicy Śródmieście m.st. Warszawy (dalej: ZGN Śródmieście lub Zakład), której wyniki zostały przedstawione w protokole kontroli podpisanym 11 </w:t>
      </w:r>
      <w:proofErr w:type="spellStart"/>
      <w:r w:rsidR="00670989" w:rsidRPr="00AC1164">
        <w:rPr>
          <w:rFonts w:asciiTheme="minorHAnsi" w:hAnsiTheme="minorHAnsi" w:cstheme="minorHAnsi"/>
          <w:sz w:val="22"/>
          <w:szCs w:val="22"/>
        </w:rPr>
        <w:t>iipca</w:t>
      </w:r>
      <w:proofErr w:type="spellEnd"/>
      <w:r w:rsidR="00670989" w:rsidRPr="00AC1164">
        <w:rPr>
          <w:rFonts w:asciiTheme="minorHAnsi" w:hAnsiTheme="minorHAnsi" w:cstheme="minorHAnsi"/>
          <w:sz w:val="22"/>
          <w:szCs w:val="22"/>
        </w:rPr>
        <w:t xml:space="preserve"> 2022 r., stosownie do § 39 ust. 1 i ust. 2 oraz § 38 ust. 3 zarządzenia Nr </w:t>
      </w:r>
      <w:r w:rsidR="00670989"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="00670989" w:rsidRPr="00AC1164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Pani Dyrektor wystąpienie pokontrolne.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Jednocześnie informuję, że na podstawie wyników kontroli oraz dokumentacji pokontrolnej związanej z przeprowadzoną kontrolą nie znalazłem uzasadnienia do powołania Komisji Uzgodnieniowej, celem rozpatrzenia złożonych przez Panią Dyrektor zastrzeżeń do projektu wystąpienia pokontrolnego, zatem w oparciu o § 38 u</w:t>
      </w:r>
      <w:bookmarkStart w:id="0" w:name="_GoBack"/>
      <w:bookmarkEnd w:id="0"/>
      <w:r w:rsidRPr="00AC1164">
        <w:rPr>
          <w:rFonts w:asciiTheme="minorHAnsi" w:hAnsiTheme="minorHAnsi" w:cstheme="minorHAnsi"/>
          <w:sz w:val="22"/>
          <w:szCs w:val="22"/>
        </w:rPr>
        <w:t>st. 2 Zarządzenia odmówiłem powołania Komisji.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ZGN Śródmieście jest jednostką budżetową, utworzoną uchwałą Nr X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111/1019/2004 </w:t>
      </w:r>
      <w:r w:rsidRPr="00AC1164">
        <w:rPr>
          <w:rFonts w:asciiTheme="minorHAnsi" w:hAnsiTheme="minorHAnsi" w:cstheme="minorHAnsi"/>
          <w:sz w:val="22"/>
          <w:szCs w:val="22"/>
        </w:rPr>
        <w:t>Rady Miasta Stołecznego Warszawy z dnia 2 grudnia 2004 r.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AC1164">
        <w:rPr>
          <w:rFonts w:asciiTheme="minorHAnsi" w:hAnsiTheme="minorHAnsi" w:cstheme="minorHAnsi"/>
          <w:sz w:val="22"/>
          <w:szCs w:val="22"/>
        </w:rPr>
        <w:t xml:space="preserve">, funkcjonującą na podstawie statutu stanowiącego </w:t>
      </w:r>
      <w:r w:rsidRPr="00AC1164">
        <w:rPr>
          <w:rFonts w:asciiTheme="minorHAnsi" w:hAnsiTheme="minorHAnsi" w:cstheme="minorHAnsi"/>
          <w:sz w:val="22"/>
          <w:szCs w:val="22"/>
        </w:rPr>
        <w:lastRenderedPageBreak/>
        <w:t xml:space="preserve">załącznik do uchwały. Zadaniom Zakładu jest m.in. gospodarowanie w granicach zwykłego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zarządu,w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sposób i na zasadach określonych przepisami prawa oraz ustaleniami organów m.st. Warszawy mieszkaniowym zasobem m.st. Warszawy, powierzonym zasobem nieruchomości m.st. Warszawy.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Ustalono, że Zakład w 2021 uzyskał dochody w łącznej kwocie 216 559 594,00 zł {89% planowanych dochodów), w tym dochody z najmu i dzierżawy składników majątku wyniosły 150 793 009,00 zł (89% planu), z tytułu pozostałych odsetek dochody wyniosły 1749 885,00 zł (165% planu), wpływy z rozliczeń/zwrotów z lat ubiegłych wyniosły 3 715 222,00 zł (244% planu), wpływy z tytułu kosztów egzekucyjnych, opłaty komorniczej i kosztów upomnień wyniosły 75 550,00 zł (63% planu), wpływy z usług wyniosły 55 777 173,00 zł (84% planu), wpływy z różnych dochodów uzyskano w kwocie 4 472 118,00 zł (105% planu); zmniejszenie po stronie dochodów w kwocie 23 363,00 zł nastąpiło z tyt. kar i odszkodowań wynikających z umów.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Dokumentację określającą zasady (politykę) rachunkowości, opracowaną stosownie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 art. </w:t>
      </w:r>
      <w:r w:rsidRPr="00AC1164">
        <w:rPr>
          <w:rFonts w:asciiTheme="minorHAnsi" w:hAnsiTheme="minorHAnsi" w:cstheme="minorHAnsi"/>
          <w:sz w:val="22"/>
          <w:szCs w:val="22"/>
        </w:rPr>
        <w:t>10 ustawy z dnia 29 września 1994 r. o rachunkowości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AC1164">
        <w:rPr>
          <w:rFonts w:asciiTheme="minorHAnsi" w:hAnsiTheme="minorHAnsi" w:cstheme="minorHAnsi"/>
          <w:sz w:val="22"/>
          <w:szCs w:val="22"/>
        </w:rPr>
        <w:t xml:space="preserve">, wprowadzono zarządzeniem nr 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6/2016 </w:t>
      </w:r>
      <w:r w:rsidRPr="00AC1164">
        <w:rPr>
          <w:rFonts w:asciiTheme="minorHAnsi" w:hAnsiTheme="minorHAnsi" w:cstheme="minorHAnsi"/>
          <w:sz w:val="22"/>
          <w:szCs w:val="22"/>
        </w:rPr>
        <w:t>Dyrektora ZGIM Śródmieście z dnia 13 kwietnia 2016 r.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</w:p>
    <w:p w:rsidR="005B5074" w:rsidRPr="00AC1164" w:rsidRDefault="00670989" w:rsidP="0008201B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b w:val="0"/>
          <w:sz w:val="22"/>
          <w:szCs w:val="22"/>
        </w:rPr>
      </w:pPr>
      <w:r w:rsidRPr="00AC1164">
        <w:rPr>
          <w:rFonts w:asciiTheme="minorHAnsi" w:hAnsiTheme="minorHAnsi" w:cstheme="minorHAnsi"/>
          <w:b w:val="0"/>
          <w:sz w:val="22"/>
          <w:szCs w:val="22"/>
        </w:rPr>
        <w:t>Prawidłowość naliczania i ujmowania w księgach rachunkowych należności oraz prowadzenie postępowań przy umarzaniu z urzędu należności m.st Warszawy o charakterze cywilnoprawnym.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Stosownie do § 5 Załącznika do zarządzenia nr 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2331/2012 </w:t>
      </w:r>
      <w:r w:rsidRPr="00AC1164">
        <w:rPr>
          <w:rFonts w:asciiTheme="minorHAnsi" w:hAnsiTheme="minorHAnsi" w:cstheme="minorHAnsi"/>
          <w:sz w:val="22"/>
          <w:szCs w:val="22"/>
        </w:rPr>
        <w:t xml:space="preserve">Prezydenta m.st. Warszawy z 16 </w:t>
      </w:r>
      <w:r w:rsidRPr="00AC1164">
        <w:rPr>
          <w:rFonts w:asciiTheme="minorHAnsi" w:hAnsiTheme="minorHAnsi" w:cstheme="minorHAnsi"/>
          <w:sz w:val="22"/>
          <w:szCs w:val="22"/>
        </w:rPr>
        <w:lastRenderedPageBreak/>
        <w:t xml:space="preserve">kwietnia 2012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r.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>s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Dyrektor Zakładu wydał zarządzenia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AC1164">
        <w:rPr>
          <w:rFonts w:asciiTheme="minorHAnsi" w:hAnsiTheme="minorHAnsi" w:cstheme="minorHAnsi"/>
          <w:sz w:val="22"/>
          <w:szCs w:val="22"/>
        </w:rPr>
        <w:t xml:space="preserve"> określając szczegółowe instrukcje postępowania windykacyjnego, uwzględniając strukturę organizacyjną ZGN Śródmieście, wskazując czynności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windykatora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>, pełnomocnika procesowego, przypisano odpowiedzialność na poszczególnych etapach windykacji właściwym pracownikom, określono terminy na dokonanie poszczególnych czynności windykacyjnych, na każdym etapie windykacji, a także wzory dokumentów związanych z ww. czynnościami.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Ustalono, że na 31 grudnia 2021 r. łączna kwota zadłużenia z tytułu najmu lokali mieszkalnych wyniosła 4 926 679,78 zł i w porównaniu do stanu na 1 stycznia 2021 r. był to wzrost o 33,3% kwoty zadłużenia; wzrost liczby zadłużonych najemców o 5%. W odniesieniu do najemców lokali użytkowych zadłużenie na 31 grudnia 2021 r. wynosiło łącznie 12 101740,92 zł i w porównaniu do stanu na 1 stycznia 2021 r. nastąpiło zmniejszenie kwoty zadłużenia o 27,9%; zmniejszenie liczby zadłużonych najemców o 14,5%.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Zgodnie z danymi Zakładu w 2021 roku 309 najemców lokali mieszkalnych i 20 najemców lokali użytkowych, których zadłużenie nie przekraczało kwoty 20 000,00 zł, złożyło wnioski o rozłożenia płatności na raty lub umorzenie zaległości. W przypadku 210 wniosków, z uwagi, że kwota zadłużenia przekraczała 20 000 złotych, wnioski o rozłożenia płatności na raty lub o umorzenie zadłużenia przekazywano do Biura Długu i Restrukturyzacji Wierzytelności m.st. Warszawy.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Próbą kontrolną w zakresie prowadzenia windykacji należności cywilnoprawnych objęto dokumentację 4 dłużników lokali mieszkalnych oraz 6 dłużników lokali użytkowych.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AC1164">
        <w:rPr>
          <w:rStyle w:val="Bodytext2Italic"/>
          <w:rFonts w:asciiTheme="minorHAnsi" w:hAnsiTheme="minorHAnsi" w:cstheme="minorHAnsi"/>
          <w:sz w:val="22"/>
          <w:szCs w:val="22"/>
        </w:rPr>
        <w:t>2</w:t>
      </w:r>
      <w:r w:rsidRPr="00AC1164">
        <w:rPr>
          <w:rFonts w:asciiTheme="minorHAnsi" w:hAnsiTheme="minorHAnsi" w:cstheme="minorHAnsi"/>
          <w:sz w:val="22"/>
          <w:szCs w:val="22"/>
        </w:rPr>
        <w:t xml:space="preserve"> dłużników lokali mieszkalnych podjęto decyzję o rozłożenie spłaty zadłużenia w ratach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>7</w:t>
      </w:r>
      <w:r w:rsidRPr="00AC1164">
        <w:rPr>
          <w:rFonts w:asciiTheme="minorHAnsi" w:hAnsiTheme="minorHAnsi" w:cstheme="minorHAnsi"/>
          <w:sz w:val="22"/>
          <w:szCs w:val="22"/>
        </w:rPr>
        <w:t>, w 1 przypadku umorzono kwotę zaległości wraz z odsetkami wynoszącą łącznie 3 565,34 zł z uwagi, iż dłużnik wniósł o rozwiąza</w:t>
      </w:r>
      <w:r w:rsidR="006A7A93" w:rsidRPr="00AC1164">
        <w:rPr>
          <w:rFonts w:asciiTheme="minorHAnsi" w:hAnsiTheme="minorHAnsi" w:cstheme="minorHAnsi"/>
          <w:sz w:val="22"/>
          <w:szCs w:val="22"/>
        </w:rPr>
        <w:t>nie umowy najmu w zw. z przebywa</w:t>
      </w:r>
      <w:r w:rsidRPr="00AC1164">
        <w:rPr>
          <w:rFonts w:asciiTheme="minorHAnsi" w:hAnsiTheme="minorHAnsi" w:cstheme="minorHAnsi"/>
          <w:sz w:val="22"/>
          <w:szCs w:val="22"/>
        </w:rPr>
        <w:t xml:space="preserve">niem w Domu Pomory Społecznej, natomiast dochód pozostający w dyspozycji byłego najemcy „nie daje szans na </w:t>
      </w:r>
      <w:r w:rsidRPr="00AC1164">
        <w:rPr>
          <w:rFonts w:asciiTheme="minorHAnsi" w:hAnsiTheme="minorHAnsi" w:cstheme="minorHAnsi"/>
          <w:sz w:val="22"/>
          <w:szCs w:val="22"/>
        </w:rPr>
        <w:lastRenderedPageBreak/>
        <w:t>odzyskanie długu". W przypadku 1 dłużnika lokalu mieszkalnego, Prezydent m.st. Warszawy wydał decyzję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Pr="00AC1164">
        <w:rPr>
          <w:rFonts w:asciiTheme="minorHAnsi" w:hAnsiTheme="minorHAnsi" w:cstheme="minorHAnsi"/>
          <w:sz w:val="22"/>
          <w:szCs w:val="22"/>
        </w:rPr>
        <w:t xml:space="preserve"> odmowną o udzielenia ulgi, z uwagi na niedopełnienie procedur o których mowa w § 2 ust. 3 uchwały nr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LXXXIX/2643/2010 </w:t>
      </w:r>
      <w:r w:rsidRPr="00AC1164">
        <w:rPr>
          <w:rFonts w:asciiTheme="minorHAnsi" w:hAnsiTheme="minorHAnsi" w:cstheme="minorHAnsi"/>
          <w:sz w:val="22"/>
          <w:szCs w:val="22"/>
        </w:rPr>
        <w:t>Rady m.st. Warszawy z dnia 9 września 2010 r.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>9</w:t>
      </w:r>
      <w:r w:rsidRPr="00AC1164">
        <w:rPr>
          <w:rFonts w:asciiTheme="minorHAnsi" w:hAnsiTheme="minorHAnsi" w:cstheme="minorHAnsi"/>
          <w:sz w:val="22"/>
          <w:szCs w:val="22"/>
        </w:rPr>
        <w:t>; obecnie w sprawie trwają postępowania Komornika Sądowego o przeprowadzenie egzekucji zadłużenia.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W przypadku 2 najemców lokali użytkowych na mocy decyzji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AC1164">
        <w:rPr>
          <w:rFonts w:asciiTheme="minorHAnsi" w:hAnsiTheme="minorHAnsi" w:cstheme="minorHAnsi"/>
          <w:sz w:val="22"/>
          <w:szCs w:val="22"/>
        </w:rPr>
        <w:t xml:space="preserve"> Prezydenta m.st. Warszawy nastąpiła odmowa rozłożenia zadłużenia na raty /umorzenia; w 1 przypadku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AC1164">
        <w:rPr>
          <w:rFonts w:asciiTheme="minorHAnsi" w:hAnsiTheme="minorHAnsi" w:cstheme="minorHAnsi"/>
          <w:sz w:val="22"/>
          <w:szCs w:val="22"/>
        </w:rPr>
        <w:t xml:space="preserve"> Dyrektor ZGN Śródmieście nie przychylił się do rekomendacji wewnętrznej komisji, gdyż w okresie pomiędzy dniem złożenia wniosku o rozłożenie zaległości na raty a decyzją komisji, wnioskodawczym nie wnosiła bieżących opłat. W przypadku 2 dłużników lokali użytkowych rekomendacje komisji o rozłożenie spłaty zadłużenia w ratach pozytywnie zaopiniował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AC1164">
        <w:rPr>
          <w:rFonts w:asciiTheme="minorHAnsi" w:hAnsiTheme="minorHAnsi" w:cstheme="minorHAnsi"/>
          <w:sz w:val="22"/>
          <w:szCs w:val="22"/>
        </w:rPr>
        <w:t xml:space="preserve"> Dyrektor ZGN Śródmieście, w 1 przypadku umowę o spłatę zadłużenia w ratach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AC1164">
        <w:rPr>
          <w:rFonts w:asciiTheme="minorHAnsi" w:hAnsiTheme="minorHAnsi" w:cstheme="minorHAnsi"/>
          <w:sz w:val="22"/>
          <w:szCs w:val="22"/>
        </w:rPr>
        <w:t xml:space="preserve"> podpisano w imieniu Prezydenta m.st. Warszawy. W 2021 roku nie dokonano na wniosek umorzenia zadłużenia w związku z wynajmem lokali użytkowych.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Przy rozpatrywaniu wniosków dotyczących ulg w spłacie należności dokonywano oceny sytuacji majątkowej dłużników w oparciu o złożone dokumenty. W dokumentacji z postępowań znajdują się protokoły z posiedzenia komisji i rekomendacje, zatem należy ocenić, że w badanej próbie,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ZGN Śródmieście przeprowadzał procedurę udzielania ulg w spłacie zadłużenia zgodnie z zasadami określonymi w zarządzeniach nr 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17/2019 </w:t>
      </w:r>
      <w:r w:rsidRPr="00AC1164">
        <w:rPr>
          <w:rFonts w:asciiTheme="minorHAnsi" w:hAnsiTheme="minorHAnsi" w:cstheme="minorHAnsi"/>
          <w:sz w:val="22"/>
          <w:szCs w:val="22"/>
        </w:rPr>
        <w:t xml:space="preserve">Dyrektora ZGN Śródmieście z 24 października 2019 r. oraz nr 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24/2019 </w:t>
      </w:r>
      <w:r w:rsidRPr="00AC1164">
        <w:rPr>
          <w:rFonts w:asciiTheme="minorHAnsi" w:hAnsiTheme="minorHAnsi" w:cstheme="minorHAnsi"/>
          <w:sz w:val="22"/>
          <w:szCs w:val="22"/>
        </w:rPr>
        <w:t xml:space="preserve">Dyrektora ZGN w Dzielnicy Śródmieście m.st. Warszawy z 5 grudnia 2019 r., stosownie do uchwały Nr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>LXXXIX/2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643/2010 </w:t>
      </w:r>
      <w:r w:rsidRPr="00AC1164">
        <w:rPr>
          <w:rFonts w:asciiTheme="minorHAnsi" w:hAnsiTheme="minorHAnsi" w:cstheme="minorHAnsi"/>
          <w:sz w:val="22"/>
          <w:szCs w:val="22"/>
        </w:rPr>
        <w:t>Rady m.st. Warszawy z dnia 9 września 2010 r.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 przypadku pomocy dla firm zawierano informację o pomocy publicznej i jej wyliczenie (pomoc de </w:t>
      </w:r>
      <w:proofErr w:type="spellStart"/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>minimis</w:t>
      </w:r>
      <w:proofErr w:type="spellEnd"/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). </w:t>
      </w:r>
      <w:r w:rsidRPr="00AC1164">
        <w:rPr>
          <w:rFonts w:asciiTheme="minorHAnsi" w:hAnsiTheme="minorHAnsi" w:cstheme="minorHAnsi"/>
          <w:sz w:val="22"/>
          <w:szCs w:val="22"/>
        </w:rPr>
        <w:t xml:space="preserve">Odsetki w przypadku należności, co do których udzielono ulg, naliczane są do dnia złożenia wniosku, a spłatę ewidencjonowano na analitycznym koncie dłużnika. W przypadku pozostałych nieuregulowanych należności cywilnoprawnych odsetki są naliczane i ujmowane są co </w:t>
      </w:r>
      <w:r w:rsidRPr="00AC1164">
        <w:rPr>
          <w:rFonts w:asciiTheme="minorHAnsi" w:hAnsiTheme="minorHAnsi" w:cstheme="minorHAnsi"/>
          <w:sz w:val="22"/>
          <w:szCs w:val="22"/>
        </w:rPr>
        <w:lastRenderedPageBreak/>
        <w:t>miesiąc.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 2021 roku dokonano umorzenia z urzędu należności 3 dłużników, w tym w 2 przypadkach na zasadach określonych w § 3 pkt 1 uchwały Nr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LXXXIX/2643/2010 </w:t>
      </w:r>
      <w:r w:rsidRPr="00AC1164">
        <w:rPr>
          <w:rFonts w:asciiTheme="minorHAnsi" w:hAnsiTheme="minorHAnsi" w:cstheme="minorHAnsi"/>
          <w:sz w:val="22"/>
          <w:szCs w:val="22"/>
        </w:rPr>
        <w:t>Rady m.st. Warszawy z dnia 9 września 2010 r., na podstawie Wniosków Zespołu Windykacyjno-Procesowego, pozytywnie zaopiniowanych przez Dyrektora ZGN Śródmieście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AC1164">
        <w:rPr>
          <w:rFonts w:asciiTheme="minorHAnsi" w:hAnsiTheme="minorHAnsi" w:cstheme="minorHAnsi"/>
          <w:sz w:val="22"/>
          <w:szCs w:val="22"/>
        </w:rPr>
        <w:t>; łączna kwota zadłużenia wynosiła 8196,72 zł, w tym odsetki 2 393,93 zł. W 1 przypadku umorzono zadłużenie najmu lokalu użytkowego, wynoszące łącznie 189,47 zł, gdyż oceniono, że zachodzi uzasadnione przypuszczenie, że w postępowaniu egzekucyjnym nie uzyska się kwoty wyższej od kosztów dochodzenia i egzekucji tej należności.</w:t>
      </w:r>
    </w:p>
    <w:p w:rsidR="005B5074" w:rsidRPr="00AC1164" w:rsidRDefault="00670989" w:rsidP="0008201B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b w:val="0"/>
          <w:sz w:val="22"/>
          <w:szCs w:val="22"/>
        </w:rPr>
      </w:pPr>
      <w:r w:rsidRPr="00AC1164">
        <w:rPr>
          <w:rFonts w:asciiTheme="minorHAnsi" w:hAnsiTheme="minorHAnsi" w:cstheme="minorHAnsi"/>
          <w:b w:val="0"/>
          <w:sz w:val="22"/>
          <w:szCs w:val="22"/>
        </w:rPr>
        <w:t xml:space="preserve">Prawidłowość rozliczeń podatku od towarów i usług, w szczególności z uwzględnieniem przypadków określonych w </w:t>
      </w:r>
      <w:r w:rsidRPr="00AC1164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AC1164">
        <w:rPr>
          <w:rFonts w:asciiTheme="minorHAnsi" w:hAnsiTheme="minorHAnsi" w:cstheme="minorHAnsi"/>
          <w:b w:val="0"/>
          <w:sz w:val="22"/>
          <w:szCs w:val="22"/>
        </w:rPr>
        <w:t>86 ust. 19a ustawy z dnia 11 marca 2004 r. o podatku od towarów i usług</w:t>
      </w:r>
      <w:r w:rsidRPr="00AC1164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erence w:id="18"/>
      </w:r>
      <w:r w:rsidRPr="00AC1164">
        <w:rPr>
          <w:rFonts w:asciiTheme="minorHAnsi" w:hAnsiTheme="minorHAnsi" w:cstheme="minorHAnsi"/>
          <w:b w:val="0"/>
          <w:sz w:val="22"/>
          <w:szCs w:val="22"/>
        </w:rPr>
        <w:t xml:space="preserve"> oraz w zakresie prawidłowość naliczania i ujmowania w księgach rachunkowych należności.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ZGN Śródmieście jako budżetowa jednostka organizacyjna Miasta Stołecznego Warszawy dokonuje wspólnego rozliczenia podatku od towarów i usług (dalej: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VAT) </w:t>
      </w:r>
      <w:r w:rsidRPr="00AC1164">
        <w:rPr>
          <w:rFonts w:asciiTheme="minorHAnsi" w:hAnsiTheme="minorHAnsi" w:cstheme="minorHAnsi"/>
          <w:sz w:val="22"/>
          <w:szCs w:val="22"/>
        </w:rPr>
        <w:t xml:space="preserve">w oparciu o zasady ustalone w zarządzeniu nr 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1746/2015 </w:t>
      </w:r>
      <w:r w:rsidRPr="00AC1164">
        <w:rPr>
          <w:rFonts w:asciiTheme="minorHAnsi" w:hAnsiTheme="minorHAnsi" w:cstheme="minorHAnsi"/>
          <w:sz w:val="22"/>
          <w:szCs w:val="22"/>
        </w:rPr>
        <w:t>Prezydenta m.st. Warszawy z dnia 28 grudnia 2015 r. w sprawie centralizacji rozliczeń podatku od towarów i usług m.st. Warszawy (ze zm.), w tym w załączniku nr 1 do zarządzenia.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AC1164">
        <w:rPr>
          <w:rFonts w:asciiTheme="minorHAnsi" w:hAnsiTheme="minorHAnsi" w:cstheme="minorHAnsi"/>
          <w:sz w:val="22"/>
          <w:szCs w:val="22"/>
        </w:rPr>
        <w:t xml:space="preserve"> Zasady ujmowania operacji związanych z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opisano w dokumentacji określającej zasady (politykę) rachunkowości ZGN Śródmieście.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Zakład, rozliczający podatek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w ramach scentralizowanego systemu rozliczeń m.st. Warszawy, korzysta z prawa do odliczenia podatku naliczonego w oparciu o współczynnik struktury sprzedaży. Odliczenie to, stosownie do treści obowiązujących w tym zakresie przepisów prawa podatkowego, dokonywane jest dwuetapowo, tj.:</w:t>
      </w:r>
    </w:p>
    <w:p w:rsidR="005B5074" w:rsidRPr="00AC1164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5"/>
        </w:tabs>
        <w:spacing w:before="120" w:after="240" w:line="300" w:lineRule="auto"/>
        <w:ind w:left="380" w:hanging="38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przez okres od stycznia do grudnia danego roku podatkowego na podstawie zaliczkowego współczynnika struktury sprzedaży wyliczonego na bazie danych dotyczących roku poprzedniego;</w:t>
      </w:r>
    </w:p>
    <w:p w:rsidR="005B5074" w:rsidRPr="00AC1164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5"/>
        </w:tabs>
        <w:spacing w:before="120" w:after="240" w:line="300" w:lineRule="auto"/>
        <w:ind w:left="380" w:hanging="38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po zakończeniu danego roku podatkowego na podstawie rzeczywistego współczynnika struktury sprzedaży wyliczonego zgodnie z postanowieniami ustawy o podatku od towarów i usług.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lastRenderedPageBreak/>
        <w:t>Wyliczona różnica pomiędzy współczynnikiem struktury sprzedaży ujmowana jest:</w:t>
      </w:r>
    </w:p>
    <w:p w:rsidR="005B5074" w:rsidRPr="00AC1164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 pozostałe koszty operacyjne - jeżeli zaliczkowy współczynnik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struktui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у </w:t>
      </w:r>
      <w:r w:rsidRPr="00AC1164">
        <w:rPr>
          <w:rFonts w:asciiTheme="minorHAnsi" w:hAnsiTheme="minorHAnsi" w:cstheme="minorHAnsi"/>
          <w:sz w:val="22"/>
          <w:szCs w:val="22"/>
        </w:rPr>
        <w:t>sprzedaży jest wyższy niż rzeczywisty;</w:t>
      </w:r>
    </w:p>
    <w:p w:rsidR="005B5074" w:rsidRPr="00AC1164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 pozostałe przychody operacyjne - jeżeli zaliczkowy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współczyi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inik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struktury sprzedaży jest niższy niż rzeczywisty.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 deklaracjach dla podatku od towarów i usług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(VAT-7) </w:t>
      </w:r>
      <w:r w:rsidRPr="00AC1164">
        <w:rPr>
          <w:rFonts w:asciiTheme="minorHAnsi" w:hAnsiTheme="minorHAnsi" w:cstheme="minorHAnsi"/>
          <w:sz w:val="22"/>
          <w:szCs w:val="22"/>
        </w:rPr>
        <w:t>składanych za każdy miesiąc 2021 r.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(z uwzględnieniem korekt za styczeń i marzec 2021 r.) wykazano łączną kwotę podatku należnego (podstawa opodatkowania) 191562 253,94 zł, podatek naliczony 26 990 93.8,51 zł (14,09% podstawy opodatkowania średnio), natomiast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łącznn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kwota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pudatku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naliczonego (do odliczenia) wynosiła 2 379 244,30 zł. Kwota podatku podlegająca odprowadzeniu do urzędu skarbowego wynosiła 24 613 674,21 zł.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Zgodnie z zapisami analitycznymi konta 225 „Rozrachunki z budżetami":</w:t>
      </w:r>
    </w:p>
    <w:p w:rsidR="005B5074" w:rsidRPr="00AC1164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należny (B.O. + obroty narastająco)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AC1164">
        <w:rPr>
          <w:rFonts w:asciiTheme="minorHAnsi" w:hAnsiTheme="minorHAnsi" w:cstheme="minorHAnsi"/>
          <w:sz w:val="22"/>
          <w:szCs w:val="22"/>
        </w:rPr>
        <w:t xml:space="preserve"> kwota 27 168 304,91 zł,</w:t>
      </w:r>
    </w:p>
    <w:p w:rsidR="005B5074" w:rsidRPr="00AC1164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rozliczenie VAT-u należnego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AC1164">
        <w:rPr>
          <w:rFonts w:asciiTheme="minorHAnsi" w:hAnsiTheme="minorHAnsi" w:cstheme="minorHAnsi"/>
          <w:sz w:val="22"/>
          <w:szCs w:val="22"/>
        </w:rPr>
        <w:t xml:space="preserve"> kwota 27 009 304,81 zł,</w:t>
      </w:r>
    </w:p>
    <w:p w:rsidR="005B5074" w:rsidRPr="00AC1164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naliczony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AC1164">
        <w:rPr>
          <w:rFonts w:asciiTheme="minorHAnsi" w:hAnsiTheme="minorHAnsi" w:cstheme="minorHAnsi"/>
          <w:sz w:val="22"/>
          <w:szCs w:val="22"/>
        </w:rPr>
        <w:t xml:space="preserve"> (B.O. + obroty narastająco) kwota 2 439 717,81 zł,</w:t>
      </w:r>
    </w:p>
    <w:p w:rsidR="005B5074" w:rsidRPr="0008201B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rozliczenie VAT-u naliczonego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3"/>
      </w:r>
      <w:r w:rsidRPr="00AC1164">
        <w:rPr>
          <w:rFonts w:asciiTheme="minorHAnsi" w:hAnsiTheme="minorHAnsi" w:cstheme="minorHAnsi"/>
          <w:sz w:val="22"/>
          <w:szCs w:val="22"/>
        </w:rPr>
        <w:t xml:space="preserve"> (należności) kwota 2 439 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/08,74 </w:t>
      </w:r>
      <w:r w:rsidRPr="00AC1164">
        <w:rPr>
          <w:rFonts w:asciiTheme="minorHAnsi" w:hAnsiTheme="minorHAnsi" w:cstheme="minorHAnsi"/>
          <w:sz w:val="22"/>
          <w:szCs w:val="22"/>
        </w:rPr>
        <w:t>zł, (zobowiązania)</w:t>
      </w:r>
      <w:r w:rsidR="0008201B">
        <w:rPr>
          <w:rFonts w:asciiTheme="minorHAnsi" w:hAnsiTheme="minorHAnsi" w:cstheme="minorHAnsi"/>
          <w:sz w:val="22"/>
          <w:szCs w:val="22"/>
        </w:rPr>
        <w:t xml:space="preserve"> </w:t>
      </w:r>
      <w:r w:rsidRPr="0008201B">
        <w:rPr>
          <w:rFonts w:asciiTheme="minorHAnsi" w:hAnsiTheme="minorHAnsi" w:cstheme="minorHAnsi"/>
          <w:sz w:val="22"/>
          <w:szCs w:val="22"/>
        </w:rPr>
        <w:t>2 473 013,86 zł, saldo (zobowiązania wobec budżetu) wynosiło 33 305,12 zł.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Różnica pomiędzy kwotą rozliczenia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VAT-u </w:t>
      </w:r>
      <w:r w:rsidRPr="00AC1164">
        <w:rPr>
          <w:rFonts w:asciiTheme="minorHAnsi" w:hAnsiTheme="minorHAnsi" w:cstheme="minorHAnsi"/>
          <w:sz w:val="22"/>
          <w:szCs w:val="22"/>
        </w:rPr>
        <w:t xml:space="preserve">należnego wykazanego na koncie 225 a kwotą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należny wykazanego w deklaracji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VAT-7 </w:t>
      </w:r>
      <w:r w:rsidRPr="00AC1164">
        <w:rPr>
          <w:rFonts w:asciiTheme="minorHAnsi" w:hAnsiTheme="minorHAnsi" w:cstheme="minorHAnsi"/>
          <w:sz w:val="22"/>
          <w:szCs w:val="22"/>
        </w:rPr>
        <w:t xml:space="preserve">wyniosła 16 386,30 zł, zaś różnica rozliczenia VAT-u naliczonego po stronie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Wn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wynosi 60 464,44 zł i po stronie Ma 93 769,56 zł.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Zgodnie zapisami konta 280 „Rozliczenie z dzielnicą z tytułu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>VAT":</w:t>
      </w:r>
    </w:p>
    <w:p w:rsidR="005B5074" w:rsidRPr="00AC1164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należny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4"/>
      </w:r>
      <w:r w:rsidRPr="00AC1164">
        <w:rPr>
          <w:rFonts w:asciiTheme="minorHAnsi" w:hAnsiTheme="minorHAnsi" w:cstheme="minorHAnsi"/>
          <w:sz w:val="22"/>
          <w:szCs w:val="22"/>
        </w:rPr>
        <w:t xml:space="preserve"> (należności) kwota 30 376 560,99 zł, (zobowiązania) 31164 450,94 zł</w:t>
      </w:r>
    </w:p>
    <w:p w:rsidR="005B5074" w:rsidRPr="00AC1164" w:rsidRDefault="00670989" w:rsidP="0008201B">
      <w:pPr>
        <w:pStyle w:val="Bodytext20"/>
        <w:numPr>
          <w:ilvl w:val="0"/>
          <w:numId w:val="1"/>
        </w:numPr>
        <w:shd w:val="clear" w:color="auto" w:fill="auto"/>
        <w:tabs>
          <w:tab w:val="left" w:pos="353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naliczony - saldo należności 456 591,77 zł.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Różnica pomiędzy kwotą rozliczenia z Dzielnicą VAT-u należnego wykazanego na koncie 280 a </w:t>
      </w:r>
      <w:r w:rsidRPr="00AC1164">
        <w:rPr>
          <w:rFonts w:asciiTheme="minorHAnsi" w:hAnsiTheme="minorHAnsi" w:cstheme="minorHAnsi"/>
          <w:sz w:val="22"/>
          <w:szCs w:val="22"/>
        </w:rPr>
        <w:lastRenderedPageBreak/>
        <w:t xml:space="preserve">kwotą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należny wykazaną w deklaracji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VAT-7 </w:t>
      </w:r>
      <w:r w:rsidRPr="00AC1164">
        <w:rPr>
          <w:rFonts w:asciiTheme="minorHAnsi" w:hAnsiTheme="minorHAnsi" w:cstheme="minorHAnsi"/>
          <w:sz w:val="22"/>
          <w:szCs w:val="22"/>
        </w:rPr>
        <w:t xml:space="preserve">wyniosła po stronie zobowiązań 3 383 624,48 zł i po stronie należności 4 171532,43 zł. Różnica pomiędzy kwotą rozliczenia z Dzielnicą VAT-u naliczonego wykazanego na koncie 280 a kwotą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naliczony wykazaną w deklaracji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VAT-7 </w:t>
      </w:r>
      <w:r w:rsidRPr="00AC1164">
        <w:rPr>
          <w:rFonts w:asciiTheme="minorHAnsi" w:hAnsiTheme="minorHAnsi" w:cstheme="minorHAnsi"/>
          <w:sz w:val="22"/>
          <w:szCs w:val="22"/>
        </w:rPr>
        <w:t xml:space="preserve">wyniosła po stronie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Wn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791 378,18 zł i po stronie Mn 334 786,41 zł. Różnica pomiędzy kwotą rozliczenia z Dzielnicą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należny na koncie 280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 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należny na koncie 225 wynosiła po stronie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Wn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3 367 256,18 zł i po stronie Ma 4155 146,13 zł oraz dla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naliczony po stronie </w:t>
      </w:r>
      <w:proofErr w:type="spellStart"/>
      <w:r w:rsidRPr="00AC1164">
        <w:rPr>
          <w:rFonts w:asciiTheme="minorHAnsi" w:hAnsiTheme="minorHAnsi" w:cstheme="minorHAnsi"/>
          <w:sz w:val="22"/>
          <w:szCs w:val="22"/>
        </w:rPr>
        <w:t>Wn</w:t>
      </w:r>
      <w:proofErr w:type="spellEnd"/>
      <w:r w:rsidRPr="00AC1164">
        <w:rPr>
          <w:rFonts w:asciiTheme="minorHAnsi" w:hAnsiTheme="minorHAnsi" w:cstheme="minorHAnsi"/>
          <w:sz w:val="22"/>
          <w:szCs w:val="22"/>
        </w:rPr>
        <w:t xml:space="preserve"> 730 913,74 zł i Ma 241 016,85 zł.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 sprawie Kierownik Działu Finansowo-Księgowego ZGN Śródmieście złożyła obszerne wyjaśnienia z których wynika, że nie dokonywano zapisu korygującego obroty na koncie operacji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AC1164">
        <w:rPr>
          <w:rFonts w:asciiTheme="minorHAnsi" w:hAnsiTheme="minorHAnsi" w:cstheme="minorHAnsi"/>
          <w:sz w:val="22"/>
          <w:szCs w:val="22"/>
        </w:rPr>
        <w:t xml:space="preserve">zwrotu kwot do Urzędu Dzielnicy za korektę podatku naliczonego od nabycia środków trwałych i od pozostałych nabyć wykazanych w JPK za styczeń 2021 r., korekta deklaracji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VAT-7 </w:t>
      </w:r>
      <w:r w:rsidRPr="00AC1164">
        <w:rPr>
          <w:rFonts w:asciiTheme="minorHAnsi" w:hAnsiTheme="minorHAnsi" w:cstheme="minorHAnsi"/>
          <w:sz w:val="22"/>
          <w:szCs w:val="22"/>
        </w:rPr>
        <w:t>roku bieżącego oraz korekt deklaracji za lata ubiegłe.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Wskazać należy, że zgodnie z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C1164">
        <w:rPr>
          <w:rFonts w:asciiTheme="minorHAnsi" w:hAnsiTheme="minorHAnsi" w:cstheme="minorHAnsi"/>
          <w:sz w:val="22"/>
          <w:szCs w:val="22"/>
        </w:rPr>
        <w:t>24 ust. 2 ustawy z dnia 29 września 1994 r. o rachunkowości księgi rachunkowe uznaje się za rzetelnie prowadzone, jeżeli dokonywane w nich zapisy odzwierciedlają stan rzeczywisty.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Kontrolą prawidłowości wystawiania faktur sprzedaży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(VAT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należny) i zakupu usług/towarów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(VAT </w:t>
      </w:r>
      <w:r w:rsidRPr="00AC1164">
        <w:rPr>
          <w:rFonts w:asciiTheme="minorHAnsi" w:hAnsiTheme="minorHAnsi" w:cstheme="minorHAnsi"/>
          <w:sz w:val="22"/>
          <w:szCs w:val="22"/>
        </w:rPr>
        <w:t>naliczony) i ujmowania ich w ewidencji księgowej, objęto próbę stanowiącą łącznie 375 faktur/not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5"/>
      </w:r>
      <w:r w:rsidRPr="00AC1164">
        <w:rPr>
          <w:rFonts w:asciiTheme="minorHAnsi" w:hAnsiTheme="minorHAnsi" w:cstheme="minorHAnsi"/>
          <w:sz w:val="22"/>
          <w:szCs w:val="22"/>
        </w:rPr>
        <w:t xml:space="preserve">, na kwotę łączną brutto 4 258 506,77 zł {netto 3 594 981,24 zł + podatek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663 525,53 zł).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Na podstawie analizy umów i aneksów do umów najmu lokali użytkowych, wystawionych faktur i not w przypadkach udzielenia zgody na rozliczenie nakładów poniesionych przez najemców podwyższających wartość lokalu w czynszu, ustalono że wartość remontów wykonanych przez najemców w przypadku analizowanej próby najemców wyniosła netto 1022 696,52 zł, zaś uznana uchwałami Zarządu Dzielnicy Śródmieście kwota wyniosła netto 724 997,06 zł. Różnica miała być udzielona w późniejszym okresie, po podpisaniu/przedłużeniu stosownych umów.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Do rozliczenia nakładów Najemca lokalu wystawiał dla ZGN fakturę na pełną kwotę wartości wykonanych remontów, zaś ZGN co miesiąc pomniejszał kwotę czynszu wystawionymi notami księgowymi o wartość wynikającą z zastosowanej ulgi. W wyniku szczegółowej analizy 10 umów ustalono, że w 7 przypadkach były wystawione faktury z kwotami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VAT, </w:t>
      </w:r>
      <w:r w:rsidRPr="00AC1164">
        <w:rPr>
          <w:rFonts w:asciiTheme="minorHAnsi" w:hAnsiTheme="minorHAnsi" w:cstheme="minorHAnsi"/>
          <w:sz w:val="22"/>
          <w:szCs w:val="22"/>
        </w:rPr>
        <w:t>w 1 przypadku faktura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6"/>
      </w:r>
      <w:r w:rsidRPr="00AC1164">
        <w:rPr>
          <w:rFonts w:asciiTheme="minorHAnsi" w:hAnsiTheme="minorHAnsi" w:cstheme="minorHAnsi"/>
          <w:sz w:val="22"/>
          <w:szCs w:val="22"/>
        </w:rPr>
        <w:t xml:space="preserve"> bez kwoty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VAT, </w:t>
      </w:r>
      <w:r w:rsidRPr="00AC1164">
        <w:rPr>
          <w:rFonts w:asciiTheme="minorHAnsi" w:hAnsiTheme="minorHAnsi" w:cstheme="minorHAnsi"/>
          <w:sz w:val="22"/>
          <w:szCs w:val="22"/>
        </w:rPr>
        <w:t>w 2 przypadkach wystawiono noty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7"/>
      </w:r>
      <w:r w:rsidRPr="00AC1164">
        <w:rPr>
          <w:rFonts w:asciiTheme="minorHAnsi" w:hAnsiTheme="minorHAnsi" w:cstheme="minorHAnsi"/>
          <w:sz w:val="22"/>
          <w:szCs w:val="22"/>
        </w:rPr>
        <w:t xml:space="preserve"> w kwotach netto/brutto bez </w:t>
      </w:r>
      <w:r w:rsidRPr="00AC1164">
        <w:rPr>
          <w:rFonts w:asciiTheme="minorHAnsi" w:hAnsiTheme="minorHAnsi" w:cstheme="minorHAnsi"/>
          <w:sz w:val="22"/>
          <w:szCs w:val="22"/>
        </w:rPr>
        <w:lastRenderedPageBreak/>
        <w:t xml:space="preserve">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VAT. </w:t>
      </w:r>
      <w:r w:rsidRPr="00AC1164">
        <w:rPr>
          <w:rFonts w:asciiTheme="minorHAnsi" w:hAnsiTheme="minorHAnsi" w:cstheme="minorHAnsi"/>
          <w:sz w:val="22"/>
          <w:szCs w:val="22"/>
        </w:rPr>
        <w:t xml:space="preserve">W przypadku faktur z kwotami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VAT, </w:t>
      </w:r>
      <w:r w:rsidRPr="00AC1164">
        <w:rPr>
          <w:rFonts w:asciiTheme="minorHAnsi" w:hAnsiTheme="minorHAnsi" w:cstheme="minorHAnsi"/>
          <w:sz w:val="22"/>
          <w:szCs w:val="22"/>
        </w:rPr>
        <w:t xml:space="preserve">podatek był księgowany na koncie 225-02-6-1 w wysokościach zgodnych z fakturami. Wystawione noty i faktura nie zawierające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(należnego), dotyczyły partii politycznej i organizacji pozarządowych.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Rozliczenia w przypadku najemcy pn. „Samodzielne Koło Terenowe nr 144 Społecznego Towarzystwa Oświatowego"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8"/>
      </w:r>
      <w:r w:rsidRPr="00AC1164">
        <w:rPr>
          <w:rFonts w:asciiTheme="minorHAnsi" w:hAnsiTheme="minorHAnsi" w:cstheme="minorHAnsi"/>
          <w:sz w:val="22"/>
          <w:szCs w:val="22"/>
        </w:rPr>
        <w:t xml:space="preserve"> dokonano na podstawie noty obciążeniowej na kwotę 333 469,30 zł. Jako podstawę rozliczenia wykazano koszt nakładów na remont lokalu w kwocie netto poniesionej przez najemcę, bez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>VAT.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 sytuacji obniżenia przez m.st. Warszawę czynszu najmu w zamian za przeniesienia nakładów poniesionych przez najemcę na wynajmowany lokal, mamy do czynienia ze świadczeniem wzajemnym, bezpośrednim i ekwiwalentnym, które należy zakwalifikować jako transakcję barterową. Obniżenie czynszu w zamian za przeniesienie nakładów na rzecz Miasta, są to dwie odrębne czynności, które wypełniają definicję świadczenia usług, o której mowa w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C1164">
        <w:rPr>
          <w:rFonts w:asciiTheme="minorHAnsi" w:hAnsiTheme="minorHAnsi" w:cstheme="minorHAnsi"/>
          <w:sz w:val="22"/>
          <w:szCs w:val="22"/>
        </w:rPr>
        <w:t xml:space="preserve">8 ust. 1 ustawy o podatku od towarów i usług. W przedmiotowej sytuacji wynagrodzenie za przeniesienie przez najemcę na Miasto nakładów na wynajmowany lokal jest kompensatą należności za najem przedmiotowej nieruchomości. Kompensata jest jedną z form wygaśnięcia zobowiązania w wyniku wykonania świadczenia poprzez umorzenie wzajemnych wierzytelności między stronami. Odpłatna czynność zbycia nakładów, jako przekazanie za wynagrodzeniem ulepszeń na cudzą rzecz, stanowi odpłatne świadczenie usług w rozumieniu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C1164">
        <w:rPr>
          <w:rFonts w:asciiTheme="minorHAnsi" w:hAnsiTheme="minorHAnsi" w:cstheme="minorHAnsi"/>
          <w:sz w:val="22"/>
          <w:szCs w:val="22"/>
        </w:rPr>
        <w:t xml:space="preserve">8 ust. 1 ustawy o podatku od towarów i usług, a tym samym podlega opodatkowaniu tym podatkiem na podstawie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C1164">
        <w:rPr>
          <w:rFonts w:asciiTheme="minorHAnsi" w:hAnsiTheme="minorHAnsi" w:cstheme="minorHAnsi"/>
          <w:sz w:val="22"/>
          <w:szCs w:val="22"/>
        </w:rPr>
        <w:t xml:space="preserve">5 ust. 1 tej ustawy. Dokumentowanie każdego z przedmiotowych świadczeń, wykonywanych w ramach transakcji tego rodzaju, odbywa się na zasadach właściwych dla danego świadczenia, a rozliczenie nakładów nie powinno mieć wpływu na zmniejszenie wartości podstawy opodatkowania podatkiem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VAT. </w:t>
      </w:r>
      <w:r w:rsidRPr="00AC1164">
        <w:rPr>
          <w:rFonts w:asciiTheme="minorHAnsi" w:hAnsiTheme="minorHAnsi" w:cstheme="minorHAnsi"/>
          <w:sz w:val="22"/>
          <w:szCs w:val="22"/>
        </w:rPr>
        <w:t xml:space="preserve">A zatem w sytuacji, w której najemca (podatnik podatku </w:t>
      </w:r>
      <w:r w:rsidRPr="00AC1164">
        <w:rPr>
          <w:rFonts w:asciiTheme="minorHAnsi" w:hAnsiTheme="minorHAnsi" w:cstheme="minorHAnsi"/>
          <w:sz w:val="22"/>
          <w:szCs w:val="22"/>
          <w:lang w:val="de-DE" w:eastAsia="de-DE" w:bidi="de-DE"/>
        </w:rPr>
        <w:t xml:space="preserve">VAT) </w:t>
      </w:r>
      <w:r w:rsidRPr="00AC1164">
        <w:rPr>
          <w:rFonts w:asciiTheme="minorHAnsi" w:hAnsiTheme="minorHAnsi" w:cstheme="minorHAnsi"/>
          <w:sz w:val="22"/>
          <w:szCs w:val="22"/>
        </w:rPr>
        <w:t xml:space="preserve">nie wystawił faktury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z tytułu przeniesienia nakładów, nie występują podstawy do dokonania rozliczenia nakładów. W wystawionych fakturach kwota przyznanej obniżki, powinna zostać uwzględniona w kwocie do zapłaty, która powinna równać się wartości brutto należnego czynszu pomniejszonej o przyznaną</w:t>
      </w:r>
      <w:r w:rsidR="0008201B">
        <w:rPr>
          <w:rFonts w:asciiTheme="minorHAnsi" w:hAnsiTheme="minorHAnsi" w:cstheme="minorHAnsi"/>
          <w:sz w:val="22"/>
          <w:szCs w:val="22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</w:rPr>
        <w:t>wartość obniżki.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Następstwem wystawienia noty obciążeniowej przez Samodzielne Koło nr 144 Społecznego Towarzystwa Oświatowego, było zaniżenie zobowiązania podatkowego w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VAT, </w:t>
      </w:r>
      <w:r w:rsidRPr="00AC1164">
        <w:rPr>
          <w:rFonts w:asciiTheme="minorHAnsi" w:hAnsiTheme="minorHAnsi" w:cstheme="minorHAnsi"/>
          <w:sz w:val="22"/>
          <w:szCs w:val="22"/>
        </w:rPr>
        <w:t xml:space="preserve">co może skutkować konsekwencjami, o których mowa w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AC1164">
        <w:rPr>
          <w:rFonts w:asciiTheme="minorHAnsi" w:hAnsiTheme="minorHAnsi" w:cstheme="minorHAnsi"/>
          <w:sz w:val="22"/>
          <w:szCs w:val="22"/>
        </w:rPr>
        <w:t xml:space="preserve">112b ustawy 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о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VAT, </w:t>
      </w:r>
      <w:r w:rsidRPr="00AC1164">
        <w:rPr>
          <w:rFonts w:asciiTheme="minorHAnsi" w:hAnsiTheme="minorHAnsi" w:cstheme="minorHAnsi"/>
          <w:sz w:val="22"/>
          <w:szCs w:val="22"/>
        </w:rPr>
        <w:t xml:space="preserve">tj. m.in. ustaleniem dodatkowego zobowiązania podatkowego. Ponadto należy zauważyć, iż brak wystawienia przez najemcę faktur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z tytułu przeniesienia nakładów, pozbawiało m.st. Warszawę możliwości ewentualnego odliczenia podatku naliczonego wynikającego z tych dokumentów. Obowiązek wystawienia przez najemcę faktury z tytułu przeniesienia nakładów na rzecz m.st. Warszawy znajduje swoje źródło w przepisach prawa powszechnie obowiązującego, tj. ustawie o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VAT, </w:t>
      </w:r>
      <w:r w:rsidRPr="00AC1164">
        <w:rPr>
          <w:rFonts w:asciiTheme="minorHAnsi" w:hAnsiTheme="minorHAnsi" w:cstheme="minorHAnsi"/>
          <w:sz w:val="22"/>
          <w:szCs w:val="22"/>
        </w:rPr>
        <w:t xml:space="preserve">a także zarządzeniu Prezydenta m.st. Warszawy w sprawie rozliczania podatku od towarowi usług m.st. </w:t>
      </w:r>
      <w:r w:rsidRPr="00AC1164">
        <w:rPr>
          <w:rFonts w:asciiTheme="minorHAnsi" w:hAnsiTheme="minorHAnsi" w:cstheme="minorHAnsi"/>
          <w:sz w:val="22"/>
          <w:szCs w:val="22"/>
        </w:rPr>
        <w:lastRenderedPageBreak/>
        <w:t>Warszawy.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Wszystkie aneksy do umów z najemcami zostały podpisane średnio w terminie 89,7 dnia od daty podjęcia uchwał przez Zarząd Dzielnicy Śródmieście, co było niezgodne z postanowieniami uchwał, gdyż został w nich określony 30 dniowy termin na wykonanie uchwały.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W przypadku zawartych przez 7.GN umów na wykonanie usług i zakup towarów dokonano analizy 41 faktur wystawionych przez 10 wykonawców na kwotę brutto 1 270 736,78 zł (netto 1090 542,10 zł + podatek </w:t>
      </w:r>
      <w:r w:rsidRPr="00AC1164">
        <w:rPr>
          <w:rFonts w:asciiTheme="minorHAnsi" w:hAnsiTheme="minorHAnsi" w:cstheme="minorHAnsi"/>
          <w:sz w:val="22"/>
          <w:szCs w:val="22"/>
          <w:lang w:val="ru-RU" w:eastAsia="ru-RU" w:bidi="ru-RU"/>
        </w:rPr>
        <w:t>ѴЛТ</w:t>
      </w:r>
      <w:r w:rsidRPr="00AC1164">
        <w:rPr>
          <w:rFonts w:asciiTheme="minorHAnsi" w:hAnsiTheme="minorHAnsi" w:cstheme="minorHAnsi"/>
          <w:sz w:val="22"/>
          <w:szCs w:val="22"/>
        </w:rPr>
        <w:t xml:space="preserve">180194,68 zł). Na koncie 225 zaksięgowano częściową kwotę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w łącznej wysokości 04 499,95 zł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29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0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1"/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2"/>
      </w:r>
      <w:r w:rsidRPr="00AC1164">
        <w:rPr>
          <w:rFonts w:asciiTheme="minorHAnsi" w:hAnsiTheme="minorHAnsi" w:cstheme="minorHAnsi"/>
          <w:sz w:val="22"/>
          <w:szCs w:val="22"/>
        </w:rPr>
        <w:t>, podatek dotyczył zapłaconych faktur w zakresie usług i dostaw: konserwacja w branży usług kominiarskich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3"/>
      </w:r>
      <w:r w:rsidRPr="00AC1164">
        <w:rPr>
          <w:rFonts w:asciiTheme="minorHAnsi" w:hAnsiTheme="minorHAnsi" w:cstheme="minorHAnsi"/>
          <w:sz w:val="22"/>
          <w:szCs w:val="22"/>
        </w:rPr>
        <w:t>, udostępnienie platformy zakupowej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4"/>
      </w:r>
      <w:r w:rsidRPr="00AC1164">
        <w:rPr>
          <w:rFonts w:asciiTheme="minorHAnsi" w:hAnsiTheme="minorHAnsi" w:cstheme="minorHAnsi"/>
          <w:sz w:val="22"/>
          <w:szCs w:val="22"/>
        </w:rPr>
        <w:t>, wykonanie remontu elewacji oraz izolacji ścian budynku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5"/>
      </w:r>
      <w:r w:rsidRPr="00AC1164">
        <w:rPr>
          <w:rFonts w:asciiTheme="minorHAnsi" w:hAnsiTheme="minorHAnsi" w:cstheme="minorHAnsi"/>
          <w:sz w:val="22"/>
          <w:szCs w:val="22"/>
        </w:rPr>
        <w:t>, sukcesywne dostawy materiałów biurowych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6"/>
      </w:r>
      <w:r w:rsidRPr="00AC1164">
        <w:rPr>
          <w:rFonts w:asciiTheme="minorHAnsi" w:hAnsiTheme="minorHAnsi" w:cstheme="minorHAnsi"/>
          <w:sz w:val="22"/>
          <w:szCs w:val="22"/>
        </w:rPr>
        <w:t>, remontu i przebudowy budynków Solec 46 i 46a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7"/>
      </w:r>
      <w:r w:rsidRPr="00AC1164">
        <w:rPr>
          <w:rFonts w:asciiTheme="minorHAnsi" w:hAnsiTheme="minorHAnsi" w:cstheme="minorHAnsi"/>
          <w:sz w:val="22"/>
          <w:szCs w:val="22"/>
        </w:rPr>
        <w:t>, prac dekarskich polegających na odśnieżaniu dachów budynków i usunięcia sopli lodu i nawisów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8"/>
      </w:r>
      <w:r w:rsidRPr="00AC1164">
        <w:rPr>
          <w:rFonts w:asciiTheme="minorHAnsi" w:hAnsiTheme="minorHAnsi" w:cstheme="minorHAnsi"/>
          <w:sz w:val="22"/>
          <w:szCs w:val="22"/>
        </w:rPr>
        <w:t xml:space="preserve">. Całkowita kwota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z tych faktur wynosiła 96 104,36 zł, nie zaksięgowano więc podatku w wysokości 11604,41 zł.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Na koncie 225 nie zostały zaksięgowane kwoty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wynikające z wystawionych przez wykonawców faktur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VAT, </w:t>
      </w:r>
      <w:r w:rsidRPr="00AC1164">
        <w:rPr>
          <w:rFonts w:asciiTheme="minorHAnsi" w:hAnsiTheme="minorHAnsi" w:cstheme="minorHAnsi"/>
          <w:sz w:val="22"/>
          <w:szCs w:val="22"/>
        </w:rPr>
        <w:t xml:space="preserve">dotyczących wydatków na zamówienia: projekty stolarki okiennej i </w:t>
      </w:r>
      <w:r w:rsidRPr="00AC1164">
        <w:rPr>
          <w:rFonts w:asciiTheme="minorHAnsi" w:hAnsiTheme="minorHAnsi" w:cstheme="minorHAnsi"/>
          <w:sz w:val="22"/>
          <w:szCs w:val="22"/>
        </w:rPr>
        <w:lastRenderedPageBreak/>
        <w:t>drzwiowej w pustostanach lokali mieszkalnych w budynkach zabytkowych m.st. Warszawy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39"/>
      </w:r>
      <w:r w:rsidRPr="00AC1164">
        <w:rPr>
          <w:rFonts w:asciiTheme="minorHAnsi" w:hAnsiTheme="minorHAnsi" w:cstheme="minorHAnsi"/>
          <w:sz w:val="22"/>
          <w:szCs w:val="22"/>
        </w:rPr>
        <w:t>, remonty pustostanów lokali mieszkalnych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40"/>
      </w:r>
      <w:r w:rsidRPr="00AC1164">
        <w:rPr>
          <w:rFonts w:asciiTheme="minorHAnsi" w:hAnsiTheme="minorHAnsi" w:cstheme="minorHAnsi"/>
          <w:sz w:val="22"/>
          <w:szCs w:val="22"/>
        </w:rPr>
        <w:t>, zagospodarowanie części skweru Oleandrów z wykonaniem projektów tych prac w ramach budżetu obywatelskiego</w:t>
      </w:r>
      <w:r w:rsidRPr="00AC1164">
        <w:rPr>
          <w:rFonts w:asciiTheme="minorHAnsi" w:hAnsiTheme="minorHAnsi" w:cstheme="minorHAnsi"/>
          <w:sz w:val="22"/>
          <w:szCs w:val="22"/>
          <w:vertAlign w:val="superscript"/>
        </w:rPr>
        <w:footnoteReference w:id="41"/>
      </w:r>
      <w:r w:rsidRPr="00AC1164">
        <w:rPr>
          <w:rFonts w:asciiTheme="minorHAnsi" w:hAnsiTheme="minorHAnsi" w:cstheme="minorHAnsi"/>
          <w:sz w:val="22"/>
          <w:szCs w:val="22"/>
        </w:rPr>
        <w:t xml:space="preserve"> z kwotą podatku 84 090,32 zł. Kwota 95 694,73 zł została zaksięgowana na kontach analitycznych innych zespołów (0,4, 6). Zgodnie z przedstawionym wyjaśnieniem powyższe rozliczenie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 xml:space="preserve">zastosowano, ze względu, że ZGN-owi nie przysługiwało prawo do odliczenia podatku </w:t>
      </w:r>
      <w:r w:rsidRPr="00AC1164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 </w:t>
      </w:r>
      <w:r w:rsidRPr="00AC1164">
        <w:rPr>
          <w:rFonts w:asciiTheme="minorHAnsi" w:hAnsiTheme="minorHAnsi" w:cstheme="minorHAnsi"/>
          <w:sz w:val="22"/>
          <w:szCs w:val="22"/>
        </w:rPr>
        <w:t>w całości.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Przedstawiając powyższe ustalenia i ocenę zalecam:</w:t>
      </w:r>
    </w:p>
    <w:p w:rsidR="005B5074" w:rsidRPr="0008201B" w:rsidRDefault="00670989" w:rsidP="0008201B">
      <w:pPr>
        <w:pStyle w:val="Bodytext20"/>
        <w:numPr>
          <w:ilvl w:val="0"/>
          <w:numId w:val="2"/>
        </w:numPr>
        <w:shd w:val="clear" w:color="auto" w:fill="auto"/>
        <w:tabs>
          <w:tab w:val="left" w:pos="348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Prowadzić księgi rachunkowe zgodnie z przepisami ustawy o rachunkowości, w szczególności</w:t>
      </w:r>
      <w:r w:rsidR="0008201B">
        <w:rPr>
          <w:rFonts w:asciiTheme="minorHAnsi" w:hAnsiTheme="minorHAnsi" w:cstheme="minorHAnsi"/>
          <w:sz w:val="22"/>
          <w:szCs w:val="22"/>
        </w:rPr>
        <w:t xml:space="preserve"> </w:t>
      </w:r>
      <w:r w:rsidRPr="0008201B">
        <w:rPr>
          <w:rFonts w:asciiTheme="minorHAnsi" w:hAnsiTheme="minorHAnsi" w:cstheme="minorHAnsi"/>
          <w:sz w:val="22"/>
          <w:szCs w:val="22"/>
        </w:rPr>
        <w:t xml:space="preserve">w zakresie zgodności zapisów w księgach rachunkowych z deklaracjami podatkowymi </w:t>
      </w:r>
      <w:r w:rsidRPr="0008201B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VAT, </w:t>
      </w:r>
      <w:r w:rsidRPr="0008201B">
        <w:rPr>
          <w:rFonts w:asciiTheme="minorHAnsi" w:hAnsiTheme="minorHAnsi" w:cstheme="minorHAnsi"/>
          <w:sz w:val="22"/>
          <w:szCs w:val="22"/>
        </w:rPr>
        <w:t xml:space="preserve">mając na względzie postanowienia </w:t>
      </w:r>
      <w:r w:rsidRPr="0008201B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08201B">
        <w:rPr>
          <w:rFonts w:asciiTheme="minorHAnsi" w:hAnsiTheme="minorHAnsi" w:cstheme="minorHAnsi"/>
          <w:sz w:val="22"/>
          <w:szCs w:val="22"/>
        </w:rPr>
        <w:t xml:space="preserve">20 ust. 1, </w:t>
      </w:r>
      <w:r w:rsidRPr="0008201B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08201B">
        <w:rPr>
          <w:rFonts w:asciiTheme="minorHAnsi" w:hAnsiTheme="minorHAnsi" w:cstheme="minorHAnsi"/>
          <w:sz w:val="22"/>
          <w:szCs w:val="22"/>
        </w:rPr>
        <w:t xml:space="preserve">18 ust. 1, </w:t>
      </w:r>
      <w:r w:rsidRPr="0008201B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08201B">
        <w:rPr>
          <w:rFonts w:asciiTheme="minorHAnsi" w:hAnsiTheme="minorHAnsi" w:cstheme="minorHAnsi"/>
          <w:sz w:val="22"/>
          <w:szCs w:val="22"/>
        </w:rPr>
        <w:t>24 ust. 2 i ust. 4 ustawy.</w:t>
      </w:r>
    </w:p>
    <w:p w:rsidR="005B5074" w:rsidRPr="0008201B" w:rsidRDefault="00670989" w:rsidP="0008201B">
      <w:pPr>
        <w:pStyle w:val="Bodytext20"/>
        <w:numPr>
          <w:ilvl w:val="0"/>
          <w:numId w:val="2"/>
        </w:numPr>
        <w:shd w:val="clear" w:color="auto" w:fill="auto"/>
        <w:tabs>
          <w:tab w:val="left" w:pos="348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Przeprowadzenie, w porozumienia z wewnętrzną komórką Urzędu Dzielnicy Śródmieście</w:t>
      </w:r>
      <w:r w:rsidR="0008201B">
        <w:rPr>
          <w:rFonts w:asciiTheme="minorHAnsi" w:hAnsiTheme="minorHAnsi" w:cstheme="minorHAnsi"/>
          <w:sz w:val="22"/>
          <w:szCs w:val="22"/>
        </w:rPr>
        <w:t xml:space="preserve"> </w:t>
      </w:r>
      <w:r w:rsidRPr="0008201B">
        <w:rPr>
          <w:rFonts w:asciiTheme="minorHAnsi" w:hAnsiTheme="minorHAnsi" w:cstheme="minorHAnsi"/>
          <w:sz w:val="22"/>
          <w:szCs w:val="22"/>
        </w:rPr>
        <w:t>ds. finansowych oraz Skarbnikiem m.st. Warszawy, pogłębionej analizy dotyczącej możliwości, zakresu i sposobu podjęcia działań mających na celu skorygowanie skutków rozliczania nakładów poczynionych przez najemców, niezgodnie z ustawą o podatku od towarów i usług oraz wewnętrznymi regulacjami w sprawie rozliczania podatku od towarów i usług m.st. Warszawy.</w:t>
      </w:r>
    </w:p>
    <w:p w:rsidR="005B5074" w:rsidRPr="00AC1164" w:rsidRDefault="00670989" w:rsidP="0008201B">
      <w:pPr>
        <w:pStyle w:val="Bodytext20"/>
        <w:numPr>
          <w:ilvl w:val="0"/>
          <w:numId w:val="2"/>
        </w:numPr>
        <w:shd w:val="clear" w:color="auto" w:fill="auto"/>
        <w:tabs>
          <w:tab w:val="left" w:pos="348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Rozliczać nakłady poczynione przez najemców w trakcie prac remontowych w wynajmowanych lokalach zgodnie z zasadami określonymi w zarządzeniu Prezydenta m.st. Warszawy regulującym przedmiotowe zagadnienia, a także zgodnie z ustawą o podatku od towarów i usług oraz wewnętrznymi regulacjami w sprawie rozliczania podatku od towarów i usług m.st. Warszawy.</w:t>
      </w:r>
    </w:p>
    <w:p w:rsidR="005B5074" w:rsidRPr="00AC1164" w:rsidRDefault="00670989" w:rsidP="0008201B">
      <w:pPr>
        <w:pStyle w:val="Bodytext20"/>
        <w:numPr>
          <w:ilvl w:val="0"/>
          <w:numId w:val="2"/>
        </w:numPr>
        <w:shd w:val="clear" w:color="auto" w:fill="auto"/>
        <w:tabs>
          <w:tab w:val="left" w:pos="348"/>
        </w:tabs>
        <w:spacing w:before="120" w:after="240" w:line="300" w:lineRule="auto"/>
        <w:ind w:left="400" w:hanging="40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Dołożyć staranności w dochowywaniu terminów na podpisanie dokumentów z najemcami, wskazanych w uchwałach Zarządu Dzielnicy Śródmieście.</w:t>
      </w:r>
    </w:p>
    <w:p w:rsidR="005B5074" w:rsidRPr="00AC1164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oraz § 41 ust. 1 Zarządzenia oczekuję od Pani Dyrektor w terminie nie dłuższym niż 30 dni od dnia doręczenia wystąpienia pokontrolnego, informacji o sposobie realizacji zalecenia pokontrolnego i wykorzystaniu uwag zawartych w wystąpieniu pokontrolnym lub przyczynach braku realizacji zaleceń pokontrolnych lub niewykorzystaniu uwag bądź o innym sposobie usunięcia stwierdzonych nieprawidłowości lub </w:t>
      </w:r>
      <w:r w:rsidRPr="00AC1164">
        <w:rPr>
          <w:rFonts w:asciiTheme="minorHAnsi" w:hAnsiTheme="minorHAnsi" w:cstheme="minorHAnsi"/>
          <w:sz w:val="22"/>
          <w:szCs w:val="22"/>
        </w:rPr>
        <w:lastRenderedPageBreak/>
        <w:t>uchybień.</w:t>
      </w:r>
    </w:p>
    <w:p w:rsidR="005B5074" w:rsidRPr="0008201B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C1164">
        <w:rPr>
          <w:rFonts w:asciiTheme="minorHAnsi" w:hAnsiTheme="minorHAnsi" w:cstheme="minorHAnsi"/>
          <w:sz w:val="22"/>
          <w:szCs w:val="22"/>
        </w:rPr>
        <w:t>Na podstawie § 41 ust. 1 Zarządzenia zobowiązuję Panią do przekazania kopii ww. info</w:t>
      </w:r>
      <w:r w:rsidR="003E2EC0" w:rsidRPr="00AC1164">
        <w:rPr>
          <w:rFonts w:asciiTheme="minorHAnsi" w:hAnsiTheme="minorHAnsi" w:cstheme="minorHAnsi"/>
          <w:sz w:val="22"/>
          <w:szCs w:val="22"/>
        </w:rPr>
        <w:t>rmacji Panu Mirosławowi Czeka</w:t>
      </w:r>
      <w:r w:rsidRPr="00AC1164">
        <w:rPr>
          <w:rFonts w:asciiTheme="minorHAnsi" w:hAnsiTheme="minorHAnsi" w:cstheme="minorHAnsi"/>
          <w:sz w:val="22"/>
          <w:szCs w:val="22"/>
        </w:rPr>
        <w:t xml:space="preserve">jowi Skarbnikowi m.st. Warszawy i Panu Aleksandrowi Ferensowi Burmistrzowi Dzielnicy </w:t>
      </w:r>
      <w:r w:rsidRPr="0008201B">
        <w:rPr>
          <w:rFonts w:asciiTheme="minorHAnsi" w:hAnsiTheme="minorHAnsi" w:cstheme="minorHAnsi"/>
          <w:sz w:val="22"/>
          <w:szCs w:val="22"/>
        </w:rPr>
        <w:t>Śródmieście m.st. Warszawy.</w:t>
      </w:r>
    </w:p>
    <w:p w:rsidR="0008201B" w:rsidRPr="0008201B" w:rsidRDefault="0008201B" w:rsidP="0008201B">
      <w:pPr>
        <w:tabs>
          <w:tab w:val="left" w:pos="426"/>
        </w:tabs>
        <w:spacing w:before="120" w:after="240" w:line="300" w:lineRule="auto"/>
        <w:ind w:left="4536"/>
        <w:rPr>
          <w:rFonts w:asciiTheme="minorHAnsi" w:eastAsia="Arial" w:hAnsiTheme="minorHAnsi" w:cstheme="minorHAnsi"/>
          <w:sz w:val="22"/>
          <w:szCs w:val="22"/>
        </w:rPr>
      </w:pPr>
      <w:r w:rsidRPr="0008201B">
        <w:rPr>
          <w:rFonts w:asciiTheme="minorHAnsi" w:eastAsia="Arial" w:hAnsiTheme="minorHAnsi" w:cstheme="minorHAnsi"/>
          <w:sz w:val="22"/>
          <w:szCs w:val="22"/>
        </w:rPr>
        <w:t>PREZYDENT MIASTA STOŁECZNEGO WARSZAWY /-/ Rafał Trzaskowski</w:t>
      </w:r>
    </w:p>
    <w:p w:rsidR="0008201B" w:rsidRPr="0008201B" w:rsidRDefault="0008201B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5B5074" w:rsidRPr="0008201B" w:rsidRDefault="00670989" w:rsidP="0008201B">
      <w:pPr>
        <w:pStyle w:val="Bodytext20"/>
        <w:shd w:val="clear" w:color="auto" w:fill="auto"/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08201B">
        <w:rPr>
          <w:rStyle w:val="Bodytext21"/>
          <w:rFonts w:asciiTheme="minorHAnsi" w:hAnsiTheme="minorHAnsi" w:cstheme="minorHAnsi"/>
          <w:sz w:val="22"/>
          <w:szCs w:val="22"/>
        </w:rPr>
        <w:t>Do wiadomości:</w:t>
      </w:r>
    </w:p>
    <w:p w:rsidR="005B5074" w:rsidRPr="0008201B" w:rsidRDefault="00670989" w:rsidP="0008201B">
      <w:pPr>
        <w:pStyle w:val="Bodytext20"/>
        <w:numPr>
          <w:ilvl w:val="0"/>
          <w:numId w:val="3"/>
        </w:numPr>
        <w:shd w:val="clear" w:color="auto" w:fill="auto"/>
        <w:tabs>
          <w:tab w:val="left" w:pos="355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08201B">
        <w:rPr>
          <w:rFonts w:asciiTheme="minorHAnsi" w:hAnsiTheme="minorHAnsi" w:cstheme="minorHAnsi"/>
          <w:sz w:val="22"/>
          <w:szCs w:val="22"/>
        </w:rPr>
        <w:t>Pan Mirosław Czekaj - Skarbnik m.st. Warszawy.</w:t>
      </w:r>
    </w:p>
    <w:p w:rsidR="005B5074" w:rsidRPr="00AC1164" w:rsidRDefault="00670989" w:rsidP="0008201B">
      <w:pPr>
        <w:pStyle w:val="Bodytext20"/>
        <w:numPr>
          <w:ilvl w:val="0"/>
          <w:numId w:val="3"/>
        </w:numPr>
        <w:shd w:val="clear" w:color="auto" w:fill="auto"/>
        <w:tabs>
          <w:tab w:val="left" w:pos="355"/>
        </w:tabs>
        <w:spacing w:before="120" w:after="240" w:line="300" w:lineRule="auto"/>
        <w:ind w:firstLine="0"/>
        <w:rPr>
          <w:rFonts w:asciiTheme="minorHAnsi" w:hAnsiTheme="minorHAnsi" w:cstheme="minorHAnsi"/>
          <w:sz w:val="22"/>
          <w:szCs w:val="22"/>
        </w:rPr>
        <w:sectPr w:rsidR="005B5074" w:rsidRPr="00AC1164">
          <w:footerReference w:type="default" r:id="rId7"/>
          <w:headerReference w:type="first" r:id="rId8"/>
          <w:footerReference w:type="first" r:id="rId9"/>
          <w:pgSz w:w="11900" w:h="16840"/>
          <w:pgMar w:top="1736" w:right="1555" w:bottom="1470" w:left="1503" w:header="0" w:footer="3" w:gutter="0"/>
          <w:cols w:space="720"/>
          <w:noEndnote/>
          <w:titlePg/>
          <w:docGrid w:linePitch="360"/>
        </w:sectPr>
      </w:pPr>
      <w:r w:rsidRPr="0008201B">
        <w:rPr>
          <w:rFonts w:asciiTheme="minorHAnsi" w:hAnsiTheme="minorHAnsi" w:cstheme="minorHAnsi"/>
          <w:sz w:val="22"/>
          <w:szCs w:val="22"/>
        </w:rPr>
        <w:t>Pan Aleksander Ferens - Burmistrz Dzielnicy</w:t>
      </w:r>
      <w:r w:rsidRPr="00AC1164">
        <w:rPr>
          <w:rFonts w:asciiTheme="minorHAnsi" w:hAnsiTheme="minorHAnsi" w:cstheme="minorHAnsi"/>
          <w:sz w:val="22"/>
          <w:szCs w:val="22"/>
        </w:rPr>
        <w:t xml:space="preserve"> Śródmieście m.st. Warszawy.</w:t>
      </w:r>
    </w:p>
    <w:p w:rsidR="005B5074" w:rsidRPr="00AC1164" w:rsidRDefault="005B5074" w:rsidP="00CB4E22">
      <w:pPr>
        <w:rPr>
          <w:rFonts w:asciiTheme="minorHAnsi" w:hAnsiTheme="minorHAnsi" w:cstheme="minorHAnsi"/>
          <w:sz w:val="22"/>
          <w:szCs w:val="22"/>
        </w:rPr>
      </w:pPr>
    </w:p>
    <w:sectPr w:rsidR="005B5074" w:rsidRPr="00AC1164">
      <w:footerReference w:type="default" r:id="rId10"/>
      <w:pgSz w:w="11900" w:h="16840"/>
      <w:pgMar w:top="16123" w:right="11401" w:bottom="240" w:left="2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989" w:rsidRDefault="00670989">
      <w:r>
        <w:separator/>
      </w:r>
    </w:p>
  </w:endnote>
  <w:endnote w:type="continuationSeparator" w:id="0">
    <w:p w:rsidR="00670989" w:rsidRDefault="0067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196713"/>
      <w:docPartObj>
        <w:docPartGallery w:val="Page Numbers (Bottom of Page)"/>
        <w:docPartUnique/>
      </w:docPartObj>
    </w:sdtPr>
    <w:sdtEndPr/>
    <w:sdtContent>
      <w:p w:rsidR="0008201B" w:rsidRDefault="000820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D23">
          <w:rPr>
            <w:noProof/>
          </w:rPr>
          <w:t>11</w:t>
        </w:r>
        <w:r>
          <w:fldChar w:fldCharType="end"/>
        </w:r>
      </w:p>
    </w:sdtContent>
  </w:sdt>
  <w:p w:rsidR="00AC1164" w:rsidRDefault="00AC11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7868713"/>
      <w:docPartObj>
        <w:docPartGallery w:val="Page Numbers (Bottom of Page)"/>
        <w:docPartUnique/>
      </w:docPartObj>
    </w:sdtPr>
    <w:sdtEndPr/>
    <w:sdtContent>
      <w:p w:rsidR="0008201B" w:rsidRDefault="000820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D23">
          <w:rPr>
            <w:noProof/>
          </w:rPr>
          <w:t>1</w:t>
        </w:r>
        <w:r>
          <w:fldChar w:fldCharType="end"/>
        </w:r>
      </w:p>
    </w:sdtContent>
  </w:sdt>
  <w:p w:rsidR="0008201B" w:rsidRDefault="000820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074" w:rsidRPr="00CB4E22" w:rsidRDefault="005B5074" w:rsidP="00CB4E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989" w:rsidRDefault="00670989"/>
  </w:footnote>
  <w:footnote w:type="continuationSeparator" w:id="0">
    <w:p w:rsidR="00670989" w:rsidRDefault="00670989"/>
  </w:footnote>
  <w:footnote w:id="1">
    <w:p w:rsidR="005B5074" w:rsidRPr="0008201B" w:rsidRDefault="00670989" w:rsidP="009F7D23">
      <w:pPr>
        <w:pStyle w:val="Footnote10"/>
        <w:shd w:val="clear" w:color="auto" w:fill="auto"/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W zakresie: „Prawidłowość rozliczeń podatku od towarów i usług, w szczególności z uwzględnieniem przypadków określonych w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86 ust. 19a ustawy z dnia 11 marca 2001 r. o podatku od towarów i usług oraz w zakresie prawidłowość naliczania i ujmowania w księgach rachunkowych należności oraz prowadzenie postępowań przy umarzaniu z urzędu należności m.st. Warszawy o charakterze cywilnoprawnym."</w:t>
      </w:r>
    </w:p>
  </w:footnote>
  <w:footnote w:id="2">
    <w:p w:rsidR="005B5074" w:rsidRPr="0008201B" w:rsidRDefault="00670989" w:rsidP="009F7D23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Uchwała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XLII1/1019/2004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Rady Miasta Stołecznego Warszawy z 2 grudnia 2004 r. w sprawie przekształcenia zakładu budżetowego m.st. Warszawy pod nazwą „Zarząd Domów Komunalnych" w jednostkę budżetową m.st. Warszawy pod nazwą „Zakład Gospodarowania Nieruchomościami w Dzielnicy Śródmieście m.st. Warszawy".</w:t>
      </w:r>
    </w:p>
  </w:footnote>
  <w:footnote w:id="3">
    <w:p w:rsidR="005B5074" w:rsidRPr="0008201B" w:rsidRDefault="00670989" w:rsidP="009F7D23">
      <w:pPr>
        <w:pStyle w:val="Footnote10"/>
        <w:pBdr>
          <w:top w:val="single" w:sz="4" w:space="1" w:color="auto"/>
        </w:pBdr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Dz. U. z 2023 r. poz. 120 ze zm.</w:t>
      </w:r>
    </w:p>
  </w:footnote>
  <w:footnote w:id="4">
    <w:p w:rsidR="005B5074" w:rsidRPr="0008201B" w:rsidRDefault="00670989" w:rsidP="009F7D23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Zmiany wprowadzono zarządzeniem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18/2020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z 29 grudnia 2020 r.</w:t>
      </w:r>
    </w:p>
  </w:footnote>
  <w:footnote w:id="5">
    <w:p w:rsidR="005B5074" w:rsidRPr="0008201B" w:rsidRDefault="00670989" w:rsidP="009F7D23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left="160" w:hanging="1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2331/2012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Prezydenta Miasta Stołecznego Warszawy z dnia 16 kwietnia 2012 r. w sprawie wprowadzenia Regulaminu windykacji należności m.st. Warszawy z tytułu opłat za lokale wchodzące w skład mieszkaniowego zasobu m.st. Warszawy, lokale użytkowe lub ich części, tymczasowe pomieszczenia oraz urządzenia reklamowe usytuowane na budynkach wchodzących w skład zasobu nieruchomości</w:t>
      </w:r>
    </w:p>
    <w:p w:rsidR="005B5074" w:rsidRPr="0008201B" w:rsidRDefault="00670989" w:rsidP="009F7D23">
      <w:pPr>
        <w:pStyle w:val="Footnote10"/>
        <w:shd w:val="clear" w:color="auto" w:fill="auto"/>
        <w:spacing w:before="120" w:after="240" w:line="300" w:lineRule="auto"/>
        <w:ind w:left="16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</w:rPr>
        <w:t>m.st. Warszawy (ze zm.).</w:t>
      </w:r>
    </w:p>
  </w:footnote>
  <w:footnote w:id="6">
    <w:p w:rsidR="005B5074" w:rsidRPr="0008201B" w:rsidRDefault="00670989" w:rsidP="009F7D23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left="140" w:right="600" w:hanging="14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17/2019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Dyrektora ZGN Śródmieście z 24 października 2019 r. w sprawie ustalenia zasad obsługi windykacyjnej ZGN oraz zarządzenie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24/2019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Dyrektora ZGN w Dzielnicy śródmieście</w:t>
      </w:r>
    </w:p>
  </w:footnote>
  <w:footnote w:id="7">
    <w:p w:rsidR="005B5074" w:rsidRPr="0008201B" w:rsidRDefault="00670989" w:rsidP="009F7D23">
      <w:pPr>
        <w:pStyle w:val="Footnote10"/>
        <w:shd w:val="clear" w:color="auto" w:fill="auto"/>
        <w:spacing w:before="120" w:after="240" w:line="300" w:lineRule="auto"/>
        <w:ind w:left="16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</w:rPr>
        <w:t>m.st. Warszawy z 5 grudnia 2019 r. w sprawie: wprowadzenia „Instrukcji Postępowania Windykacyjnego</w:t>
      </w:r>
    </w:p>
  </w:footnote>
  <w:footnote w:id="8">
    <w:p w:rsidR="005B5074" w:rsidRPr="0008201B" w:rsidRDefault="00670989" w:rsidP="009F7D23">
      <w:pPr>
        <w:pStyle w:val="Footnote10"/>
        <w:shd w:val="clear" w:color="auto" w:fill="auto"/>
        <w:spacing w:before="120" w:after="240" w:line="300" w:lineRule="auto"/>
        <w:ind w:left="14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w ZGN w Dzielnicy Śródmieście m.st. Warszawy", „Procedury rozpatrywania wniosków o umorzenie, odroczenie zapłaty lub rozłożenie na raty należności pieniężnych, do których stosuje uchwałę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LXXXIX/2643/2010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Rady m.st. Warszawy z dnia 9 września 2010 r. w sprawie szczegółowych zasad, sposobu i trybu udzielania ulg w spłacie należności o charakterze cywilnoprawnym oraz określenia warunków dopuszczalności pomocy publicznej" oraz „Procedury umarzania z urzędu należności pieniężnych przysługujących ZGN, do których stosuje się uchwałę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LXXXIX/2643/2010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Rady m.st. Warszawy z dnia</w:t>
      </w:r>
    </w:p>
  </w:footnote>
  <w:footnote w:id="9">
    <w:p w:rsidR="005B5074" w:rsidRPr="0008201B" w:rsidRDefault="00670989" w:rsidP="009F7D23">
      <w:pPr>
        <w:pStyle w:val="Footnote10"/>
        <w:shd w:val="clear" w:color="auto" w:fill="auto"/>
        <w:spacing w:before="120" w:after="240" w:line="300" w:lineRule="auto"/>
        <w:ind w:left="14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 września 2010 r.</w:t>
      </w:r>
    </w:p>
  </w:footnote>
  <w:footnote w:id="10">
    <w:p w:rsidR="005B5074" w:rsidRPr="0008201B" w:rsidRDefault="00670989" w:rsidP="009F7D23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left="140" w:right="1320" w:hanging="14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sz w:val="22"/>
          <w:szCs w:val="22"/>
        </w:rPr>
        <w:tab/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Umowa </w:t>
      </w:r>
      <w:r w:rsidRPr="0008201B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19/2021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z 19 lutego 2021 r. zawarta z Dyrektorem ZGN Śródmieście oraz umowa nr DR-A.3150.414.2021.ALE z 14 września 2021 r. zawarta w imieniu Prezydenta m.st. Warszawy.</w:t>
      </w:r>
    </w:p>
  </w:footnote>
  <w:footnote w:id="11">
    <w:p w:rsidR="005B5074" w:rsidRPr="0008201B" w:rsidRDefault="00670989" w:rsidP="009F7D23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decyzja DR-A.31S0.502.2021.ASW/7 z dnia 27 września 2021 r.</w:t>
      </w:r>
    </w:p>
  </w:footnote>
  <w:footnote w:id="12">
    <w:p w:rsidR="005B5074" w:rsidRPr="0008201B" w:rsidRDefault="00670989" w:rsidP="009F7D23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uchwała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LXXXIX/2643/2010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Rady m.st. Warszawy z dnia 9 września 2010 r. w sprawie szczegółowych zasad, sposobu i trybu udzielania ulg w spłacie należności o charakterze cywilnoprawnym oraz określenia warunków dopuszczalności pomocy publicznej (ze zm.).</w:t>
      </w:r>
    </w:p>
  </w:footnote>
  <w:footnote w:id="13">
    <w:p w:rsidR="005B5074" w:rsidRPr="0008201B" w:rsidRDefault="00670989" w:rsidP="009F7D23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ind w:right="36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decyzja DR-A-3150.250.2021JKO/6 z dnia 16 września 2021 r.; decyzja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DR-A.3150.307.2021ASW/5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z dnia 23 lipca 2021 r.</w:t>
      </w:r>
    </w:p>
  </w:footnote>
  <w:footnote w:id="14">
    <w:p w:rsidR="005B5074" w:rsidRPr="0008201B" w:rsidRDefault="00670989" w:rsidP="009F7D23">
      <w:pPr>
        <w:pStyle w:val="Footnote10"/>
        <w:shd w:val="clear" w:color="auto" w:fill="auto"/>
        <w:tabs>
          <w:tab w:val="left" w:pos="163"/>
          <w:tab w:val="left" w:pos="1186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Pani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,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lokalu przy ul.</w:t>
      </w:r>
    </w:p>
  </w:footnote>
  <w:footnote w:id="15">
    <w:p w:rsidR="005B5074" w:rsidRPr="0008201B" w:rsidRDefault="00670989" w:rsidP="009F7D23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Umowa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8/21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z 23 sierpnia 2021 r. i umowa nr </w:t>
      </w:r>
      <w:r w:rsidRPr="0008201B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>22/21.</w:t>
      </w:r>
    </w:p>
  </w:footnote>
  <w:footnote w:id="16">
    <w:p w:rsidR="005B5074" w:rsidRPr="0008201B" w:rsidRDefault="00670989" w:rsidP="009F7D23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Umowa nr DR-A.3150.72.2021.ALE z 21 kwietnia 2021 r.</w:t>
      </w:r>
    </w:p>
  </w:footnote>
  <w:footnote w:id="17">
    <w:p w:rsidR="005B5074" w:rsidRPr="0008201B" w:rsidRDefault="00670989" w:rsidP="009F7D23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ind w:left="180" w:right="920" w:hanging="18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Oświadczenie woli nr ZGN/NW/00214/66/1/2021/NZWP-5 z dnia 25-06-2021 r. oraz nr ZGN/NW/- /402/18/1/2020/NW-2 z dnia 25-03-2021 złożone przez Dyrektora ZGN Śródmieście.</w:t>
      </w:r>
    </w:p>
  </w:footnote>
  <w:footnote w:id="18">
    <w:p w:rsidR="005B5074" w:rsidRPr="0008201B" w:rsidRDefault="00670989" w:rsidP="009F7D23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Dz. U. z 2022 r. poz. 931 ze zm.</w:t>
      </w:r>
    </w:p>
  </w:footnote>
  <w:footnote w:id="19">
    <w:p w:rsidR="005B5074" w:rsidRPr="0008201B" w:rsidRDefault="00670989" w:rsidP="009F7D23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ind w:left="200" w:right="3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Procedura rozliczania podatku od towarów i usług w m.st. Warszawie i „Instrukcję realizacji zobowiązania podatkowego podatku od towarów i usług w m.st. Warszawie.</w:t>
      </w:r>
    </w:p>
  </w:footnote>
  <w:footnote w:id="20">
    <w:p w:rsidR="005B5074" w:rsidRPr="0008201B" w:rsidRDefault="00670989" w:rsidP="009F7D23">
      <w:pPr>
        <w:pStyle w:val="Footnote10"/>
        <w:pBdr>
          <w:top w:val="single" w:sz="4" w:space="1" w:color="auto"/>
        </w:pBdr>
        <w:shd w:val="clear" w:color="auto" w:fill="auto"/>
        <w:tabs>
          <w:tab w:val="left" w:pos="17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Konto 225-01.</w:t>
      </w:r>
    </w:p>
  </w:footnote>
  <w:footnote w:id="21">
    <w:p w:rsidR="005B5074" w:rsidRPr="0008201B" w:rsidRDefault="00670989" w:rsidP="009F7D23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Konto 225-03.</w:t>
      </w:r>
    </w:p>
  </w:footnote>
  <w:footnote w:id="22">
    <w:p w:rsidR="005B5074" w:rsidRPr="0008201B" w:rsidRDefault="00670989" w:rsidP="009F7D23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Konto 225-02.</w:t>
      </w:r>
    </w:p>
  </w:footnote>
  <w:footnote w:id="23">
    <w:p w:rsidR="005B5074" w:rsidRPr="0008201B" w:rsidRDefault="00670989" w:rsidP="009F7D23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Konto 225-04.</w:t>
      </w:r>
    </w:p>
  </w:footnote>
  <w:footnote w:id="24">
    <w:p w:rsidR="005B5074" w:rsidRPr="0008201B" w:rsidRDefault="00670989" w:rsidP="009F7D23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Konto 280-02.</w:t>
      </w:r>
    </w:p>
  </w:footnote>
  <w:footnote w:id="25">
    <w:p w:rsidR="005B5074" w:rsidRPr="0008201B" w:rsidRDefault="00670989" w:rsidP="009F7D23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left="200" w:right="18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sz w:val="22"/>
          <w:szCs w:val="22"/>
        </w:rPr>
        <w:tab/>
      </w:r>
      <w:r w:rsidRPr="0008201B">
        <w:rPr>
          <w:rFonts w:asciiTheme="minorHAnsi" w:hAnsiTheme="minorHAnsi" w:cstheme="minorHAnsi"/>
          <w:b w:val="0"/>
          <w:sz w:val="22"/>
          <w:szCs w:val="22"/>
        </w:rPr>
        <w:t>Faktury wystawione z tytułu wynajmu lokali użytkowych, dzierżawy gruntu, zgody na zamieszczenie reklam, rozliczenia nakładów poprawiających stan techniczny lokali w czynszu z najmu, wykonania usług, wykonania remontów lokali i budynków i dostaw towarów.</w:t>
      </w:r>
    </w:p>
  </w:footnote>
  <w:footnote w:id="26">
    <w:p w:rsidR="005B5074" w:rsidRPr="0008201B" w:rsidRDefault="00670989" w:rsidP="009F7D23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Fundacja „ALTEREDU".</w:t>
      </w:r>
    </w:p>
  </w:footnote>
  <w:footnote w:id="27">
    <w:p w:rsidR="005B5074" w:rsidRPr="0008201B" w:rsidRDefault="00670989" w:rsidP="009F7D23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Nowa Lewica (dawne SLD), Samodzielne Koło Terenowe nr 144 Społeczne Towarzystwo Oświatowe.</w:t>
      </w:r>
    </w:p>
  </w:footnote>
  <w:footnote w:id="28">
    <w:p w:rsidR="005B5074" w:rsidRPr="0008201B" w:rsidRDefault="00670989" w:rsidP="009F7D23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 wykazie podatników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wykazane jako podmiot figurujący w rejestrze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VAT.</w:t>
      </w:r>
    </w:p>
  </w:footnote>
  <w:footnote w:id="29">
    <w:p w:rsidR="005B5074" w:rsidRPr="0008201B" w:rsidRDefault="00670989" w:rsidP="009F7D23">
      <w:pPr>
        <w:pStyle w:val="Footnote10"/>
        <w:shd w:val="clear" w:color="auto" w:fill="auto"/>
        <w:tabs>
          <w:tab w:val="left" w:pos="701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Style w:val="Footnote185ptItalic"/>
          <w:rFonts w:asciiTheme="minorHAnsi" w:hAnsiTheme="minorHAnsi" w:cstheme="minorHAnsi"/>
          <w:bCs/>
          <w:sz w:val="22"/>
          <w:szCs w:val="22"/>
          <w:vertAlign w:val="superscript"/>
        </w:rPr>
        <w:footnoteRef/>
      </w:r>
      <w:r w:rsidRPr="0008201B">
        <w:rPr>
          <w:rStyle w:val="Footnote185ptItalic"/>
          <w:rFonts w:asciiTheme="minorHAnsi" w:hAnsiTheme="minorHAnsi" w:cstheme="minorHAnsi"/>
          <w:bCs/>
          <w:sz w:val="22"/>
          <w:szCs w:val="22"/>
        </w:rPr>
        <w:t xml:space="preserve"> </w:t>
      </w:r>
      <w:r w:rsidRPr="0008201B">
        <w:rPr>
          <w:rStyle w:val="Footnote185ptItalic"/>
          <w:rFonts w:asciiTheme="minorHAnsi" w:hAnsiTheme="minorHAnsi" w:cstheme="minorHAnsi"/>
          <w:bCs/>
          <w:i w:val="0"/>
          <w:sz w:val="22"/>
          <w:szCs w:val="22"/>
        </w:rPr>
        <w:t>Do</w:t>
      </w:r>
      <w:r w:rsidRPr="0008201B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5 umów z wykonawcami: Zakład Usług Kominiarskich i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>na wykonanie usług</w:t>
      </w:r>
    </w:p>
  </w:footnote>
  <w:footnote w:id="30">
    <w:p w:rsidR="005B5074" w:rsidRPr="0008201B" w:rsidRDefault="00670989" w:rsidP="009F7D23">
      <w:pPr>
        <w:pStyle w:val="Footnote10"/>
        <w:shd w:val="clear" w:color="auto" w:fill="auto"/>
        <w:spacing w:before="120" w:after="240" w:line="300" w:lineRule="auto"/>
        <w:ind w:left="20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konserwacyjnych w branży kominiarskiej w budynkach ZGN - 9 faktur z kwotą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1295,69 zł, zaksięgowana na koncie 225 kwota 452,32 zł (z 1 faktury); EB2B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Service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Sp. z o.o. na udostępnienie platformy zakupowej -1</w:t>
      </w:r>
    </w:p>
  </w:footnote>
  <w:footnote w:id="31">
    <w:p w:rsidR="005B5074" w:rsidRPr="0008201B" w:rsidRDefault="00670989" w:rsidP="009F7D23">
      <w:pPr>
        <w:pStyle w:val="Footnote10"/>
        <w:shd w:val="clear" w:color="auto" w:fill="auto"/>
        <w:spacing w:before="120" w:after="240" w:line="300" w:lineRule="auto"/>
        <w:ind w:left="20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faktura z kwotą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2 760,09 zł, na koncie 225 zaksięgowana kwota 914,94 zł;</w:t>
      </w:r>
    </w:p>
  </w:footnote>
  <w:footnote w:id="32">
    <w:p w:rsidR="005B5074" w:rsidRPr="0008201B" w:rsidRDefault="00670989" w:rsidP="009F7D23">
      <w:pPr>
        <w:pStyle w:val="Footnote10"/>
        <w:shd w:val="clear" w:color="auto" w:fill="auto"/>
        <w:spacing w:before="120" w:after="240" w:line="300" w:lineRule="auto"/>
        <w:ind w:left="200"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I* na 'wykonanie remontu elewacji i izolacji ścian w budynku - 4 faktury z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ѴЛТ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76 766,61 zł, zaksięgowana kwota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76 766,61 zł; AMAD Sp. z o.o. na sukcesywną dostawę materiałów biurowych - 6 faktur podatek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w kwocie</w:t>
      </w:r>
      <w:r w:rsidRPr="0008201B">
        <w:rPr>
          <w:rFonts w:asciiTheme="minorHAnsi" w:hAnsiTheme="minorHAnsi" w:cstheme="minorHAnsi"/>
          <w:sz w:val="22"/>
          <w:szCs w:val="22"/>
        </w:rPr>
        <w:t xml:space="preserve">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10145,69 zł, zaksięgowana </w:t>
      </w:r>
      <w:proofErr w:type="spellStart"/>
      <w:r w:rsidRPr="0008201B">
        <w:rPr>
          <w:rFonts w:asciiTheme="minorHAnsi" w:hAnsiTheme="minorHAnsi" w:cstheme="minorHAnsi"/>
          <w:b w:val="0"/>
          <w:sz w:val="22"/>
          <w:szCs w:val="22"/>
        </w:rPr>
        <w:t>kwuta</w:t>
      </w:r>
      <w:proofErr w:type="spellEnd"/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3 363,30 zł; </w:t>
      </w:r>
      <w:r w:rsidRPr="0008201B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FADBET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 xml:space="preserve">S.A. na remont i przebudowę budynków -1 faktura z kwotą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3 362,19 zł, zaksięgowana kwota 2185,42 zł.</w:t>
      </w:r>
    </w:p>
  </w:footnote>
  <w:footnote w:id="33">
    <w:p w:rsidR="005B5074" w:rsidRPr="0008201B" w:rsidRDefault="00670989" w:rsidP="009F7D23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left="200" w:right="62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Wystawiono 9 faktur z łączną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1295,69 zł, zaksięgowana na koncie kwota 452,82 zł (34,95% całego podatku), niezaksięgowana kwota 842,87 zł.</w:t>
      </w:r>
    </w:p>
  </w:footnote>
  <w:footnote w:id="34">
    <w:p w:rsidR="005B5074" w:rsidRPr="0008201B" w:rsidRDefault="00670989" w:rsidP="009F7D23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ind w:left="200" w:right="52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Wystawiono 1 fakturę z łączną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2 760,00 zł, zaksięgowana na koncie kwota 914,94 zł (33,15% całego podatku), niezaksięgowana kwota 1845,05 zł.</w:t>
      </w:r>
    </w:p>
  </w:footnote>
  <w:footnote w:id="35">
    <w:p w:rsidR="005B5074" w:rsidRPr="0008201B" w:rsidRDefault="00670989" w:rsidP="009F7D23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left="20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Wystawiono 4 faktury z łączną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76 766,61 zł, zaksięgowana na koncie kwota 76 766,61 zł (100,00% całego podatku).</w:t>
      </w:r>
    </w:p>
  </w:footnote>
  <w:footnote w:id="36">
    <w:p w:rsidR="005B5074" w:rsidRPr="0008201B" w:rsidRDefault="00670989" w:rsidP="009F7D23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left="20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Wystawiono 6 faktur z łączną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VAT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10145,69 zł, zaksięgowana na koncie kwota 3 393,30 zł (33,45% całego podatku), niezaksięgowana kwota 6 752,39 zł.</w:t>
      </w:r>
    </w:p>
  </w:footnote>
  <w:footnote w:id="37">
    <w:p w:rsidR="005B5074" w:rsidRPr="0008201B" w:rsidRDefault="00670989" w:rsidP="009F7D23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left="20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Wystawiono 1 fakturę z łączną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3 362,19 zł, zaksięgowana na koncie kwota 2 185,42 zł (65,00% całego podatku), niezaksięgowana kwota 1175,77 zł.</w:t>
      </w:r>
    </w:p>
  </w:footnote>
  <w:footnote w:id="38">
    <w:p w:rsidR="005B5074" w:rsidRPr="0008201B" w:rsidRDefault="00670989" w:rsidP="009F7D23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left="200" w:right="4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Wystawiono 1 fakturę z łączną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1774,18 zł, zaksięgowana na koncie kwota 816,86 zł (46,04% całego podatku), niezaksięgowana kwota 957,32 zł.</w:t>
      </w:r>
    </w:p>
  </w:footnote>
  <w:footnote w:id="39">
    <w:p w:rsidR="005B5074" w:rsidRPr="0008201B" w:rsidRDefault="00670989" w:rsidP="009F7D23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Wystawiono 6 faktur z łączną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6 274,40 zł, cała kwota została niezaksięgowana.</w:t>
      </w:r>
    </w:p>
  </w:footnote>
  <w:footnote w:id="40">
    <w:p w:rsidR="005B5074" w:rsidRPr="0008201B" w:rsidRDefault="00670989" w:rsidP="009F7D23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Wystawiono 10 faktur z łączną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29 978,47 zł, cała kwota została niezaksięgowana.</w:t>
      </w:r>
    </w:p>
  </w:footnote>
  <w:footnote w:id="41">
    <w:p w:rsidR="005B5074" w:rsidRPr="0008201B" w:rsidRDefault="00670989" w:rsidP="009F7D23">
      <w:pPr>
        <w:pStyle w:val="Footnote10"/>
        <w:shd w:val="clear" w:color="auto" w:fill="auto"/>
        <w:tabs>
          <w:tab w:val="left" w:pos="168"/>
          <w:tab w:val="left" w:pos="8051"/>
        </w:tabs>
        <w:spacing w:before="120"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8201B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08201B">
        <w:rPr>
          <w:rFonts w:asciiTheme="minorHAnsi" w:hAnsiTheme="minorHAnsi" w:cstheme="minorHAnsi"/>
          <w:b w:val="0"/>
          <w:sz w:val="22"/>
          <w:szCs w:val="22"/>
        </w:rPr>
        <w:tab/>
        <w:t xml:space="preserve">Wystawiono 3 faktury z łączną kwotą podatku </w:t>
      </w:r>
      <w:r w:rsidRPr="0008201B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VAT </w:t>
      </w:r>
      <w:r w:rsidRPr="0008201B">
        <w:rPr>
          <w:rFonts w:asciiTheme="minorHAnsi" w:hAnsiTheme="minorHAnsi" w:cstheme="minorHAnsi"/>
          <w:b w:val="0"/>
          <w:sz w:val="22"/>
          <w:szCs w:val="22"/>
        </w:rPr>
        <w:t>47 837,45 zł, cała kwota została niezaksięgowana</w:t>
      </w:r>
      <w:r w:rsidRPr="0008201B">
        <w:rPr>
          <w:rFonts w:asciiTheme="minorHAnsi" w:hAnsiTheme="minorHAnsi" w:cstheme="minorHAnsi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EC0" w:rsidRPr="00AC1164" w:rsidRDefault="00AC1164" w:rsidP="00AC1164">
    <w:pPr>
      <w:pStyle w:val="Nagwek"/>
    </w:pPr>
    <w:r>
      <w:rPr>
        <w:noProof/>
        <w:lang w:bidi="ar-SA"/>
      </w:rPr>
      <w:drawing>
        <wp:inline distT="0" distB="0" distL="0" distR="0" wp14:anchorId="784D2012" wp14:editId="41D44481">
          <wp:extent cx="5546090" cy="1041726"/>
          <wp:effectExtent l="0" t="0" r="0" b="6350"/>
          <wp:docPr id="7" name="Obraz 7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6090" cy="1041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D2E6E"/>
    <w:multiLevelType w:val="multilevel"/>
    <w:tmpl w:val="E4E4C2B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730758"/>
    <w:multiLevelType w:val="multilevel"/>
    <w:tmpl w:val="D1622A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9911439"/>
    <w:multiLevelType w:val="multilevel"/>
    <w:tmpl w:val="1236229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74"/>
    <w:rsid w:val="0008201B"/>
    <w:rsid w:val="00364F1C"/>
    <w:rsid w:val="003E2EC0"/>
    <w:rsid w:val="005B5074"/>
    <w:rsid w:val="00600ED5"/>
    <w:rsid w:val="00670989"/>
    <w:rsid w:val="006A7A93"/>
    <w:rsid w:val="009F7D23"/>
    <w:rsid w:val="00A51FDE"/>
    <w:rsid w:val="00AC1164"/>
    <w:rsid w:val="00CB4E22"/>
    <w:rsid w:val="00EC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5801887-E40E-46BE-846C-1320C5A8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11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Footnote185ptItalic">
    <w:name w:val="Footnote|1 + 8.5 pt;Italic"/>
    <w:basedOn w:val="Footnote1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Italic">
    <w:name w:val="Body text|4 + Italic"/>
    <w:basedOn w:val="Bodytext4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SmallCaps">
    <w:name w:val="Body text|2 + Small Caps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Italic">
    <w:name w:val="Body text|2 + 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icturecaption1">
    <w:name w:val="Picture caption|1_"/>
    <w:basedOn w:val="Domylnaczcionkaakapitu"/>
    <w:link w:val="Picturecaption1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Bodytext6Exact">
    <w:name w:val="Body text|6 Exact"/>
    <w:basedOn w:val="Domylnaczcionkaakapitu"/>
    <w:link w:val="Bodytext6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5" w:lineRule="exact"/>
      <w:ind w:hanging="200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800" w:line="168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800" w:after="560" w:line="212" w:lineRule="exact"/>
      <w:ind w:hanging="460"/>
    </w:pPr>
    <w:rPr>
      <w:rFonts w:ascii="Arial" w:eastAsia="Arial" w:hAnsi="Arial" w:cs="Arial"/>
      <w:sz w:val="19"/>
      <w:szCs w:val="19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  <w:lang w:val="ru-RU" w:eastAsia="ru-RU" w:bidi="ru-RU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220" w:after="120" w:line="322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Picturecaption10">
    <w:name w:val="Picture caption|1"/>
    <w:basedOn w:val="Normalny"/>
    <w:link w:val="Picturecaption1"/>
    <w:qFormat/>
    <w:pPr>
      <w:shd w:val="clear" w:color="auto" w:fill="FFFFFF"/>
      <w:spacing w:line="168" w:lineRule="exact"/>
      <w:jc w:val="center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6">
    <w:name w:val="Body text|6"/>
    <w:basedOn w:val="Normalny"/>
    <w:link w:val="Bodytext6Exact"/>
    <w:pPr>
      <w:shd w:val="clear" w:color="auto" w:fill="FFFFFF"/>
      <w:spacing w:line="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CB4E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B4E2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B4E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E22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C11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2920</Words>
  <Characters>17523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creator>Urban Marzanna (KW)</dc:creator>
  <cp:lastModifiedBy>Nalazek Izabela (KW)</cp:lastModifiedBy>
  <cp:revision>5</cp:revision>
  <dcterms:created xsi:type="dcterms:W3CDTF">2023-10-16T09:55:00Z</dcterms:created>
  <dcterms:modified xsi:type="dcterms:W3CDTF">2024-04-30T10:28:00Z</dcterms:modified>
</cp:coreProperties>
</file>