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531" w:rsidRPr="00C84D75" w:rsidRDefault="00A95531" w:rsidP="00C84D75">
      <w:pPr>
        <w:pStyle w:val="Bodytext30"/>
        <w:keepNext/>
        <w:framePr w:dropCap="drop" w:lines="5" w:hSpace="245" w:vSpace="245" w:wrap="auto" w:vAnchor="text" w:hAnchor="text"/>
        <w:shd w:val="clear" w:color="auto" w:fill="auto"/>
        <w:spacing w:before="120" w:after="240" w:line="300" w:lineRule="auto"/>
        <w:contextualSpacing/>
        <w:rPr>
          <w:rFonts w:asciiTheme="minorHAnsi" w:hAnsiTheme="minorHAnsi" w:cstheme="minorHAnsi"/>
          <w:sz w:val="22"/>
          <w:szCs w:val="22"/>
        </w:rPr>
      </w:pPr>
    </w:p>
    <w:p w:rsidR="00A95531" w:rsidRPr="00C84D75" w:rsidRDefault="00065B3A" w:rsidP="00386E6B">
      <w:pPr>
        <w:pStyle w:val="Bodytext20"/>
        <w:shd w:val="clear" w:color="auto" w:fill="auto"/>
        <w:spacing w:before="120" w:after="240" w:line="300" w:lineRule="auto"/>
        <w:ind w:left="6372"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Warszawa, </w:t>
      </w:r>
      <w:r w:rsidR="00C84D75" w:rsidRPr="00C84D75">
        <w:rPr>
          <w:rFonts w:asciiTheme="minorHAnsi" w:hAnsiTheme="minorHAnsi" w:cstheme="minorHAnsi"/>
          <w:sz w:val="22"/>
          <w:szCs w:val="22"/>
          <w:lang w:eastAsia="ru-RU" w:bidi="ru-RU"/>
        </w:rPr>
        <w:t>10</w:t>
      </w:r>
      <w:r w:rsidRPr="00C84D75">
        <w:rPr>
          <w:rFonts w:asciiTheme="minorHAnsi" w:hAnsiTheme="minorHAnsi" w:cstheme="minorHAnsi"/>
          <w:sz w:val="22"/>
          <w:szCs w:val="22"/>
        </w:rPr>
        <w:t xml:space="preserve"> lipca 2023 r.</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b/>
          <w:sz w:val="22"/>
          <w:szCs w:val="22"/>
        </w:rPr>
      </w:pPr>
      <w:r w:rsidRPr="00C84D75">
        <w:rPr>
          <w:rFonts w:asciiTheme="minorHAnsi" w:hAnsiTheme="minorHAnsi" w:cstheme="minorHAnsi"/>
          <w:b/>
          <w:sz w:val="22"/>
          <w:szCs w:val="22"/>
        </w:rPr>
        <w:t>Znak sprawy: KW-WGF.1712.54.2022.JDO</w:t>
      </w:r>
    </w:p>
    <w:p w:rsidR="00C84D75" w:rsidRDefault="00C84D75" w:rsidP="00C84D75">
      <w:pPr>
        <w:pStyle w:val="Bodytext20"/>
        <w:shd w:val="clear" w:color="auto" w:fill="auto"/>
        <w:spacing w:before="120" w:after="680" w:line="300" w:lineRule="auto"/>
        <w:ind w:left="4440" w:firstLine="0"/>
        <w:contextualSpacing/>
        <w:jc w:val="left"/>
        <w:rPr>
          <w:rFonts w:asciiTheme="minorHAnsi" w:hAnsiTheme="minorHAnsi" w:cstheme="minorHAnsi"/>
          <w:b/>
          <w:color w:val="auto"/>
          <w:sz w:val="22"/>
          <w:szCs w:val="22"/>
        </w:rPr>
      </w:pPr>
    </w:p>
    <w:p w:rsidR="00A95531" w:rsidRPr="00C84D75" w:rsidRDefault="00065B3A" w:rsidP="00C84D75">
      <w:pPr>
        <w:pStyle w:val="Bodytext20"/>
        <w:shd w:val="clear" w:color="auto" w:fill="auto"/>
        <w:spacing w:before="120" w:after="680" w:line="300" w:lineRule="auto"/>
        <w:ind w:left="4440" w:firstLine="0"/>
        <w:contextualSpacing/>
        <w:jc w:val="left"/>
        <w:rPr>
          <w:rFonts w:asciiTheme="minorHAnsi" w:hAnsiTheme="minorHAnsi" w:cstheme="minorHAnsi"/>
          <w:b/>
          <w:color w:val="auto"/>
          <w:sz w:val="22"/>
          <w:szCs w:val="22"/>
        </w:rPr>
      </w:pPr>
      <w:r w:rsidRPr="00C84D75">
        <w:rPr>
          <w:rFonts w:asciiTheme="minorHAnsi" w:hAnsiTheme="minorHAnsi" w:cstheme="minorHAnsi"/>
          <w:b/>
          <w:color w:val="auto"/>
          <w:sz w:val="22"/>
          <w:szCs w:val="22"/>
        </w:rPr>
        <w:t>Pani</w:t>
      </w:r>
    </w:p>
    <w:p w:rsidR="00A95531" w:rsidRPr="00C84D75" w:rsidRDefault="00065B3A" w:rsidP="00C84D75">
      <w:pPr>
        <w:pStyle w:val="Bodytext20"/>
        <w:shd w:val="clear" w:color="auto" w:fill="auto"/>
        <w:spacing w:before="120" w:after="680" w:line="300" w:lineRule="auto"/>
        <w:ind w:left="4440" w:right="3360" w:firstLine="0"/>
        <w:contextualSpacing/>
        <w:jc w:val="left"/>
        <w:rPr>
          <w:rFonts w:asciiTheme="minorHAnsi" w:hAnsiTheme="minorHAnsi" w:cstheme="minorHAnsi"/>
          <w:b/>
          <w:color w:val="auto"/>
          <w:sz w:val="22"/>
          <w:szCs w:val="22"/>
        </w:rPr>
      </w:pPr>
      <w:r w:rsidRPr="00C84D75">
        <w:rPr>
          <w:rFonts w:asciiTheme="minorHAnsi" w:hAnsiTheme="minorHAnsi" w:cstheme="minorHAnsi"/>
          <w:b/>
          <w:color w:val="auto"/>
          <w:sz w:val="22"/>
          <w:szCs w:val="22"/>
        </w:rPr>
        <w:t>Bożena Salich Dyrektor</w:t>
      </w:r>
    </w:p>
    <w:p w:rsidR="00A95531" w:rsidRDefault="00065B3A" w:rsidP="00C84D75">
      <w:pPr>
        <w:pStyle w:val="Bodytext20"/>
        <w:shd w:val="clear" w:color="auto" w:fill="auto"/>
        <w:spacing w:before="120" w:after="680" w:line="300" w:lineRule="auto"/>
        <w:ind w:left="4440" w:right="528" w:firstLine="0"/>
        <w:contextualSpacing/>
        <w:jc w:val="left"/>
        <w:rPr>
          <w:rFonts w:asciiTheme="minorHAnsi" w:hAnsiTheme="minorHAnsi" w:cstheme="minorHAnsi"/>
          <w:b/>
          <w:color w:val="auto"/>
          <w:sz w:val="22"/>
          <w:szCs w:val="22"/>
        </w:rPr>
      </w:pPr>
      <w:r w:rsidRPr="00C84D75">
        <w:rPr>
          <w:rFonts w:asciiTheme="minorHAnsi" w:hAnsiTheme="minorHAnsi" w:cstheme="minorHAnsi"/>
          <w:b/>
          <w:color w:val="auto"/>
          <w:sz w:val="22"/>
          <w:szCs w:val="22"/>
        </w:rPr>
        <w:t>Zakładu Gospodarowania Nieruchomościami w Dzielnicy Praga-Północ m.st. Warszawy</w:t>
      </w:r>
    </w:p>
    <w:p w:rsidR="00C84D75" w:rsidRPr="00C84D75" w:rsidRDefault="00C84D75" w:rsidP="00C84D75">
      <w:pPr>
        <w:pStyle w:val="Bodytext20"/>
        <w:shd w:val="clear" w:color="auto" w:fill="auto"/>
        <w:spacing w:before="120" w:after="240" w:line="300" w:lineRule="auto"/>
        <w:ind w:left="4440" w:right="528" w:firstLine="0"/>
        <w:contextualSpacing/>
        <w:jc w:val="left"/>
        <w:rPr>
          <w:rFonts w:asciiTheme="minorHAnsi" w:hAnsiTheme="minorHAnsi" w:cstheme="minorHAnsi"/>
          <w:b/>
          <w:color w:val="auto"/>
          <w:sz w:val="22"/>
          <w:szCs w:val="22"/>
        </w:rPr>
      </w:pPr>
    </w:p>
    <w:p w:rsidR="00A95531" w:rsidRPr="00320BC1" w:rsidRDefault="00065B3A" w:rsidP="00320BC1">
      <w:pPr>
        <w:pStyle w:val="Nagwek1"/>
        <w:ind w:left="2832"/>
        <w:rPr>
          <w:rFonts w:asciiTheme="minorHAnsi" w:hAnsiTheme="minorHAnsi"/>
          <w:b/>
          <w:color w:val="auto"/>
          <w:sz w:val="22"/>
          <w:szCs w:val="22"/>
        </w:rPr>
      </w:pPr>
      <w:r w:rsidRPr="00320BC1">
        <w:rPr>
          <w:rFonts w:asciiTheme="minorHAnsi" w:hAnsiTheme="minorHAnsi"/>
          <w:b/>
          <w:color w:val="auto"/>
          <w:sz w:val="22"/>
          <w:szCs w:val="22"/>
        </w:rPr>
        <w:t>Wystąpienie pokontrolne</w:t>
      </w:r>
    </w:p>
    <w:p w:rsidR="007C0993" w:rsidRPr="00C84D75" w:rsidRDefault="007C0993" w:rsidP="00C84D75">
      <w:pPr>
        <w:pStyle w:val="Headerorfooter10"/>
        <w:ind w:left="2832"/>
        <w:rPr>
          <w:rFonts w:asciiTheme="minorHAnsi" w:hAnsiTheme="minorHAnsi" w:cstheme="minorHAnsi"/>
          <w:b/>
          <w:color w:val="auto"/>
          <w:sz w:val="22"/>
          <w:szCs w:val="22"/>
        </w:rPr>
      </w:pP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Na podstawie § 22 ust. 10 Regulaminu organizacyjnego Urzędu m.st. Warszawy, stanowiącego załącznik do zarządzenia Nr </w:t>
      </w:r>
      <w:r w:rsidRPr="00C84D75">
        <w:rPr>
          <w:rFonts w:asciiTheme="minorHAnsi" w:hAnsiTheme="minorHAnsi" w:cstheme="minorHAnsi"/>
          <w:sz w:val="22"/>
          <w:szCs w:val="22"/>
          <w:lang w:val="ru-RU" w:eastAsia="ru-RU" w:bidi="ru-RU"/>
        </w:rPr>
        <w:t xml:space="preserve">312/2007 </w:t>
      </w:r>
      <w:r w:rsidRPr="00C84D75">
        <w:rPr>
          <w:rFonts w:asciiTheme="minorHAnsi" w:hAnsiTheme="minorHAnsi" w:cstheme="minorHAnsi"/>
          <w:sz w:val="22"/>
          <w:szCs w:val="22"/>
        </w:rPr>
        <w:t>Prezydenta Miasta Stołecznego Warszawy z dnia 4 kwietnia 2007 r. w sprawie nadania regulaminu organizacyjnego Urzędu m.st. Warszawy (ze zm.), w związku kontrolą</w:t>
      </w:r>
      <w:r w:rsidRPr="00C84D75">
        <w:rPr>
          <w:rFonts w:asciiTheme="minorHAnsi" w:hAnsiTheme="minorHAnsi" w:cstheme="minorHAnsi"/>
          <w:sz w:val="22"/>
          <w:szCs w:val="22"/>
          <w:vertAlign w:val="superscript"/>
        </w:rPr>
        <w:footnoteReference w:id="1"/>
      </w:r>
      <w:r w:rsidRPr="00C84D75">
        <w:rPr>
          <w:rFonts w:asciiTheme="minorHAnsi" w:hAnsiTheme="minorHAnsi" w:cstheme="minorHAnsi"/>
          <w:sz w:val="22"/>
          <w:szCs w:val="22"/>
        </w:rPr>
        <w:t xml:space="preserve"> przeprowadzoną przez Biuro Kontroli Urzędu m.st. Warszawy w Zakładzie Gospodarowania Nieruchomościami w Dzielnicy Praga-Północ m.st. Warszawy (dalej: ZGN lub Zakład), której wyniki zostały przedstawione w protokole kontroli podpisanym 9 grudnia 2022 r., stosownie do § 39 ust. 1 i ust. 4, w zw. z § 37 ust. 1 zarządzenia nr </w:t>
      </w:r>
      <w:r w:rsidRPr="00C84D75">
        <w:rPr>
          <w:rFonts w:asciiTheme="minorHAnsi" w:hAnsiTheme="minorHAnsi" w:cstheme="minorHAnsi"/>
          <w:sz w:val="22"/>
          <w:szCs w:val="22"/>
          <w:lang w:val="ru-RU" w:eastAsia="ru-RU" w:bidi="ru-RU"/>
        </w:rPr>
        <w:t xml:space="preserve">1837/2019 </w:t>
      </w:r>
      <w:r w:rsidRPr="00C84D75">
        <w:rPr>
          <w:rFonts w:asciiTheme="minorHAnsi" w:hAnsiTheme="minorHAnsi" w:cstheme="minorHAnsi"/>
          <w:sz w:val="22"/>
          <w:szCs w:val="22"/>
        </w:rPr>
        <w:t>Prezydenta m.st. Warszawy z 12 grudnia 2019 r. w sprawie zasad i trybu postępowania kontrolnego (zwanego dalej: Zarządzeniem), przekazuję Pani wystąpienie pokontrolne, uwzględniające złożone przez Panią zastrzeżenie do projektu wystąpienia pokontrolnego.</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ZGN Praga-Północ jest jednostką budżetową, utworzoną uchwałą </w:t>
      </w:r>
      <w:proofErr w:type="spellStart"/>
      <w:r w:rsidRPr="00C84D75">
        <w:rPr>
          <w:rFonts w:asciiTheme="minorHAnsi" w:hAnsiTheme="minorHAnsi" w:cstheme="minorHAnsi"/>
          <w:sz w:val="22"/>
          <w:szCs w:val="22"/>
        </w:rPr>
        <w:t>NrXLIII</w:t>
      </w:r>
      <w:proofErr w:type="spellEnd"/>
      <w:r w:rsidRPr="00C84D75">
        <w:rPr>
          <w:rFonts w:asciiTheme="minorHAnsi" w:hAnsiTheme="minorHAnsi" w:cstheme="minorHAnsi"/>
          <w:sz w:val="22"/>
          <w:szCs w:val="22"/>
        </w:rPr>
        <w:t>/102.1/2004 Rady Miasta Stołecznego Warszawy z dnia 2 grudnia 2004 r.</w:t>
      </w:r>
      <w:r w:rsidRPr="00C84D75">
        <w:rPr>
          <w:rFonts w:asciiTheme="minorHAnsi" w:hAnsiTheme="minorHAnsi" w:cstheme="minorHAnsi"/>
          <w:sz w:val="22"/>
          <w:szCs w:val="22"/>
          <w:vertAlign w:val="superscript"/>
        </w:rPr>
        <w:footnoteReference w:id="2"/>
      </w:r>
      <w:r w:rsidRPr="00C84D75">
        <w:rPr>
          <w:rFonts w:asciiTheme="minorHAnsi" w:hAnsiTheme="minorHAnsi" w:cstheme="minorHAnsi"/>
          <w:sz w:val="22"/>
          <w:szCs w:val="22"/>
        </w:rPr>
        <w:t xml:space="preserve">, funkcjonującą na podstawie statutu stanowiącego załącznik </w:t>
      </w:r>
      <w:proofErr w:type="spellStart"/>
      <w:r w:rsidRPr="00C84D75">
        <w:rPr>
          <w:rFonts w:asciiTheme="minorHAnsi" w:hAnsiTheme="minorHAnsi" w:cstheme="minorHAnsi"/>
          <w:sz w:val="22"/>
          <w:szCs w:val="22"/>
        </w:rPr>
        <w:t>rio</w:t>
      </w:r>
      <w:proofErr w:type="spellEnd"/>
      <w:r w:rsidRPr="00C84D75">
        <w:rPr>
          <w:rFonts w:asciiTheme="minorHAnsi" w:hAnsiTheme="minorHAnsi" w:cstheme="minorHAnsi"/>
          <w:sz w:val="22"/>
          <w:szCs w:val="22"/>
        </w:rPr>
        <w:t xml:space="preserve"> uchwały. Zadaniem Zakładu jest m.in. gospodarowanie w granicach zwykłego zarządu, w sposób i na zasadach określonych przepisami prawa oraz ustaleniami organów m.st. Warszawy mieszkaniowym zasobem m.st. Warszawy, powierzonym zasobem nieruchomości m.st. Warszawy.</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Ustalono, że Zakład w 2021 roku uzyskał dochody w łącznej kwocie 72 396 963,72 zł (101,27% planowanych dochodów), w tym dochody z najmu i dzierżawy składników majątkowych wyniosły 39 777 100,74 zł (104,54% planu), z tytułu pozostałych dochodów uzyskano kwotę 32 598 679,24 zł </w:t>
      </w:r>
      <w:r w:rsidRPr="00C84D75">
        <w:rPr>
          <w:rFonts w:asciiTheme="minorHAnsi" w:hAnsiTheme="minorHAnsi" w:cstheme="minorHAnsi"/>
          <w:sz w:val="22"/>
          <w:szCs w:val="22"/>
        </w:rPr>
        <w:lastRenderedPageBreak/>
        <w:t>(97,49% planu), w tym z tyt. pozostałych odsetek dochody ’</w:t>
      </w:r>
      <w:r w:rsidRPr="00C84D75">
        <w:rPr>
          <w:sz w:val="22"/>
          <w:szCs w:val="22"/>
        </w:rPr>
        <w:t>■</w:t>
      </w:r>
      <w:r w:rsidRPr="00C84D75">
        <w:rPr>
          <w:rFonts w:asciiTheme="minorHAnsi" w:hAnsiTheme="minorHAnsi" w:cstheme="minorHAnsi"/>
          <w:sz w:val="22"/>
          <w:szCs w:val="22"/>
        </w:rPr>
        <w:t>wyniosły 2 143 630,00 zł (126,10% planu), wpływy z usług [zwrot odpłatności za media] wyniosły 28 377 903,87 zł (94,59%), wpływy z tytułu zwrotu podatku od towarów i usług 1416 416,95 zł (123,60%), wpływy z mandatów i kar pieniężnych wyniosły 95 969,97 zł (nie były planowane), wpływy z różnych dochodów uzyskano w kwocie 474 191,59 zł (86,22% planu), wpływy z tytułu kosztów egzekucyjnych, opłaty komorniczej i kosztów upomnień 44 918,20 zł (112,30%), ze sprzedaży składników majątkowych 21183,74 zł (nie były planowane).</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Dokumentację określającą zasady (politykę) rachunkowości, opracowaną stosownie </w:t>
      </w:r>
      <w:r w:rsidRPr="00C84D75">
        <w:rPr>
          <w:rFonts w:asciiTheme="minorHAnsi" w:hAnsiTheme="minorHAnsi" w:cstheme="minorHAnsi"/>
          <w:sz w:val="22"/>
          <w:szCs w:val="22"/>
          <w:lang w:val="en-US" w:eastAsia="en-US" w:bidi="en-US"/>
        </w:rPr>
        <w:t xml:space="preserve">do art. </w:t>
      </w:r>
      <w:r w:rsidRPr="00C84D75">
        <w:rPr>
          <w:rFonts w:asciiTheme="minorHAnsi" w:hAnsiTheme="minorHAnsi" w:cstheme="minorHAnsi"/>
          <w:sz w:val="22"/>
          <w:szCs w:val="22"/>
        </w:rPr>
        <w:t>10 ustawy z dnia 29 września 1994 r. o rachunkowości</w:t>
      </w:r>
      <w:r w:rsidRPr="00C84D75">
        <w:rPr>
          <w:rFonts w:asciiTheme="minorHAnsi" w:hAnsiTheme="minorHAnsi" w:cstheme="minorHAnsi"/>
          <w:sz w:val="22"/>
          <w:szCs w:val="22"/>
          <w:vertAlign w:val="superscript"/>
        </w:rPr>
        <w:footnoteReference w:id="3"/>
      </w:r>
      <w:r w:rsidRPr="00C84D75">
        <w:rPr>
          <w:rFonts w:asciiTheme="minorHAnsi" w:hAnsiTheme="minorHAnsi" w:cstheme="minorHAnsi"/>
          <w:sz w:val="22"/>
          <w:szCs w:val="22"/>
        </w:rPr>
        <w:t xml:space="preserve">, wprowadzono zarządzeniem nr </w:t>
      </w:r>
      <w:r w:rsidRPr="00C84D75">
        <w:rPr>
          <w:rFonts w:asciiTheme="minorHAnsi" w:hAnsiTheme="minorHAnsi" w:cstheme="minorHAnsi"/>
          <w:sz w:val="22"/>
          <w:szCs w:val="22"/>
          <w:lang w:val="ru-RU" w:eastAsia="ru-RU" w:bidi="ru-RU"/>
        </w:rPr>
        <w:t xml:space="preserve">41/2020 </w:t>
      </w:r>
      <w:r w:rsidRPr="00C84D75">
        <w:rPr>
          <w:rFonts w:asciiTheme="minorHAnsi" w:hAnsiTheme="minorHAnsi" w:cstheme="minorHAnsi"/>
          <w:sz w:val="22"/>
          <w:szCs w:val="22"/>
        </w:rPr>
        <w:t>Dyrektora ZGN Praga-Północ z dnia 13 maja 2020 r.</w:t>
      </w:r>
      <w:r w:rsidRPr="00C84D75">
        <w:rPr>
          <w:rFonts w:asciiTheme="minorHAnsi" w:hAnsiTheme="minorHAnsi" w:cstheme="minorHAnsi"/>
          <w:sz w:val="22"/>
          <w:szCs w:val="22"/>
          <w:vertAlign w:val="superscript"/>
        </w:rPr>
        <w:footnoteReference w:id="4"/>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ZGN Praga-Północ dokonuje wspólnego rozliczenia podatku od towarów i usług (dalej: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 xml:space="preserve">w oparciu o zasady ustalone w zarządzeniu nr </w:t>
      </w:r>
      <w:r w:rsidRPr="00C84D75">
        <w:rPr>
          <w:rFonts w:asciiTheme="minorHAnsi" w:hAnsiTheme="minorHAnsi" w:cstheme="minorHAnsi"/>
          <w:sz w:val="22"/>
          <w:szCs w:val="22"/>
          <w:lang w:val="ru-RU" w:eastAsia="ru-RU" w:bidi="ru-RU"/>
        </w:rPr>
        <w:t xml:space="preserve">1746/2015 </w:t>
      </w:r>
      <w:r w:rsidRPr="00C84D75">
        <w:rPr>
          <w:rFonts w:asciiTheme="minorHAnsi" w:hAnsiTheme="minorHAnsi" w:cstheme="minorHAnsi"/>
          <w:sz w:val="22"/>
          <w:szCs w:val="22"/>
        </w:rPr>
        <w:t>Prezydenta m.st. Warszawy z dnia 28 grudnia 2015 r. w sprawie centralizacji rozliczeń podatku od towarów i usług m.st. Warszawy (ze zm.), w tym w załączniku nr 1 do zarządzenia.</w:t>
      </w:r>
      <w:r w:rsidRPr="00C84D75">
        <w:rPr>
          <w:rFonts w:asciiTheme="minorHAnsi" w:hAnsiTheme="minorHAnsi" w:cstheme="minorHAnsi"/>
          <w:sz w:val="22"/>
          <w:szCs w:val="22"/>
          <w:vertAlign w:val="superscript"/>
        </w:rPr>
        <w:footnoteReference w:id="5"/>
      </w:r>
      <w:r w:rsidRPr="00C84D75">
        <w:rPr>
          <w:rFonts w:asciiTheme="minorHAnsi" w:hAnsiTheme="minorHAnsi" w:cstheme="minorHAnsi"/>
          <w:sz w:val="22"/>
          <w:szCs w:val="22"/>
        </w:rPr>
        <w:t xml:space="preserve"> Zasady ujmowania operacji związanych z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opisano w dokumentacji określającej zasady (politykę) rachunkowości ZGN Praga-Północ.</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Zakład, rozliczający podatek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w ramach scentralizowanego systemu rozliczeń m.st. Warszawy, korzysta z prawa do odliczenia podatku naliczonego w oparciu o współczynnik struktury sprzedaży. Odliczenie to, stosownie do treści obowiązujących w tym zakresie przepisów prawa podatkowego, dokonywane jest dwuetapowo, tj.:</w:t>
      </w:r>
    </w:p>
    <w:p w:rsidR="00A95531" w:rsidRPr="00C84D75" w:rsidRDefault="00065B3A" w:rsidP="00C84D75">
      <w:pPr>
        <w:pStyle w:val="Bodytext20"/>
        <w:numPr>
          <w:ilvl w:val="0"/>
          <w:numId w:val="1"/>
        </w:numPr>
        <w:shd w:val="clear" w:color="auto" w:fill="auto"/>
        <w:tabs>
          <w:tab w:val="left" w:pos="362"/>
        </w:tabs>
        <w:spacing w:before="120" w:after="240" w:line="300" w:lineRule="auto"/>
        <w:ind w:left="460"/>
        <w:contextualSpacing/>
        <w:jc w:val="left"/>
        <w:rPr>
          <w:rFonts w:asciiTheme="minorHAnsi" w:hAnsiTheme="minorHAnsi" w:cstheme="minorHAnsi"/>
          <w:sz w:val="22"/>
          <w:szCs w:val="22"/>
        </w:rPr>
      </w:pPr>
      <w:r w:rsidRPr="00C84D75">
        <w:rPr>
          <w:rFonts w:asciiTheme="minorHAnsi" w:hAnsiTheme="minorHAnsi" w:cstheme="minorHAnsi"/>
          <w:sz w:val="22"/>
          <w:szCs w:val="22"/>
        </w:rPr>
        <w:t>przez okres od stycznia do grudnia danego roku podatkowego na podstawie zaliczkowego współczynnika struktury sprzedaży wyliczonego na bazie danych dotyczących roku poprzedniego;</w:t>
      </w:r>
    </w:p>
    <w:p w:rsidR="00A95531" w:rsidRPr="00C84D75" w:rsidRDefault="00065B3A" w:rsidP="00C84D75">
      <w:pPr>
        <w:pStyle w:val="Bodytext20"/>
        <w:numPr>
          <w:ilvl w:val="0"/>
          <w:numId w:val="1"/>
        </w:numPr>
        <w:shd w:val="clear" w:color="auto" w:fill="auto"/>
        <w:tabs>
          <w:tab w:val="left" w:pos="362"/>
        </w:tabs>
        <w:spacing w:before="120" w:after="240" w:line="300" w:lineRule="auto"/>
        <w:ind w:left="460"/>
        <w:contextualSpacing/>
        <w:jc w:val="left"/>
        <w:rPr>
          <w:rFonts w:asciiTheme="minorHAnsi" w:hAnsiTheme="minorHAnsi" w:cstheme="minorHAnsi"/>
          <w:sz w:val="22"/>
          <w:szCs w:val="22"/>
        </w:rPr>
      </w:pPr>
      <w:r w:rsidRPr="00C84D75">
        <w:rPr>
          <w:rFonts w:asciiTheme="minorHAnsi" w:hAnsiTheme="minorHAnsi" w:cstheme="minorHAnsi"/>
          <w:sz w:val="22"/>
          <w:szCs w:val="22"/>
        </w:rPr>
        <w:t>po zakończeniu danego roku podatkowego na podstawie rzeczywistego współczynnika struktury sprzedaży wyliczonego zgodnie z postanowieniami ustawy o podatku od towarów i usług.</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Wyliczona różnica pomiędzy współczynnikiem struktury sprzedaży ujmowana jest:</w:t>
      </w:r>
    </w:p>
    <w:p w:rsidR="00A95531" w:rsidRPr="00C84D75" w:rsidRDefault="00065B3A" w:rsidP="00C84D75">
      <w:pPr>
        <w:pStyle w:val="Bodytext20"/>
        <w:numPr>
          <w:ilvl w:val="0"/>
          <w:numId w:val="1"/>
        </w:numPr>
        <w:shd w:val="clear" w:color="auto" w:fill="auto"/>
        <w:tabs>
          <w:tab w:val="left" w:pos="362"/>
        </w:tabs>
        <w:spacing w:before="120" w:after="240" w:line="300" w:lineRule="auto"/>
        <w:ind w:left="460"/>
        <w:contextualSpacing/>
        <w:jc w:val="left"/>
        <w:rPr>
          <w:rFonts w:asciiTheme="minorHAnsi" w:hAnsiTheme="minorHAnsi" w:cstheme="minorHAnsi"/>
          <w:sz w:val="22"/>
          <w:szCs w:val="22"/>
        </w:rPr>
      </w:pPr>
      <w:r w:rsidRPr="00C84D75">
        <w:rPr>
          <w:rFonts w:asciiTheme="minorHAnsi" w:hAnsiTheme="minorHAnsi" w:cstheme="minorHAnsi"/>
          <w:sz w:val="22"/>
          <w:szCs w:val="22"/>
        </w:rPr>
        <w:t>w pozostałe koszty operacyjne - jeżeli zaliczkowy współczynnik struktury sprzedaży jest wyższy niż rzeczywisty;</w:t>
      </w:r>
      <w:bookmarkStart w:id="0" w:name="_GoBack"/>
      <w:bookmarkEnd w:id="0"/>
    </w:p>
    <w:p w:rsidR="00A95531" w:rsidRPr="00C84D75" w:rsidRDefault="00065B3A" w:rsidP="00C84D75">
      <w:pPr>
        <w:pStyle w:val="Bodytext20"/>
        <w:numPr>
          <w:ilvl w:val="0"/>
          <w:numId w:val="1"/>
        </w:numPr>
        <w:shd w:val="clear" w:color="auto" w:fill="auto"/>
        <w:tabs>
          <w:tab w:val="left" w:pos="362"/>
        </w:tabs>
        <w:spacing w:before="120" w:after="240" w:line="300" w:lineRule="auto"/>
        <w:ind w:left="46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w pozostałe przychody </w:t>
      </w:r>
      <w:proofErr w:type="spellStart"/>
      <w:r w:rsidRPr="00C84D75">
        <w:rPr>
          <w:rFonts w:asciiTheme="minorHAnsi" w:hAnsiTheme="minorHAnsi" w:cstheme="minorHAnsi"/>
          <w:sz w:val="22"/>
          <w:szCs w:val="22"/>
        </w:rPr>
        <w:t>operacyjnejeżeli</w:t>
      </w:r>
      <w:proofErr w:type="spellEnd"/>
      <w:r w:rsidRPr="00C84D75">
        <w:rPr>
          <w:rFonts w:asciiTheme="minorHAnsi" w:hAnsiTheme="minorHAnsi" w:cstheme="minorHAnsi"/>
          <w:sz w:val="22"/>
          <w:szCs w:val="22"/>
        </w:rPr>
        <w:t xml:space="preserve"> zaliczkowy współczynnik struktury sprzedaży jest niższy niż rzeczywisty.</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W deklaracjach dla podatku od towarów i usług </w:t>
      </w:r>
      <w:r w:rsidRPr="00C84D75">
        <w:rPr>
          <w:rFonts w:asciiTheme="minorHAnsi" w:hAnsiTheme="minorHAnsi" w:cstheme="minorHAnsi"/>
          <w:sz w:val="22"/>
          <w:szCs w:val="22"/>
          <w:lang w:val="en-US" w:eastAsia="en-US" w:bidi="en-US"/>
        </w:rPr>
        <w:t xml:space="preserve">(VAT-7) </w:t>
      </w:r>
      <w:r w:rsidRPr="00C84D75">
        <w:rPr>
          <w:rFonts w:asciiTheme="minorHAnsi" w:hAnsiTheme="minorHAnsi" w:cstheme="minorHAnsi"/>
          <w:sz w:val="22"/>
          <w:szCs w:val="22"/>
        </w:rPr>
        <w:t>składanych za każdy miesiąc 2021 r. wykazano łączną kwotę podatku należnego w wysokości 5 475 689,72 zł</w:t>
      </w:r>
      <w:r w:rsidRPr="00C84D75">
        <w:rPr>
          <w:rFonts w:asciiTheme="minorHAnsi" w:hAnsiTheme="minorHAnsi" w:cstheme="minorHAnsi"/>
          <w:sz w:val="22"/>
          <w:szCs w:val="22"/>
          <w:vertAlign w:val="superscript"/>
        </w:rPr>
        <w:footnoteReference w:id="6"/>
      </w:r>
      <w:r w:rsidRPr="00C84D75">
        <w:rPr>
          <w:rFonts w:asciiTheme="minorHAnsi" w:hAnsiTheme="minorHAnsi" w:cstheme="minorHAnsi"/>
          <w:sz w:val="22"/>
          <w:szCs w:val="22"/>
        </w:rPr>
        <w:t xml:space="preserve"> (9,10% podstawy opodatkowania), natomiast łączna kwota podatku naliczonego wynosiła 3 509 498,85 zł (z uwzględnieniem korekty za styczeń 2021 r.). Kwota podatku podlegająca odprowadzeniu do urzędu </w:t>
      </w:r>
      <w:r w:rsidRPr="00C84D75">
        <w:rPr>
          <w:rFonts w:asciiTheme="minorHAnsi" w:hAnsiTheme="minorHAnsi" w:cstheme="minorHAnsi"/>
          <w:sz w:val="22"/>
          <w:szCs w:val="22"/>
        </w:rPr>
        <w:lastRenderedPageBreak/>
        <w:t>skarbowego została wykazana w kwocie 2 337 758,16 zł.</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Zgodnie z obrotami konta 225 „Rozrachunki z budżetami" za 2021 r.:</w:t>
      </w:r>
    </w:p>
    <w:p w:rsidR="00A95531" w:rsidRPr="00C84D75" w:rsidRDefault="00065B3A" w:rsidP="00C84D75">
      <w:pPr>
        <w:pStyle w:val="Bodytext20"/>
        <w:numPr>
          <w:ilvl w:val="0"/>
          <w:numId w:val="1"/>
        </w:numPr>
        <w:shd w:val="clear" w:color="auto" w:fill="auto"/>
        <w:tabs>
          <w:tab w:val="left" w:pos="348"/>
        </w:tabs>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należny</w:t>
      </w:r>
      <w:r w:rsidRPr="00C84D75">
        <w:rPr>
          <w:rFonts w:asciiTheme="minorHAnsi" w:hAnsiTheme="minorHAnsi" w:cstheme="minorHAnsi"/>
          <w:sz w:val="22"/>
          <w:szCs w:val="22"/>
          <w:vertAlign w:val="superscript"/>
        </w:rPr>
        <w:footnoteReference w:id="7"/>
      </w:r>
      <w:r w:rsidRPr="00C84D75">
        <w:rPr>
          <w:rFonts w:asciiTheme="minorHAnsi" w:hAnsiTheme="minorHAnsi" w:cstheme="minorHAnsi"/>
          <w:sz w:val="22"/>
          <w:szCs w:val="22"/>
        </w:rPr>
        <w:t xml:space="preserve"> kwota 5 472 207,29 zł,</w:t>
      </w:r>
    </w:p>
    <w:p w:rsidR="00A95531" w:rsidRPr="00C84D75" w:rsidRDefault="00065B3A" w:rsidP="00C84D75">
      <w:pPr>
        <w:pStyle w:val="Bodytext20"/>
        <w:numPr>
          <w:ilvl w:val="0"/>
          <w:numId w:val="1"/>
        </w:numPr>
        <w:shd w:val="clear" w:color="auto" w:fill="auto"/>
        <w:tabs>
          <w:tab w:val="left" w:pos="348"/>
        </w:tabs>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lang w:val="en-US" w:eastAsia="en-US" w:bidi="en-US"/>
        </w:rPr>
        <w:t xml:space="preserve">VAY </w:t>
      </w:r>
      <w:r w:rsidRPr="00C84D75">
        <w:rPr>
          <w:rFonts w:asciiTheme="minorHAnsi" w:hAnsiTheme="minorHAnsi" w:cstheme="minorHAnsi"/>
          <w:sz w:val="22"/>
          <w:szCs w:val="22"/>
        </w:rPr>
        <w:t>naliczony</w:t>
      </w:r>
      <w:r w:rsidRPr="00C84D75">
        <w:rPr>
          <w:rFonts w:asciiTheme="minorHAnsi" w:hAnsiTheme="minorHAnsi" w:cstheme="minorHAnsi"/>
          <w:sz w:val="22"/>
          <w:szCs w:val="22"/>
          <w:vertAlign w:val="superscript"/>
        </w:rPr>
        <w:footnoteReference w:id="8"/>
      </w:r>
      <w:r w:rsidRPr="00C84D75">
        <w:rPr>
          <w:rFonts w:asciiTheme="minorHAnsi" w:hAnsiTheme="minorHAnsi" w:cstheme="minorHAnsi"/>
          <w:sz w:val="22"/>
          <w:szCs w:val="22"/>
          <w:vertAlign w:val="superscript"/>
        </w:rPr>
        <w:t xml:space="preserve"> </w:t>
      </w:r>
      <w:r w:rsidRPr="00C84D75">
        <w:rPr>
          <w:rFonts w:asciiTheme="minorHAnsi" w:hAnsiTheme="minorHAnsi" w:cstheme="minorHAnsi"/>
          <w:sz w:val="22"/>
          <w:szCs w:val="22"/>
          <w:vertAlign w:val="superscript"/>
        </w:rPr>
        <w:footnoteReference w:id="9"/>
      </w:r>
      <w:r w:rsidRPr="00C84D75">
        <w:rPr>
          <w:rFonts w:asciiTheme="minorHAnsi" w:hAnsiTheme="minorHAnsi" w:cstheme="minorHAnsi"/>
          <w:sz w:val="22"/>
          <w:szCs w:val="22"/>
        </w:rPr>
        <w:t xml:space="preserve"> kwota 3 534 256,90 zł.</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Różnica pomiędzy kwotą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 xml:space="preserve">należny wykazanego w deklaracji </w:t>
      </w:r>
      <w:r w:rsidRPr="00C84D75">
        <w:rPr>
          <w:rFonts w:asciiTheme="minorHAnsi" w:hAnsiTheme="minorHAnsi" w:cstheme="minorHAnsi"/>
          <w:sz w:val="22"/>
          <w:szCs w:val="22"/>
          <w:lang w:val="en-US" w:eastAsia="en-US" w:bidi="en-US"/>
        </w:rPr>
        <w:t xml:space="preserve">VAT-7 </w:t>
      </w:r>
      <w:r w:rsidRPr="00C84D75">
        <w:rPr>
          <w:rFonts w:asciiTheme="minorHAnsi" w:hAnsiTheme="minorHAnsi" w:cstheme="minorHAnsi"/>
          <w:sz w:val="22"/>
          <w:szCs w:val="22"/>
        </w:rPr>
        <w:t xml:space="preserve">a kwotą VAT-u należnego wykazanego na koncie 225 na stronie </w:t>
      </w:r>
      <w:proofErr w:type="spellStart"/>
      <w:r w:rsidRPr="00C84D75">
        <w:rPr>
          <w:rFonts w:asciiTheme="minorHAnsi" w:hAnsiTheme="minorHAnsi" w:cstheme="minorHAnsi"/>
          <w:sz w:val="22"/>
          <w:szCs w:val="22"/>
        </w:rPr>
        <w:t>Wn</w:t>
      </w:r>
      <w:proofErr w:type="spellEnd"/>
      <w:r w:rsidRPr="00C84D75">
        <w:rPr>
          <w:rFonts w:asciiTheme="minorHAnsi" w:hAnsiTheme="minorHAnsi" w:cstheme="minorHAnsi"/>
          <w:sz w:val="22"/>
          <w:szCs w:val="22"/>
        </w:rPr>
        <w:t xml:space="preserve"> i Ma wyniosła 3 482,43 zł, zaś różnica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 xml:space="preserve">naliczony na stronie </w:t>
      </w:r>
      <w:proofErr w:type="spellStart"/>
      <w:r w:rsidRPr="00C84D75">
        <w:rPr>
          <w:rFonts w:asciiTheme="minorHAnsi" w:hAnsiTheme="minorHAnsi" w:cstheme="minorHAnsi"/>
          <w:sz w:val="22"/>
          <w:szCs w:val="22"/>
        </w:rPr>
        <w:t>Wn</w:t>
      </w:r>
      <w:proofErr w:type="spellEnd"/>
      <w:r w:rsidRPr="00C84D75">
        <w:rPr>
          <w:rFonts w:asciiTheme="minorHAnsi" w:hAnsiTheme="minorHAnsi" w:cstheme="minorHAnsi"/>
          <w:sz w:val="22"/>
          <w:szCs w:val="22"/>
        </w:rPr>
        <w:t xml:space="preserve"> i Ma wynosi 24 758,05 zł.</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Zgodnie zapisami konta 280 „Rozrachunki z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z Miastem":</w:t>
      </w:r>
    </w:p>
    <w:p w:rsidR="00A95531" w:rsidRPr="00C84D75" w:rsidRDefault="00065B3A" w:rsidP="00C84D75">
      <w:pPr>
        <w:pStyle w:val="Bodytext20"/>
        <w:numPr>
          <w:ilvl w:val="0"/>
          <w:numId w:val="1"/>
        </w:numPr>
        <w:shd w:val="clear" w:color="auto" w:fill="auto"/>
        <w:tabs>
          <w:tab w:val="left" w:pos="348"/>
        </w:tabs>
        <w:spacing w:before="120" w:after="240" w:line="300" w:lineRule="auto"/>
        <w:ind w:left="460"/>
        <w:contextualSpacing/>
        <w:jc w:val="left"/>
        <w:rPr>
          <w:rFonts w:asciiTheme="minorHAnsi" w:hAnsiTheme="minorHAnsi" w:cstheme="minorHAnsi"/>
          <w:sz w:val="22"/>
          <w:szCs w:val="22"/>
        </w:rPr>
      </w:pP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należny</w:t>
      </w:r>
      <w:r w:rsidRPr="00C84D75">
        <w:rPr>
          <w:rFonts w:asciiTheme="minorHAnsi" w:hAnsiTheme="minorHAnsi" w:cstheme="minorHAnsi"/>
          <w:sz w:val="22"/>
          <w:szCs w:val="22"/>
          <w:vertAlign w:val="superscript"/>
        </w:rPr>
        <w:t>3</w:t>
      </w:r>
      <w:r w:rsidRPr="00C84D75">
        <w:rPr>
          <w:rFonts w:asciiTheme="minorHAnsi" w:hAnsiTheme="minorHAnsi" w:cstheme="minorHAnsi"/>
          <w:sz w:val="22"/>
          <w:szCs w:val="22"/>
        </w:rPr>
        <w:t xml:space="preserve"> (należności) kwota 5 606 124,97 zł</w:t>
      </w:r>
      <w:r w:rsidRPr="00C84D75">
        <w:rPr>
          <w:rFonts w:asciiTheme="minorHAnsi" w:hAnsiTheme="minorHAnsi" w:cstheme="minorHAnsi"/>
          <w:sz w:val="22"/>
          <w:szCs w:val="22"/>
          <w:vertAlign w:val="superscript"/>
        </w:rPr>
        <w:footnoteReference w:id="10"/>
      </w:r>
      <w:r w:rsidRPr="00C84D75">
        <w:rPr>
          <w:rFonts w:asciiTheme="minorHAnsi" w:hAnsiTheme="minorHAnsi" w:cstheme="minorHAnsi"/>
          <w:sz w:val="22"/>
          <w:szCs w:val="22"/>
        </w:rPr>
        <w:t>, (zobowiązania) 5 859 290,38 zł (obroty okresu 5 475 689,72 zł</w:t>
      </w:r>
      <w:r w:rsidRPr="00C84D75">
        <w:rPr>
          <w:rFonts w:asciiTheme="minorHAnsi" w:hAnsiTheme="minorHAnsi" w:cstheme="minorHAnsi"/>
          <w:sz w:val="22"/>
          <w:szCs w:val="22"/>
          <w:vertAlign w:val="superscript"/>
        </w:rPr>
        <w:footnoteReference w:id="11"/>
      </w:r>
      <w:r w:rsidRPr="00C84D75">
        <w:rPr>
          <w:rFonts w:asciiTheme="minorHAnsi" w:hAnsiTheme="minorHAnsi" w:cstheme="minorHAnsi"/>
          <w:sz w:val="22"/>
          <w:szCs w:val="22"/>
        </w:rPr>
        <w:t>), saldo zobowiązań 235 165,41 zł;</w:t>
      </w:r>
    </w:p>
    <w:p w:rsidR="00A95531" w:rsidRPr="00C84D75" w:rsidRDefault="00065B3A" w:rsidP="00C84D75">
      <w:pPr>
        <w:pStyle w:val="Bodytext20"/>
        <w:numPr>
          <w:ilvl w:val="0"/>
          <w:numId w:val="1"/>
        </w:numPr>
        <w:shd w:val="clear" w:color="auto" w:fill="auto"/>
        <w:tabs>
          <w:tab w:val="left" w:pos="348"/>
        </w:tabs>
        <w:spacing w:before="120" w:after="240" w:line="300" w:lineRule="auto"/>
        <w:ind w:left="460"/>
        <w:contextualSpacing/>
        <w:jc w:val="left"/>
        <w:rPr>
          <w:rFonts w:asciiTheme="minorHAnsi" w:hAnsiTheme="minorHAnsi" w:cstheme="minorHAnsi"/>
          <w:sz w:val="22"/>
          <w:szCs w:val="22"/>
        </w:rPr>
      </w:pP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naliczony</w:t>
      </w:r>
      <w:r w:rsidRPr="00C84D75">
        <w:rPr>
          <w:rFonts w:asciiTheme="minorHAnsi" w:hAnsiTheme="minorHAnsi" w:cstheme="minorHAnsi"/>
          <w:sz w:val="22"/>
          <w:szCs w:val="22"/>
          <w:vertAlign w:val="superscript"/>
        </w:rPr>
        <w:footnoteReference w:id="12"/>
      </w:r>
      <w:r w:rsidRPr="00C84D75">
        <w:rPr>
          <w:rFonts w:asciiTheme="minorHAnsi" w:hAnsiTheme="minorHAnsi" w:cstheme="minorHAnsi"/>
          <w:sz w:val="22"/>
          <w:szCs w:val="22"/>
        </w:rPr>
        <w:t xml:space="preserve"> (należności) kwota 4 230 364,18 zł, (zobowiązania) 3 601932,88 zł - saldo należności 678931,30 zł.</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Różnica pomiędzy kwotą rozliczenia z Dzielnicą VAT-u należnego wykazanego na koncie 280 a kwotą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 xml:space="preserve">należny wykazaną w deklaracji </w:t>
      </w:r>
      <w:r w:rsidRPr="00C84D75">
        <w:rPr>
          <w:rFonts w:asciiTheme="minorHAnsi" w:hAnsiTheme="minorHAnsi" w:cstheme="minorHAnsi"/>
          <w:sz w:val="22"/>
          <w:szCs w:val="22"/>
          <w:lang w:val="en-US" w:eastAsia="en-US" w:bidi="en-US"/>
        </w:rPr>
        <w:t xml:space="preserve">VAT-7 </w:t>
      </w:r>
      <w:r w:rsidRPr="00C84D75">
        <w:rPr>
          <w:rFonts w:asciiTheme="minorHAnsi" w:hAnsiTheme="minorHAnsi" w:cstheme="minorHAnsi"/>
          <w:sz w:val="22"/>
          <w:szCs w:val="22"/>
        </w:rPr>
        <w:t>wyniosła na stronie zobowiązań (</w:t>
      </w:r>
      <w:proofErr w:type="spellStart"/>
      <w:r w:rsidRPr="00C84D75">
        <w:rPr>
          <w:rFonts w:asciiTheme="minorHAnsi" w:hAnsiTheme="minorHAnsi" w:cstheme="minorHAnsi"/>
          <w:sz w:val="22"/>
          <w:szCs w:val="22"/>
        </w:rPr>
        <w:t>Wn</w:t>
      </w:r>
      <w:proofErr w:type="spellEnd"/>
      <w:r w:rsidRPr="00C84D75">
        <w:rPr>
          <w:rFonts w:asciiTheme="minorHAnsi" w:hAnsiTheme="minorHAnsi" w:cstheme="minorHAnsi"/>
          <w:sz w:val="22"/>
          <w:szCs w:val="22"/>
        </w:rPr>
        <w:t xml:space="preserve">) 130 435,25 zł. Różnica pomiędzy kwotą rozliczenia z Dzielnicą VAT-u naliczonego wykazanego na koncie 280 a kwotą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 xml:space="preserve">naliczony wykazaną w deklaracji </w:t>
      </w:r>
      <w:r w:rsidRPr="00C84D75">
        <w:rPr>
          <w:rFonts w:asciiTheme="minorHAnsi" w:hAnsiTheme="minorHAnsi" w:cstheme="minorHAnsi"/>
          <w:sz w:val="22"/>
          <w:szCs w:val="22"/>
          <w:lang w:val="en-US" w:eastAsia="en-US" w:bidi="en-US"/>
        </w:rPr>
        <w:t xml:space="preserve">VAT-7 </w:t>
      </w:r>
      <w:r w:rsidRPr="00C84D75">
        <w:rPr>
          <w:rFonts w:asciiTheme="minorHAnsi" w:hAnsiTheme="minorHAnsi" w:cstheme="minorHAnsi"/>
          <w:sz w:val="22"/>
          <w:szCs w:val="22"/>
        </w:rPr>
        <w:t xml:space="preserve">wyniosła na stronie </w:t>
      </w:r>
      <w:proofErr w:type="spellStart"/>
      <w:r w:rsidRPr="00C84D75">
        <w:rPr>
          <w:rFonts w:asciiTheme="minorHAnsi" w:hAnsiTheme="minorHAnsi" w:cstheme="minorHAnsi"/>
          <w:sz w:val="22"/>
          <w:szCs w:val="22"/>
        </w:rPr>
        <w:t>Wn</w:t>
      </w:r>
      <w:proofErr w:type="spellEnd"/>
      <w:r w:rsidRPr="00C84D75">
        <w:rPr>
          <w:rFonts w:asciiTheme="minorHAnsi" w:hAnsiTheme="minorHAnsi" w:cstheme="minorHAnsi"/>
          <w:sz w:val="22"/>
          <w:szCs w:val="22"/>
        </w:rPr>
        <w:t xml:space="preserve"> 26 404,34 zł i na stronie Ma 92 005,03 zł.</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Różnica pomiędzy kwotą rozliczenia z Dzielnicą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 xml:space="preserve">należny na koncie 280 </w:t>
      </w:r>
      <w:r w:rsidRPr="00C84D75">
        <w:rPr>
          <w:rFonts w:asciiTheme="minorHAnsi" w:hAnsiTheme="minorHAnsi" w:cstheme="minorHAnsi"/>
          <w:sz w:val="22"/>
          <w:szCs w:val="22"/>
          <w:lang w:val="en-US" w:eastAsia="en-US" w:bidi="en-US"/>
        </w:rPr>
        <w:t xml:space="preserve">a VAT </w:t>
      </w:r>
      <w:r w:rsidRPr="00C84D75">
        <w:rPr>
          <w:rFonts w:asciiTheme="minorHAnsi" w:hAnsiTheme="minorHAnsi" w:cstheme="minorHAnsi"/>
          <w:sz w:val="22"/>
          <w:szCs w:val="22"/>
        </w:rPr>
        <w:t xml:space="preserve">należny na koncie 225 wynosiła na stronie </w:t>
      </w:r>
      <w:proofErr w:type="spellStart"/>
      <w:r w:rsidRPr="00C84D75">
        <w:rPr>
          <w:rFonts w:asciiTheme="minorHAnsi" w:hAnsiTheme="minorHAnsi" w:cstheme="minorHAnsi"/>
          <w:sz w:val="22"/>
          <w:szCs w:val="22"/>
        </w:rPr>
        <w:t>Wn</w:t>
      </w:r>
      <w:proofErr w:type="spellEnd"/>
      <w:r w:rsidRPr="00C84D75">
        <w:rPr>
          <w:rFonts w:asciiTheme="minorHAnsi" w:hAnsiTheme="minorHAnsi" w:cstheme="minorHAnsi"/>
          <w:sz w:val="22"/>
          <w:szCs w:val="22"/>
        </w:rPr>
        <w:t xml:space="preserve"> 133 917,68 zł i na stronie Ma 3 482,43 zł oraz dla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 xml:space="preserve">naliczony na stronie </w:t>
      </w:r>
      <w:proofErr w:type="spellStart"/>
      <w:r w:rsidRPr="00C84D75">
        <w:rPr>
          <w:rFonts w:asciiTheme="minorHAnsi" w:hAnsiTheme="minorHAnsi" w:cstheme="minorHAnsi"/>
          <w:sz w:val="22"/>
          <w:szCs w:val="22"/>
        </w:rPr>
        <w:t>Wn</w:t>
      </w:r>
      <w:proofErr w:type="spellEnd"/>
      <w:r w:rsidRPr="00C84D75">
        <w:rPr>
          <w:rFonts w:asciiTheme="minorHAnsi" w:hAnsiTheme="minorHAnsi" w:cstheme="minorHAnsi"/>
          <w:sz w:val="22"/>
          <w:szCs w:val="22"/>
        </w:rPr>
        <w:t xml:space="preserve"> 2 075,29 zł i Ma 67 675,98 zł.</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W sprawie Zastępca Dyrektora ZGN Praga-Północ złożył wyjaśnienia z których wynika, że różnica w kwocie 3 482,43 zł (różnica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 xml:space="preserve">należny od sprzedaży opodatkowanej zaewidencjonowany na kontach analitycznych 225 na stronie </w:t>
      </w:r>
      <w:proofErr w:type="spellStart"/>
      <w:r w:rsidRPr="00C84D75">
        <w:rPr>
          <w:rFonts w:asciiTheme="minorHAnsi" w:hAnsiTheme="minorHAnsi" w:cstheme="minorHAnsi"/>
          <w:sz w:val="22"/>
          <w:szCs w:val="22"/>
        </w:rPr>
        <w:t>Wn</w:t>
      </w:r>
      <w:proofErr w:type="spellEnd"/>
      <w:r w:rsidRPr="00C84D75">
        <w:rPr>
          <w:rFonts w:asciiTheme="minorHAnsi" w:hAnsiTheme="minorHAnsi" w:cstheme="minorHAnsi"/>
          <w:sz w:val="22"/>
          <w:szCs w:val="22"/>
        </w:rPr>
        <w:t xml:space="preserve"> i Ma, a ujęty na koncie 280 (okres sprawozdawczy Ma), który został wykazany w deklaracji </w:t>
      </w:r>
      <w:r w:rsidRPr="00C84D75">
        <w:rPr>
          <w:rFonts w:asciiTheme="minorHAnsi" w:hAnsiTheme="minorHAnsi" w:cstheme="minorHAnsi"/>
          <w:sz w:val="22"/>
          <w:szCs w:val="22"/>
          <w:lang w:val="en-US" w:eastAsia="en-US" w:bidi="en-US"/>
        </w:rPr>
        <w:t xml:space="preserve">VAT-7/JPK </w:t>
      </w:r>
      <w:r w:rsidRPr="00C84D75">
        <w:rPr>
          <w:rFonts w:asciiTheme="minorHAnsi" w:hAnsiTheme="minorHAnsi" w:cstheme="minorHAnsi"/>
          <w:sz w:val="22"/>
          <w:szCs w:val="22"/>
        </w:rPr>
        <w:t xml:space="preserve">oraz wprowadzony do aplikacji KIKUM), wynikała z nieistotnych drobnych różnic pomiędzy transferem sprzedaż z programu czynszowego do programu finansowo księgowego oraz automatycznym księgowaniem na koncie 225 poszczególnych dokumentów sprzedażowych (kilkadziesiąt tysięcy jednostkowych operacji), a wartością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 xml:space="preserve">należnego ujętego (poprzez automatyczny transfer) w rejestrze sprzedaży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oraz pliku JPK.</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Różnica w kwocie 11341,48 zł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 xml:space="preserve">naliczony za 2021 r. ujęty na koncie 225 na stronie </w:t>
      </w:r>
      <w:proofErr w:type="spellStart"/>
      <w:r w:rsidRPr="00C84D75">
        <w:rPr>
          <w:rFonts w:asciiTheme="minorHAnsi" w:hAnsiTheme="minorHAnsi" w:cstheme="minorHAnsi"/>
          <w:sz w:val="22"/>
          <w:szCs w:val="22"/>
        </w:rPr>
        <w:t>Wn</w:t>
      </w:r>
      <w:proofErr w:type="spellEnd"/>
      <w:r w:rsidRPr="00C84D75">
        <w:rPr>
          <w:rFonts w:asciiTheme="minorHAnsi" w:hAnsiTheme="minorHAnsi" w:cstheme="minorHAnsi"/>
          <w:sz w:val="22"/>
          <w:szCs w:val="22"/>
        </w:rPr>
        <w:t xml:space="preserve"> i Ma - zakupy bieżące i majątkowe a wykazany w deklaracji </w:t>
      </w:r>
      <w:r w:rsidRPr="00C84D75">
        <w:rPr>
          <w:rFonts w:asciiTheme="minorHAnsi" w:hAnsiTheme="minorHAnsi" w:cstheme="minorHAnsi"/>
          <w:sz w:val="22"/>
          <w:szCs w:val="22"/>
          <w:lang w:val="ru-RU" w:eastAsia="ru-RU" w:bidi="ru-RU"/>
        </w:rPr>
        <w:t>ѴЛТ-7</w:t>
      </w:r>
      <w:r w:rsidRPr="00C84D75">
        <w:rPr>
          <w:rFonts w:asciiTheme="minorHAnsi" w:hAnsiTheme="minorHAnsi" w:cstheme="minorHAnsi"/>
          <w:sz w:val="22"/>
          <w:szCs w:val="22"/>
          <w:lang w:val="en-US" w:eastAsia="en-US" w:bidi="en-US"/>
        </w:rPr>
        <w:t xml:space="preserve">/JPK) </w:t>
      </w:r>
      <w:r w:rsidRPr="00C84D75">
        <w:rPr>
          <w:rFonts w:asciiTheme="minorHAnsi" w:hAnsiTheme="minorHAnsi" w:cstheme="minorHAnsi"/>
          <w:sz w:val="22"/>
          <w:szCs w:val="22"/>
        </w:rPr>
        <w:t xml:space="preserve">wynikała z nieistotnych jednostkowych różnic (kilka tysięcy jednostkowych operacji) pomiędzy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 xml:space="preserve">naliczonym ujętym na bieżąco na koncie 225 </w:t>
      </w:r>
      <w:r w:rsidRPr="00C84D75">
        <w:rPr>
          <w:rFonts w:asciiTheme="minorHAnsi" w:hAnsiTheme="minorHAnsi" w:cstheme="minorHAnsi"/>
          <w:sz w:val="22"/>
          <w:szCs w:val="22"/>
          <w:lang w:val="en-US" w:eastAsia="en-US" w:bidi="en-US"/>
        </w:rPr>
        <w:t xml:space="preserve">a VAT </w:t>
      </w:r>
      <w:r w:rsidRPr="00C84D75">
        <w:rPr>
          <w:rFonts w:asciiTheme="minorHAnsi" w:hAnsiTheme="minorHAnsi" w:cstheme="minorHAnsi"/>
          <w:sz w:val="22"/>
          <w:szCs w:val="22"/>
        </w:rPr>
        <w:t>naliczonym wynikającym z końcowych rejestrów zakupów.</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Wskazać należy, że zgodnie z zgodnie z </w:t>
      </w:r>
      <w:r w:rsidRPr="00C84D75">
        <w:rPr>
          <w:rFonts w:asciiTheme="minorHAnsi" w:hAnsiTheme="minorHAnsi" w:cstheme="minorHAnsi"/>
          <w:sz w:val="22"/>
          <w:szCs w:val="22"/>
          <w:lang w:val="en-US" w:eastAsia="en-US" w:bidi="en-US"/>
        </w:rPr>
        <w:t xml:space="preserve">art. </w:t>
      </w:r>
      <w:r w:rsidRPr="00C84D75">
        <w:rPr>
          <w:rFonts w:asciiTheme="minorHAnsi" w:hAnsiTheme="minorHAnsi" w:cstheme="minorHAnsi"/>
          <w:sz w:val="22"/>
          <w:szCs w:val="22"/>
        </w:rPr>
        <w:t xml:space="preserve">24 ust. 2 ustawy o rachunkowości księgi rachunkowe uznaje się za rzetelnie prowadzone, jeżeli dokonywane w nich zapisy odzwierciedlają stan </w:t>
      </w:r>
      <w:r w:rsidRPr="00C84D75">
        <w:rPr>
          <w:rFonts w:asciiTheme="minorHAnsi" w:hAnsiTheme="minorHAnsi" w:cstheme="minorHAnsi"/>
          <w:sz w:val="22"/>
          <w:szCs w:val="22"/>
        </w:rPr>
        <w:lastRenderedPageBreak/>
        <w:t>rzeczywisty.</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Kontrolą prawidłowości wystawiania faktur sprzedaży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 xml:space="preserve">należny) i zakupu usług/towarów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naliczony) i ujmowania ich w ewidencji księgowej, objęto próbę stanowiącą łącznie 870 faktur/not</w:t>
      </w:r>
      <w:r w:rsidRPr="00C84D75">
        <w:rPr>
          <w:rFonts w:asciiTheme="minorHAnsi" w:hAnsiTheme="minorHAnsi" w:cstheme="minorHAnsi"/>
          <w:sz w:val="22"/>
          <w:szCs w:val="22"/>
          <w:vertAlign w:val="superscript"/>
        </w:rPr>
        <w:footnoteReference w:id="13"/>
      </w:r>
      <w:r w:rsidRPr="00C84D75">
        <w:rPr>
          <w:rFonts w:asciiTheme="minorHAnsi" w:hAnsiTheme="minorHAnsi" w:cstheme="minorHAnsi"/>
          <w:sz w:val="22"/>
          <w:szCs w:val="22"/>
        </w:rPr>
        <w:t xml:space="preserve">, na kwotę łączną brutto 16 378 085,52 zł (netto 14 003 768,13 zł + podatek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2 374 317,39 zł).</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W przypadku zawartych przez ZGN umów na wykonanie usług i zakup towarów, dostawę mediów oraz obsługę i ochronę nieruchomości, próbą kontrolną objęto 139 faktur na kwotę brutto 12 693 392,08 zł (netto 10 994 673,92 zł + podatek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 xml:space="preserve">1698 718,16 zł). Na koncie 225 zaksięgowano kwotę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w łącznej wysokości 1357 077,58 zł</w:t>
      </w:r>
      <w:r w:rsidRPr="00C84D75">
        <w:rPr>
          <w:rFonts w:asciiTheme="minorHAnsi" w:hAnsiTheme="minorHAnsi" w:cstheme="minorHAnsi"/>
          <w:sz w:val="22"/>
          <w:szCs w:val="22"/>
          <w:vertAlign w:val="superscript"/>
        </w:rPr>
        <w:footnoteReference w:id="14"/>
      </w:r>
      <w:r w:rsidRPr="00C84D75">
        <w:rPr>
          <w:rFonts w:asciiTheme="minorHAnsi" w:hAnsiTheme="minorHAnsi" w:cstheme="minorHAnsi"/>
          <w:sz w:val="22"/>
          <w:szCs w:val="22"/>
        </w:rPr>
        <w:t xml:space="preserve"> i innych kontach - głównie zespołu 4 „Koszty wg rodzajów" w kwocie 341640,58 zł</w:t>
      </w:r>
      <w:r w:rsidRPr="00C84D75">
        <w:rPr>
          <w:rFonts w:asciiTheme="minorHAnsi" w:hAnsiTheme="minorHAnsi" w:cstheme="minorHAnsi"/>
          <w:sz w:val="22"/>
          <w:szCs w:val="22"/>
          <w:vertAlign w:val="superscript"/>
        </w:rPr>
        <w:footnoteReference w:id="15"/>
      </w:r>
      <w:r w:rsidRPr="00C84D75">
        <w:rPr>
          <w:rFonts w:asciiTheme="minorHAnsi" w:hAnsiTheme="minorHAnsi" w:cstheme="minorHAnsi"/>
          <w:sz w:val="22"/>
          <w:szCs w:val="22"/>
        </w:rPr>
        <w:t xml:space="preserve">, gdyż ZGN nie przysługiwało odliczenie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 xml:space="preserve">w całości oraz rozliczanego wg współczynnika 46%.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od wydatków związanych z utrzymaniem budynków i dostarczeniem mediów</w:t>
      </w:r>
      <w:r w:rsidRPr="00C84D75">
        <w:rPr>
          <w:rFonts w:asciiTheme="minorHAnsi" w:hAnsiTheme="minorHAnsi" w:cstheme="minorHAnsi"/>
          <w:sz w:val="22"/>
          <w:szCs w:val="22"/>
          <w:vertAlign w:val="superscript"/>
        </w:rPr>
        <w:footnoteReference w:id="16"/>
      </w:r>
      <w:r w:rsidRPr="00C84D75">
        <w:rPr>
          <w:rFonts w:asciiTheme="minorHAnsi" w:hAnsiTheme="minorHAnsi" w:cstheme="minorHAnsi"/>
          <w:sz w:val="22"/>
          <w:szCs w:val="22"/>
        </w:rPr>
        <w:t xml:space="preserve"> w pełnej kwocie został zaksięgowany na kontach 225.</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Na podstawie analizy umów i aneksów do umów najmu lokali użytkowych, wystawionych faktur, faktur korygujących i not obciążeniowych, not obciążeniowych za bezumowne użytkowanie nieruchomości oraz faktur w przypadkach udzielenia zgody na rozliczenie nakładów poniesionych przez najemców podwyższających wartość lokalu w czynszu, dokonano oceny wystawionych dowodów na najem lokali i gruntów i ich rozliczania.</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Badana próba obejmowała 731 faktur wystawionych najemcom na kwotę brutto 3 684 693,44 zł (netto 3 009 094,21 zł +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 xml:space="preserve">w kwocie 675 599,23 zł). Łączna kwota należnego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 xml:space="preserve">została zaksięgowana na koncie 225.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 xml:space="preserve">od czynszu najmu naliczany był wg stawki 23%, od dostarczanych mediów naliczano wg stawki 23% i 8%. Od odpadów komunalnych podatek </w:t>
      </w:r>
      <w:r w:rsidRPr="00C84D75">
        <w:rPr>
          <w:rFonts w:asciiTheme="minorHAnsi" w:hAnsiTheme="minorHAnsi" w:cstheme="minorHAnsi"/>
          <w:sz w:val="22"/>
          <w:szCs w:val="22"/>
          <w:lang w:val="de-DE" w:eastAsia="de-DE" w:bidi="de-DE"/>
        </w:rPr>
        <w:t xml:space="preserve">VAT </w:t>
      </w:r>
      <w:r w:rsidRPr="00C84D75">
        <w:rPr>
          <w:rFonts w:asciiTheme="minorHAnsi" w:hAnsiTheme="minorHAnsi" w:cstheme="minorHAnsi"/>
          <w:sz w:val="22"/>
          <w:szCs w:val="22"/>
        </w:rPr>
        <w:t>nie był naliczany.</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Wartość zastosowanych ulg w czynszu, w przypadku rozliczania remontów podwyższających wartość lokali wykonanych przez najemców, obejmowała 4 lokale wynajmowane od ZGN przez 3 najemców</w:t>
      </w:r>
      <w:r w:rsidRPr="00C84D75">
        <w:rPr>
          <w:rFonts w:asciiTheme="minorHAnsi" w:hAnsiTheme="minorHAnsi" w:cstheme="minorHAnsi"/>
          <w:sz w:val="22"/>
          <w:szCs w:val="22"/>
          <w:vertAlign w:val="superscript"/>
        </w:rPr>
        <w:footnoteReference w:id="17"/>
      </w:r>
      <w:r w:rsidRPr="00C84D75">
        <w:rPr>
          <w:rFonts w:asciiTheme="minorHAnsi" w:hAnsiTheme="minorHAnsi" w:cstheme="minorHAnsi"/>
          <w:sz w:val="22"/>
          <w:szCs w:val="22"/>
        </w:rPr>
        <w:t>. Kwota ulg uwzględniona w uchwałach Zarządu Dzielnicy Praga-Północ wynosiła netto 206 194,38 zł.</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W przypadku analizowanej próby rozliczona kwota ulg wyniosła w 2021 roku netto 124 235,25 zł, </w:t>
      </w:r>
      <w:r w:rsidRPr="00C84D75">
        <w:rPr>
          <w:rFonts w:asciiTheme="minorHAnsi" w:hAnsiTheme="minorHAnsi" w:cstheme="minorHAnsi"/>
          <w:sz w:val="22"/>
          <w:szCs w:val="22"/>
        </w:rPr>
        <w:lastRenderedPageBreak/>
        <w:t>różnica miała być udzielona w późniejszym okresie, po podpisaniu stosownych umów. Do rozliczenia nakładów najemcy lokali wystawiali dla ZGN faktury na pełną kwotę wartości wykonanych remontów, zaś ZGN co miesiąc pomniejszał kwotę czynszu wystawionymi notami księgowymi o wartość wynikającą z zastosowanej ulgi.</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W wyniku analizy 4 aneksów do umów ustalono, że we wszystkich przypadkach faktury były wystawione z kwotami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Podatek był księgowany w kwotach zgodnych z fakturami. Faktury wystawiane przez najemców, którzy wykonali remonty podwyższające wartość lokali, wystawione zostały w okresie od 6 do 263 dni od daty podjęcia uchwały wyrażającej zgodę na zastosowanie ulgi.</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Zasady postępowania w przypadkach bezumownego użytkowania nieruchomości zostały określone w dziale 3 </w:t>
      </w:r>
      <w:proofErr w:type="spellStart"/>
      <w:r w:rsidRPr="00C84D75">
        <w:rPr>
          <w:rFonts w:asciiTheme="minorHAnsi" w:hAnsiTheme="minorHAnsi" w:cstheme="minorHAnsi"/>
          <w:sz w:val="22"/>
          <w:szCs w:val="22"/>
        </w:rPr>
        <w:t>Procedmy</w:t>
      </w:r>
      <w:proofErr w:type="spellEnd"/>
      <w:r w:rsidRPr="00C84D75">
        <w:rPr>
          <w:rFonts w:asciiTheme="minorHAnsi" w:hAnsiTheme="minorHAnsi" w:cstheme="minorHAnsi"/>
          <w:sz w:val="22"/>
          <w:szCs w:val="22"/>
        </w:rPr>
        <w:t xml:space="preserve"> transakcji sprzedażowych - podatek należny, lit. i) „Sprzedaż usług bezumownego korzystania z nieruchomości" załącznika nr 1 do zarządzenia nr </w:t>
      </w:r>
      <w:r w:rsidRPr="00C84D75">
        <w:rPr>
          <w:rFonts w:asciiTheme="minorHAnsi" w:hAnsiTheme="minorHAnsi" w:cstheme="minorHAnsi"/>
          <w:sz w:val="22"/>
          <w:szCs w:val="22"/>
          <w:lang w:val="ru-RU" w:eastAsia="ru-RU" w:bidi="ru-RU"/>
        </w:rPr>
        <w:t xml:space="preserve">1746/2015 </w:t>
      </w:r>
      <w:r w:rsidRPr="00C84D75">
        <w:rPr>
          <w:rFonts w:asciiTheme="minorHAnsi" w:hAnsiTheme="minorHAnsi" w:cstheme="minorHAnsi"/>
          <w:sz w:val="22"/>
          <w:szCs w:val="22"/>
        </w:rPr>
        <w:t>Prezydenta m.st. Warszawy z dnia 28 grudnia 2015 r.</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W wyniku analizy umów najmu stwierdzono, że w 2021 roku w badanej próbie w 4 przypadkach</w:t>
      </w:r>
      <w:r w:rsidRPr="00C84D75">
        <w:rPr>
          <w:rFonts w:asciiTheme="minorHAnsi" w:hAnsiTheme="minorHAnsi" w:cstheme="minorHAnsi"/>
          <w:sz w:val="22"/>
          <w:szCs w:val="22"/>
          <w:vertAlign w:val="superscript"/>
        </w:rPr>
        <w:t>13</w:t>
      </w:r>
      <w:r w:rsidRPr="00C84D75">
        <w:rPr>
          <w:rFonts w:asciiTheme="minorHAnsi" w:hAnsiTheme="minorHAnsi" w:cstheme="minorHAnsi"/>
          <w:sz w:val="22"/>
          <w:szCs w:val="22"/>
        </w:rPr>
        <w:t>, ze względu na opóźnienia w zapłacie czynszu najmu przekraczającego dwa pełne okresy płatności, doszło do wypowiedzenia umów najmu bez zachowania terminu wypowiedzenia. Zgodnie z warunkami podpisanych umów w takiej sytuacji powinno zostać naliczone wynagrodzenie za bezumowne korzystanie z lokalu w wysokości 120% stawki czynszu brutto przez pierwsze 3 miesiące, 150% przez kolejne 3 miesiące i 200% po upływie tego czasu. Ustalono, że w przypadku dwóch najemców</w:t>
      </w:r>
      <w:r w:rsidRPr="00C84D75">
        <w:rPr>
          <w:rFonts w:asciiTheme="minorHAnsi" w:hAnsiTheme="minorHAnsi" w:cstheme="minorHAnsi"/>
          <w:sz w:val="22"/>
          <w:szCs w:val="22"/>
          <w:vertAlign w:val="superscript"/>
        </w:rPr>
        <w:footnoteReference w:id="18"/>
      </w:r>
      <w:r w:rsidRPr="00C84D75">
        <w:rPr>
          <w:rFonts w:asciiTheme="minorHAnsi" w:hAnsiTheme="minorHAnsi" w:cstheme="minorHAnsi"/>
          <w:sz w:val="22"/>
          <w:szCs w:val="22"/>
          <w:vertAlign w:val="superscript"/>
        </w:rPr>
        <w:t xml:space="preserve"> </w:t>
      </w:r>
      <w:r w:rsidRPr="00C84D75">
        <w:rPr>
          <w:rFonts w:asciiTheme="minorHAnsi" w:hAnsiTheme="minorHAnsi" w:cstheme="minorHAnsi"/>
          <w:sz w:val="22"/>
          <w:szCs w:val="22"/>
          <w:vertAlign w:val="superscript"/>
        </w:rPr>
        <w:footnoteReference w:id="19"/>
      </w:r>
      <w:r w:rsidRPr="00C84D75">
        <w:rPr>
          <w:rFonts w:asciiTheme="minorHAnsi" w:hAnsiTheme="minorHAnsi" w:cstheme="minorHAnsi"/>
          <w:sz w:val="22"/>
          <w:szCs w:val="22"/>
          <w:vertAlign w:val="superscript"/>
        </w:rPr>
        <w:t xml:space="preserve"> </w:t>
      </w:r>
      <w:r w:rsidRPr="00C84D75">
        <w:rPr>
          <w:rFonts w:asciiTheme="minorHAnsi" w:hAnsiTheme="minorHAnsi" w:cstheme="minorHAnsi"/>
          <w:sz w:val="22"/>
          <w:szCs w:val="22"/>
          <w:vertAlign w:val="superscript"/>
        </w:rPr>
        <w:footnoteReference w:id="20"/>
      </w:r>
      <w:r w:rsidRPr="00C84D75">
        <w:rPr>
          <w:rFonts w:asciiTheme="minorHAnsi" w:hAnsiTheme="minorHAnsi" w:cstheme="minorHAnsi"/>
          <w:sz w:val="22"/>
          <w:szCs w:val="22"/>
        </w:rPr>
        <w:t xml:space="preserve"> w okresie użytkowania bezumownego wystawiono noty obciążeniowe z tytuły użytkowania bezumownego [odpowiednio za październik listopad 2021 roku i lipiec-listopad 2021 roku], wg kwoty czynszu brutto za ł m</w:t>
      </w:r>
      <w:r w:rsidRPr="00C84D75">
        <w:rPr>
          <w:rFonts w:asciiTheme="minorHAnsi" w:hAnsiTheme="minorHAnsi" w:cstheme="minorHAnsi"/>
          <w:sz w:val="22"/>
          <w:szCs w:val="22"/>
          <w:vertAlign w:val="superscript"/>
        </w:rPr>
        <w:t>2</w:t>
      </w:r>
      <w:r w:rsidRPr="00C84D75">
        <w:rPr>
          <w:rFonts w:asciiTheme="minorHAnsi" w:hAnsiTheme="minorHAnsi" w:cstheme="minorHAnsi"/>
          <w:sz w:val="22"/>
          <w:szCs w:val="22"/>
        </w:rPr>
        <w:t xml:space="preserve"> powierzchni (podstawowej </w:t>
      </w:r>
      <w:r w:rsidRPr="00C84D75">
        <w:rPr>
          <w:rFonts w:asciiTheme="minorHAnsi" w:hAnsiTheme="minorHAnsi" w:cstheme="minorHAnsi"/>
          <w:sz w:val="22"/>
          <w:szCs w:val="22"/>
          <w:lang w:val="ru-RU" w:eastAsia="ru-RU" w:bidi="ru-RU"/>
        </w:rPr>
        <w:t xml:space="preserve">/ </w:t>
      </w:r>
      <w:r w:rsidRPr="00C84D75">
        <w:rPr>
          <w:rFonts w:asciiTheme="minorHAnsi" w:hAnsiTheme="minorHAnsi" w:cstheme="minorHAnsi"/>
          <w:sz w:val="22"/>
          <w:szCs w:val="22"/>
        </w:rPr>
        <w:t xml:space="preserve">piwnicy/ gruntu) powiększony o ww. wskaźniki procentowe. Zgodnie z wyjaśnieniami Dyrektora ZGN Praga-Północ, za ww. okresy bezumownego, nieakceptowalnego zajmowania powierzchni przez najemcę, płatności obciążające najemcę - przy uwzględnieniu stawek odszkodowania oraz zasad rozliczeń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 xml:space="preserve">określonych w Zarządzeniu nr </w:t>
      </w:r>
      <w:r w:rsidRPr="00C84D75">
        <w:rPr>
          <w:rFonts w:asciiTheme="minorHAnsi" w:hAnsiTheme="minorHAnsi" w:cstheme="minorHAnsi"/>
          <w:sz w:val="22"/>
          <w:szCs w:val="22"/>
          <w:lang w:val="ru-RU" w:eastAsia="ru-RU" w:bidi="ru-RU"/>
        </w:rPr>
        <w:t xml:space="preserve">1867/2017 </w:t>
      </w:r>
      <w:r w:rsidRPr="00C84D75">
        <w:rPr>
          <w:rFonts w:asciiTheme="minorHAnsi" w:hAnsiTheme="minorHAnsi" w:cstheme="minorHAnsi"/>
          <w:sz w:val="22"/>
          <w:szCs w:val="22"/>
        </w:rPr>
        <w:t>Prezydenta m.st. Warszawy z 4 grudnia 2017 r.</w:t>
      </w:r>
      <w:r w:rsidRPr="00C84D75">
        <w:rPr>
          <w:rFonts w:asciiTheme="minorHAnsi" w:hAnsiTheme="minorHAnsi" w:cstheme="minorHAnsi"/>
          <w:sz w:val="22"/>
          <w:szCs w:val="22"/>
          <w:vertAlign w:val="superscript"/>
        </w:rPr>
        <w:footnoteReference w:id="21"/>
      </w:r>
      <w:r w:rsidRPr="00C84D75">
        <w:rPr>
          <w:rFonts w:asciiTheme="minorHAnsi" w:hAnsiTheme="minorHAnsi" w:cstheme="minorHAnsi"/>
          <w:sz w:val="22"/>
          <w:szCs w:val="22"/>
        </w:rPr>
        <w:t xml:space="preserve"> - ustalono w wystawionych notach obciążeniowych bez </w:t>
      </w:r>
      <w:r w:rsidRPr="00C84D75">
        <w:rPr>
          <w:rFonts w:asciiTheme="minorHAnsi" w:hAnsiTheme="minorHAnsi" w:cstheme="minorHAnsi"/>
          <w:sz w:val="22"/>
          <w:szCs w:val="22"/>
          <w:lang w:val="en-US" w:eastAsia="en-US" w:bidi="en-US"/>
        </w:rPr>
        <w:t>VAT.</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Przedstawiając powyższe ustalenia i oceny zalecam:</w:t>
      </w:r>
    </w:p>
    <w:p w:rsidR="00A95531" w:rsidRPr="00C84D75" w:rsidRDefault="00065B3A" w:rsidP="00320BC1">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1. Prowadzić księgi rachunkowe zgodnie z przepisami ustawy o rachunkowości, w szczególności w zakresie zgodności zapisów w księgach rachunkowych z deklaracjami podatkowymi </w:t>
      </w:r>
      <w:r w:rsidRPr="00C84D75">
        <w:rPr>
          <w:rFonts w:asciiTheme="minorHAnsi" w:hAnsiTheme="minorHAnsi" w:cstheme="minorHAnsi"/>
          <w:sz w:val="22"/>
          <w:szCs w:val="22"/>
          <w:lang w:val="en-US" w:eastAsia="en-US" w:bidi="en-US"/>
        </w:rPr>
        <w:t xml:space="preserve">VAT, </w:t>
      </w:r>
      <w:r w:rsidRPr="00C84D75">
        <w:rPr>
          <w:rFonts w:asciiTheme="minorHAnsi" w:hAnsiTheme="minorHAnsi" w:cstheme="minorHAnsi"/>
          <w:sz w:val="22"/>
          <w:szCs w:val="22"/>
        </w:rPr>
        <w:t xml:space="preserve">mając na względzie postanowienia </w:t>
      </w:r>
      <w:r w:rsidRPr="00C84D75">
        <w:rPr>
          <w:rFonts w:asciiTheme="minorHAnsi" w:hAnsiTheme="minorHAnsi" w:cstheme="minorHAnsi"/>
          <w:sz w:val="22"/>
          <w:szCs w:val="22"/>
          <w:lang w:val="en-US" w:eastAsia="en-US" w:bidi="en-US"/>
        </w:rPr>
        <w:t xml:space="preserve">art. </w:t>
      </w:r>
      <w:r w:rsidRPr="00C84D75">
        <w:rPr>
          <w:rFonts w:asciiTheme="minorHAnsi" w:hAnsiTheme="minorHAnsi" w:cstheme="minorHAnsi"/>
          <w:sz w:val="22"/>
          <w:szCs w:val="22"/>
        </w:rPr>
        <w:t xml:space="preserve">20 ust. 1, </w:t>
      </w:r>
      <w:r w:rsidRPr="00C84D75">
        <w:rPr>
          <w:rFonts w:asciiTheme="minorHAnsi" w:hAnsiTheme="minorHAnsi" w:cstheme="minorHAnsi"/>
          <w:sz w:val="22"/>
          <w:szCs w:val="22"/>
          <w:lang w:val="en-US" w:eastAsia="en-US" w:bidi="en-US"/>
        </w:rPr>
        <w:t xml:space="preserve">art. </w:t>
      </w:r>
      <w:r w:rsidRPr="00C84D75">
        <w:rPr>
          <w:rFonts w:asciiTheme="minorHAnsi" w:hAnsiTheme="minorHAnsi" w:cstheme="minorHAnsi"/>
          <w:sz w:val="22"/>
          <w:szCs w:val="22"/>
        </w:rPr>
        <w:t xml:space="preserve">18 ust. 1, </w:t>
      </w:r>
      <w:r w:rsidRPr="00C84D75">
        <w:rPr>
          <w:rFonts w:asciiTheme="minorHAnsi" w:hAnsiTheme="minorHAnsi" w:cstheme="minorHAnsi"/>
          <w:sz w:val="22"/>
          <w:szCs w:val="22"/>
          <w:lang w:val="en-US" w:eastAsia="en-US" w:bidi="en-US"/>
        </w:rPr>
        <w:t xml:space="preserve">art. </w:t>
      </w:r>
      <w:r w:rsidRPr="00C84D75">
        <w:rPr>
          <w:rFonts w:asciiTheme="minorHAnsi" w:hAnsiTheme="minorHAnsi" w:cstheme="minorHAnsi"/>
          <w:sz w:val="22"/>
          <w:szCs w:val="22"/>
        </w:rPr>
        <w:t>24 ust. 2 i ust. 4 ustawy.</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 xml:space="preserve">Na podstawie § 22 ust. 10 Regulaminu organizacyjnego oraz § 41 ust. 1 Zarządzenia oczekuję od Pani w terminie nie dłuższym niż 30 dni od dnia doręczenia niniejszego wystąpienia pokontrolnego, </w:t>
      </w:r>
      <w:r w:rsidRPr="00C84D75">
        <w:rPr>
          <w:rFonts w:asciiTheme="minorHAnsi" w:hAnsiTheme="minorHAnsi" w:cstheme="minorHAnsi"/>
          <w:sz w:val="22"/>
          <w:szCs w:val="22"/>
        </w:rPr>
        <w:lastRenderedPageBreak/>
        <w:t>informacji o sposobie realizacji zalecenia pokontrolnego i wykorzystaniu uwag zawartych w wystąpieniu pokontrolnym lub przyczynach braku realizacji zalecenia pokontrolnego lub niewykorzystaniu uwag bądź o innym sposobie usunięcia stwierdzonych nieprawidłowości lub uchybień.</w:t>
      </w: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Na podstawie § 41 ust. 1 Zarządzenia zobowiązuję Panią do przekazania kopii ww. informacji Panu Mirosławowi Czekajowi Skarbnikowi m.st. Warszawy i Panu Jackowi Jeżewskiemu Burmistrzowi Dzielnicy Praga-Północ m.st. Warszawy.</w:t>
      </w:r>
    </w:p>
    <w:p w:rsidR="00623ECB" w:rsidRDefault="00623ECB" w:rsidP="00623ECB">
      <w:pPr>
        <w:tabs>
          <w:tab w:val="left" w:pos="426"/>
        </w:tabs>
        <w:spacing w:before="120" w:after="240" w:line="300" w:lineRule="auto"/>
        <w:ind w:left="4536"/>
        <w:contextualSpacing/>
        <w:rPr>
          <w:rFonts w:asciiTheme="minorHAnsi" w:eastAsia="Arial" w:hAnsiTheme="minorHAnsi" w:cstheme="minorHAnsi"/>
          <w:sz w:val="22"/>
          <w:szCs w:val="22"/>
        </w:rPr>
      </w:pPr>
      <w:r>
        <w:rPr>
          <w:rFonts w:asciiTheme="minorHAnsi" w:eastAsia="Arial" w:hAnsiTheme="minorHAnsi" w:cstheme="minorHAnsi"/>
          <w:sz w:val="22"/>
          <w:szCs w:val="22"/>
        </w:rPr>
        <w:t>DYREKTOR BIURA KONTROLI</w:t>
      </w:r>
      <w:r w:rsidRPr="0045240A">
        <w:rPr>
          <w:rFonts w:asciiTheme="minorHAnsi" w:eastAsia="Arial" w:hAnsiTheme="minorHAnsi" w:cstheme="minorHAnsi"/>
          <w:sz w:val="22"/>
          <w:szCs w:val="22"/>
        </w:rPr>
        <w:t xml:space="preserve"> /-/ </w:t>
      </w:r>
    </w:p>
    <w:p w:rsidR="00623ECB" w:rsidRPr="00A12427" w:rsidRDefault="00623ECB" w:rsidP="00623ECB">
      <w:pPr>
        <w:tabs>
          <w:tab w:val="left" w:pos="426"/>
        </w:tabs>
        <w:spacing w:before="120" w:after="240" w:line="300" w:lineRule="auto"/>
        <w:ind w:left="4536"/>
        <w:contextualSpacing/>
        <w:rPr>
          <w:rFonts w:asciiTheme="minorHAnsi" w:hAnsiTheme="minorHAnsi" w:cstheme="minorHAnsi"/>
          <w:sz w:val="22"/>
          <w:szCs w:val="22"/>
        </w:rPr>
      </w:pPr>
      <w:r>
        <w:rPr>
          <w:rFonts w:asciiTheme="minorHAnsi" w:eastAsia="Arial" w:hAnsiTheme="minorHAnsi" w:cstheme="minorHAnsi"/>
          <w:sz w:val="22"/>
          <w:szCs w:val="22"/>
        </w:rPr>
        <w:t>EWA GRANIEWSKA</w:t>
      </w:r>
    </w:p>
    <w:p w:rsidR="00A95531" w:rsidRPr="00C84D75" w:rsidRDefault="00A95531" w:rsidP="00C84D75">
      <w:pPr>
        <w:spacing w:before="120" w:after="240" w:line="300" w:lineRule="auto"/>
        <w:contextualSpacing/>
        <w:rPr>
          <w:rFonts w:asciiTheme="minorHAnsi" w:hAnsiTheme="minorHAnsi" w:cstheme="minorHAnsi"/>
          <w:sz w:val="22"/>
          <w:szCs w:val="22"/>
        </w:rPr>
      </w:pPr>
    </w:p>
    <w:p w:rsidR="00A95531" w:rsidRPr="00C84D75" w:rsidRDefault="00065B3A" w:rsidP="00C84D75">
      <w:pPr>
        <w:pStyle w:val="Bodytext20"/>
        <w:shd w:val="clear" w:color="auto" w:fill="auto"/>
        <w:spacing w:before="120" w:after="240" w:line="300" w:lineRule="auto"/>
        <w:ind w:firstLine="0"/>
        <w:contextualSpacing/>
        <w:jc w:val="left"/>
        <w:rPr>
          <w:rFonts w:asciiTheme="minorHAnsi" w:hAnsiTheme="minorHAnsi" w:cstheme="minorHAnsi"/>
          <w:sz w:val="22"/>
          <w:szCs w:val="22"/>
        </w:rPr>
      </w:pPr>
      <w:r w:rsidRPr="00C84D75">
        <w:rPr>
          <w:rStyle w:val="Bodytext21"/>
          <w:rFonts w:asciiTheme="minorHAnsi" w:hAnsiTheme="minorHAnsi" w:cstheme="minorHAnsi"/>
          <w:sz w:val="22"/>
          <w:szCs w:val="22"/>
        </w:rPr>
        <w:t>Do wiadomości:</w:t>
      </w:r>
    </w:p>
    <w:p w:rsidR="00A95531" w:rsidRPr="00C84D75" w:rsidRDefault="00065B3A" w:rsidP="00C84D75">
      <w:pPr>
        <w:pStyle w:val="Bodytext20"/>
        <w:numPr>
          <w:ilvl w:val="0"/>
          <w:numId w:val="2"/>
        </w:numPr>
        <w:shd w:val="clear" w:color="auto" w:fill="auto"/>
        <w:tabs>
          <w:tab w:val="left" w:pos="348"/>
        </w:tabs>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Pan Mirosław Czekaj - Skarbnik m.st. Warszawy.</w:t>
      </w:r>
    </w:p>
    <w:p w:rsidR="00A95531" w:rsidRPr="00C84D75" w:rsidRDefault="00065B3A" w:rsidP="00C84D75">
      <w:pPr>
        <w:pStyle w:val="Bodytext20"/>
        <w:numPr>
          <w:ilvl w:val="0"/>
          <w:numId w:val="2"/>
        </w:numPr>
        <w:shd w:val="clear" w:color="auto" w:fill="auto"/>
        <w:tabs>
          <w:tab w:val="left" w:pos="348"/>
        </w:tabs>
        <w:spacing w:before="120" w:after="240" w:line="300" w:lineRule="auto"/>
        <w:ind w:firstLine="0"/>
        <w:contextualSpacing/>
        <w:jc w:val="left"/>
        <w:rPr>
          <w:rFonts w:asciiTheme="minorHAnsi" w:hAnsiTheme="minorHAnsi" w:cstheme="minorHAnsi"/>
          <w:sz w:val="22"/>
          <w:szCs w:val="22"/>
        </w:rPr>
      </w:pPr>
      <w:r w:rsidRPr="00C84D75">
        <w:rPr>
          <w:rFonts w:asciiTheme="minorHAnsi" w:hAnsiTheme="minorHAnsi" w:cstheme="minorHAnsi"/>
          <w:sz w:val="22"/>
          <w:szCs w:val="22"/>
        </w:rPr>
        <w:t>Pan Jacek Jeżewski - Burmistrz Dzielnicy Praga-Północ m.st. Warszawy.</w:t>
      </w:r>
    </w:p>
    <w:sectPr w:rsidR="00A95531" w:rsidRPr="00C84D75">
      <w:footerReference w:type="default" r:id="rId7"/>
      <w:headerReference w:type="first" r:id="rId8"/>
      <w:footerReference w:type="first" r:id="rId9"/>
      <w:pgSz w:w="11900" w:h="16840"/>
      <w:pgMar w:top="1545" w:right="1411" w:bottom="1407" w:left="1456"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B3A" w:rsidRDefault="00065B3A">
      <w:r>
        <w:separator/>
      </w:r>
    </w:p>
  </w:endnote>
  <w:endnote w:type="continuationSeparator" w:id="0">
    <w:p w:rsidR="00065B3A" w:rsidRDefault="00065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9225029"/>
      <w:docPartObj>
        <w:docPartGallery w:val="Page Numbers (Bottom of Page)"/>
        <w:docPartUnique/>
      </w:docPartObj>
    </w:sdtPr>
    <w:sdtEndPr/>
    <w:sdtContent>
      <w:p w:rsidR="00320BC1" w:rsidRDefault="00320BC1">
        <w:pPr>
          <w:pStyle w:val="Stopka"/>
          <w:jc w:val="right"/>
        </w:pPr>
        <w:r>
          <w:fldChar w:fldCharType="begin"/>
        </w:r>
        <w:r>
          <w:instrText>PAGE   \* MERGEFORMAT</w:instrText>
        </w:r>
        <w:r>
          <w:fldChar w:fldCharType="separate"/>
        </w:r>
        <w:r w:rsidR="00EA0618">
          <w:rPr>
            <w:noProof/>
          </w:rPr>
          <w:t>4</w:t>
        </w:r>
        <w:r>
          <w:fldChar w:fldCharType="end"/>
        </w:r>
      </w:p>
    </w:sdtContent>
  </w:sdt>
  <w:p w:rsidR="00A95531" w:rsidRDefault="00A95531">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8229184"/>
      <w:docPartObj>
        <w:docPartGallery w:val="Page Numbers (Bottom of Page)"/>
        <w:docPartUnique/>
      </w:docPartObj>
    </w:sdtPr>
    <w:sdtEndPr/>
    <w:sdtContent>
      <w:p w:rsidR="00320BC1" w:rsidRDefault="00320BC1">
        <w:pPr>
          <w:pStyle w:val="Stopka"/>
          <w:jc w:val="right"/>
        </w:pPr>
        <w:r>
          <w:fldChar w:fldCharType="begin"/>
        </w:r>
        <w:r>
          <w:instrText>PAGE   \* MERGEFORMAT</w:instrText>
        </w:r>
        <w:r>
          <w:fldChar w:fldCharType="separate"/>
        </w:r>
        <w:r w:rsidR="00EA0618">
          <w:rPr>
            <w:noProof/>
          </w:rPr>
          <w:t>1</w:t>
        </w:r>
        <w:r>
          <w:fldChar w:fldCharType="end"/>
        </w:r>
      </w:p>
    </w:sdtContent>
  </w:sdt>
  <w:p w:rsidR="00320BC1" w:rsidRDefault="00320B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B3A" w:rsidRDefault="00065B3A">
      <w:r>
        <w:separator/>
      </w:r>
    </w:p>
  </w:footnote>
  <w:footnote w:type="continuationSeparator" w:id="0">
    <w:p w:rsidR="00065B3A" w:rsidRDefault="00065B3A">
      <w:r>
        <w:continuationSeparator/>
      </w:r>
    </w:p>
  </w:footnote>
  <w:footnote w:id="1">
    <w:p w:rsidR="00A95531" w:rsidRPr="00320BC1" w:rsidRDefault="00065B3A" w:rsidP="00EA0618">
      <w:pPr>
        <w:pStyle w:val="Footnote10"/>
        <w:shd w:val="clear" w:color="auto" w:fill="auto"/>
        <w:spacing w:before="120" w:after="240" w:line="300" w:lineRule="auto"/>
        <w:ind w:firstLine="0"/>
        <w:contextualSpacing/>
        <w:rPr>
          <w:rFonts w:asciiTheme="minorHAnsi" w:hAnsiTheme="minorHAnsi" w:cstheme="minorHAnsi"/>
          <w:b w:val="0"/>
          <w:sz w:val="22"/>
          <w:szCs w:val="22"/>
        </w:rPr>
      </w:pPr>
      <w:r w:rsidRPr="00320BC1">
        <w:rPr>
          <w:rFonts w:asciiTheme="minorHAnsi" w:hAnsiTheme="minorHAnsi" w:cstheme="minorHAnsi"/>
          <w:b w:val="0"/>
          <w:sz w:val="22"/>
          <w:szCs w:val="22"/>
          <w:vertAlign w:val="superscript"/>
        </w:rPr>
        <w:footnoteRef/>
      </w:r>
      <w:r w:rsidRPr="00320BC1">
        <w:rPr>
          <w:rFonts w:asciiTheme="minorHAnsi" w:hAnsiTheme="minorHAnsi" w:cstheme="minorHAnsi"/>
          <w:b w:val="0"/>
          <w:sz w:val="22"/>
          <w:szCs w:val="22"/>
        </w:rPr>
        <w:t xml:space="preserve">W zakresie: „Prawidłowość rozliczeń podatku od towarów i usług, w szczególności z uwzględnieniem przypadków określonych w </w:t>
      </w:r>
      <w:r w:rsidRPr="00320BC1">
        <w:rPr>
          <w:rFonts w:asciiTheme="minorHAnsi" w:hAnsiTheme="minorHAnsi" w:cstheme="minorHAnsi"/>
          <w:b w:val="0"/>
          <w:sz w:val="22"/>
          <w:szCs w:val="22"/>
          <w:lang w:val="en-US" w:eastAsia="en-US" w:bidi="en-US"/>
        </w:rPr>
        <w:t xml:space="preserve">art. </w:t>
      </w:r>
      <w:r w:rsidRPr="00320BC1">
        <w:rPr>
          <w:rFonts w:asciiTheme="minorHAnsi" w:hAnsiTheme="minorHAnsi" w:cstheme="minorHAnsi"/>
          <w:b w:val="0"/>
          <w:sz w:val="22"/>
          <w:szCs w:val="22"/>
        </w:rPr>
        <w:t>86 ust. 19a ustawy z dnia 11 marca 2004 r. o podatku od towarów i usług za 2021 r."</w:t>
      </w:r>
    </w:p>
  </w:footnote>
  <w:footnote w:id="2">
    <w:p w:rsidR="00A95531" w:rsidRPr="00320BC1" w:rsidRDefault="00065B3A" w:rsidP="00EA0618">
      <w:pPr>
        <w:pStyle w:val="Footnote10"/>
        <w:shd w:val="clear" w:color="auto" w:fill="auto"/>
        <w:tabs>
          <w:tab w:val="left" w:pos="125"/>
        </w:tabs>
        <w:spacing w:before="120" w:after="240" w:line="300" w:lineRule="auto"/>
        <w:ind w:right="660" w:firstLine="0"/>
        <w:contextualSpacing/>
        <w:rPr>
          <w:rFonts w:asciiTheme="minorHAnsi" w:hAnsiTheme="minorHAnsi"/>
          <w:b w:val="0"/>
          <w:sz w:val="22"/>
          <w:szCs w:val="22"/>
        </w:rPr>
      </w:pPr>
      <w:r w:rsidRPr="00320BC1">
        <w:rPr>
          <w:rFonts w:asciiTheme="minorHAnsi" w:hAnsiTheme="minorHAnsi" w:cstheme="minorHAnsi"/>
          <w:b w:val="0"/>
          <w:sz w:val="22"/>
          <w:szCs w:val="22"/>
          <w:vertAlign w:val="superscript"/>
        </w:rPr>
        <w:footnoteRef/>
      </w:r>
      <w:r w:rsidRPr="00320BC1">
        <w:rPr>
          <w:rFonts w:asciiTheme="minorHAnsi" w:hAnsiTheme="minorHAnsi" w:cstheme="minorHAnsi"/>
          <w:b w:val="0"/>
          <w:sz w:val="22"/>
          <w:szCs w:val="22"/>
        </w:rPr>
        <w:tab/>
        <w:t xml:space="preserve">Uchwała Nr </w:t>
      </w:r>
      <w:r w:rsidRPr="00320BC1">
        <w:rPr>
          <w:rFonts w:asciiTheme="minorHAnsi" w:hAnsiTheme="minorHAnsi" w:cstheme="minorHAnsi"/>
          <w:b w:val="0"/>
          <w:sz w:val="22"/>
          <w:szCs w:val="22"/>
          <w:lang w:val="en-US" w:eastAsia="en-US" w:bidi="en-US"/>
        </w:rPr>
        <w:t xml:space="preserve">XLIII/1021/2004 </w:t>
      </w:r>
      <w:r w:rsidRPr="00320BC1">
        <w:rPr>
          <w:rFonts w:asciiTheme="minorHAnsi" w:hAnsiTheme="minorHAnsi" w:cstheme="minorHAnsi"/>
          <w:b w:val="0"/>
          <w:sz w:val="22"/>
          <w:szCs w:val="22"/>
        </w:rPr>
        <w:t>Rady Miasta Stołecznego Warszawy z 2 grudnia 2004 r. w sprawie przekształcenia zakładu budżetowego m.st. Warszawy pod nazwą „Zarząd Nieruchomości Komunalnych Warszawa Praga-Północ" w jednostkę budżetową m.st. Warszawy pod nazwą „Zakład Gospodarowania Nieruchomościami w Dzielnicy Praga-Północ m.st. Warszawy".</w:t>
      </w:r>
    </w:p>
  </w:footnote>
  <w:footnote w:id="3">
    <w:p w:rsidR="00A95531" w:rsidRPr="00320BC1" w:rsidRDefault="00065B3A" w:rsidP="00EA0618">
      <w:pPr>
        <w:pStyle w:val="Footnote10"/>
        <w:pBdr>
          <w:top w:val="single" w:sz="4" w:space="1" w:color="auto"/>
        </w:pBdr>
        <w:shd w:val="clear" w:color="auto" w:fill="auto"/>
        <w:tabs>
          <w:tab w:val="left" w:pos="125"/>
        </w:tabs>
        <w:spacing w:before="120" w:after="240" w:line="300" w:lineRule="auto"/>
        <w:ind w:firstLine="0"/>
        <w:contextualSpacing/>
        <w:rPr>
          <w:rFonts w:asciiTheme="minorHAnsi" w:hAnsiTheme="minorHAnsi" w:cstheme="minorHAnsi"/>
          <w:b w:val="0"/>
          <w:sz w:val="22"/>
          <w:szCs w:val="22"/>
        </w:rPr>
      </w:pPr>
      <w:r w:rsidRPr="00320BC1">
        <w:rPr>
          <w:rFonts w:asciiTheme="minorHAnsi" w:hAnsiTheme="minorHAnsi" w:cstheme="minorHAnsi"/>
          <w:b w:val="0"/>
          <w:sz w:val="22"/>
          <w:szCs w:val="22"/>
          <w:vertAlign w:val="superscript"/>
        </w:rPr>
        <w:footnoteRef/>
      </w:r>
      <w:r w:rsidRPr="00320BC1">
        <w:rPr>
          <w:rFonts w:asciiTheme="minorHAnsi" w:hAnsiTheme="minorHAnsi" w:cstheme="minorHAnsi"/>
          <w:b w:val="0"/>
          <w:sz w:val="22"/>
          <w:szCs w:val="22"/>
        </w:rPr>
        <w:tab/>
        <w:t>Dz. U. z 2023 r. poz. 120 ze zm.</w:t>
      </w:r>
    </w:p>
  </w:footnote>
  <w:footnote w:id="4">
    <w:p w:rsidR="00A95531" w:rsidRPr="00320BC1" w:rsidRDefault="00065B3A" w:rsidP="00EA0618">
      <w:pPr>
        <w:pStyle w:val="Footnote10"/>
        <w:shd w:val="clear" w:color="auto" w:fill="auto"/>
        <w:tabs>
          <w:tab w:val="left" w:pos="110"/>
        </w:tabs>
        <w:spacing w:before="120" w:after="240" w:line="300" w:lineRule="auto"/>
        <w:ind w:right="280" w:firstLine="0"/>
        <w:contextualSpacing/>
        <w:rPr>
          <w:rFonts w:asciiTheme="minorHAnsi" w:hAnsiTheme="minorHAnsi" w:cstheme="minorHAnsi"/>
          <w:b w:val="0"/>
          <w:sz w:val="22"/>
          <w:szCs w:val="22"/>
        </w:rPr>
      </w:pPr>
      <w:r w:rsidRPr="00320BC1">
        <w:rPr>
          <w:rFonts w:asciiTheme="minorHAnsi" w:hAnsiTheme="minorHAnsi" w:cstheme="minorHAnsi"/>
          <w:b w:val="0"/>
          <w:sz w:val="22"/>
          <w:szCs w:val="22"/>
          <w:vertAlign w:val="superscript"/>
        </w:rPr>
        <w:footnoteRef/>
      </w:r>
      <w:r w:rsidRPr="00320BC1">
        <w:rPr>
          <w:rFonts w:asciiTheme="minorHAnsi" w:hAnsiTheme="minorHAnsi" w:cstheme="minorHAnsi"/>
          <w:b w:val="0"/>
          <w:sz w:val="22"/>
          <w:szCs w:val="22"/>
        </w:rPr>
        <w:tab/>
        <w:t xml:space="preserve">Zmiany wprowadzono zarządzeniem nr </w:t>
      </w:r>
      <w:r w:rsidRPr="00320BC1">
        <w:rPr>
          <w:rFonts w:asciiTheme="minorHAnsi" w:hAnsiTheme="minorHAnsi" w:cstheme="minorHAnsi"/>
          <w:b w:val="0"/>
          <w:sz w:val="22"/>
          <w:szCs w:val="22"/>
          <w:lang w:val="ru-RU" w:eastAsia="ru-RU" w:bidi="ru-RU"/>
        </w:rPr>
        <w:t xml:space="preserve">158/2020 </w:t>
      </w:r>
      <w:r w:rsidRPr="00320BC1">
        <w:rPr>
          <w:rFonts w:asciiTheme="minorHAnsi" w:hAnsiTheme="minorHAnsi" w:cstheme="minorHAnsi"/>
          <w:b w:val="0"/>
          <w:sz w:val="22"/>
          <w:szCs w:val="22"/>
        </w:rPr>
        <w:t xml:space="preserve">z 31 grudnia 2020 r. - wykaz programów komputerowych wykorzystywanych w obsłudze obszaru finansowo - księgowego ZGN i zarządzeniem nr </w:t>
      </w:r>
      <w:r w:rsidRPr="00320BC1">
        <w:rPr>
          <w:rFonts w:asciiTheme="minorHAnsi" w:hAnsiTheme="minorHAnsi" w:cstheme="minorHAnsi"/>
          <w:b w:val="0"/>
          <w:sz w:val="22"/>
          <w:szCs w:val="22"/>
          <w:lang w:val="ru-RU" w:eastAsia="ru-RU" w:bidi="ru-RU"/>
        </w:rPr>
        <w:t xml:space="preserve">11/2021 </w:t>
      </w:r>
      <w:r w:rsidRPr="00320BC1">
        <w:rPr>
          <w:rFonts w:asciiTheme="minorHAnsi" w:hAnsiTheme="minorHAnsi" w:cstheme="minorHAnsi"/>
          <w:b w:val="0"/>
          <w:sz w:val="22"/>
          <w:szCs w:val="22"/>
        </w:rPr>
        <w:t>Dyrektora ZGN z 26 lutego 2021 r.</w:t>
      </w:r>
    </w:p>
  </w:footnote>
  <w:footnote w:id="5">
    <w:p w:rsidR="00A95531" w:rsidRPr="00320BC1" w:rsidRDefault="00065B3A" w:rsidP="00EA0618">
      <w:pPr>
        <w:pStyle w:val="Footnote10"/>
        <w:shd w:val="clear" w:color="auto" w:fill="auto"/>
        <w:tabs>
          <w:tab w:val="left" w:pos="120"/>
        </w:tabs>
        <w:spacing w:before="120" w:after="240" w:line="300" w:lineRule="auto"/>
        <w:ind w:right="500" w:firstLine="0"/>
        <w:contextualSpacing/>
        <w:rPr>
          <w:rFonts w:asciiTheme="minorHAnsi" w:hAnsiTheme="minorHAnsi" w:cstheme="minorHAnsi"/>
          <w:b w:val="0"/>
          <w:sz w:val="22"/>
          <w:szCs w:val="22"/>
        </w:rPr>
      </w:pPr>
      <w:r w:rsidRPr="00320BC1">
        <w:rPr>
          <w:rFonts w:asciiTheme="minorHAnsi" w:hAnsiTheme="minorHAnsi" w:cstheme="minorHAnsi"/>
          <w:b w:val="0"/>
          <w:sz w:val="22"/>
          <w:szCs w:val="22"/>
          <w:vertAlign w:val="superscript"/>
        </w:rPr>
        <w:footnoteRef/>
      </w:r>
      <w:r w:rsidRPr="00320BC1">
        <w:rPr>
          <w:rFonts w:asciiTheme="minorHAnsi" w:hAnsiTheme="minorHAnsi" w:cstheme="minorHAnsi"/>
          <w:b w:val="0"/>
          <w:sz w:val="22"/>
          <w:szCs w:val="22"/>
        </w:rPr>
        <w:tab/>
        <w:t>Procedura rozliczania podatku od towarów i usług w m.st. Warszawie i Instrukcja realizacji zobowiązania podatkowego podatku od towarów i usług w m.st. Warszawie.</w:t>
      </w:r>
    </w:p>
  </w:footnote>
  <w:footnote w:id="6">
    <w:p w:rsidR="00A95531" w:rsidRPr="00320BC1" w:rsidRDefault="00065B3A" w:rsidP="00EA0618">
      <w:pPr>
        <w:pStyle w:val="Footnote10"/>
        <w:shd w:val="clear" w:color="auto" w:fill="auto"/>
        <w:tabs>
          <w:tab w:val="left" w:pos="120"/>
        </w:tabs>
        <w:spacing w:before="120" w:after="240" w:line="300" w:lineRule="auto"/>
        <w:ind w:firstLine="0"/>
        <w:contextualSpacing/>
        <w:rPr>
          <w:rFonts w:asciiTheme="minorHAnsi" w:hAnsiTheme="minorHAnsi" w:cstheme="minorHAnsi"/>
          <w:b w:val="0"/>
          <w:sz w:val="22"/>
          <w:szCs w:val="22"/>
        </w:rPr>
      </w:pPr>
      <w:r w:rsidRPr="00320BC1">
        <w:rPr>
          <w:rFonts w:asciiTheme="minorHAnsi" w:hAnsiTheme="minorHAnsi" w:cstheme="minorHAnsi"/>
          <w:b w:val="0"/>
          <w:sz w:val="22"/>
          <w:szCs w:val="22"/>
          <w:vertAlign w:val="superscript"/>
        </w:rPr>
        <w:footnoteRef/>
      </w:r>
      <w:r w:rsidRPr="00320BC1">
        <w:rPr>
          <w:rFonts w:asciiTheme="minorHAnsi" w:hAnsiTheme="minorHAnsi" w:cstheme="minorHAnsi"/>
          <w:b w:val="0"/>
          <w:sz w:val="22"/>
          <w:szCs w:val="22"/>
        </w:rPr>
        <w:tab/>
        <w:t>Podstawa opodatkowania 60193 550,29 zł,</w:t>
      </w:r>
    </w:p>
  </w:footnote>
  <w:footnote w:id="7">
    <w:p w:rsidR="00A95531" w:rsidRPr="00320BC1" w:rsidRDefault="00065B3A" w:rsidP="00EA0618">
      <w:pPr>
        <w:pStyle w:val="Footnote10"/>
        <w:shd w:val="clear" w:color="auto" w:fill="auto"/>
        <w:tabs>
          <w:tab w:val="left" w:pos="110"/>
        </w:tabs>
        <w:spacing w:before="120" w:after="240" w:line="300" w:lineRule="auto"/>
        <w:ind w:firstLine="0"/>
        <w:contextualSpacing/>
        <w:rPr>
          <w:rFonts w:asciiTheme="minorHAnsi" w:hAnsiTheme="minorHAnsi"/>
          <w:b w:val="0"/>
          <w:sz w:val="22"/>
          <w:szCs w:val="22"/>
        </w:rPr>
      </w:pPr>
      <w:r w:rsidRPr="00320BC1">
        <w:rPr>
          <w:rFonts w:asciiTheme="minorHAnsi" w:hAnsiTheme="minorHAnsi" w:cstheme="minorHAnsi"/>
          <w:b w:val="0"/>
          <w:sz w:val="22"/>
          <w:szCs w:val="22"/>
          <w:vertAlign w:val="superscript"/>
        </w:rPr>
        <w:footnoteRef/>
      </w:r>
      <w:r w:rsidRPr="00320BC1">
        <w:rPr>
          <w:rFonts w:asciiTheme="minorHAnsi" w:hAnsiTheme="minorHAnsi" w:cstheme="minorHAnsi"/>
          <w:b w:val="0"/>
          <w:sz w:val="22"/>
          <w:szCs w:val="22"/>
        </w:rPr>
        <w:tab/>
        <w:t xml:space="preserve">Konto 225 (obroty WN i MA kont: </w:t>
      </w:r>
      <w:r w:rsidRPr="00320BC1">
        <w:rPr>
          <w:rFonts w:asciiTheme="minorHAnsi" w:hAnsiTheme="minorHAnsi" w:cstheme="minorHAnsi"/>
          <w:b w:val="0"/>
          <w:sz w:val="22"/>
          <w:szCs w:val="22"/>
          <w:lang w:val="ru-RU" w:eastAsia="ru-RU" w:bidi="ru-RU"/>
        </w:rPr>
        <w:t xml:space="preserve">225/70005/0750/2, 225/70005/0830/2 </w:t>
      </w:r>
      <w:r w:rsidRPr="00320BC1">
        <w:rPr>
          <w:rFonts w:asciiTheme="minorHAnsi" w:hAnsiTheme="minorHAnsi" w:cstheme="minorHAnsi"/>
          <w:b w:val="0"/>
          <w:sz w:val="22"/>
          <w:szCs w:val="22"/>
        </w:rPr>
        <w:t xml:space="preserve">i </w:t>
      </w:r>
      <w:r w:rsidRPr="00320BC1">
        <w:rPr>
          <w:rFonts w:asciiTheme="minorHAnsi" w:hAnsiTheme="minorHAnsi" w:cstheme="minorHAnsi"/>
          <w:b w:val="0"/>
          <w:sz w:val="22"/>
          <w:szCs w:val="22"/>
          <w:lang w:val="ru-RU" w:eastAsia="ru-RU" w:bidi="ru-RU"/>
        </w:rPr>
        <w:t>225/70005/0970/2).</w:t>
      </w:r>
    </w:p>
  </w:footnote>
  <w:footnote w:id="8">
    <w:p w:rsidR="00A95531" w:rsidRPr="00320BC1" w:rsidRDefault="00065B3A" w:rsidP="00EA0618">
      <w:pPr>
        <w:pStyle w:val="Footnote10"/>
        <w:shd w:val="clear" w:color="auto" w:fill="auto"/>
        <w:tabs>
          <w:tab w:val="left" w:pos="110"/>
        </w:tabs>
        <w:spacing w:before="120" w:after="240" w:line="300" w:lineRule="auto"/>
        <w:ind w:firstLine="0"/>
        <w:contextualSpacing/>
        <w:rPr>
          <w:rFonts w:asciiTheme="minorHAnsi" w:hAnsiTheme="minorHAnsi" w:cstheme="minorHAnsi"/>
          <w:b w:val="0"/>
          <w:sz w:val="22"/>
          <w:szCs w:val="22"/>
        </w:rPr>
      </w:pPr>
      <w:r w:rsidRPr="00320BC1">
        <w:rPr>
          <w:rFonts w:asciiTheme="minorHAnsi" w:hAnsiTheme="minorHAnsi" w:cstheme="minorHAnsi"/>
          <w:b w:val="0"/>
          <w:sz w:val="22"/>
          <w:szCs w:val="22"/>
          <w:vertAlign w:val="superscript"/>
        </w:rPr>
        <w:footnoteRef/>
      </w:r>
      <w:r w:rsidRPr="00320BC1">
        <w:rPr>
          <w:rFonts w:asciiTheme="minorHAnsi" w:hAnsiTheme="minorHAnsi" w:cstheme="minorHAnsi"/>
          <w:b w:val="0"/>
          <w:sz w:val="22"/>
          <w:szCs w:val="22"/>
        </w:rPr>
        <w:tab/>
        <w:t>Konto 225-02.</w:t>
      </w:r>
    </w:p>
  </w:footnote>
  <w:footnote w:id="9">
    <w:p w:rsidR="00A95531" w:rsidRPr="00320BC1" w:rsidRDefault="00065B3A" w:rsidP="00EA0618">
      <w:pPr>
        <w:pStyle w:val="Footnote10"/>
        <w:shd w:val="clear" w:color="auto" w:fill="auto"/>
        <w:tabs>
          <w:tab w:val="left" w:pos="115"/>
        </w:tabs>
        <w:spacing w:before="120" w:after="240" w:line="300" w:lineRule="auto"/>
        <w:ind w:firstLine="0"/>
        <w:contextualSpacing/>
        <w:rPr>
          <w:rFonts w:asciiTheme="minorHAnsi" w:hAnsiTheme="minorHAnsi" w:cstheme="minorHAnsi"/>
          <w:b w:val="0"/>
          <w:sz w:val="22"/>
          <w:szCs w:val="22"/>
        </w:rPr>
      </w:pPr>
      <w:r w:rsidRPr="00320BC1">
        <w:rPr>
          <w:rFonts w:asciiTheme="minorHAnsi" w:hAnsiTheme="minorHAnsi" w:cstheme="minorHAnsi"/>
          <w:b w:val="0"/>
          <w:sz w:val="22"/>
          <w:szCs w:val="22"/>
          <w:vertAlign w:val="superscript"/>
        </w:rPr>
        <w:footnoteRef/>
      </w:r>
      <w:r w:rsidRPr="00320BC1">
        <w:rPr>
          <w:rFonts w:asciiTheme="minorHAnsi" w:hAnsiTheme="minorHAnsi" w:cstheme="minorHAnsi"/>
          <w:b w:val="0"/>
          <w:sz w:val="22"/>
          <w:szCs w:val="22"/>
        </w:rPr>
        <w:tab/>
        <w:t>Konto 280-12 (sprzedaż).</w:t>
      </w:r>
    </w:p>
  </w:footnote>
  <w:footnote w:id="10">
    <w:p w:rsidR="00A95531" w:rsidRPr="00320BC1" w:rsidRDefault="00065B3A" w:rsidP="00EA0618">
      <w:pPr>
        <w:pStyle w:val="Footnote10"/>
        <w:shd w:val="clear" w:color="auto" w:fill="auto"/>
        <w:tabs>
          <w:tab w:val="left" w:pos="163"/>
        </w:tabs>
        <w:spacing w:before="120" w:after="240" w:line="300" w:lineRule="auto"/>
        <w:ind w:firstLine="0"/>
        <w:contextualSpacing/>
        <w:rPr>
          <w:rFonts w:asciiTheme="minorHAnsi" w:hAnsiTheme="minorHAnsi" w:cstheme="minorHAnsi"/>
          <w:b w:val="0"/>
          <w:sz w:val="22"/>
          <w:szCs w:val="22"/>
        </w:rPr>
      </w:pPr>
      <w:r w:rsidRPr="00320BC1">
        <w:rPr>
          <w:rFonts w:asciiTheme="minorHAnsi" w:hAnsiTheme="minorHAnsi" w:cstheme="minorHAnsi"/>
          <w:b w:val="0"/>
          <w:sz w:val="22"/>
          <w:szCs w:val="22"/>
          <w:vertAlign w:val="superscript"/>
        </w:rPr>
        <w:footnoteRef/>
      </w:r>
      <w:r w:rsidRPr="00320BC1">
        <w:rPr>
          <w:rFonts w:asciiTheme="minorHAnsi" w:hAnsiTheme="minorHAnsi" w:cstheme="minorHAnsi"/>
          <w:b w:val="0"/>
          <w:sz w:val="22"/>
          <w:szCs w:val="22"/>
        </w:rPr>
        <w:tab/>
        <w:t>Na stronie WN obroty okresu i obroty narastająco.</w:t>
      </w:r>
    </w:p>
  </w:footnote>
  <w:footnote w:id="11">
    <w:p w:rsidR="00A95531" w:rsidRPr="00320BC1" w:rsidRDefault="00065B3A" w:rsidP="00EA0618">
      <w:pPr>
        <w:pStyle w:val="Footnote10"/>
        <w:shd w:val="clear" w:color="auto" w:fill="auto"/>
        <w:tabs>
          <w:tab w:val="left" w:pos="173"/>
        </w:tabs>
        <w:spacing w:before="120" w:after="240" w:line="300" w:lineRule="auto"/>
        <w:ind w:firstLine="0"/>
        <w:contextualSpacing/>
        <w:rPr>
          <w:rFonts w:asciiTheme="minorHAnsi" w:hAnsiTheme="minorHAnsi" w:cstheme="minorHAnsi"/>
          <w:b w:val="0"/>
          <w:sz w:val="22"/>
          <w:szCs w:val="22"/>
        </w:rPr>
      </w:pPr>
      <w:r w:rsidRPr="00320BC1">
        <w:rPr>
          <w:rFonts w:asciiTheme="minorHAnsi" w:hAnsiTheme="minorHAnsi" w:cstheme="minorHAnsi"/>
          <w:b w:val="0"/>
          <w:sz w:val="22"/>
          <w:szCs w:val="22"/>
          <w:vertAlign w:val="superscript"/>
        </w:rPr>
        <w:footnoteRef/>
      </w:r>
      <w:r w:rsidRPr="00320BC1">
        <w:rPr>
          <w:rFonts w:asciiTheme="minorHAnsi" w:hAnsiTheme="minorHAnsi" w:cstheme="minorHAnsi"/>
          <w:b w:val="0"/>
          <w:sz w:val="22"/>
          <w:szCs w:val="22"/>
        </w:rPr>
        <w:tab/>
        <w:t xml:space="preserve">Kwota zgodna z deklaracją </w:t>
      </w:r>
      <w:r w:rsidRPr="00320BC1">
        <w:rPr>
          <w:rFonts w:asciiTheme="minorHAnsi" w:hAnsiTheme="minorHAnsi" w:cstheme="minorHAnsi"/>
          <w:b w:val="0"/>
          <w:sz w:val="22"/>
          <w:szCs w:val="22"/>
          <w:lang w:val="en-US" w:eastAsia="en-US" w:bidi="en-US"/>
        </w:rPr>
        <w:t xml:space="preserve">VAT-7 </w:t>
      </w:r>
      <w:r w:rsidRPr="00320BC1">
        <w:rPr>
          <w:rFonts w:asciiTheme="minorHAnsi" w:hAnsiTheme="minorHAnsi" w:cstheme="minorHAnsi"/>
          <w:b w:val="0"/>
          <w:sz w:val="22"/>
          <w:szCs w:val="22"/>
        </w:rPr>
        <w:t>gdzie wykazano kwotę 5 475 689,72 zł.</w:t>
      </w:r>
    </w:p>
  </w:footnote>
  <w:footnote w:id="12">
    <w:p w:rsidR="00A95531" w:rsidRPr="00320BC1" w:rsidRDefault="00065B3A" w:rsidP="00EA0618">
      <w:pPr>
        <w:pStyle w:val="Footnote10"/>
        <w:shd w:val="clear" w:color="auto" w:fill="auto"/>
        <w:tabs>
          <w:tab w:val="left" w:pos="173"/>
        </w:tabs>
        <w:spacing w:before="120" w:after="240" w:line="300" w:lineRule="auto"/>
        <w:ind w:firstLine="0"/>
        <w:contextualSpacing/>
        <w:rPr>
          <w:rFonts w:asciiTheme="minorHAnsi" w:hAnsiTheme="minorHAnsi" w:cstheme="minorHAnsi"/>
          <w:b w:val="0"/>
          <w:sz w:val="22"/>
          <w:szCs w:val="22"/>
        </w:rPr>
      </w:pPr>
      <w:r w:rsidRPr="00320BC1">
        <w:rPr>
          <w:rFonts w:asciiTheme="minorHAnsi" w:hAnsiTheme="minorHAnsi" w:cstheme="minorHAnsi"/>
          <w:b w:val="0"/>
          <w:sz w:val="22"/>
          <w:szCs w:val="22"/>
          <w:vertAlign w:val="superscript"/>
        </w:rPr>
        <w:footnoteRef/>
      </w:r>
      <w:r w:rsidRPr="00320BC1">
        <w:rPr>
          <w:rFonts w:asciiTheme="minorHAnsi" w:hAnsiTheme="minorHAnsi" w:cstheme="minorHAnsi"/>
          <w:b w:val="0"/>
          <w:sz w:val="22"/>
          <w:szCs w:val="22"/>
        </w:rPr>
        <w:tab/>
        <w:t>Konto 280-11.</w:t>
      </w:r>
    </w:p>
  </w:footnote>
  <w:footnote w:id="13">
    <w:p w:rsidR="00A95531" w:rsidRPr="00320BC1" w:rsidRDefault="00065B3A" w:rsidP="00EA0618">
      <w:pPr>
        <w:pStyle w:val="Footnote10"/>
        <w:shd w:val="clear" w:color="auto" w:fill="auto"/>
        <w:tabs>
          <w:tab w:val="left" w:pos="0"/>
        </w:tabs>
        <w:spacing w:before="120" w:after="240" w:line="300" w:lineRule="auto"/>
        <w:ind w:firstLine="0"/>
        <w:contextualSpacing/>
        <w:rPr>
          <w:rFonts w:asciiTheme="minorHAnsi" w:hAnsiTheme="minorHAnsi"/>
          <w:b w:val="0"/>
          <w:sz w:val="22"/>
          <w:szCs w:val="22"/>
        </w:rPr>
      </w:pPr>
      <w:r w:rsidRPr="00320BC1">
        <w:rPr>
          <w:rFonts w:asciiTheme="minorHAnsi" w:hAnsiTheme="minorHAnsi" w:cstheme="minorHAnsi"/>
          <w:b w:val="0"/>
          <w:sz w:val="22"/>
          <w:szCs w:val="22"/>
          <w:vertAlign w:val="superscript"/>
        </w:rPr>
        <w:footnoteRef/>
      </w:r>
      <w:r w:rsidR="00320BC1">
        <w:rPr>
          <w:rFonts w:asciiTheme="minorHAnsi" w:hAnsiTheme="minorHAnsi" w:cstheme="minorHAnsi"/>
          <w:b w:val="0"/>
          <w:sz w:val="22"/>
          <w:szCs w:val="22"/>
        </w:rPr>
        <w:t xml:space="preserve"> </w:t>
      </w:r>
      <w:r w:rsidRPr="00320BC1">
        <w:rPr>
          <w:rFonts w:asciiTheme="minorHAnsi" w:hAnsiTheme="minorHAnsi" w:cstheme="minorHAnsi"/>
          <w:b w:val="0"/>
          <w:sz w:val="22"/>
          <w:szCs w:val="22"/>
        </w:rPr>
        <w:t>Faktury wystawione z tytułu wynajmu lokali użytkowych, dzierżawy gruntu, utrzymania budynków i lokali, wykonania usług ochrony obiektów ZGN, wykonania remontów lokali i budynków, dostawy mediów, dostawy oprogramowania i sprzętu komputerowego, bezumownego użytkowania nieruchomości.</w:t>
      </w:r>
    </w:p>
  </w:footnote>
  <w:footnote w:id="14">
    <w:p w:rsidR="00A95531" w:rsidRPr="00320BC1" w:rsidRDefault="00065B3A" w:rsidP="00EA0618">
      <w:pPr>
        <w:pStyle w:val="Footnote10"/>
        <w:shd w:val="clear" w:color="auto" w:fill="auto"/>
        <w:tabs>
          <w:tab w:val="left" w:pos="0"/>
        </w:tabs>
        <w:spacing w:before="120" w:after="240" w:line="300" w:lineRule="auto"/>
        <w:ind w:firstLine="0"/>
        <w:contextualSpacing/>
        <w:rPr>
          <w:rFonts w:asciiTheme="minorHAnsi" w:hAnsiTheme="minorHAnsi" w:cstheme="minorHAnsi"/>
          <w:b w:val="0"/>
          <w:sz w:val="22"/>
          <w:szCs w:val="22"/>
        </w:rPr>
      </w:pPr>
      <w:r w:rsidRPr="00320BC1">
        <w:rPr>
          <w:rFonts w:asciiTheme="minorHAnsi" w:hAnsiTheme="minorHAnsi" w:cstheme="minorHAnsi"/>
          <w:b w:val="0"/>
          <w:sz w:val="22"/>
          <w:szCs w:val="22"/>
          <w:vertAlign w:val="superscript"/>
        </w:rPr>
        <w:footnoteRef/>
      </w:r>
      <w:r w:rsidR="00320BC1">
        <w:rPr>
          <w:rFonts w:asciiTheme="minorHAnsi" w:hAnsiTheme="minorHAnsi" w:cstheme="minorHAnsi"/>
          <w:b w:val="0"/>
          <w:sz w:val="22"/>
          <w:szCs w:val="22"/>
        </w:rPr>
        <w:t xml:space="preserve"> </w:t>
      </w:r>
      <w:r w:rsidRPr="00320BC1">
        <w:rPr>
          <w:rFonts w:asciiTheme="minorHAnsi" w:hAnsiTheme="minorHAnsi" w:cstheme="minorHAnsi"/>
          <w:b w:val="0"/>
          <w:sz w:val="22"/>
          <w:szCs w:val="22"/>
          <w:lang w:val="en-US" w:eastAsia="en-US" w:bidi="en-US"/>
        </w:rPr>
        <w:t xml:space="preserve">VAT </w:t>
      </w:r>
      <w:r w:rsidRPr="00320BC1">
        <w:rPr>
          <w:rFonts w:asciiTheme="minorHAnsi" w:hAnsiTheme="minorHAnsi" w:cstheme="minorHAnsi"/>
          <w:b w:val="0"/>
          <w:sz w:val="22"/>
          <w:szCs w:val="22"/>
        </w:rPr>
        <w:t xml:space="preserve">od wystawionych faktur dotyczących: remonty i usługi remontowe - 312 984,71 zł (23 faktury), utrzymanie budynków - 239 692,92 zł (16 faktur), dostarczone media (energia elektryczna, c.o., </w:t>
      </w:r>
      <w:proofErr w:type="spellStart"/>
      <w:r w:rsidRPr="00320BC1">
        <w:rPr>
          <w:rFonts w:asciiTheme="minorHAnsi" w:hAnsiTheme="minorHAnsi" w:cstheme="minorHAnsi"/>
          <w:b w:val="0"/>
          <w:sz w:val="22"/>
          <w:szCs w:val="22"/>
        </w:rPr>
        <w:t>c.c.w</w:t>
      </w:r>
      <w:proofErr w:type="spellEnd"/>
      <w:r w:rsidRPr="00320BC1">
        <w:rPr>
          <w:rFonts w:asciiTheme="minorHAnsi" w:hAnsiTheme="minorHAnsi" w:cstheme="minorHAnsi"/>
          <w:b w:val="0"/>
          <w:sz w:val="22"/>
          <w:szCs w:val="22"/>
        </w:rPr>
        <w:t>., woda, ścieki) -698 103,97 zł (23 faktury), ochrona obiektów 57 748,34 zł (25 faktur), zakup programów komputerowych podatek na kwotę 22 897,58 zł (rozliczany wg współczynnika 46%), dostawa sprzętu podatek na kwotę 25 650,06 zł (rozliczany współczynnikiem 46%, 11 faktur).</w:t>
      </w:r>
    </w:p>
  </w:footnote>
  <w:footnote w:id="15">
    <w:p w:rsidR="00A95531" w:rsidRPr="00320BC1" w:rsidRDefault="00065B3A" w:rsidP="00EA0618">
      <w:pPr>
        <w:pStyle w:val="Footnote10"/>
        <w:shd w:val="clear" w:color="auto" w:fill="auto"/>
        <w:tabs>
          <w:tab w:val="left" w:pos="0"/>
        </w:tabs>
        <w:spacing w:before="120" w:after="240" w:line="300" w:lineRule="auto"/>
        <w:ind w:firstLine="0"/>
        <w:contextualSpacing/>
        <w:rPr>
          <w:rFonts w:asciiTheme="minorHAnsi" w:hAnsiTheme="minorHAnsi" w:cstheme="minorHAnsi"/>
          <w:b w:val="0"/>
          <w:sz w:val="22"/>
          <w:szCs w:val="22"/>
        </w:rPr>
      </w:pPr>
      <w:r w:rsidRPr="00320BC1">
        <w:rPr>
          <w:rFonts w:asciiTheme="minorHAnsi" w:hAnsiTheme="minorHAnsi" w:cstheme="minorHAnsi"/>
          <w:b w:val="0"/>
          <w:sz w:val="22"/>
          <w:szCs w:val="22"/>
          <w:vertAlign w:val="superscript"/>
        </w:rPr>
        <w:footnoteRef/>
      </w:r>
      <w:r w:rsidR="00320BC1">
        <w:rPr>
          <w:rFonts w:asciiTheme="minorHAnsi" w:hAnsiTheme="minorHAnsi" w:cstheme="minorHAnsi"/>
          <w:b w:val="0"/>
          <w:sz w:val="22"/>
          <w:szCs w:val="22"/>
        </w:rPr>
        <w:t xml:space="preserve"> </w:t>
      </w:r>
      <w:r w:rsidRPr="00320BC1">
        <w:rPr>
          <w:rFonts w:asciiTheme="minorHAnsi" w:hAnsiTheme="minorHAnsi" w:cstheme="minorHAnsi"/>
          <w:b w:val="0"/>
          <w:sz w:val="22"/>
          <w:szCs w:val="22"/>
          <w:lang w:val="en-US" w:eastAsia="en-US" w:bidi="en-US"/>
        </w:rPr>
        <w:t xml:space="preserve">VAT </w:t>
      </w:r>
      <w:r w:rsidRPr="00320BC1">
        <w:rPr>
          <w:rFonts w:asciiTheme="minorHAnsi" w:hAnsiTheme="minorHAnsi" w:cstheme="minorHAnsi"/>
          <w:b w:val="0"/>
          <w:sz w:val="22"/>
          <w:szCs w:val="22"/>
        </w:rPr>
        <w:t>od wystawionych faktur dotyczących: remonty i usługi remontowe - 276 100,04 zł (26 faktur), ochrona obiektów - 8 549,80 zł (14 faktur), programy komputerowe - 26 879,78 zł (17 faktur), dostawa sprzętu -</w:t>
      </w:r>
    </w:p>
  </w:footnote>
  <w:footnote w:id="16">
    <w:p w:rsidR="00A95531" w:rsidRPr="00320BC1" w:rsidRDefault="00065B3A" w:rsidP="00EA0618">
      <w:pPr>
        <w:pStyle w:val="Footnote10"/>
        <w:shd w:val="clear" w:color="auto" w:fill="auto"/>
        <w:tabs>
          <w:tab w:val="left" w:pos="383"/>
        </w:tabs>
        <w:spacing w:before="120" w:after="240" w:line="300" w:lineRule="auto"/>
        <w:ind w:firstLine="0"/>
        <w:contextualSpacing/>
        <w:rPr>
          <w:rFonts w:asciiTheme="minorHAnsi" w:hAnsiTheme="minorHAnsi" w:cstheme="minorHAnsi"/>
          <w:b w:val="0"/>
          <w:sz w:val="22"/>
          <w:szCs w:val="22"/>
        </w:rPr>
      </w:pPr>
      <w:r w:rsidRPr="00320BC1">
        <w:rPr>
          <w:rFonts w:asciiTheme="minorHAnsi" w:hAnsiTheme="minorHAnsi" w:cstheme="minorHAnsi"/>
          <w:b w:val="0"/>
          <w:sz w:val="22"/>
          <w:szCs w:val="22"/>
        </w:rPr>
        <w:t>30110,96 zł (11 faktur).</w:t>
      </w:r>
    </w:p>
  </w:footnote>
  <w:footnote w:id="17">
    <w:p w:rsidR="00A95531" w:rsidRPr="00320BC1" w:rsidRDefault="00065B3A" w:rsidP="00EA0618">
      <w:pPr>
        <w:pStyle w:val="Footnote10"/>
        <w:shd w:val="clear" w:color="auto" w:fill="auto"/>
        <w:spacing w:before="120" w:after="240" w:line="300" w:lineRule="auto"/>
        <w:ind w:firstLine="0"/>
        <w:contextualSpacing/>
        <w:rPr>
          <w:rFonts w:asciiTheme="minorHAnsi" w:hAnsiTheme="minorHAnsi"/>
          <w:b w:val="0"/>
          <w:sz w:val="22"/>
          <w:szCs w:val="22"/>
        </w:rPr>
      </w:pPr>
      <w:r w:rsidRPr="00320BC1">
        <w:rPr>
          <w:rFonts w:asciiTheme="minorHAnsi" w:hAnsiTheme="minorHAnsi" w:cstheme="minorHAnsi"/>
          <w:b w:val="0"/>
          <w:sz w:val="22"/>
          <w:szCs w:val="22"/>
          <w:vertAlign w:val="superscript"/>
        </w:rPr>
        <w:t>ls</w:t>
      </w:r>
      <w:r w:rsidRPr="00320BC1">
        <w:rPr>
          <w:rFonts w:asciiTheme="minorHAnsi" w:hAnsiTheme="minorHAnsi" w:cstheme="minorHAnsi"/>
          <w:b w:val="0"/>
          <w:sz w:val="22"/>
          <w:szCs w:val="22"/>
        </w:rPr>
        <w:t xml:space="preserve"> </w:t>
      </w:r>
      <w:r w:rsidRPr="00320BC1">
        <w:rPr>
          <w:rFonts w:asciiTheme="minorHAnsi" w:hAnsiTheme="minorHAnsi" w:cstheme="minorHAnsi"/>
          <w:b w:val="0"/>
          <w:sz w:val="22"/>
          <w:szCs w:val="22"/>
          <w:lang w:val="en-US" w:eastAsia="en-US" w:bidi="en-US"/>
        </w:rPr>
        <w:t xml:space="preserve">VAT </w:t>
      </w:r>
      <w:r w:rsidRPr="00320BC1">
        <w:rPr>
          <w:rFonts w:asciiTheme="minorHAnsi" w:hAnsiTheme="minorHAnsi" w:cstheme="minorHAnsi"/>
          <w:b w:val="0"/>
          <w:sz w:val="22"/>
          <w:szCs w:val="22"/>
        </w:rPr>
        <w:t>od wystawionych faktur dotyczących: utrzymania budynków - 239 692,92 zł (16 faktur), dostarczenie mediów - 698 103,97 zł (23 faktury).</w:t>
      </w:r>
    </w:p>
  </w:footnote>
  <w:footnote w:id="18">
    <w:p w:rsidR="00A95531" w:rsidRPr="00320BC1" w:rsidRDefault="00065B3A" w:rsidP="00EA0618">
      <w:pPr>
        <w:pStyle w:val="Footnote20"/>
        <w:shd w:val="clear" w:color="auto" w:fill="auto"/>
        <w:spacing w:before="120" w:after="240" w:line="300" w:lineRule="auto"/>
        <w:contextualSpacing/>
        <w:rPr>
          <w:rFonts w:asciiTheme="minorHAnsi" w:hAnsiTheme="minorHAnsi" w:cstheme="minorHAnsi"/>
          <w:b w:val="0"/>
          <w:sz w:val="22"/>
          <w:szCs w:val="22"/>
        </w:rPr>
      </w:pPr>
      <w:r w:rsidRPr="00320BC1">
        <w:rPr>
          <w:rFonts w:asciiTheme="minorHAnsi" w:hAnsiTheme="minorHAnsi"/>
          <w:b w:val="0"/>
          <w:sz w:val="22"/>
          <w:szCs w:val="22"/>
        </w:rPr>
        <w:t>13</w:t>
      </w:r>
    </w:p>
  </w:footnote>
  <w:footnote w:id="19">
    <w:p w:rsidR="00A95531" w:rsidRPr="00320BC1" w:rsidRDefault="00065B3A" w:rsidP="00EA0618">
      <w:pPr>
        <w:pStyle w:val="Footnote10"/>
        <w:shd w:val="clear" w:color="auto" w:fill="auto"/>
        <w:spacing w:before="120" w:after="240" w:line="300" w:lineRule="auto"/>
        <w:ind w:firstLine="0"/>
        <w:contextualSpacing/>
        <w:rPr>
          <w:rFonts w:asciiTheme="minorHAnsi" w:hAnsiTheme="minorHAnsi" w:cstheme="minorHAnsi"/>
          <w:b w:val="0"/>
          <w:sz w:val="22"/>
          <w:szCs w:val="22"/>
        </w:rPr>
      </w:pPr>
      <w:r w:rsidRPr="00320BC1">
        <w:rPr>
          <w:rFonts w:asciiTheme="minorHAnsi" w:hAnsiTheme="minorHAnsi" w:cstheme="minorHAnsi"/>
          <w:b w:val="0"/>
          <w:sz w:val="22"/>
          <w:szCs w:val="22"/>
        </w:rPr>
        <w:t>N</w:t>
      </w:r>
    </w:p>
  </w:footnote>
  <w:footnote w:id="20">
    <w:p w:rsidR="00A95531" w:rsidRPr="00320BC1" w:rsidRDefault="00065B3A" w:rsidP="00EA0618">
      <w:pPr>
        <w:pStyle w:val="Footnote30"/>
        <w:shd w:val="clear" w:color="auto" w:fill="auto"/>
        <w:spacing w:before="120" w:after="240" w:line="300" w:lineRule="auto"/>
        <w:contextualSpacing/>
        <w:rPr>
          <w:rFonts w:asciiTheme="minorHAnsi" w:hAnsiTheme="minorHAnsi" w:cstheme="minorHAnsi"/>
          <w:b w:val="0"/>
          <w:sz w:val="22"/>
          <w:szCs w:val="22"/>
        </w:rPr>
      </w:pPr>
      <w:r w:rsidRPr="00320BC1">
        <w:rPr>
          <w:rFonts w:asciiTheme="minorHAnsi" w:hAnsiTheme="minorHAnsi" w:cstheme="minorHAnsi"/>
          <w:b w:val="0"/>
          <w:sz w:val="22"/>
          <w:szCs w:val="22"/>
        </w:rPr>
        <w:footnoteRef/>
      </w:r>
    </w:p>
  </w:footnote>
  <w:footnote w:id="21">
    <w:p w:rsidR="00A95531" w:rsidRPr="00320BC1" w:rsidRDefault="00065B3A" w:rsidP="00EA0618">
      <w:pPr>
        <w:pStyle w:val="Footnote10"/>
        <w:shd w:val="clear" w:color="auto" w:fill="auto"/>
        <w:spacing w:before="120" w:after="240" w:line="300" w:lineRule="auto"/>
        <w:ind w:firstLine="0"/>
        <w:contextualSpacing/>
        <w:rPr>
          <w:rFonts w:asciiTheme="minorHAnsi" w:hAnsiTheme="minorHAnsi"/>
          <w:b w:val="0"/>
          <w:sz w:val="22"/>
          <w:szCs w:val="22"/>
        </w:rPr>
      </w:pPr>
      <w:r w:rsidRPr="00320BC1">
        <w:rPr>
          <w:rFonts w:asciiTheme="minorHAnsi" w:hAnsiTheme="minorHAnsi" w:cstheme="minorHAnsi"/>
          <w:b w:val="0"/>
          <w:sz w:val="22"/>
          <w:szCs w:val="22"/>
          <w:vertAlign w:val="superscript"/>
        </w:rPr>
        <w:t>£U</w:t>
      </w:r>
      <w:r w:rsidRPr="00320BC1">
        <w:rPr>
          <w:rFonts w:asciiTheme="minorHAnsi" w:hAnsiTheme="minorHAnsi" w:cstheme="minorHAnsi"/>
          <w:b w:val="0"/>
          <w:sz w:val="22"/>
          <w:szCs w:val="22"/>
        </w:rPr>
        <w:t xml:space="preserve"> Zarządzenie nr </w:t>
      </w:r>
      <w:r w:rsidRPr="00320BC1">
        <w:rPr>
          <w:rFonts w:asciiTheme="minorHAnsi" w:hAnsiTheme="minorHAnsi" w:cstheme="minorHAnsi"/>
          <w:b w:val="0"/>
          <w:sz w:val="22"/>
          <w:szCs w:val="22"/>
          <w:lang w:val="ru-RU" w:eastAsia="ru-RU" w:bidi="ru-RU"/>
        </w:rPr>
        <w:t xml:space="preserve">1867/2017 </w:t>
      </w:r>
      <w:r w:rsidRPr="00320BC1">
        <w:rPr>
          <w:rFonts w:asciiTheme="minorHAnsi" w:hAnsiTheme="minorHAnsi" w:cstheme="minorHAnsi"/>
          <w:b w:val="0"/>
          <w:sz w:val="22"/>
          <w:szCs w:val="22"/>
        </w:rPr>
        <w:t xml:space="preserve">zmieniało zarządzenie nr </w:t>
      </w:r>
      <w:r w:rsidRPr="00320BC1">
        <w:rPr>
          <w:rFonts w:asciiTheme="minorHAnsi" w:hAnsiTheme="minorHAnsi" w:cstheme="minorHAnsi"/>
          <w:b w:val="0"/>
          <w:sz w:val="22"/>
          <w:szCs w:val="22"/>
          <w:lang w:val="ru-RU" w:eastAsia="ru-RU" w:bidi="ru-RU"/>
        </w:rPr>
        <w:t xml:space="preserve">1746/2015 </w:t>
      </w:r>
      <w:r w:rsidRPr="00320BC1">
        <w:rPr>
          <w:rFonts w:asciiTheme="minorHAnsi" w:hAnsiTheme="minorHAnsi" w:cstheme="minorHAnsi"/>
          <w:b w:val="0"/>
          <w:sz w:val="22"/>
          <w:szCs w:val="22"/>
        </w:rPr>
        <w:t>Prezydenta m.st. Warszawy z dnia 28 grudnia 2015 r. w sprawie centralizacji rozliczeń podatku od towarów i usług m.st. Warszawy.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9E" w:rsidRDefault="00C84D75">
    <w:pPr>
      <w:pStyle w:val="Nagwek"/>
    </w:pPr>
    <w:r>
      <w:rPr>
        <w:noProof/>
        <w:lang w:bidi="ar-SA"/>
      </w:rPr>
      <w:drawing>
        <wp:inline distT="0" distB="0" distL="0" distR="0" wp14:anchorId="1F76D7FE" wp14:editId="2D48E173">
          <wp:extent cx="5735955" cy="1077388"/>
          <wp:effectExtent l="0" t="0" r="0" b="8890"/>
          <wp:docPr id="2" name="Obraz 2" descr="Urząd Miasta Stołecznego Warszawy, Biuro Kontroli, ul. Niecała 2, 00-098 Warszawa, tel. 22 443 32 35, 22 443 32 36, faks 22 443 32 37, adres do korespondencji: Aleje Jerozolimskie 44, 00-024 Warszawa, Sekretariat.BKW@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Urząd Miasta Stołecznego Warszawy, Biuro Kontroli, ul. Niecała 2, 00-098 Warszawa, tel. 22 443 32 35, 22 443 32 36, faks 22 443 32 37, adres do korespondencji: Aleje Jerozolimskie 44, 00-024 Warszawa, Sekretariat.BKW@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5955" cy="107738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56D37"/>
    <w:multiLevelType w:val="multilevel"/>
    <w:tmpl w:val="5136FE10"/>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D69275F"/>
    <w:multiLevelType w:val="multilevel"/>
    <w:tmpl w:val="5E4ABDC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531"/>
    <w:rsid w:val="00065B3A"/>
    <w:rsid w:val="00320BC1"/>
    <w:rsid w:val="00386E6B"/>
    <w:rsid w:val="00421C4B"/>
    <w:rsid w:val="00623ECB"/>
    <w:rsid w:val="00637A9E"/>
    <w:rsid w:val="007C0993"/>
    <w:rsid w:val="007F2BF3"/>
    <w:rsid w:val="00A95531"/>
    <w:rsid w:val="00C84D75"/>
    <w:rsid w:val="00CC1620"/>
    <w:rsid w:val="00EA06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10FEBB7-EAC8-4524-9087-59B825AFE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320BC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bCs/>
      <w:i w:val="0"/>
      <w:iCs w:val="0"/>
      <w:smallCaps w:val="0"/>
      <w:strike w:val="0"/>
      <w:sz w:val="16"/>
      <w:szCs w:val="16"/>
      <w:u w:val="none"/>
    </w:rPr>
  </w:style>
  <w:style w:type="character" w:customStyle="1" w:styleId="Footnote2">
    <w:name w:val="Footnote|2_"/>
    <w:basedOn w:val="Domylnaczcionkaakapitu"/>
    <w:link w:val="Footnote20"/>
    <w:rPr>
      <w:b/>
      <w:bCs/>
      <w:i w:val="0"/>
      <w:iCs w:val="0"/>
      <w:smallCaps w:val="0"/>
      <w:strike w:val="0"/>
      <w:sz w:val="11"/>
      <w:szCs w:val="11"/>
      <w:u w:val="none"/>
    </w:rPr>
  </w:style>
  <w:style w:type="character" w:customStyle="1" w:styleId="Footnote3">
    <w:name w:val="Footnote|3_"/>
    <w:basedOn w:val="Domylnaczcionkaakapitu"/>
    <w:link w:val="Footnote30"/>
    <w:rPr>
      <w:rFonts w:ascii="Arial" w:eastAsia="Arial" w:hAnsi="Arial" w:cs="Arial"/>
      <w:b/>
      <w:bCs/>
      <w:i/>
      <w:iCs/>
      <w:smallCaps w:val="0"/>
      <w:strike w:val="0"/>
      <w:sz w:val="10"/>
      <w:szCs w:val="10"/>
      <w:u w:val="none"/>
    </w:rPr>
  </w:style>
  <w:style w:type="character" w:customStyle="1" w:styleId="Bodytext3">
    <w:name w:val="Body text|3_"/>
    <w:basedOn w:val="Domylnaczcionkaakapitu"/>
    <w:link w:val="Bodytext30"/>
    <w:rPr>
      <w:rFonts w:ascii="Arial" w:eastAsia="Arial" w:hAnsi="Arial" w:cs="Arial"/>
      <w:b/>
      <w:bCs/>
      <w:i w:val="0"/>
      <w:iCs w:val="0"/>
      <w:smallCaps w:val="0"/>
      <w:strike w:val="0"/>
      <w:sz w:val="19"/>
      <w:szCs w:val="19"/>
      <w:u w:val="none"/>
    </w:rPr>
  </w:style>
  <w:style w:type="character" w:customStyle="1" w:styleId="Bodytext4">
    <w:name w:val="Body text|4_"/>
    <w:basedOn w:val="Domylnaczcionkaakapitu"/>
    <w:link w:val="Bodytext40"/>
    <w:rPr>
      <w:rFonts w:ascii="Arial" w:eastAsia="Arial" w:hAnsi="Arial" w:cs="Arial"/>
      <w:b w:val="0"/>
      <w:bCs w:val="0"/>
      <w:i w:val="0"/>
      <w:iCs w:val="0"/>
      <w:smallCaps w:val="0"/>
      <w:strike w:val="0"/>
      <w:sz w:val="14"/>
      <w:szCs w:val="14"/>
      <w:u w:val="none"/>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9"/>
      <w:szCs w:val="19"/>
      <w:u w:val="none"/>
    </w:rPr>
  </w:style>
  <w:style w:type="character" w:customStyle="1" w:styleId="Bodytext28ptBoldItalic">
    <w:name w:val="Body text|2 + 8 pt;Bold;Italic"/>
    <w:basedOn w:val="Bodytext2"/>
    <w:semiHidden/>
    <w:unhideWhenUsed/>
    <w:rPr>
      <w:rFonts w:ascii="Arial" w:eastAsia="Arial" w:hAnsi="Arial" w:cs="Arial"/>
      <w:b/>
      <w:bCs/>
      <w:i/>
      <w:iCs/>
      <w:smallCaps w:val="0"/>
      <w:strike w:val="0"/>
      <w:color w:val="000000"/>
      <w:spacing w:val="0"/>
      <w:w w:val="100"/>
      <w:position w:val="0"/>
      <w:sz w:val="16"/>
      <w:szCs w:val="16"/>
      <w:u w:val="none"/>
      <w:lang w:val="pl-PL" w:eastAsia="pl-PL" w:bidi="pl-PL"/>
    </w:rPr>
  </w:style>
  <w:style w:type="character" w:customStyle="1" w:styleId="Headerorfooter1">
    <w:name w:val="Header or footer|1_"/>
    <w:basedOn w:val="Domylnaczcionkaakapitu"/>
    <w:link w:val="Headerorfooter10"/>
    <w:rPr>
      <w:rFonts w:ascii="Arial" w:eastAsia="Arial" w:hAnsi="Arial" w:cs="Arial"/>
      <w:b w:val="0"/>
      <w:bCs w:val="0"/>
      <w:i w:val="0"/>
      <w:iCs w:val="0"/>
      <w:smallCaps w:val="0"/>
      <w:strike w:val="0"/>
      <w:sz w:val="19"/>
      <w:szCs w:val="19"/>
      <w:u w:val="none"/>
      <w:lang w:val="ru-RU" w:eastAsia="ru-RU" w:bidi="ru-RU"/>
    </w:rPr>
  </w:style>
  <w:style w:type="character" w:customStyle="1" w:styleId="Headerorfooter11">
    <w:name w:val="Header or footer|1"/>
    <w:basedOn w:val="Headerorfooter1"/>
    <w:semiHidden/>
    <w:unhideWhenUsed/>
    <w:rPr>
      <w:rFonts w:ascii="Arial" w:eastAsia="Arial" w:hAnsi="Arial" w:cs="Arial"/>
      <w:b w:val="0"/>
      <w:bCs w:val="0"/>
      <w:i w:val="0"/>
      <w:iCs w:val="0"/>
      <w:smallCaps w:val="0"/>
      <w:strike w:val="0"/>
      <w:color w:val="000000"/>
      <w:spacing w:val="0"/>
      <w:w w:val="100"/>
      <w:position w:val="0"/>
      <w:sz w:val="19"/>
      <w:szCs w:val="19"/>
      <w:u w:val="none"/>
      <w:lang w:val="ru-RU" w:eastAsia="ru-RU" w:bidi="ru-RU"/>
    </w:rPr>
  </w:style>
  <w:style w:type="character" w:customStyle="1" w:styleId="Bodytext21">
    <w:name w:val="Body text|2"/>
    <w:basedOn w:val="Bodytext2"/>
    <w:semiHidden/>
    <w:unhideWhenUsed/>
    <w:rPr>
      <w:rFonts w:ascii="Arial" w:eastAsia="Arial" w:hAnsi="Arial" w:cs="Arial"/>
      <w:b w:val="0"/>
      <w:bCs w:val="0"/>
      <w:i w:val="0"/>
      <w:iCs w:val="0"/>
      <w:smallCaps w:val="0"/>
      <w:strike w:val="0"/>
      <w:color w:val="000000"/>
      <w:spacing w:val="0"/>
      <w:w w:val="100"/>
      <w:position w:val="0"/>
      <w:sz w:val="19"/>
      <w:szCs w:val="19"/>
      <w:u w:val="single"/>
      <w:lang w:val="pl-PL" w:eastAsia="pl-PL" w:bidi="pl-PL"/>
    </w:rPr>
  </w:style>
  <w:style w:type="paragraph" w:customStyle="1" w:styleId="Footnote10">
    <w:name w:val="Footnote|1"/>
    <w:basedOn w:val="Normalny"/>
    <w:link w:val="Footnote1"/>
    <w:qFormat/>
    <w:pPr>
      <w:shd w:val="clear" w:color="auto" w:fill="FFFFFF"/>
      <w:spacing w:line="235" w:lineRule="exact"/>
      <w:ind w:hanging="300"/>
    </w:pPr>
    <w:rPr>
      <w:rFonts w:ascii="Arial" w:eastAsia="Arial" w:hAnsi="Arial" w:cs="Arial"/>
      <w:b/>
      <w:bCs/>
      <w:sz w:val="16"/>
      <w:szCs w:val="16"/>
    </w:rPr>
  </w:style>
  <w:style w:type="paragraph" w:customStyle="1" w:styleId="Footnote20">
    <w:name w:val="Footnote|2"/>
    <w:basedOn w:val="Normalny"/>
    <w:link w:val="Footnote2"/>
    <w:pPr>
      <w:shd w:val="clear" w:color="auto" w:fill="FFFFFF"/>
      <w:spacing w:line="122" w:lineRule="exact"/>
    </w:pPr>
    <w:rPr>
      <w:b/>
      <w:bCs/>
      <w:sz w:val="11"/>
      <w:szCs w:val="11"/>
    </w:rPr>
  </w:style>
  <w:style w:type="paragraph" w:customStyle="1" w:styleId="Footnote30">
    <w:name w:val="Footnote|3"/>
    <w:basedOn w:val="Normalny"/>
    <w:link w:val="Footnote3"/>
    <w:pPr>
      <w:shd w:val="clear" w:color="auto" w:fill="FFFFFF"/>
      <w:spacing w:line="112" w:lineRule="exact"/>
    </w:pPr>
    <w:rPr>
      <w:rFonts w:ascii="Arial" w:eastAsia="Arial" w:hAnsi="Arial" w:cs="Arial"/>
      <w:b/>
      <w:bCs/>
      <w:i/>
      <w:iCs/>
      <w:sz w:val="10"/>
      <w:szCs w:val="10"/>
    </w:rPr>
  </w:style>
  <w:style w:type="paragraph" w:customStyle="1" w:styleId="Bodytext30">
    <w:name w:val="Body text|3"/>
    <w:basedOn w:val="Normalny"/>
    <w:link w:val="Bodytext3"/>
    <w:pPr>
      <w:shd w:val="clear" w:color="auto" w:fill="FFFFFF"/>
      <w:spacing w:line="221" w:lineRule="exact"/>
    </w:pPr>
    <w:rPr>
      <w:rFonts w:ascii="Arial" w:eastAsia="Arial" w:hAnsi="Arial" w:cs="Arial"/>
      <w:b/>
      <w:bCs/>
      <w:sz w:val="19"/>
      <w:szCs w:val="19"/>
    </w:rPr>
  </w:style>
  <w:style w:type="paragraph" w:customStyle="1" w:styleId="Bodytext40">
    <w:name w:val="Body text|4"/>
    <w:basedOn w:val="Normalny"/>
    <w:link w:val="Bodytext4"/>
    <w:pPr>
      <w:shd w:val="clear" w:color="auto" w:fill="FFFFFF"/>
      <w:spacing w:after="260" w:line="158" w:lineRule="exact"/>
    </w:pPr>
    <w:rPr>
      <w:rFonts w:ascii="Arial" w:eastAsia="Arial" w:hAnsi="Arial" w:cs="Arial"/>
      <w:sz w:val="14"/>
      <w:szCs w:val="14"/>
    </w:rPr>
  </w:style>
  <w:style w:type="paragraph" w:customStyle="1" w:styleId="Bodytext20">
    <w:name w:val="Body text|2"/>
    <w:basedOn w:val="Normalny"/>
    <w:link w:val="Bodytext2"/>
    <w:qFormat/>
    <w:pPr>
      <w:shd w:val="clear" w:color="auto" w:fill="FFFFFF"/>
      <w:spacing w:before="260" w:after="100" w:line="212" w:lineRule="exact"/>
      <w:ind w:hanging="460"/>
      <w:jc w:val="right"/>
    </w:pPr>
    <w:rPr>
      <w:rFonts w:ascii="Arial" w:eastAsia="Arial" w:hAnsi="Arial" w:cs="Arial"/>
      <w:sz w:val="19"/>
      <w:szCs w:val="19"/>
    </w:rPr>
  </w:style>
  <w:style w:type="paragraph" w:customStyle="1" w:styleId="Headerorfooter10">
    <w:name w:val="Header or footer|1"/>
    <w:basedOn w:val="Normalny"/>
    <w:link w:val="Headerorfooter1"/>
    <w:qFormat/>
    <w:pPr>
      <w:shd w:val="clear" w:color="auto" w:fill="FFFFFF"/>
      <w:spacing w:line="212" w:lineRule="exact"/>
    </w:pPr>
    <w:rPr>
      <w:rFonts w:ascii="Arial" w:eastAsia="Arial" w:hAnsi="Arial" w:cs="Arial"/>
      <w:sz w:val="19"/>
      <w:szCs w:val="19"/>
      <w:lang w:val="ru-RU" w:eastAsia="ru-RU" w:bidi="ru-RU"/>
    </w:rPr>
  </w:style>
  <w:style w:type="paragraph" w:styleId="Nagwek">
    <w:name w:val="header"/>
    <w:basedOn w:val="Normalny"/>
    <w:link w:val="NagwekZnak"/>
    <w:uiPriority w:val="99"/>
    <w:unhideWhenUsed/>
    <w:rsid w:val="00637A9E"/>
    <w:pPr>
      <w:tabs>
        <w:tab w:val="center" w:pos="4536"/>
        <w:tab w:val="right" w:pos="9072"/>
      </w:tabs>
    </w:pPr>
  </w:style>
  <w:style w:type="character" w:customStyle="1" w:styleId="NagwekZnak">
    <w:name w:val="Nagłówek Znak"/>
    <w:basedOn w:val="Domylnaczcionkaakapitu"/>
    <w:link w:val="Nagwek"/>
    <w:uiPriority w:val="99"/>
    <w:rsid w:val="00637A9E"/>
    <w:rPr>
      <w:color w:val="000000"/>
    </w:rPr>
  </w:style>
  <w:style w:type="paragraph" w:styleId="Stopka">
    <w:name w:val="footer"/>
    <w:basedOn w:val="Normalny"/>
    <w:link w:val="StopkaZnak"/>
    <w:uiPriority w:val="99"/>
    <w:unhideWhenUsed/>
    <w:rsid w:val="00637A9E"/>
    <w:pPr>
      <w:tabs>
        <w:tab w:val="center" w:pos="4536"/>
        <w:tab w:val="right" w:pos="9072"/>
      </w:tabs>
    </w:pPr>
  </w:style>
  <w:style w:type="character" w:customStyle="1" w:styleId="StopkaZnak">
    <w:name w:val="Stopka Znak"/>
    <w:basedOn w:val="Domylnaczcionkaakapitu"/>
    <w:link w:val="Stopka"/>
    <w:uiPriority w:val="99"/>
    <w:rsid w:val="00637A9E"/>
    <w:rPr>
      <w:color w:val="000000"/>
    </w:rPr>
  </w:style>
  <w:style w:type="character" w:customStyle="1" w:styleId="Nagwek1Znak">
    <w:name w:val="Nagłówek 1 Znak"/>
    <w:basedOn w:val="Domylnaczcionkaakapitu"/>
    <w:link w:val="Nagwek1"/>
    <w:uiPriority w:val="9"/>
    <w:rsid w:val="00320BC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1788</Words>
  <Characters>10734</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Urzad Miasta</Company>
  <LinksUpToDate>false</LinksUpToDate>
  <CharactersWithSpaces>12498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cp:lastModifiedBy>Nalazek Izabela (KW)</cp:lastModifiedBy>
  <cp:revision>11</cp:revision>
  <dcterms:created xsi:type="dcterms:W3CDTF">2023-10-06T09:11:00Z</dcterms:created>
  <dcterms:modified xsi:type="dcterms:W3CDTF">2024-04-30T10:30:00Z</dcterms:modified>
</cp:coreProperties>
</file>