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A22" w:rsidRPr="003C0A22" w:rsidRDefault="008743BD" w:rsidP="00DB54B6">
      <w:pPr>
        <w:pStyle w:val="Bodytext20"/>
        <w:shd w:val="clear" w:color="auto" w:fill="auto"/>
        <w:spacing w:before="120" w:after="240" w:line="300" w:lineRule="auto"/>
        <w:ind w:left="5664" w:firstLine="284"/>
        <w:contextualSpacing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>Warszawa, 24 lutego 2023 r.</w:t>
      </w:r>
    </w:p>
    <w:p w:rsidR="00074419" w:rsidRPr="003C0A22" w:rsidRDefault="008743BD" w:rsidP="00DB54B6">
      <w:pPr>
        <w:pStyle w:val="Bodytext20"/>
        <w:shd w:val="clear" w:color="auto" w:fill="auto"/>
        <w:spacing w:before="120" w:after="240" w:line="300" w:lineRule="auto"/>
        <w:ind w:left="-284" w:firstLine="284"/>
        <w:contextualSpacing/>
        <w:rPr>
          <w:rFonts w:asciiTheme="minorHAnsi" w:hAnsiTheme="minorHAnsi" w:cstheme="minorHAnsi"/>
          <w:sz w:val="22"/>
          <w:szCs w:val="22"/>
        </w:rPr>
      </w:pPr>
      <w:r w:rsidRPr="003C0A22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Pr="003C0A22">
        <w:rPr>
          <w:rFonts w:asciiTheme="minorHAnsi" w:hAnsiTheme="minorHAnsi" w:cstheme="minorHAnsi"/>
          <w:sz w:val="22"/>
          <w:szCs w:val="22"/>
        </w:rPr>
        <w:t>KW-ZSS.1712.58.2022.TTR</w:t>
      </w:r>
    </w:p>
    <w:p w:rsidR="00074419" w:rsidRPr="003C0A22" w:rsidRDefault="008743BD" w:rsidP="003C0A22">
      <w:pPr>
        <w:pStyle w:val="Bodytext40"/>
        <w:shd w:val="clear" w:color="auto" w:fill="auto"/>
        <w:spacing w:before="240" w:after="680" w:line="300" w:lineRule="auto"/>
        <w:ind w:left="3941"/>
        <w:contextualSpacing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>Pan</w:t>
      </w:r>
    </w:p>
    <w:p w:rsidR="00074419" w:rsidRPr="003C0A22" w:rsidRDefault="008743BD" w:rsidP="003C0A22">
      <w:pPr>
        <w:pStyle w:val="Bodytext40"/>
        <w:shd w:val="clear" w:color="auto" w:fill="auto"/>
        <w:spacing w:before="240" w:after="680" w:line="300" w:lineRule="auto"/>
        <w:ind w:left="3941" w:right="2820"/>
        <w:contextualSpacing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Arkadiusz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Kuranowski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074419" w:rsidRPr="003C0A22" w:rsidRDefault="008743BD" w:rsidP="003C0A22">
      <w:pPr>
        <w:pStyle w:val="Bodytext40"/>
        <w:shd w:val="clear" w:color="auto" w:fill="auto"/>
        <w:spacing w:before="240" w:after="680" w:line="300" w:lineRule="auto"/>
        <w:ind w:left="3941" w:right="1440"/>
        <w:contextualSpacing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>Biura Mienia Miasta i Skarbu Państwa Urz</w:t>
      </w:r>
      <w:bookmarkStart w:id="0" w:name="_GoBack"/>
      <w:bookmarkEnd w:id="0"/>
      <w:r w:rsidRPr="003C0A22">
        <w:rPr>
          <w:rFonts w:asciiTheme="minorHAnsi" w:hAnsiTheme="minorHAnsi" w:cstheme="minorHAnsi"/>
          <w:sz w:val="22"/>
          <w:szCs w:val="22"/>
        </w:rPr>
        <w:t>ędu m.st. Warszawy</w:t>
      </w:r>
    </w:p>
    <w:p w:rsidR="00074419" w:rsidRDefault="008743BD" w:rsidP="003C0A22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C0A22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6C3E19" w:rsidRPr="006C3E19" w:rsidRDefault="006C3E19" w:rsidP="006C3E19"/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3C0A2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3C0A22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m.st. Warszawy (z późn. zm.), w związku kontrolą przeprowadzoną przez Biuro Kontroli Urzędu m.st. Warszawy w Biurze Mienia Miasta i Skarbu Państwa Urzędu m.st. Warszawy (dalej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) od 1 września 2022 r. do 10 listopada 2022 r., dotyczącą realizacji wybranych elementów umów serwisowych systemów informatycznych w roku 2021, której wyniki zostały przedstawione w protokole kontroli podpisanym 30 listopada 2022 r., stosownie do § 39 ust. 1 i 2 zarządzenia Nr </w:t>
      </w:r>
      <w:r w:rsidRPr="003C0A2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3C0A22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(dalej: Zarządzenie), przekazuję Panu niniejsze Wystąpienie pokontrolne.</w:t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Kontrolą objęto realizację i rozliczanie w roku 2021 umowy nr </w:t>
      </w:r>
      <w:r w:rsidRPr="003C0A2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UMIA/BC/B/X/2/2/3/63/20-23 </w:t>
      </w:r>
      <w:r w:rsidRPr="003C0A22">
        <w:rPr>
          <w:rFonts w:asciiTheme="minorHAnsi" w:hAnsiTheme="minorHAnsi" w:cstheme="minorHAnsi"/>
          <w:sz w:val="22"/>
          <w:szCs w:val="22"/>
        </w:rPr>
        <w:t>z dnia 17 lipca 2020 r. na świadczenie usług asysty technicznej, aktualizacji oprogramowania, importu danych i rozwoju sytemu STRATEG (dalej Umowa), w zakresie utrzymania i rozwoju systemu STRATEG oraz importu danych.</w:t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W systemie STRATEG prowadzona jest ewidencja zasobu nieruchomości m.st. Warszawy oraz zasobu nieruchomości Skarbu Państwa, którymi gospodaruje Prezydent m.st. Warszawy. System STRATEG został wdrożony w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>, urzędach dzielnic i wybranych jednostkach organizacyjnych Miasta Stołecznego Warszawy.</w:t>
      </w:r>
      <w:r w:rsidRPr="003C0A22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Umowę, w imieniu Miasta Stołecznego Warszawy, zawarł ówczesny Dyrektor Biura Cyfryzacji Miasta. Właścicielem biznesowym systemu STRATEG jest Dyrektor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, co m.in. oznacza, iż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 odpowiadało za określanie wymagań biznesowych dla tego systemu, tj. określanie i potwierdzanie zmian merytorycznych jakich system wymaga.</w:t>
      </w:r>
      <w:r w:rsidRPr="003C0A22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C0A22">
        <w:rPr>
          <w:rFonts w:asciiTheme="minorHAnsi" w:hAnsiTheme="minorHAnsi" w:cstheme="minorHAnsi"/>
          <w:sz w:val="22"/>
          <w:szCs w:val="22"/>
        </w:rPr>
        <w:t xml:space="preserve"> Natomiast Biuro Cyfryzacji Miasta zapewniało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 niezbędne w tym zakresie wsparcie informatyczne.</w:t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lastRenderedPageBreak/>
        <w:t xml:space="preserve">W trakcie kontroli ustalono, iż pracownicy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 stanowili tzw. pierwszą linię wsparcia dla użytkowników systemu STRATEG. Udzielali użytkownikom niezbędnej pomocy w jego obsłudze, odbierali, analizowali, a w przypadku stwierdzenia konieczności, przekazywali Wykonawcy lub do Biura Cyfryzacji Miasta (obecnie Biuro Informatyki) zgłoszenia dotyczące błędów i propozycje rozwoju systemu. Dokonywali merytorycznych odbiorów zlecanych Wykonawcy zadań rozwojowych systemu. Ponadto zlecali i odbierali pod względem merytorycznym import danych z ewidencji gruntów i budynków do systemu STRATEG. Wskazane powyżej czynności wykonywane były za pośrednictwem poczty elektronicznej.</w:t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>Jednocześnie ustalono, iż w obszarze objętym kontrolą, zlecanie Wykonawcy prac związanych z utrzymaniem i rozwojem sytemu STRATEG oraz dokonywanie odbiorów tych prac, tj. podpisywanie w imieniu Miasta Stołecznego Warszawy protokołów odbioru usług asysty technicznej, w tym importu danych z ewidencji gruntów i budynków oraz formularzy zlecenia i odbioru usług rozwoju systemu, w efekcie których Wykonawca wystawiał faktury obciążające Miasto Stołeczne Warszawę, wykonywane było przez pracowników Biura Cyfryzacji Miasta.</w:t>
      </w:r>
      <w:r w:rsidRPr="003C0A22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</w:p>
    <w:p w:rsidR="00074419" w:rsidRPr="003C0A22" w:rsidRDefault="008743BD" w:rsidP="003C0A22">
      <w:pPr>
        <w:pStyle w:val="Bodytext2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3C0A22">
        <w:rPr>
          <w:rFonts w:asciiTheme="minorHAnsi" w:hAnsiTheme="minorHAnsi" w:cstheme="minorHAnsi"/>
          <w:sz w:val="22"/>
          <w:szCs w:val="22"/>
        </w:rPr>
        <w:t xml:space="preserve">W świetle pozytywnej oceny działalności </w:t>
      </w:r>
      <w:proofErr w:type="spellStart"/>
      <w:r w:rsidRPr="003C0A22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3C0A22">
        <w:rPr>
          <w:rFonts w:asciiTheme="minorHAnsi" w:hAnsiTheme="minorHAnsi" w:cstheme="minorHAnsi"/>
          <w:sz w:val="22"/>
          <w:szCs w:val="22"/>
        </w:rPr>
        <w:t xml:space="preserve"> w kontrolowanym zakresie</w:t>
      </w:r>
      <w:r w:rsidRPr="003C0A2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3C0A22">
        <w:rPr>
          <w:rFonts w:asciiTheme="minorHAnsi" w:hAnsiTheme="minorHAnsi" w:cstheme="minorHAnsi"/>
          <w:sz w:val="22"/>
          <w:szCs w:val="22"/>
        </w:rPr>
        <w:t xml:space="preserve"> oraz niestwierdzeniem nieprawidłowości bądź uchybień odstępuje się od wydania uwag i zaleceń pokontrolnych.</w:t>
      </w:r>
    </w:p>
    <w:p w:rsidR="00DB54B6" w:rsidRPr="00DB54B6" w:rsidRDefault="00DB54B6" w:rsidP="00DB54B6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DB54B6">
        <w:rPr>
          <w:rFonts w:asciiTheme="minorHAnsi" w:hAnsiTheme="minorHAnsi" w:cstheme="minorHAnsi"/>
          <w:color w:val="auto"/>
          <w:sz w:val="22"/>
          <w:szCs w:val="22"/>
          <w:lang w:bidi="ar-SA"/>
        </w:rPr>
        <w:t>Z up. PREZYDENTA MIASTA STOŁECZNEGO WARSZAWAY /-/ Michał Olszewski Zastępca Prezydenta Miasta Stołecznego Warszawy</w:t>
      </w:r>
    </w:p>
    <w:p w:rsidR="00074419" w:rsidRPr="003C0A22" w:rsidRDefault="00074419" w:rsidP="003C0A22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074419" w:rsidRPr="003C0A22" w:rsidSect="00D4263C">
      <w:footerReference w:type="default" r:id="rId6"/>
      <w:headerReference w:type="first" r:id="rId7"/>
      <w:footerReference w:type="first" r:id="rId8"/>
      <w:type w:val="continuous"/>
      <w:pgSz w:w="11900" w:h="16840"/>
      <w:pgMar w:top="1607" w:right="1518" w:bottom="1027" w:left="15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22" w:rsidRDefault="008743BD">
      <w:r>
        <w:separator/>
      </w:r>
    </w:p>
  </w:endnote>
  <w:endnote w:type="continuationSeparator" w:id="0">
    <w:p w:rsidR="00090222" w:rsidRDefault="0087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8559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D4263C" w:rsidRPr="00D4263C" w:rsidRDefault="00D4263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D4263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4263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4263C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D4263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D4263C" w:rsidRDefault="00D42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6021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D4263C" w:rsidRPr="00D4263C" w:rsidRDefault="00D4263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D4263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4263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4263C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D4263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D4263C" w:rsidRDefault="00D42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19" w:rsidRDefault="008743BD">
      <w:r>
        <w:separator/>
      </w:r>
    </w:p>
  </w:footnote>
  <w:footnote w:type="continuationSeparator" w:id="0">
    <w:p w:rsidR="00074419" w:rsidRDefault="008743BD">
      <w:r>
        <w:continuationSeparator/>
      </w:r>
    </w:p>
  </w:footnote>
  <w:footnote w:id="1">
    <w:p w:rsidR="00074419" w:rsidRPr="008741F6" w:rsidRDefault="00512CEC" w:rsidP="000F2EE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8741F6">
        <w:rPr>
          <w:rFonts w:asciiTheme="minorHAnsi" w:hAnsiTheme="minorHAnsi" w:cstheme="minorHAnsi"/>
          <w:sz w:val="22"/>
          <w:szCs w:val="22"/>
          <w:lang w:val="en-US" w:eastAsia="en-US" w:bidi="en-US"/>
        </w:rPr>
        <w:t>1 V</w:t>
      </w:r>
      <w:r w:rsidR="008743BD" w:rsidRPr="008741F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ide </w:t>
      </w:r>
      <w:r w:rsidR="008743BD" w:rsidRPr="008741F6">
        <w:rPr>
          <w:rFonts w:asciiTheme="minorHAnsi" w:hAnsiTheme="minorHAnsi" w:cstheme="minorHAnsi"/>
          <w:sz w:val="22"/>
          <w:szCs w:val="22"/>
        </w:rPr>
        <w:t xml:space="preserve">pismo Dyrektora </w:t>
      </w:r>
      <w:proofErr w:type="spellStart"/>
      <w:r w:rsidR="008743BD" w:rsidRPr="008741F6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="008743BD" w:rsidRPr="008741F6">
        <w:rPr>
          <w:rFonts w:asciiTheme="minorHAnsi" w:hAnsiTheme="minorHAnsi" w:cstheme="minorHAnsi"/>
          <w:sz w:val="22"/>
          <w:szCs w:val="22"/>
        </w:rPr>
        <w:t xml:space="preserve"> z 19 marca 2021 r. znak BM-W0.6871.10.2017.NWA.</w:t>
      </w:r>
    </w:p>
  </w:footnote>
  <w:footnote w:id="2">
    <w:p w:rsidR="00074419" w:rsidRPr="008741F6" w:rsidRDefault="008743BD" w:rsidP="000F2EE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8741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741F6">
        <w:rPr>
          <w:rFonts w:asciiTheme="minorHAnsi" w:hAnsiTheme="minorHAnsi" w:cstheme="minorHAnsi"/>
          <w:sz w:val="22"/>
          <w:szCs w:val="22"/>
        </w:rPr>
        <w:tab/>
      </w:r>
      <w:r w:rsidRPr="008741F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Vide </w:t>
      </w:r>
      <w:r w:rsidRPr="008741F6">
        <w:rPr>
          <w:rFonts w:asciiTheme="minorHAnsi" w:hAnsiTheme="minorHAnsi" w:cstheme="minorHAnsi"/>
          <w:sz w:val="22"/>
          <w:szCs w:val="22"/>
        </w:rPr>
        <w:t>Instrukcja zarządzania systemami informatycznymi w Urzędzie m.st. Warszawy.</w:t>
      </w:r>
    </w:p>
  </w:footnote>
  <w:footnote w:id="3">
    <w:p w:rsidR="00074419" w:rsidRPr="008741F6" w:rsidRDefault="008743BD" w:rsidP="000F2EEC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right="740"/>
        <w:contextualSpacing/>
        <w:rPr>
          <w:rFonts w:asciiTheme="minorHAnsi" w:hAnsiTheme="minorHAnsi" w:cstheme="minorHAnsi"/>
          <w:sz w:val="22"/>
          <w:szCs w:val="22"/>
        </w:rPr>
      </w:pPr>
      <w:r w:rsidRPr="008741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741F6">
        <w:rPr>
          <w:rFonts w:asciiTheme="minorHAnsi" w:hAnsiTheme="minorHAnsi" w:cstheme="minorHAnsi"/>
          <w:sz w:val="22"/>
          <w:szCs w:val="22"/>
        </w:rPr>
        <w:tab/>
        <w:t>Działania Biura Cyfryzacji Miasta w tym zakresie były objęte równolegle prowadzoną kontrolą KW-ZSS. 1712.57.2022.TTR.</w:t>
      </w:r>
    </w:p>
  </w:footnote>
  <w:footnote w:id="4">
    <w:p w:rsidR="00074419" w:rsidRPr="00D4263C" w:rsidRDefault="008743BD" w:rsidP="00D4263C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right="680"/>
        <w:contextualSpacing/>
        <w:rPr>
          <w:rFonts w:asciiTheme="minorHAnsi" w:hAnsiTheme="minorHAnsi" w:cstheme="minorHAnsi"/>
          <w:sz w:val="22"/>
          <w:szCs w:val="22"/>
        </w:rPr>
      </w:pPr>
      <w:r w:rsidRPr="008741F6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8741F6">
        <w:rPr>
          <w:rFonts w:asciiTheme="minorHAnsi" w:hAnsiTheme="minorHAnsi" w:cstheme="minorHAnsi"/>
          <w:sz w:val="22"/>
          <w:szCs w:val="22"/>
        </w:rPr>
        <w:tab/>
        <w:t xml:space="preserve">Do oceny działań </w:t>
      </w:r>
      <w:proofErr w:type="spellStart"/>
      <w:r w:rsidRPr="008741F6">
        <w:rPr>
          <w:rFonts w:asciiTheme="minorHAnsi" w:hAnsiTheme="minorHAnsi" w:cstheme="minorHAnsi"/>
          <w:sz w:val="22"/>
          <w:szCs w:val="22"/>
        </w:rPr>
        <w:t>BMMiSP</w:t>
      </w:r>
      <w:proofErr w:type="spellEnd"/>
      <w:r w:rsidRPr="008741F6">
        <w:rPr>
          <w:rFonts w:asciiTheme="minorHAnsi" w:hAnsiTheme="minorHAnsi" w:cstheme="minorHAnsi"/>
          <w:sz w:val="22"/>
          <w:szCs w:val="22"/>
        </w:rPr>
        <w:t xml:space="preserve"> w obszarze objętym kontrolą zastosowano skalę: ocena pozytywna, ocena pozytywna z zastrzeżeniami, ocena negatywna.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63C" w:rsidRDefault="00D4263C">
    <w:pPr>
      <w:pStyle w:val="Nagwek"/>
    </w:pPr>
    <w:r>
      <w:rPr>
        <w:noProof/>
        <w:lang w:bidi="ar-SA"/>
      </w:rPr>
      <w:drawing>
        <wp:inline distT="0" distB="0" distL="0" distR="0" wp14:anchorId="00AA276D">
          <wp:extent cx="5596890" cy="104838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68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19"/>
    <w:rsid w:val="00074419"/>
    <w:rsid w:val="00090222"/>
    <w:rsid w:val="000F2EEC"/>
    <w:rsid w:val="003C0A22"/>
    <w:rsid w:val="00512CEC"/>
    <w:rsid w:val="006C3E19"/>
    <w:rsid w:val="00780C1E"/>
    <w:rsid w:val="008741F6"/>
    <w:rsid w:val="008743BD"/>
    <w:rsid w:val="00CF0539"/>
    <w:rsid w:val="00D4263C"/>
    <w:rsid w:val="00D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839F24"/>
  <w15:docId w15:val="{F398E91C-A4B5-4B00-8E1F-885F0392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A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ootnote2">
    <w:name w:val="Footnote|2_"/>
    <w:basedOn w:val="Domylnaczcionkaakapitu"/>
    <w:link w:val="Footnote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</w:pPr>
    <w:rPr>
      <w:rFonts w:ascii="Arial" w:eastAsia="Arial" w:hAnsi="Arial" w:cs="Arial"/>
      <w:sz w:val="19"/>
      <w:szCs w:val="19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before="420" w:line="212" w:lineRule="exact"/>
      <w:jc w:val="righ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jc w:val="both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63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26" w:lineRule="exact"/>
    </w:pPr>
    <w:rPr>
      <w:rFonts w:ascii="Arial" w:eastAsia="Arial" w:hAnsi="Arial" w:cs="Arial"/>
      <w:b/>
      <w:bCs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3C0A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B54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4B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B5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4B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00206BFA04F1230316152532</vt:lpstr>
    </vt:vector>
  </TitlesOfParts>
  <Company>Urzad Miasta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13</cp:revision>
  <dcterms:created xsi:type="dcterms:W3CDTF">2023-03-16T07:34:00Z</dcterms:created>
  <dcterms:modified xsi:type="dcterms:W3CDTF">2024-04-30T11:03:00Z</dcterms:modified>
</cp:coreProperties>
</file>