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28D" w:rsidRPr="0055428D" w:rsidRDefault="0055428D" w:rsidP="0055428D">
      <w:pPr>
        <w:pStyle w:val="Nagwek"/>
        <w:spacing w:before="120"/>
        <w:ind w:left="5664"/>
        <w:rPr>
          <w:rFonts w:cstheme="minorHAnsi"/>
          <w:szCs w:val="22"/>
        </w:rPr>
      </w:pPr>
      <w:r w:rsidRPr="0055428D">
        <w:rPr>
          <w:rFonts w:cstheme="minorHAnsi"/>
          <w:szCs w:val="22"/>
        </w:rPr>
        <w:t>Warszawa, 27 grudnia 2022 r.</w:t>
      </w:r>
    </w:p>
    <w:p w:rsidR="0055428D" w:rsidRPr="0055428D" w:rsidRDefault="0055428D" w:rsidP="0055428D">
      <w:pPr>
        <w:pStyle w:val="Nagwek"/>
        <w:spacing w:before="120"/>
        <w:rPr>
          <w:rFonts w:cstheme="minorHAnsi"/>
          <w:szCs w:val="22"/>
        </w:rPr>
      </w:pPr>
      <w:r w:rsidRPr="0055428D">
        <w:rPr>
          <w:b/>
        </w:rPr>
        <w:t>Znak sprawy:</w:t>
      </w:r>
      <w:r>
        <w:t xml:space="preserve"> </w:t>
      </w:r>
      <w:r w:rsidR="003A0B33" w:rsidRPr="0055428D">
        <w:rPr>
          <w:rFonts w:cstheme="minorHAnsi"/>
          <w:szCs w:val="22"/>
        </w:rPr>
        <w:t>KW-WP.1712.50.2022.AMR</w:t>
      </w:r>
    </w:p>
    <w:p w:rsidR="0055428D" w:rsidRDefault="0055428D" w:rsidP="0055428D">
      <w:pPr>
        <w:pStyle w:val="Bodytext40"/>
        <w:shd w:val="clear" w:color="auto" w:fill="auto"/>
        <w:spacing w:before="240" w:after="680" w:line="300" w:lineRule="auto"/>
        <w:ind w:left="5664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Pan </w:t>
      </w:r>
    </w:p>
    <w:p w:rsidR="003A0B33" w:rsidRPr="0055428D" w:rsidRDefault="00B76499" w:rsidP="0055428D">
      <w:pPr>
        <w:pStyle w:val="Bodytext40"/>
        <w:shd w:val="clear" w:color="auto" w:fill="auto"/>
        <w:spacing w:before="240" w:after="680" w:line="300" w:lineRule="auto"/>
        <w:ind w:left="5664"/>
        <w:contextualSpacing/>
        <w:rPr>
          <w:rFonts w:asciiTheme="minorHAnsi" w:hAnsiTheme="minorHAnsi" w:cstheme="minorHAnsi"/>
          <w:sz w:val="22"/>
          <w:szCs w:val="22"/>
        </w:rPr>
      </w:pPr>
      <w:r w:rsidRPr="0055428D">
        <w:rPr>
          <w:rFonts w:asciiTheme="minorHAnsi" w:hAnsiTheme="minorHAnsi" w:cstheme="minorHAnsi"/>
          <w:sz w:val="22"/>
          <w:szCs w:val="22"/>
        </w:rPr>
        <w:t xml:space="preserve">Ludwik Rakowski </w:t>
      </w:r>
    </w:p>
    <w:p w:rsidR="00AF1004" w:rsidRPr="0055428D" w:rsidRDefault="00B76499" w:rsidP="0055428D">
      <w:pPr>
        <w:pStyle w:val="Bodytext40"/>
        <w:shd w:val="clear" w:color="auto" w:fill="auto"/>
        <w:spacing w:before="240" w:after="680" w:line="300" w:lineRule="auto"/>
        <w:ind w:left="5664"/>
        <w:contextualSpacing/>
        <w:rPr>
          <w:rFonts w:asciiTheme="minorHAnsi" w:hAnsiTheme="minorHAnsi" w:cstheme="minorHAnsi"/>
          <w:sz w:val="22"/>
          <w:szCs w:val="22"/>
        </w:rPr>
      </w:pPr>
      <w:r w:rsidRPr="0055428D">
        <w:rPr>
          <w:rFonts w:asciiTheme="minorHAnsi" w:hAnsiTheme="minorHAnsi" w:cstheme="minorHAnsi"/>
          <w:sz w:val="22"/>
          <w:szCs w:val="22"/>
        </w:rPr>
        <w:t>Burmistrz</w:t>
      </w:r>
    </w:p>
    <w:p w:rsidR="00AF1004" w:rsidRPr="0055428D" w:rsidRDefault="00B76499" w:rsidP="0055428D">
      <w:pPr>
        <w:pStyle w:val="Bodytext40"/>
        <w:shd w:val="clear" w:color="auto" w:fill="auto"/>
        <w:spacing w:before="240" w:after="680" w:line="300" w:lineRule="auto"/>
        <w:ind w:left="5664"/>
        <w:contextualSpacing/>
        <w:rPr>
          <w:rFonts w:asciiTheme="minorHAnsi" w:hAnsiTheme="minorHAnsi" w:cstheme="minorHAnsi"/>
          <w:sz w:val="22"/>
          <w:szCs w:val="22"/>
        </w:rPr>
      </w:pPr>
      <w:r w:rsidRPr="0055428D">
        <w:rPr>
          <w:rFonts w:asciiTheme="minorHAnsi" w:hAnsiTheme="minorHAnsi" w:cstheme="minorHAnsi"/>
          <w:sz w:val="22"/>
          <w:szCs w:val="22"/>
        </w:rPr>
        <w:t>Dzielnicy Wilanów m.st. Warszawy</w:t>
      </w:r>
    </w:p>
    <w:p w:rsidR="00AF1004" w:rsidRDefault="00B76499" w:rsidP="0055428D">
      <w:pPr>
        <w:pStyle w:val="Nagwek1"/>
        <w:ind w:left="3540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5428D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55428D" w:rsidRPr="0055428D" w:rsidRDefault="0055428D" w:rsidP="0055428D"/>
    <w:p w:rsidR="00AF1004" w:rsidRPr="0055428D" w:rsidRDefault="00B76499" w:rsidP="0055428D">
      <w:pPr>
        <w:pStyle w:val="Bodytext20"/>
        <w:shd w:val="clear" w:color="auto" w:fill="auto"/>
        <w:tabs>
          <w:tab w:val="left" w:pos="7944"/>
        </w:tabs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Na podstawie § 22 ust. 10 Regulaminu organizacyjnego Urzędu miasta stołecznego Warszawy, stanowiącego załącznik do zarządzenia Nr </w:t>
      </w:r>
      <w:r w:rsidRPr="0055428D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312/2007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>Prezydenta miasta stołecznego Warszawy z dnia 4 kwietnia 2007 r. w sprawie nadania regulaminu organizacyjnego Urzędu miasta stołecznego Warszawy (z późn. zm.), w związku kontrolą przeprowadzoną przez Biuro Kontroli Urzędu m.st. Warszawy w Urzędzie Dzielnicy Wilanów m.st. Warszawy w okresie od 4.08.2022 r. do 31.08.2022 r., w zakresie prawidłowości wydawania decyzji o pozwoleniu na budowę w zakresie zgodności projektu budowlanego z ustaleniami obowiązującego miejscowego planu zagospodarowania przestrzennego rejonu Wilanowa Wschodniego Niskiego w okresie od 1.01.2017 r. do chwili obecnej oraz prawidłowości przeprowadzonego postępowania w sprawie zgłoszenia zamiaru wykonania wewnętrznej instalacji gazu w budynku przy ul.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ab/>
        <w:t>, której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wyniki zostały przedstawione w protokole kontroli podpisanym 7.09.2022 r., stosownie do § 32 ust. 5 Zarządzenia nr </w:t>
      </w:r>
      <w:r w:rsidRPr="0055428D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1837/2019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Prezydenta miasta stołecznego Warszawy z dnia 12 grudnia 2019 </w:t>
      </w:r>
      <w:r w:rsidRPr="0055428D">
        <w:rPr>
          <w:rStyle w:val="Bodytext29pt"/>
          <w:rFonts w:asciiTheme="minorHAnsi" w:hAnsiTheme="minorHAnsi" w:cstheme="minorHAnsi"/>
          <w:b/>
          <w:bCs/>
          <w:sz w:val="22"/>
          <w:szCs w:val="22"/>
        </w:rPr>
        <w:t xml:space="preserve">r.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w sprawie zasad i trybu postępowania kontrolnego (zwanego dalej: Zarządzeniem), przekazuję Panu niniejsze wystąpienie pokontrolne uwzględniające zmianę stanu prawnego po wydaniu 7 października 2022 </w:t>
      </w:r>
      <w:r w:rsidRPr="0055428D">
        <w:rPr>
          <w:rStyle w:val="Bodytext29pt"/>
          <w:rFonts w:asciiTheme="minorHAnsi" w:hAnsiTheme="minorHAnsi" w:cstheme="minorHAnsi"/>
          <w:b/>
          <w:bCs/>
          <w:sz w:val="22"/>
          <w:szCs w:val="22"/>
        </w:rPr>
        <w:t xml:space="preserve">r.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>przez Głównego Inspektora Nadzoru Budowlanego decyzji uchylającej w całości decyzję Wojewody Mazowieckiego Nr 554/OPON/2022 i odmawiającej stwierdzenia nieważności decyzji Prezydenta m.st. Warszawy Nr84/WIL/21.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Stwierdzono, że w okresie od 1.01.2017 roku do 02.08.2022 roku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1"/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w wyniku przeprowadzonych postępowań administracyjnych wydano 45 decyzji o pozwoleniu na budowę dla inwestycji położonych na terenie obowiązującego miejscowego planu zagospodarowania przestrzennego rejonu Wilanowa Wschodniego Niskiego (dalej: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), przyjętego przez Radę Gminy Warszawa-Wilanów uchwałą nr 883 z dnia 12 września 2002 r. w sprawie uchwalenia miejscowego planu zagospodarowania przestrzennego rejonu Wilanowa Wschodniego Niskiego (Dz. Urz. Woj.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Mazow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.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lastRenderedPageBreak/>
        <w:t>z 2002 r. Nr 289, poz. 7601.), która weszła w życie z dniem 23 listopada 2002 r.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Sprawdzeniem objęto 20 projektów budowlanych zatwierdzonych decyzjami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2"/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o pozwoleniu na budowę, w zakresie ich zgodności z ww.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, w tym: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llprojektów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3"/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55428D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>budynków jednorodzinnych, 8 projektów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4"/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55428D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>budynków wielorodzinnych oraz 1 projekt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5"/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55428D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>budynku usługowego.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Zgodnie z Rozdziałem 2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„Przeznaczenie i zasady zagospodarowania terenu", na obszarze objętym planem ustalono 3 strefy zagospodarowania:</w:t>
      </w:r>
    </w:p>
    <w:p w:rsidR="00AF1004" w:rsidRPr="0055428D" w:rsidRDefault="00B76499" w:rsidP="0055428D">
      <w:pPr>
        <w:pStyle w:val="Bodytext20"/>
        <w:numPr>
          <w:ilvl w:val="0"/>
          <w:numId w:val="1"/>
        </w:numPr>
        <w:shd w:val="clear" w:color="auto" w:fill="auto"/>
        <w:tabs>
          <w:tab w:val="left" w:pos="804"/>
        </w:tabs>
        <w:spacing w:before="120" w:after="240" w:line="300" w:lineRule="auto"/>
        <w:ind w:left="800" w:hanging="34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strefa I tereny przy skrzyżowaniu ulic Wiertniczej i Augustówki oraz tereny w paśmie przyulicznym ulicy Wiertniczej; jednostki urbanistyczne: od nr 1 do nr 10,</w:t>
      </w:r>
    </w:p>
    <w:p w:rsidR="00AF1004" w:rsidRPr="0055428D" w:rsidRDefault="00B76499" w:rsidP="0055428D">
      <w:pPr>
        <w:pStyle w:val="Bodytext20"/>
        <w:numPr>
          <w:ilvl w:val="0"/>
          <w:numId w:val="1"/>
        </w:numPr>
        <w:shd w:val="clear" w:color="auto" w:fill="auto"/>
        <w:tabs>
          <w:tab w:val="left" w:pos="804"/>
        </w:tabs>
        <w:spacing w:before="120" w:after="240" w:line="300" w:lineRule="auto"/>
        <w:ind w:left="800" w:hanging="34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strefa II tereny przyległe do granicy Warszawskiego Obszaru Chronionego Krajobrazu i obszaru "O" planu ogólnego Warszawy, w tym zabudowa jednorodzinna wschodniego pasma ulicy Biedronki do ulicy Łuczniczej oraz ulic Sielanki i Łuczniczej; jednostki urbanistyczne: od nr 11 do nr 20,</w:t>
      </w:r>
    </w:p>
    <w:p w:rsidR="00AF1004" w:rsidRPr="0055428D" w:rsidRDefault="00B76499" w:rsidP="0055428D">
      <w:pPr>
        <w:pStyle w:val="Bodytext20"/>
        <w:numPr>
          <w:ilvl w:val="0"/>
          <w:numId w:val="1"/>
        </w:numPr>
        <w:shd w:val="clear" w:color="auto" w:fill="auto"/>
        <w:tabs>
          <w:tab w:val="left" w:pos="804"/>
        </w:tabs>
        <w:spacing w:before="120" w:after="240" w:line="300" w:lineRule="auto"/>
        <w:ind w:left="800" w:hanging="34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strefa III pozostałe tereny mieszkalnictwa zabudowy jednorodzinnej; jednostki urbanistyczne: od nr 21 do nr 48.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Objęte kontrolą projekty budowlane jw. dotyczyły budynków zlokalizowanych we wszystkich 3 strefach zagospodarowania, w tym w I strefie - 3 przypadki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6"/>
      </w:r>
      <w:r w:rsidRPr="0055428D">
        <w:rPr>
          <w:rFonts w:asciiTheme="minorHAnsi" w:hAnsiTheme="minorHAnsi" w:cstheme="minorHAnsi"/>
          <w:b w:val="0"/>
          <w:sz w:val="22"/>
          <w:szCs w:val="22"/>
        </w:rPr>
        <w:t>, w II strefie - 2 przypadki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7"/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oraz w III strefie -15 przypadków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8"/>
      </w:r>
      <w:r w:rsidRPr="0055428D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AF1004" w:rsidRPr="0055428D" w:rsidRDefault="00B76499" w:rsidP="0055428D">
      <w:pPr>
        <w:pStyle w:val="Bodytext20"/>
        <w:shd w:val="clear" w:color="auto" w:fill="auto"/>
        <w:tabs>
          <w:tab w:val="left" w:pos="2069"/>
        </w:tabs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W toku kontroli ustalono, że postępowanie zakończone decyzją Nr 184/WIL/21 o pozwoleniu na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lastRenderedPageBreak/>
        <w:t>budowę budynku mieszkalnego wielorodzinnego zwanego w miejscowym planie zagospodarowania przestrzennego budynkiem jednorodzinnym zawierającym nie więcej niż 4 mieszkania przy ul.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ab/>
        <w:t>w Warszawie poddane zostało kontroli instancyjnej przeprowadzonej w trybie nadzwyczajnym. Na etapie zakończenia czynności kontrolnych, zakwestionowana decyzja Wojewody Mazowieckiego nr 554/OPON/2022 z 15.06.2022 r. o</w:t>
      </w:r>
      <w:r w:rsidRPr="0055428D">
        <w:rPr>
          <w:rFonts w:asciiTheme="minorHAnsi" w:hAnsiTheme="minorHAnsi" w:cstheme="minorHAnsi"/>
          <w:sz w:val="22"/>
          <w:szCs w:val="22"/>
        </w:rPr>
        <w:t xml:space="preserve">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>stwierdzeniu nieważności decyzji Prezydenta m.st. Warszawy nr 184/WIL/21 o pozwoleniu na budowę ww. inwestycji była przedmiotem postępowania prowadzonego przed Głównym Inspektorem Nadzoru Budowlanego (dalej: GINB), skutkiem czego odstąpiono od oceny w tym przedmiocie.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Na etapie postępowania pokontrolnego z-ca Burmistrza p. Bartosz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Wiśniakowski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pismem z 4.11.2022 r. przesłał do Biura Kontroli rozstrzygnięcie GINB z 7 października 2022 r., znak sprawy: DOA.7110.216.2022.KKA, w którym organ ten uchylił zaskarżoną decyzję Wojewody Mazowieckiego w całości i odmówił stwierdzenia nieważności decyzji Prezydenta m.st. Warszawy nr 184/WIL/21.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400" w:hanging="40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Sprawdzenie pozostałych 19 projektów budowlanych wykazało, że:</w:t>
      </w:r>
    </w:p>
    <w:p w:rsidR="00AF1004" w:rsidRPr="0055428D" w:rsidRDefault="00B76499" w:rsidP="0055428D">
      <w:pPr>
        <w:pStyle w:val="Bodytext20"/>
        <w:numPr>
          <w:ilvl w:val="0"/>
          <w:numId w:val="2"/>
        </w:numPr>
        <w:shd w:val="clear" w:color="auto" w:fill="auto"/>
        <w:tabs>
          <w:tab w:val="left" w:pos="235"/>
        </w:tabs>
        <w:spacing w:before="120" w:after="240" w:line="300" w:lineRule="auto"/>
        <w:ind w:left="400" w:hanging="40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Wydano 8 decyzji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9"/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o pozwoleniu na budowę pomimo, że przyjęte rozwiązania projektowe pozostawały w niezgodności z zapisami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, czym naruszono </w:t>
      </w:r>
      <w:r w:rsidRPr="0055428D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art.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>35 ust. 1 pkt 1 Prawa budowlanego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10"/>
      </w:r>
      <w:r w:rsidRPr="0055428D">
        <w:rPr>
          <w:rFonts w:asciiTheme="minorHAnsi" w:hAnsiTheme="minorHAnsi" w:cstheme="minorHAnsi"/>
          <w:b w:val="0"/>
          <w:sz w:val="22"/>
          <w:szCs w:val="22"/>
        </w:rPr>
        <w:t>, tj.: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740" w:hanging="34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1. W 4 przypadkach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11"/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zatwierdzono projekt budowlany, w którym nad częścią budynku zaprojektowano dach płaski, co było sprzeczne z § 8 pkt 3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zawierającym wymóg realizacji dachów „o spadku 30°-60°".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74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Kierownik Referatu Administracji Architektoniczno-Budowlanej w Wydziale Architektury i Budownictwa dla Dzielnicy Wilanów Urzędu m.st. Warszawy Pani Justyna Wasilewska (dalej: Kierownik Referatu) wyjaśniła, że nad częścią budynku zaprojektowany został dach o spadku 30° zaś nad częścią taras, który nie stanowił dachu płaskiego a pełnił funkcję użytkową.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74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Jednakże, powyższe stwierdzenie, że na części budynku zamiast dachu zaprojektowano taras, pozostaje w oczywistej sprzeczności z definicją budynku zawartą w </w:t>
      </w:r>
      <w:r w:rsidRPr="0055428D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art.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3 pkt 2 Prawa budowlanego przyjętą przez Ustawodawcę, iż przez budynek należy rozumieć taki obiekt budowlany, który m.in. </w:t>
      </w:r>
      <w:r w:rsidRPr="0055428D">
        <w:rPr>
          <w:rStyle w:val="Bodytext21"/>
          <w:rFonts w:asciiTheme="minorHAnsi" w:hAnsiTheme="minorHAnsi" w:cstheme="minorHAnsi"/>
          <w:bCs/>
          <w:sz w:val="22"/>
          <w:szCs w:val="22"/>
          <w:u w:val="none"/>
        </w:rPr>
        <w:t>posiada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fundamenty i </w:t>
      </w:r>
      <w:r w:rsidRPr="0055428D">
        <w:rPr>
          <w:rStyle w:val="Bodytext21"/>
          <w:rFonts w:asciiTheme="minorHAnsi" w:hAnsiTheme="minorHAnsi" w:cstheme="minorHAnsi"/>
          <w:bCs/>
          <w:sz w:val="22"/>
          <w:szCs w:val="22"/>
          <w:u w:val="none"/>
        </w:rPr>
        <w:t>dach</w:t>
      </w:r>
      <w:r w:rsidRPr="0055428D">
        <w:rPr>
          <w:rStyle w:val="Bodytext21"/>
          <w:rFonts w:asciiTheme="minorHAnsi" w:hAnsiTheme="minorHAnsi" w:cstheme="minorHAnsi"/>
          <w:b/>
          <w:bCs/>
          <w:sz w:val="22"/>
          <w:szCs w:val="22"/>
        </w:rPr>
        <w:t>.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Tym bardziej, że zaprojektowanie tarasu było możliwe wyłącznie na dachu płaskim z małym kątem nachylenia, który w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lastRenderedPageBreak/>
        <w:t>literaturze i piśmiennictwie branżowym określany jest stropodachem. Dodatkowo, w terminologii budowlanej przyjmuje się, że taras stanowi pewną odmianę stropodachu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12"/>
      </w:r>
      <w:r w:rsidRPr="0055428D">
        <w:rPr>
          <w:rFonts w:asciiTheme="minorHAnsi" w:hAnsiTheme="minorHAnsi" w:cstheme="minorHAnsi"/>
          <w:b w:val="0"/>
          <w:sz w:val="22"/>
          <w:szCs w:val="22"/>
        </w:rPr>
        <w:t>, tj. przegrody zamykającej budynek od góry i spełniającej jednocześnie rolę stropu i dachu pod względem konstrukcyjnym i funkcjonalnym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13"/>
      </w:r>
      <w:r w:rsidRPr="0055428D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74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Wprawdzie w przepisach prawa brak jest definicji legalnej zarówno tarasu jak i stropodachu, lecz w literaturze, taras definiuje się jako powierzchnię poziomą umiejscowioną na wysokości parteru ale także na piętrze lub na dachu (stropodach) i wówczas ogrodzoną balustradą. We wszystkich omawianych przypadkach, na dachu zaprojektowanego budynku znajdowała się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84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powierzchnia pozioma ogrodzona balustradą i spełniająca rolę dachu wykorzystywanego jako taras, co winno skutkować uznaniem jej za stropodach.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84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Literatura branżowa wskazuje, że stropodach, to strop nad ostatnią kondygnacją budynku spełniający rolę dachu płaskiego. W zależności od rodzaju materiału użytego do pokrycia dachu kąt nachylenia stropodachu waha się od 1° do 20°. Cechą charakterystyczną takiego rozwiązania jest brak poddasza.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84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Wobec powyższego, w ww. przypadkach, dachy projektowanych budynków z zaplanowanymi tarasami w rzeczywistości były stropodachami, co stanowi o nie spełnieniu ustalonego w § 8 pkt 3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wymogu realizacji budynków z dachami o „spadku 30°-60°", tym samym umiejscowienie tarasu na dachu budynku również było sprzeczne z § 8 pkt 3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84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Ponadto jak wynika z przytoczonej definicji stropodachu - budynek z takim dachem nie posiada poddasza. Zatem warunek § 8 pkt 3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zaprojektowania trzeciej kondygnacji w poddaszu również nie został spełniony.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84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Zauważyć trzeba, że obydwa organy wyższych instancji (Wojewoda Mazowiecki i GINB) w swoich rozstrzygnięciach uznały, że poprzez zaprojektowanie tarasu (który stanowi dach płaski) doszło do naruszenia § 8 pkt 3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>, które w uzasadnieniu wydanej decyzji GINB nie zostało ocenione jako rażące. Jednak celem kontroli jest przedstawienie zaleceń mających na celu wyeliminowanie każdego naruszenia prawa.</w:t>
      </w:r>
    </w:p>
    <w:p w:rsidR="00AF1004" w:rsidRPr="0055428D" w:rsidRDefault="00B76499" w:rsidP="0055428D">
      <w:pPr>
        <w:pStyle w:val="Bodytext20"/>
        <w:numPr>
          <w:ilvl w:val="0"/>
          <w:numId w:val="3"/>
        </w:numPr>
        <w:shd w:val="clear" w:color="auto" w:fill="auto"/>
        <w:tabs>
          <w:tab w:val="left" w:pos="741"/>
        </w:tabs>
        <w:spacing w:before="120" w:after="240" w:line="300" w:lineRule="auto"/>
        <w:ind w:left="700" w:right="200" w:hanging="30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W 2 przypadkach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14"/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zatwierdzono projekt budowlany, w którym zaprojektowano usytuowanie budynku niezgodnie z obowiązującą linią zabudowy, tj. z naruszeniem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lastRenderedPageBreak/>
        <w:t xml:space="preserve">ustaleń Rysunku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w tym zakresie.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70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W tej kwestii. Kierownik Referatu wskazała m.in., że „powodem braku nałożenia obowiązku określenia linii zabudowy zgodnej z zapisami planu był odwrotny opis linii zabudowy w legendzie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(linia nieprzekraczalna oznaczona jest linią z pełnymi trójkątami a linia obowiązująca linią z niewypełnionymi trójkątami odwrotnie niż to reguluje Polska Normie PN- B-01027)".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70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Jednakże taka praktyka nie ma oparcia w przepisach prawa. Niedopuszczalne było przyjęcie przez organ przy wydawaniu decyzji o pozwoleniu na budowę, że linie zabudowy zostały odwrotnie opisane w legendzie do rysunku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. Dla porządku należy również wyjaśnić, że ww. Polska Norma PN-B-01027 nie dotyczy oznaczeń graficznych stosowanych w sporządzanych rysunkach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lecz w projektach zagospodarowania działki lub terenu.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70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Należy podkreślić, że treść aktu prawa miejscowego wiąże organy je stosujące. W tym przypadku organ administracji architektoniczno-budowlanej nie był uprawniony do kwestionowania powszechnie obowiązujących przepisów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rejonu Wilanowa Wschodniego Niskiego, które składają się z części tekstowej (podjęta uchwała) oraz graficznej - Rysunek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>. Wszelkie zmiany</w:t>
      </w:r>
      <w:r w:rsidRPr="0055428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winny być przeprowadzone procedurą analogiczną jak sporządzenie i uchwalenie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70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Zwraca też uwagę fakt, że nie zachowywano jednolitości w stosowaniu ustaleń ww.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w omawianym zakresie. Wśród zbadanych przypadków, tylko w części z nich organ uznawał że w legendzie planu nieprawidłowo/odwrotnie opisano linie zabudowy, tzn. linie nieprzekraczalne powinny być liniami obowiązującymi, a obowiązujące nieprzekraczalnymi a w części przypadków uznawał, że te same linie zostały nazwane prawidłowo. Dla przykładu, w postępowaniu zakończonym decyzją nr 277/WIL/20 organ uznał, że linia zabudowy nazwana w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obowiązującą, jest linią nieprzekraczalną i zatwierdził projekt zagospodarowania działki, na którym projektowany budynek nie przylegał do ww. linii, natomiast w 3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przypadkach^organ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dopuścił usytuowanie budynku nieprzylegającego do linii zabudowy nazwanej w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nieprzekraczalną choć wg wcześniejszych wyjaśnień organu, powinna ona stanowić linię obowiązującą a więc budynek powinien przylegać do tej linii na całej swojej szerokości.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70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Dodatkowo, w odniesieniu do omawianej kwestii. Kierownik Referatu poinformowała, że: „Odwrotne do obowiązującego oznaczenie linii zabudowy widnieje w konsekwencji również na serwisie mapowym Urzędu m.st. Warszawy </w:t>
      </w:r>
      <w:r w:rsidRPr="0055428D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(mapa.um.warszawa.pl).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Wprowadza to chaos i zamieszanie nie tylko wśród projektantów sporządzających projekty, ale i wśród urzędników, stale znacznie obciążonych ilością prowadzonych spraw. Nie bez znaczenia jest brak działania, bądź bardzo opieszałe działanie Biura Architektury i Planowania Przestrzennego zmierzające do aktualizacji i poprawy miejscowych planów zagospodarowania przestrzennego (jeśli w ogóle podejmowane, trwające często nawet 15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lastRenderedPageBreak/>
        <w:t>lat). Przedstawiona sytuacja powoduje trudności w rozpatrywaniu wniosków o pozwolenie na budowę i konieczność stosowania interpretacji zapisów planu, które powinien być sformułowane jednoznacznie, w sposób nie budzący wątpliwości".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70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Stwierdzić należy, że pomimo opisanych trudności jw. oraz wskazania negatywnych konsekwencji błędnie zamieszczonych danych na stronie internetowej Urzędu m.st.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70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Warszawy - serwis mapowy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15"/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t xml:space="preserve"> 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16"/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55428D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rejonu Wilanowa Wschodniego Niskiego, nie przedstawiono żadnych dokumentów potwierdzających zgłaszanie do Biura Architektury i Planowania Przestrzennego (dalej: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BAiPP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) powyższego problemu. W związku z tym Biuro Kontroli zwróciło się do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BAiPP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o podjęcie działań naprawczych skutkujących doprowadzeniem do zgodności m.in. z rysunkiem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70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Dyrektor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BAiPP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Pani Marlena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  <w:lang w:val="de-DE" w:eastAsia="de-DE" w:bidi="de-DE"/>
        </w:rPr>
        <w:t>Happach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  <w:lang w:val="de-DE" w:eastAsia="de-DE" w:bidi="de-DE"/>
        </w:rPr>
        <w:t xml:space="preserve">,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w piśmie z dnia 12.09.2022 r., zadeklarowała, że „(...) Wskazane błędy w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rejonu Wilanowa Wschodniego Niskiego zostaną poprawione w bazie danych. Poprawne dane będą widoczne w serwisie mapowym po kolejnej comiesięcznej aktualizacji danych, tj. na początku kolejnego miesiąca". Jednocześnie wskazała, że: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70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„zwracamy uwagę użytkowników danych na to, że dane wektorowe w serwisie nie mogą być traktowane jako podstawa czynności administracyjnych i sądowych. W obecnym stanie prawnym podstawą do takich czynności jest tekst i rysunek planu, a nie dane wytworzone na ich podstawie. Informacja taka jest wyświetlana przy uruchomieniu serwisu mapowego. (...)".</w:t>
      </w:r>
    </w:p>
    <w:p w:rsidR="00AF1004" w:rsidRPr="0055428D" w:rsidRDefault="00B76499" w:rsidP="0055428D">
      <w:pPr>
        <w:pStyle w:val="Bodytext20"/>
        <w:numPr>
          <w:ilvl w:val="0"/>
          <w:numId w:val="3"/>
        </w:numPr>
        <w:shd w:val="clear" w:color="auto" w:fill="auto"/>
        <w:tabs>
          <w:tab w:val="left" w:pos="739"/>
        </w:tabs>
        <w:spacing w:before="120" w:after="240" w:line="300" w:lineRule="auto"/>
        <w:ind w:left="740" w:hanging="28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W 2 przypadkach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17"/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zatwierdzono projekt budowlany z naruszeniem nakazu zawartego w § 8 pkt 3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, gdyż rzeczywisty wskaźnik powierzchni biologicznie czynnej dla projektowanych inwestycji był mniejszy niż 50 %. W tych przypadkach nieprawidłowo określono powierzchnię biologicznie czynną wliczając do niej powierzchnię terenu pod tarasami, pomimo że wg definicji ujętej w § 5 pkt 9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>: powierzchnia biologicznie czynna to część działki budowlanej na gruncie rodzimym, która pozostaje niezabudowana powierzchniowo lub kubaturowo w głąb gruntu, na nim oraz nad nim; nie stanowiąca nawierzchni dojazdów i dojść pieszych, pokryta trwałą roślinnością.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74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W projekcie budowlanym zatwierdzonym decyzją Nr 277/WIL/20 wskaźnik powierzchni biologicznie czynnej - będący ilorazem powierzchni biologicznie czynnej i powierzchni działki - został określony jako minimalny, tj. 50 % a więc pomniejszenie powierzchni biologicznie czynnej o powierzchnie znajdujące się pod tarasami w sposób oczywisty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lastRenderedPageBreak/>
        <w:t>pomniejszy wskaźnik poniżej minimalnego.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74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W projekcie zatwierdzonym decyzją Nr 66/WIL/20 wyliczona powierzchnia biologicznie czynna wynosiła 432,6 m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>, jednakże jak wynikało z projektu zagospodarowania działki oraz rysunków rzutów kondygnacji, wliczona do niej powierzchnia pod tarasami, to ok. 42 m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>. Wskaźnik powierzchni biologicznie czynnej przy uwzględnieniu pomniejszenia tej powierzchni do 390,6 m2 wynosił 46 % a więc był mniejszy od wymaganego.</w:t>
      </w:r>
    </w:p>
    <w:p w:rsidR="00AF1004" w:rsidRPr="0055428D" w:rsidRDefault="00B76499" w:rsidP="0055428D">
      <w:pPr>
        <w:pStyle w:val="Bodytext20"/>
        <w:numPr>
          <w:ilvl w:val="0"/>
          <w:numId w:val="3"/>
        </w:numPr>
        <w:shd w:val="clear" w:color="auto" w:fill="auto"/>
        <w:tabs>
          <w:tab w:val="left" w:pos="727"/>
        </w:tabs>
        <w:spacing w:before="120" w:after="240" w:line="300" w:lineRule="auto"/>
        <w:ind w:left="740" w:hanging="38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W 2 przypadkach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18"/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zatwierdzono projekt budowlany z naruszeniem nakazu zawartego w § 8 pkt 3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55428D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>minimalnej wielkości działki - 450 m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>, ponieważ teren inwestycji stanowiły działki budowlane o mniejszej powierzchni, tj. 288 m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i 325 m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74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Co prawda Kierownik Referatu wyjaśniła, że obie działki istniały już przed wejściem w życie planu, który został uchwalony w 2002 r. oraz że zgodnie z § 9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ustala się wielkość nowo tworzonej działki na min. 450 m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, to jednak przepis § 8 pkt 3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ustalił zasady zagospodarowania całego terenu objętego planem bez zastosowania wyłączenia istniejących działek nie spełniających kryteriów powierzchni określonych w tym przepisie.</w:t>
      </w:r>
    </w:p>
    <w:p w:rsidR="00AF1004" w:rsidRPr="0055428D" w:rsidRDefault="00B76499" w:rsidP="0055428D">
      <w:pPr>
        <w:pStyle w:val="Bodytext20"/>
        <w:numPr>
          <w:ilvl w:val="0"/>
          <w:numId w:val="3"/>
        </w:numPr>
        <w:shd w:val="clear" w:color="auto" w:fill="auto"/>
        <w:tabs>
          <w:tab w:val="left" w:pos="727"/>
        </w:tabs>
        <w:spacing w:before="120" w:after="240" w:line="300" w:lineRule="auto"/>
        <w:ind w:left="740" w:hanging="38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Zatwierdzenie projektu budowlanego decyzją nr 359/WIL/17 nastąpiło z naruszeniem § 18 ust. 6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>, ponieważ zaprojektowano odprowadzenie wód opadowych do kanalizacji ogólnospławnej w ul. Ostrej, pomimo że ww. przepis nakazywał powierzchniowe odwodnienie powierzchni utwardzonych i ograniczenie odwodnienia kanałowego jedynie do ul. Wiertniczej.</w:t>
      </w:r>
    </w:p>
    <w:p w:rsidR="00AF1004" w:rsidRPr="000C38A6" w:rsidRDefault="00B76499" w:rsidP="000C38A6">
      <w:pPr>
        <w:pStyle w:val="Bodytext20"/>
        <w:numPr>
          <w:ilvl w:val="0"/>
          <w:numId w:val="3"/>
        </w:numPr>
        <w:shd w:val="clear" w:color="auto" w:fill="auto"/>
        <w:tabs>
          <w:tab w:val="left" w:pos="727"/>
        </w:tabs>
        <w:spacing w:before="120" w:after="240" w:line="300" w:lineRule="auto"/>
        <w:ind w:left="36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Decyzją Nr 265/WIL/21 zatwierdzono projekt zagospodarowania działki, na którym budynek mieszkalny jednorodzinny został zlokalizowany w południowej i północnej granicy działki oraz częściowo w odległości 1,6 m od północnej granicy działki, pomimo że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rejonu Wilanowa Wschodniego Niskiego nie przewidywał takiej możliwości. Zgodnie z § 12 ust. 2 Rozporządzenia Ministra Infrastruktury z dnia 12 kwietnia 2002 r. w sprawie warunków technicznych, jakim powinny odpowiadać budynki i ich usytuowanie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19"/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(dalej: warunki</w:t>
      </w:r>
      <w:r w:rsidR="000C38A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0C38A6">
        <w:rPr>
          <w:rFonts w:asciiTheme="minorHAnsi" w:hAnsiTheme="minorHAnsi" w:cstheme="minorHAnsi"/>
          <w:b w:val="0"/>
          <w:sz w:val="22"/>
          <w:szCs w:val="22"/>
        </w:rPr>
        <w:t>techniczne) dopuszcza się sytuowanie budynku w odległości 1,5 m od granicy działki lub bezpośrednio przy tej granicy (ścianą bez okien i drzwi), jeżeli plan miejscowy przewiduje taką możliwość.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74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W tej kwestii Kierownik Referatu wskazała, że zgodnie z § 5 pkt 7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dla planowanej zabudowy mieszkaniowej jednorodzinnej dopuszczony jest układ szeregowy w związku z czym projektowana zabudowa jest zgodna z ustaleniami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, a zgodnie z § 12 ust. 3 warunków technicznych dopuszcza się sytuowanie budynku bezpośrednio przy granicy działki budowlanej, jeżeli będzie on przylegał swoją ścianą do ściany budynku istniejącego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lastRenderedPageBreak/>
        <w:t>na sąsiedniej działce oraz jego wysokość będzie zgodna z obowiązującym na danym terenie planem miejscowym.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74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Jednak w omawianym przypadku, projektowany budynek nie stanowił zabudowy szeregowej, gdyż przylegał jedynie częścią ściany północnej i południowej do ścian budynków na działkach sąsiednich, zatem nie był spełniony warunek zawarty w § 12 ust. 3 warunków technicznych </w:t>
      </w:r>
      <w:r w:rsidRPr="0055428D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>możliwości sytuowania budynku bezpośrednio przy granicy działki budowlanej.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74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Co prawda Kierownik Referatu stwierdziła, że w § 12 ust. 3 warunków technicznych ustawodawca nie wskazał, że projektowany budynek miałby przylegać do budynku istniejącego na sąsiedniej działce całą powierzchnią ściany, jednakże zgodnie z linią orzeczniczą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20"/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określenie przylegania należy rozumieć, niejako przyleganie w jakimkolwiek stopniu, ale w takim, w którym cała ściana planowanego budynku przylegać będzie do ściany budynku na działce sąsiedniej. Zaznaczyć też trzeba za wskazaniem orzecznictwa, iż pogląd ten zachowuje swą aktualność w obecnym stanie prawnym, gdy na skutek kolejnych nowelizacji warunków technicznych, wprowadzony dnia 8 lipca 2009 r. wymóg przylegania wznoszonego budynku „całą powierzchnią swojej ściany do ściany budynku istniejącego na sąsiedniej działce” zastąpiony został od dnia 1 stycznia 2018 r. wymogiem, by wznoszony budynek przylegał swoją ścianą do ściany budynku istniejącego na sąsiedniej działce.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Jednocześnie należy wskazać, że w 5 przypadkach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21"/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z 8 omówionych powyżej, w toku prowadzonego postępowania nie zobowiązano inwestora w formie postanowienia do usunięcia opisanych powyżej nieprawidłowości. Natomiast w pozostałych 3 przypadkach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22"/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, przed wydaniem decyzji nie wyegzekwowano nałożonego postanowieniem zobowiązania oraz nie wydano decyzji o odmowie zatwierdzenia projektu i udzielenia pozwolenia na budowę, czym naruszono </w:t>
      </w:r>
      <w:r w:rsidRPr="0055428D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art.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>35 ust. 3 Prawa budowlanego.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18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II. W 6 przypadkach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23"/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zatwierdzono projekt budowlany pomimo braku możliwości sprawdzenia jego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820" w:hanging="34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lastRenderedPageBreak/>
        <w:t xml:space="preserve">zgodności z zapisami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>, tj.:</w:t>
      </w:r>
    </w:p>
    <w:p w:rsidR="00AF1004" w:rsidRPr="0055428D" w:rsidRDefault="00B76499" w:rsidP="0055428D">
      <w:pPr>
        <w:pStyle w:val="Bodytext20"/>
        <w:numPr>
          <w:ilvl w:val="0"/>
          <w:numId w:val="4"/>
        </w:numPr>
        <w:shd w:val="clear" w:color="auto" w:fill="auto"/>
        <w:tabs>
          <w:tab w:val="left" w:pos="816"/>
        </w:tabs>
        <w:spacing w:before="120" w:after="240" w:line="300" w:lineRule="auto"/>
        <w:ind w:left="820" w:hanging="34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W 3 przypadkach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24"/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na zatwierdzonym projekcie zagospodarowania terenu brak było oznaczania odległości projektowanej zabudowy od granicy Warszawskiego Obszaru Chronionego Krajobrazu {dalej: WOCK) i obszaru „O" planu ogólnego Warszawy. Z pomiaru dokonanego linijką w odpowiedniej skali wynikało, że odległość ta wynosząca 13 -17 m jest mniejsza od minimalnej odległości określonej w § 8 pkt 1 (strefa I), pkt 2 (strefa II)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, tj. </w:t>
      </w:r>
      <w:r w:rsidRPr="0055428D">
        <w:rPr>
          <w:rStyle w:val="Bodytext295pt"/>
          <w:rFonts w:asciiTheme="minorHAnsi" w:hAnsiTheme="minorHAnsi" w:cstheme="minorHAnsi"/>
          <w:b/>
          <w:bCs/>
          <w:sz w:val="22"/>
          <w:szCs w:val="22"/>
        </w:rPr>
        <w:t>20 m.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82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Co prawda Kierownik Referatu wyjaśniła, że nieprzekraczalna linia zabudowy oznaczona została w odległości 20 m od granicy WOCK a z uwagi na wykonanie rysunku planu w skali 1:1000, grubość linii oznaczającej granice WOCK powoduje, że nie jest możliwe precyzyjne określenie jej przebiegu. Stwierdziła także, że powodować to może różny sposób interpretacji przez dokonującego pomiar na rysunku planu.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82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Jednakże na rysunku planu w żadnym miejscu nie oznaczono odległości nieprzekraczalnej linii zabudowy od granicy WOCK. Również z treści planu nie wynika, że odległość ta wynosi 20 m. Należy się zgodzić z powyższymi wyjaśnieniami, że niemożliwe jest precyzyjne określenie przebiegu granicy WOCK. Zatem stwierdzenie przez organ zgodności z zapisem § 8 pkt 1 (strefa I), pkt 2 (strefa II)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nie może być jedynie wywiedzione ze skali rysunku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82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Brak na projekcie zagospodarowania kluczowego wymiaru, na podstawie którego organ mógłby stwierdzić zgodność projektowanej inwestycji z ww. przepisem, budzi wątpliwości co do rzetelności przeprowadzonych prze organ czynności sprawdzających w omawianym zakresie.</w:t>
      </w:r>
    </w:p>
    <w:p w:rsidR="00AF1004" w:rsidRPr="0055428D" w:rsidRDefault="00B76499" w:rsidP="0055428D">
      <w:pPr>
        <w:pStyle w:val="Bodytext20"/>
        <w:numPr>
          <w:ilvl w:val="0"/>
          <w:numId w:val="4"/>
        </w:numPr>
        <w:shd w:val="clear" w:color="auto" w:fill="auto"/>
        <w:tabs>
          <w:tab w:val="left" w:pos="816"/>
        </w:tabs>
        <w:spacing w:before="120" w:after="240" w:line="300" w:lineRule="auto"/>
        <w:ind w:left="820" w:hanging="34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W 2 przypadkach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25"/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zatwierdzono projekt budowlany, który nie zawierał informacji </w:t>
      </w:r>
      <w:r w:rsidRPr="0055428D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możliwości naturalnej wegetacji roślin na zaprojektowanej powierzchni kraty trawnikowej poprzez przeprowadzenie analizy podłoża, sposobu mocowania kraty, możliwości retencji wody. Powyższa informacja była niezbędna do zakwalifikowania tej powierzchni jako biologicznie czynnej i dawałaby pewność, co do stwierdzenia o zgodności projektowanej inwestycji z § 8 pkt 3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w zakresie zachowania 50 </w:t>
      </w:r>
      <w:r w:rsidRPr="0055428D">
        <w:rPr>
          <w:rStyle w:val="Bodytext2NotBoldItalic"/>
          <w:rFonts w:asciiTheme="minorHAnsi" w:hAnsiTheme="minorHAnsi" w:cstheme="minorHAnsi"/>
          <w:b/>
          <w:sz w:val="22"/>
          <w:szCs w:val="22"/>
        </w:rPr>
        <w:t>%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terenu biologicznie czynnego.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82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Co prawda Kierownik referatu wskazała, że do powierzchni biologicznie czynnej wliczono wartość wskazaną w karcie katalogowej, jednakże w przedłożonych kartach katalogowych zastosowanych krat trawnikowych brak było informacji kwalifikujących podłoże jako powierzchnię biologicznie czynną. Zauważyć należy, że w oparciu o definicję określoną w § 3 pkt 22 warunków technicznych, jako teren biologicznie czynny należy rozumieć m.in.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lastRenderedPageBreak/>
        <w:t>teren o nawierzchni urządzonej w sposób zapewniający naturalna wegetację roślin i retencje wód opadowych. Dodatkowo, zgodnie z linią orzeczniczą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26"/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stwierdzić trzeba, że możliwość zaliczenia powierzchni wyłożonej określonym rodzajem kraty trawnikowej do powierzchni biologicznie czynnej jest uzależniona od rodzaju i warstw jej podbudowy, a organ w każdym wypadku powinien zbadać sposób umieszczenia takiej kraty w gruncie celem ustalenia, czy istnieją warunki naturalnej wegetacji roślin.</w:t>
      </w:r>
    </w:p>
    <w:p w:rsidR="00AF1004" w:rsidRPr="0055428D" w:rsidRDefault="00B76499" w:rsidP="0055428D">
      <w:pPr>
        <w:pStyle w:val="Bodytext20"/>
        <w:numPr>
          <w:ilvl w:val="0"/>
          <w:numId w:val="4"/>
        </w:numPr>
        <w:shd w:val="clear" w:color="auto" w:fill="auto"/>
        <w:tabs>
          <w:tab w:val="left" w:pos="789"/>
        </w:tabs>
        <w:spacing w:before="120" w:after="240" w:line="300" w:lineRule="auto"/>
        <w:ind w:left="820" w:hanging="34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W projekcie zagospodarowania terenu zatwierdzonym decyzją Nr 43/WIL/21, w części graficznej, nie wyróżniono powierzchni biologicznie czynnej.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82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Co prawda Kierownik Referatu wyjaśniła, że wszystkie nawierzchnie utwardzone na działce oznaczono na rysunku oraz w legendzie w sposób wystarczający do ocenienia prawidłowości bilansu terenu z ustaleniami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>, jednakże w obrębie granic działki brak było terenu zieleni, który w legendzie opisano jako zielony prostokąt a powierzchnia działki poza terenem utwardzonym na rysunku pozostała biała. Powyższe, wbrew wyjaśnieniom Pani Kierownik, uniemożliwiało ocenę prawidłowości sporządzenia bilansu terenu, gdyż teren oznaczony kolorem białym nie został opisany w legendzie i nie musiał oznaczać terenu zieleni.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82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W konsekwencji, można kwestionować rzetelność przeprowadzonych przez organ czynności sprawdzających w zakresie zgodności projektu z wymogami § 8 pkt 3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40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Jednocześnie należy wskazać, że w żadnym z 6 omawianych powyżej przypadków, w toku prowadzonego postępowania nie zobowiązano inwestora w formie postanowienia do usunięcia ww. nieprawidłowości, co naruszało </w:t>
      </w:r>
      <w:r w:rsidRPr="0055428D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art.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>35 ust. 3 Prawa budowlanego.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400" w:right="940" w:hanging="40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III. Zatwierdzono 3 projekty budowlane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27"/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, które zawierały niespójności w zakresie </w:t>
      </w:r>
      <w:r w:rsidRPr="0055428D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m.in. zgodności planowanej inwestycji z ustaleniami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mpzptj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>.:</w:t>
      </w:r>
    </w:p>
    <w:p w:rsidR="00AF1004" w:rsidRPr="0055428D" w:rsidRDefault="00B76499" w:rsidP="0055428D">
      <w:pPr>
        <w:pStyle w:val="Bodytext20"/>
        <w:numPr>
          <w:ilvl w:val="0"/>
          <w:numId w:val="5"/>
        </w:numPr>
        <w:shd w:val="clear" w:color="auto" w:fill="auto"/>
        <w:tabs>
          <w:tab w:val="left" w:pos="789"/>
        </w:tabs>
        <w:spacing w:before="120" w:after="240" w:line="300" w:lineRule="auto"/>
        <w:ind w:left="820" w:hanging="34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W projekcie budowlanym zatwierdzonym decyzją Nr 281/WIL/19:</w:t>
      </w:r>
    </w:p>
    <w:p w:rsidR="00AF1004" w:rsidRPr="0055428D" w:rsidRDefault="00B76499" w:rsidP="0055428D">
      <w:pPr>
        <w:pStyle w:val="Bodytext20"/>
        <w:numPr>
          <w:ilvl w:val="0"/>
          <w:numId w:val="1"/>
        </w:numPr>
        <w:shd w:val="clear" w:color="auto" w:fill="auto"/>
        <w:tabs>
          <w:tab w:val="left" w:pos="1455"/>
        </w:tabs>
        <w:spacing w:before="120" w:after="240" w:line="300" w:lineRule="auto"/>
        <w:ind w:left="1460" w:hanging="36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nie określono powierzchni biologicznie czynnej dla części działki leżącej w jednostce oznaczonej w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6 MU, a dla części działki znajdującej się w jednostce 24 MN podano dwa różne wskaźniki,</w:t>
      </w:r>
    </w:p>
    <w:p w:rsidR="00AF1004" w:rsidRPr="0055428D" w:rsidRDefault="00B76499" w:rsidP="0055428D">
      <w:pPr>
        <w:pStyle w:val="Bodytext20"/>
        <w:numPr>
          <w:ilvl w:val="0"/>
          <w:numId w:val="1"/>
        </w:numPr>
        <w:shd w:val="clear" w:color="auto" w:fill="auto"/>
        <w:tabs>
          <w:tab w:val="left" w:pos="1455"/>
        </w:tabs>
        <w:spacing w:before="120" w:after="240" w:line="300" w:lineRule="auto"/>
        <w:ind w:left="1460" w:hanging="360"/>
        <w:rPr>
          <w:rFonts w:asciiTheme="minorHAnsi" w:hAnsiTheme="minorHAnsi" w:cstheme="minorHAnsi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na str. 28 wskazano, że odprowadzenie ścieków sanitarnych z budynku przedszkola nastąpi do miejskiej sieci kanalizacji sanitarnej a na str. 22, że do szczelnego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lastRenderedPageBreak/>
        <w:t xml:space="preserve">szamba trzykomorowego, pomimo że przepis § 18 pkt 3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dopuszczał szamba szczelne wyłącznie dla zabudowy jednorodzinnej</w:t>
      </w:r>
      <w:r w:rsidRPr="0055428D">
        <w:rPr>
          <w:rFonts w:asciiTheme="minorHAnsi" w:hAnsiTheme="minorHAnsi" w:cstheme="minorHAnsi"/>
          <w:sz w:val="22"/>
          <w:szCs w:val="22"/>
        </w:rPr>
        <w:t xml:space="preserve">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>jednolokalowej.</w:t>
      </w:r>
    </w:p>
    <w:p w:rsidR="00AF1004" w:rsidRPr="0055428D" w:rsidRDefault="00B76499" w:rsidP="0055428D">
      <w:pPr>
        <w:pStyle w:val="Bodytext20"/>
        <w:numPr>
          <w:ilvl w:val="0"/>
          <w:numId w:val="5"/>
        </w:numPr>
        <w:shd w:val="clear" w:color="auto" w:fill="auto"/>
        <w:tabs>
          <w:tab w:val="left" w:pos="789"/>
        </w:tabs>
        <w:spacing w:before="120" w:after="240" w:line="300" w:lineRule="auto"/>
        <w:ind w:left="40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W projekcie budowlanym zatwierdzonym decyzją Nr 277/WIL/20, brak było spójności w zakresie zgodności z wymogami § 9 pkt 7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55428D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>kolorystyki elewacji w tonacjach barw jasnych-pastelowych, tj. w opisie technicznym określono kolor elewacji jako jasno- pastelowy, natomiast na rysunku elewacji kolorystyka tynku była ciemno fioletowa a drewnianej okładziny brązowa.</w:t>
      </w:r>
    </w:p>
    <w:p w:rsidR="00AF1004" w:rsidRPr="0055428D" w:rsidRDefault="00B76499" w:rsidP="0055428D">
      <w:pPr>
        <w:pStyle w:val="Bodytext20"/>
        <w:numPr>
          <w:ilvl w:val="0"/>
          <w:numId w:val="5"/>
        </w:numPr>
        <w:shd w:val="clear" w:color="auto" w:fill="auto"/>
        <w:tabs>
          <w:tab w:val="left" w:pos="881"/>
        </w:tabs>
        <w:spacing w:before="120" w:after="240" w:line="300" w:lineRule="auto"/>
        <w:ind w:left="880" w:hanging="34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W 2 przypadkach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28"/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w projektach budowlanych w legendzie projektu zagospodarowania terenu linie zabudowy opisano niezgodnie z legendą rysunku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Ponadto ustalono, że w 5 przypadkach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29"/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, wydaną decyzją o pozwoleniu na budowę, usankcjonowano nazwę inwestycji nieznajdującej odzwierciedlenia w zapisach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, w tym np. cyt.: „budynek mieszkalny wielorodzinny 3 [lub 4] lokalowy </w:t>
      </w:r>
      <w:r w:rsidRPr="0055428D">
        <w:rPr>
          <w:rStyle w:val="Bodytext21"/>
          <w:rFonts w:asciiTheme="minorHAnsi" w:hAnsiTheme="minorHAnsi" w:cstheme="minorHAnsi"/>
          <w:b/>
          <w:bCs/>
          <w:sz w:val="22"/>
          <w:szCs w:val="22"/>
        </w:rPr>
        <w:t>zwany w miejscowym planie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budynkiem mieszkalnym jednorodzinnym 3 [lub 4] lokalowym". Przy czym w 1 przypadku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30"/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, w drodze wezwania wystosowanego do inwestora, organ nakazał zmianę nazwy inwestycji w powyższy sposób pomimo, że zgodnie z definicją zawartą w § 5 pkt 7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, przez </w:t>
      </w:r>
      <w:r w:rsidRPr="0055428D">
        <w:rPr>
          <w:rStyle w:val="Bodytext21"/>
          <w:rFonts w:asciiTheme="minorHAnsi" w:hAnsiTheme="minorHAnsi" w:cstheme="minorHAnsi"/>
          <w:bCs/>
          <w:sz w:val="22"/>
          <w:szCs w:val="22"/>
          <w:u w:val="none"/>
        </w:rPr>
        <w:t>zabudowę mieszkaniowa jednorodzinna</w:t>
      </w:r>
      <w:r w:rsidRPr="0055428D">
        <w:rPr>
          <w:rStyle w:val="Bodytext21"/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należało rozumieć budynek mieszkalny jednorodzinny lub zespół takich budynków w układzie wolno stojącym, bliźniaczym, szeregowym, atrialnym, a także </w:t>
      </w:r>
      <w:r w:rsidRPr="0055428D">
        <w:rPr>
          <w:rStyle w:val="Bodytext21"/>
          <w:rFonts w:asciiTheme="minorHAnsi" w:hAnsiTheme="minorHAnsi" w:cstheme="minorHAnsi"/>
          <w:bCs/>
          <w:sz w:val="22"/>
          <w:szCs w:val="22"/>
          <w:u w:val="none"/>
        </w:rPr>
        <w:t xml:space="preserve">budynek mieszkalny zawierający nie </w:t>
      </w:r>
      <w:proofErr w:type="spellStart"/>
      <w:r w:rsidRPr="0055428D">
        <w:rPr>
          <w:rStyle w:val="Bodytext21"/>
          <w:rFonts w:asciiTheme="minorHAnsi" w:hAnsiTheme="minorHAnsi" w:cstheme="minorHAnsi"/>
          <w:bCs/>
          <w:sz w:val="22"/>
          <w:szCs w:val="22"/>
          <w:u w:val="none"/>
        </w:rPr>
        <w:t>wiecei</w:t>
      </w:r>
      <w:proofErr w:type="spellEnd"/>
      <w:r w:rsidRPr="0055428D">
        <w:rPr>
          <w:rStyle w:val="Bodytext21"/>
          <w:rFonts w:asciiTheme="minorHAnsi" w:hAnsiTheme="minorHAnsi" w:cstheme="minorHAnsi"/>
          <w:bCs/>
          <w:sz w:val="22"/>
          <w:szCs w:val="22"/>
          <w:u w:val="none"/>
        </w:rPr>
        <w:t xml:space="preserve"> niż 4 mieszkania</w:t>
      </w:r>
      <w:r w:rsidRPr="0055428D">
        <w:rPr>
          <w:rFonts w:asciiTheme="minorHAnsi" w:hAnsiTheme="minorHAnsi" w:cstheme="minorHAnsi"/>
          <w:sz w:val="22"/>
          <w:szCs w:val="22"/>
        </w:rPr>
        <w:t xml:space="preserve"> l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>ub zespół takich budynków.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Mając na uwadze powyższe, nie można było twierdzić, że w planie budynek mieszkalny wielorodzinny 3 (lub 4) lokalowy </w:t>
      </w:r>
      <w:r w:rsidRPr="0055428D">
        <w:rPr>
          <w:rStyle w:val="Bodytext21"/>
          <w:rFonts w:asciiTheme="minorHAnsi" w:hAnsiTheme="minorHAnsi" w:cstheme="minorHAnsi"/>
          <w:b/>
          <w:bCs/>
          <w:sz w:val="22"/>
          <w:szCs w:val="22"/>
        </w:rPr>
        <w:t xml:space="preserve">„zwany </w:t>
      </w:r>
      <w:proofErr w:type="spellStart"/>
      <w:r w:rsidRPr="0055428D">
        <w:rPr>
          <w:rStyle w:val="Bodytext21"/>
          <w:rFonts w:asciiTheme="minorHAnsi" w:hAnsiTheme="minorHAnsi" w:cstheme="minorHAnsi"/>
          <w:b/>
          <w:bCs/>
          <w:sz w:val="22"/>
          <w:szCs w:val="22"/>
        </w:rPr>
        <w:t>iest</w:t>
      </w:r>
      <w:proofErr w:type="spellEnd"/>
      <w:r w:rsidRPr="0055428D">
        <w:rPr>
          <w:rStyle w:val="Bodytext21"/>
          <w:rFonts w:asciiTheme="minorHAnsi" w:hAnsiTheme="minorHAnsi" w:cstheme="minorHAnsi"/>
          <w:b/>
          <w:bCs/>
          <w:sz w:val="22"/>
          <w:szCs w:val="22"/>
        </w:rPr>
        <w:t>"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budynkiem mieszkalnym jednorodzinnym 3 (lub 4) lokalowym.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Zgodnie z wyżej przytoczoną definicją projektowany budynek mieszkalny wielorodzinny 3 (lub 4) lokalowy stanowi zabudowę jednorodzinną.</w:t>
      </w:r>
    </w:p>
    <w:p w:rsidR="00AF1004" w:rsidRPr="0055428D" w:rsidRDefault="00B76499" w:rsidP="0055428D">
      <w:pPr>
        <w:pStyle w:val="Bodytext20"/>
        <w:shd w:val="clear" w:color="auto" w:fill="auto"/>
        <w:tabs>
          <w:tab w:val="left" w:pos="2362"/>
        </w:tabs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W zakresie prawidłowości przyjęcia zgłoszenia zamiaru wykonania wewnętrznej instalacji gazu w budynku przy ul.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ab/>
        <w:t xml:space="preserve">. (znak sprawy: </w:t>
      </w:r>
      <w:r w:rsidRPr="0055428D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UD-XV-WAB-AB.6743.29.2022.AWO)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>ustalono, że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przeprowadzone w tej sprawie postępowanie zostało poddane kontroli instancyjnej w trybie odwoławczym. Wojewoda Mazowiecki decyzją Nr 66/OPON/2022 z 22.06.2022 r. utrzymał w mocy zaskarżoną decyzję Prezydenta m.st. Warszawy nr 114/WIL/22 stanowiącą sprzeciw do zgłoszenia zamiaru wykonania robót budowlanych. Skutkiem czego odstąpiono od oceny w tym przedmiocie.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lastRenderedPageBreak/>
        <w:t>Nadzór nad WAB w okresie objętym kontrolą sprawowali: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Tomasz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Ciorgoń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Zastępca Burmistrza - od 1.01.2017 r. do 12.12.2018 r.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Bartosz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Wiśniakowski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Zastępca Burmistrza - od 13.12.2018 r. do chwili obecnej.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W kontrolowanym okresie pracą WAB dla Dzielnicy Wilanów kierowała p. Joanna Decka Naczelnik WAB.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W przypadku 16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31"/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decyzji z 19 zbadanych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32"/>
      </w:r>
      <w:r w:rsidRPr="0055428D">
        <w:rPr>
          <w:rFonts w:asciiTheme="minorHAnsi" w:hAnsiTheme="minorHAnsi" w:cstheme="minorHAnsi"/>
          <w:b w:val="0"/>
          <w:sz w:val="22"/>
          <w:szCs w:val="22"/>
        </w:rPr>
        <w:t>, rozstrzygnięcie podpisała p. Justyna Wasilewska główny specjalista/Kierownik Referatu, natomiast 3 decyzje</w:t>
      </w:r>
      <w:r w:rsidRPr="0055428D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33"/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podpisała p. Joanna Decka Naczelnik w WAB.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left="50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Przedstawiając powyższe ustalenia i oceny zalecam:</w:t>
      </w:r>
    </w:p>
    <w:p w:rsidR="00AF1004" w:rsidRPr="0055428D" w:rsidRDefault="00B76499" w:rsidP="0055428D">
      <w:pPr>
        <w:pStyle w:val="Bodytext20"/>
        <w:numPr>
          <w:ilvl w:val="0"/>
          <w:numId w:val="6"/>
        </w:numPr>
        <w:shd w:val="clear" w:color="auto" w:fill="auto"/>
        <w:tabs>
          <w:tab w:val="left" w:pos="550"/>
        </w:tabs>
        <w:spacing w:before="120" w:after="240" w:line="300" w:lineRule="auto"/>
        <w:ind w:left="500" w:hanging="30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Każdorazowe rzetelne sprawdzanie zatwierdzanego projektu zagospodarowania działki lub terenu oraz projektu architektoniczno-budowlanego z ustaleniami obowiązującego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rejonu Wilanowa Wschodniego Niskiego stosownie </w:t>
      </w:r>
      <w:r w:rsidRPr="0055428D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 art.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>35 ust. 1 pkt 1 Prawa budowlanego, w szczególności pod względem zgodności z:</w:t>
      </w:r>
    </w:p>
    <w:p w:rsidR="00AF1004" w:rsidRPr="0055428D" w:rsidRDefault="00B76499" w:rsidP="0055428D">
      <w:pPr>
        <w:pStyle w:val="Bodytext20"/>
        <w:numPr>
          <w:ilvl w:val="0"/>
          <w:numId w:val="7"/>
        </w:numPr>
        <w:shd w:val="clear" w:color="auto" w:fill="auto"/>
        <w:tabs>
          <w:tab w:val="left" w:pos="1067"/>
        </w:tabs>
        <w:spacing w:before="120" w:after="240" w:line="300" w:lineRule="auto"/>
        <w:ind w:left="1100" w:hanging="38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§ 8 pkt 1,2 i 3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zawierającymi wymóg:</w:t>
      </w:r>
    </w:p>
    <w:p w:rsidR="00AF1004" w:rsidRPr="0055428D" w:rsidRDefault="00B76499" w:rsidP="0055428D">
      <w:pPr>
        <w:pStyle w:val="Bodytext20"/>
        <w:numPr>
          <w:ilvl w:val="0"/>
          <w:numId w:val="1"/>
        </w:numPr>
        <w:shd w:val="clear" w:color="auto" w:fill="auto"/>
        <w:tabs>
          <w:tab w:val="left" w:pos="1454"/>
        </w:tabs>
        <w:spacing w:before="120" w:after="240" w:line="300" w:lineRule="auto"/>
        <w:ind w:left="1480" w:hanging="38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realizacji dachów „o spadku 30°-60°\ co wyklucza możliwość realizacji dachów płaskich pełniących funkcję tarasów;</w:t>
      </w:r>
    </w:p>
    <w:p w:rsidR="00AF1004" w:rsidRPr="0055428D" w:rsidRDefault="00B76499" w:rsidP="0055428D">
      <w:pPr>
        <w:pStyle w:val="Bodytext20"/>
        <w:numPr>
          <w:ilvl w:val="0"/>
          <w:numId w:val="1"/>
        </w:numPr>
        <w:shd w:val="clear" w:color="auto" w:fill="auto"/>
        <w:tabs>
          <w:tab w:val="left" w:pos="1454"/>
        </w:tabs>
        <w:spacing w:before="120" w:after="240" w:line="300" w:lineRule="auto"/>
        <w:ind w:left="1480" w:hanging="38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zachowania 50 % trenu biologicznie czynnego poprzez rygorystyczne przestrzeganie definicji ujętej w § 5 pkt 9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>, która wyklucza możliwość zaliczenia do powierzchni biologicznie czynnej m.in. terenu pod tarasami budynków;</w:t>
      </w:r>
    </w:p>
    <w:p w:rsidR="00AF1004" w:rsidRPr="0055428D" w:rsidRDefault="00B76499" w:rsidP="0055428D">
      <w:pPr>
        <w:pStyle w:val="Bodytext20"/>
        <w:numPr>
          <w:ilvl w:val="0"/>
          <w:numId w:val="1"/>
        </w:numPr>
        <w:shd w:val="clear" w:color="auto" w:fill="auto"/>
        <w:tabs>
          <w:tab w:val="left" w:pos="1454"/>
        </w:tabs>
        <w:spacing w:before="120" w:after="240" w:line="300" w:lineRule="auto"/>
        <w:ind w:left="1480" w:hanging="38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minimalnej wielkości działki, jako terenu inwestycji - 450 m2;</w:t>
      </w:r>
    </w:p>
    <w:p w:rsidR="00AF1004" w:rsidRPr="0055428D" w:rsidRDefault="00B76499" w:rsidP="0055428D">
      <w:pPr>
        <w:pStyle w:val="Bodytext20"/>
        <w:numPr>
          <w:ilvl w:val="0"/>
          <w:numId w:val="7"/>
        </w:numPr>
        <w:shd w:val="clear" w:color="auto" w:fill="auto"/>
        <w:tabs>
          <w:tab w:val="left" w:pos="1067"/>
        </w:tabs>
        <w:spacing w:before="120" w:after="240" w:line="300" w:lineRule="auto"/>
        <w:ind w:left="1100" w:hanging="38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§ 18 ust. 6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>, tj. powierzchniowego odwodnienia terenów utwardzonych oraz ograniczenia odwodnienia kanałowego jedynie do ul. Wiertniczej;</w:t>
      </w:r>
    </w:p>
    <w:p w:rsidR="00AF1004" w:rsidRPr="0055428D" w:rsidRDefault="00B76499" w:rsidP="0055428D">
      <w:pPr>
        <w:pStyle w:val="Bodytext20"/>
        <w:numPr>
          <w:ilvl w:val="0"/>
          <w:numId w:val="7"/>
        </w:numPr>
        <w:shd w:val="clear" w:color="auto" w:fill="auto"/>
        <w:tabs>
          <w:tab w:val="left" w:pos="1067"/>
        </w:tabs>
        <w:spacing w:before="120" w:after="240" w:line="300" w:lineRule="auto"/>
        <w:ind w:left="1100" w:hanging="38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lastRenderedPageBreak/>
        <w:t xml:space="preserve">rysunkiem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>, tj. usytuowaniem projektowanych budynków w obowiązującej linii zabudowy. Ponadto pozadyskusyjne uznanie, iż treść aktu prawa miejscowego (w tym rysunek planu) wiąże organy je stosujące również, w zakresie oznaczenia linii zabudowy.</w:t>
      </w:r>
    </w:p>
    <w:p w:rsidR="00AF1004" w:rsidRPr="0055428D" w:rsidRDefault="00B76499" w:rsidP="0055428D">
      <w:pPr>
        <w:pStyle w:val="Bodytext20"/>
        <w:numPr>
          <w:ilvl w:val="0"/>
          <w:numId w:val="6"/>
        </w:numPr>
        <w:shd w:val="clear" w:color="auto" w:fill="auto"/>
        <w:tabs>
          <w:tab w:val="left" w:pos="352"/>
        </w:tabs>
        <w:spacing w:before="120" w:after="240" w:line="300" w:lineRule="auto"/>
        <w:ind w:left="50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Każdorazowe rzetelne sprawdzanie zatwierdzanego projektu zagospodarowania działki lub terenu z przepisami § 12 ust. 1 lub 3 warunków technicznych, mając na uwadze iż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nie przewiduje możliwości sytuowania budynków na podstawie § 12 ust. 2.</w:t>
      </w:r>
    </w:p>
    <w:p w:rsidR="00AF1004" w:rsidRPr="0055428D" w:rsidRDefault="00B76499" w:rsidP="0055428D">
      <w:pPr>
        <w:pStyle w:val="Bodytext20"/>
        <w:numPr>
          <w:ilvl w:val="0"/>
          <w:numId w:val="6"/>
        </w:numPr>
        <w:shd w:val="clear" w:color="auto" w:fill="auto"/>
        <w:tabs>
          <w:tab w:val="left" w:pos="352"/>
        </w:tabs>
        <w:spacing w:before="120" w:after="240" w:line="300" w:lineRule="auto"/>
        <w:ind w:left="50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We wszystkich przypadkach niewykonania, w wyznaczonym terminie, postanowienia wydanego w trybie </w:t>
      </w:r>
      <w:r w:rsidRPr="0055428D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art.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35 ust. 3 Prawa budowlanego, wydawanie decyzji odmawiającej udzielenia pozwolenia na budowę i zatwierdzenia projektu zagospodarowania terenu oraz projektu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architektoniczno-budowlanego-zgodnie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 z </w:t>
      </w:r>
      <w:r w:rsidRPr="0055428D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art.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>35 ust 5 pkt 1.</w:t>
      </w:r>
    </w:p>
    <w:p w:rsidR="00AF1004" w:rsidRPr="0055428D" w:rsidRDefault="00B76499" w:rsidP="0055428D">
      <w:pPr>
        <w:pStyle w:val="Bodytext20"/>
        <w:numPr>
          <w:ilvl w:val="0"/>
          <w:numId w:val="6"/>
        </w:numPr>
        <w:shd w:val="clear" w:color="auto" w:fill="auto"/>
        <w:tabs>
          <w:tab w:val="left" w:pos="352"/>
        </w:tabs>
        <w:spacing w:before="120" w:after="240" w:line="300" w:lineRule="auto"/>
        <w:ind w:left="500"/>
        <w:rPr>
          <w:rFonts w:asciiTheme="minorHAnsi" w:hAnsiTheme="minorHAnsi" w:cstheme="minorHAnsi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W celu sprawdzenia zgodności załączonej dokumentacji projektowej z ustaleniami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>,</w:t>
      </w:r>
      <w:r w:rsidRPr="0055428D">
        <w:rPr>
          <w:rFonts w:asciiTheme="minorHAnsi" w:hAnsiTheme="minorHAnsi" w:cstheme="minorHAnsi"/>
          <w:sz w:val="22"/>
          <w:szCs w:val="22"/>
        </w:rPr>
        <w:t xml:space="preserve">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>każdorazowe egzekwowanie od wnioskodawcy</w:t>
      </w:r>
      <w:r w:rsidRPr="0055428D">
        <w:rPr>
          <w:rFonts w:asciiTheme="minorHAnsi" w:hAnsiTheme="minorHAnsi" w:cstheme="minorHAnsi"/>
          <w:sz w:val="22"/>
          <w:szCs w:val="22"/>
        </w:rPr>
        <w:t>:</w:t>
      </w:r>
    </w:p>
    <w:p w:rsidR="00AF1004" w:rsidRPr="0055428D" w:rsidRDefault="00B76499" w:rsidP="0055428D">
      <w:pPr>
        <w:pStyle w:val="Bodytext20"/>
        <w:numPr>
          <w:ilvl w:val="0"/>
          <w:numId w:val="1"/>
        </w:numPr>
        <w:shd w:val="clear" w:color="auto" w:fill="auto"/>
        <w:tabs>
          <w:tab w:val="left" w:pos="1524"/>
        </w:tabs>
        <w:spacing w:before="120" w:after="240" w:line="300" w:lineRule="auto"/>
        <w:ind w:left="1520" w:hanging="34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oznaczania na projekcie zagospodarowania działki lub terenu odległości projektowanej zabudowy od granicy Warszawskiego Obszaru Chronionego Krajobrazu i obszaru „O" planu ogólnego Warszawy;</w:t>
      </w:r>
    </w:p>
    <w:p w:rsidR="00EA5B8F" w:rsidRPr="0055428D" w:rsidRDefault="00B76499" w:rsidP="0055428D">
      <w:pPr>
        <w:pStyle w:val="Bodytext20"/>
        <w:numPr>
          <w:ilvl w:val="0"/>
          <w:numId w:val="1"/>
        </w:numPr>
        <w:shd w:val="clear" w:color="auto" w:fill="auto"/>
        <w:tabs>
          <w:tab w:val="left" w:pos="1524"/>
        </w:tabs>
        <w:spacing w:before="120" w:after="240" w:line="300" w:lineRule="auto"/>
        <w:ind w:left="1520" w:hanging="34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informacji </w:t>
      </w:r>
      <w:r w:rsidRPr="0055428D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>możliwości naturalnej wegetacji roślin na zaprojektowanej powierzchni kraty trawnikowej poprzez</w:t>
      </w:r>
      <w:r w:rsidRPr="0055428D">
        <w:rPr>
          <w:rFonts w:asciiTheme="minorHAnsi" w:hAnsiTheme="minorHAnsi" w:cstheme="minorHAnsi"/>
          <w:sz w:val="22"/>
          <w:szCs w:val="22"/>
        </w:rPr>
        <w:t xml:space="preserve"> </w:t>
      </w:r>
      <w:r w:rsidR="00EA5B8F" w:rsidRPr="0055428D">
        <w:rPr>
          <w:rFonts w:asciiTheme="minorHAnsi" w:hAnsiTheme="minorHAnsi" w:cstheme="minorHAnsi"/>
          <w:b w:val="0"/>
          <w:sz w:val="22"/>
          <w:szCs w:val="22"/>
        </w:rPr>
        <w:t>projektu zagospodarowania terenu.</w:t>
      </w:r>
    </w:p>
    <w:p w:rsidR="00EA5B8F" w:rsidRPr="0055428D" w:rsidRDefault="00EA5B8F" w:rsidP="0055428D">
      <w:pPr>
        <w:pStyle w:val="Bodytext20"/>
        <w:numPr>
          <w:ilvl w:val="0"/>
          <w:numId w:val="6"/>
        </w:numPr>
        <w:shd w:val="clear" w:color="auto" w:fill="auto"/>
        <w:tabs>
          <w:tab w:val="left" w:pos="521"/>
        </w:tabs>
        <w:spacing w:before="120" w:after="240" w:line="300" w:lineRule="auto"/>
        <w:ind w:left="540" w:hanging="36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Każdorazową weryfikację zatwierdzanej dokumentacji projektowej pod względem spójności zapisów i rysunków w poszczególnych częściach projektu w odniesieniu do ustaleń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EA5B8F" w:rsidRPr="0055428D" w:rsidRDefault="00EA5B8F" w:rsidP="0055428D">
      <w:pPr>
        <w:pStyle w:val="Bodytext20"/>
        <w:numPr>
          <w:ilvl w:val="0"/>
          <w:numId w:val="6"/>
        </w:numPr>
        <w:shd w:val="clear" w:color="auto" w:fill="auto"/>
        <w:tabs>
          <w:tab w:val="left" w:pos="521"/>
        </w:tabs>
        <w:spacing w:before="120" w:after="240" w:line="300" w:lineRule="auto"/>
        <w:ind w:left="540" w:hanging="36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W przypadku, gdy prowadzone postępowanie dotyczy budowy budynku mieszkalnego wielorodzinnego 3 lub 4 lokalowego, stosowanie przez organ oraz wyegzekwowanie od wnioskodawcy, nazwy inwestycji zgodnej z wymogami § 5 pkt 7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</w:rPr>
        <w:t>mpzp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</w:rPr>
        <w:t>, tj. określenie jej, jako zabudowy jednorodzinnej.</w:t>
      </w:r>
    </w:p>
    <w:p w:rsidR="00EA5B8F" w:rsidRPr="0055428D" w:rsidRDefault="00EA5B8F" w:rsidP="0055428D">
      <w:pPr>
        <w:pStyle w:val="Bodytext20"/>
        <w:numPr>
          <w:ilvl w:val="0"/>
          <w:numId w:val="6"/>
        </w:numPr>
        <w:shd w:val="clear" w:color="auto" w:fill="auto"/>
        <w:tabs>
          <w:tab w:val="left" w:pos="521"/>
        </w:tabs>
        <w:spacing w:before="120" w:after="240" w:line="300" w:lineRule="auto"/>
        <w:ind w:left="540" w:hanging="36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Zorganizowanie cyklicznych szkoleń dotyczących obowiązującego prawa materialnego oraz proceduralnego w zakresie realizowanych zadań.</w:t>
      </w:r>
    </w:p>
    <w:p w:rsidR="00AF1004" w:rsidRPr="0055428D" w:rsidRDefault="00B76499" w:rsidP="0055428D">
      <w:pPr>
        <w:pStyle w:val="Bodytext20"/>
        <w:numPr>
          <w:ilvl w:val="0"/>
          <w:numId w:val="1"/>
        </w:numPr>
        <w:shd w:val="clear" w:color="auto" w:fill="auto"/>
        <w:tabs>
          <w:tab w:val="left" w:pos="1524"/>
        </w:tabs>
        <w:spacing w:before="120" w:after="240" w:line="300" w:lineRule="auto"/>
        <w:ind w:left="1520" w:hanging="34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przeprowadzenie analizy podłoża, sposobu mocowania kraty i możliwości</w:t>
      </w:r>
      <w:r w:rsidRPr="0055428D">
        <w:rPr>
          <w:rFonts w:asciiTheme="minorHAnsi" w:hAnsiTheme="minorHAnsi" w:cstheme="minorHAnsi"/>
          <w:sz w:val="22"/>
          <w:szCs w:val="22"/>
        </w:rPr>
        <w:t xml:space="preserve">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>retencji wody;</w:t>
      </w:r>
    </w:p>
    <w:p w:rsidR="00AF1004" w:rsidRPr="0055428D" w:rsidRDefault="00B76499" w:rsidP="0055428D">
      <w:pPr>
        <w:pStyle w:val="Bodytext20"/>
        <w:numPr>
          <w:ilvl w:val="0"/>
          <w:numId w:val="1"/>
        </w:numPr>
        <w:shd w:val="clear" w:color="auto" w:fill="auto"/>
        <w:tabs>
          <w:tab w:val="left" w:pos="1524"/>
        </w:tabs>
        <w:spacing w:before="120" w:after="240" w:line="300" w:lineRule="auto"/>
        <w:ind w:left="1520" w:hanging="34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jednoznacznego wskazania powierzchni biologicznie czynnej w części graficznej Zwiększenie nadzoru nad wykonywaniem obowiązków przez podległych pracowników.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Na podstawie § 22 ust. 10 Regulaminu organizacyjnego oraz § 41 ust. 1 Zarządzenia oczekuję od Pana w terminie nie dłuższym niż 30 dni od daty doręczenia niniejszego Wystąpienia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lastRenderedPageBreak/>
        <w:t>pokontrolnego, informacji o sposobie realizacji zaleceń pokontrolnych i wykorzystaniu uwag zawartych w wystąpieniu pokontrolnym lub przyczynach braku realizacji zaleceń pokontrolnych lub niewykorzystaniu uwag bądź o innym sposobie usunięcia stwierdzonych nieprawidłowości lub uchybień.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Na podstawie § 41 ust. 1 Zarządzenia zobowiązuję Pana do przekazania kopii ww. informacji Prezydentowi m.st. Warszawy.</w:t>
      </w:r>
    </w:p>
    <w:p w:rsidR="006612A1" w:rsidRPr="006612A1" w:rsidRDefault="006612A1" w:rsidP="006612A1">
      <w:pPr>
        <w:tabs>
          <w:tab w:val="left" w:pos="426"/>
        </w:tabs>
        <w:spacing w:before="120" w:after="240" w:line="300" w:lineRule="auto"/>
        <w:ind w:left="4536"/>
        <w:rPr>
          <w:rStyle w:val="Bodytext21"/>
          <w:rFonts w:asciiTheme="minorHAnsi" w:hAnsiTheme="minorHAnsi" w:cstheme="minorHAnsi"/>
          <w:b w:val="0"/>
          <w:bCs w:val="0"/>
          <w:sz w:val="22"/>
          <w:szCs w:val="22"/>
          <w:u w:val="none"/>
        </w:rPr>
      </w:pPr>
      <w:r w:rsidRPr="006612A1">
        <w:rPr>
          <w:rFonts w:asciiTheme="minorHAnsi" w:eastAsia="Arial" w:hAnsiTheme="minorHAnsi" w:cstheme="minorHAnsi"/>
          <w:sz w:val="22"/>
          <w:szCs w:val="22"/>
        </w:rPr>
        <w:t>PREZYDENT MIASTA STOŁECZNEGO WARSZAWY /-/ Rafał Trzaskowski</w:t>
      </w:r>
    </w:p>
    <w:p w:rsidR="00AF1004" w:rsidRPr="0055428D" w:rsidRDefault="00B76499" w:rsidP="0055428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Style w:val="Bodytext21"/>
          <w:rFonts w:asciiTheme="minorHAnsi" w:hAnsiTheme="minorHAnsi" w:cstheme="minorHAnsi"/>
          <w:bCs/>
          <w:sz w:val="22"/>
          <w:szCs w:val="22"/>
        </w:rPr>
        <w:t>Do wiadomości:</w:t>
      </w:r>
    </w:p>
    <w:p w:rsidR="00AF1004" w:rsidRPr="0055428D" w:rsidRDefault="00B76499" w:rsidP="0055428D">
      <w:pPr>
        <w:pStyle w:val="Bodytext20"/>
        <w:numPr>
          <w:ilvl w:val="0"/>
          <w:numId w:val="8"/>
        </w:numPr>
        <w:shd w:val="clear" w:color="auto" w:fill="auto"/>
        <w:tabs>
          <w:tab w:val="left" w:pos="643"/>
        </w:tabs>
        <w:spacing w:before="120" w:after="240" w:line="300" w:lineRule="auto"/>
        <w:ind w:left="30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>Pan Michał Olszewski - Zastępca Prezydenta Miasta Stołecznego Warszawy</w:t>
      </w:r>
    </w:p>
    <w:p w:rsidR="00AF1004" w:rsidRPr="0055428D" w:rsidRDefault="00B76499" w:rsidP="0055428D">
      <w:pPr>
        <w:pStyle w:val="Bodytext20"/>
        <w:numPr>
          <w:ilvl w:val="0"/>
          <w:numId w:val="8"/>
        </w:numPr>
        <w:shd w:val="clear" w:color="auto" w:fill="auto"/>
        <w:tabs>
          <w:tab w:val="left" w:pos="643"/>
        </w:tabs>
        <w:spacing w:before="120" w:after="240" w:line="300" w:lineRule="auto"/>
        <w:ind w:left="300" w:firstLine="0"/>
        <w:rPr>
          <w:rFonts w:asciiTheme="minorHAnsi" w:hAnsiTheme="minorHAnsi" w:cstheme="minorHAnsi"/>
          <w:b w:val="0"/>
          <w:sz w:val="22"/>
          <w:szCs w:val="22"/>
        </w:rPr>
      </w:pPr>
      <w:r w:rsidRPr="0055428D">
        <w:rPr>
          <w:rFonts w:asciiTheme="minorHAnsi" w:hAnsiTheme="minorHAnsi" w:cstheme="minorHAnsi"/>
          <w:b w:val="0"/>
          <w:sz w:val="22"/>
          <w:szCs w:val="22"/>
        </w:rPr>
        <w:t xml:space="preserve">Pani Marlena </w:t>
      </w:r>
      <w:proofErr w:type="spellStart"/>
      <w:r w:rsidRPr="0055428D">
        <w:rPr>
          <w:rFonts w:asciiTheme="minorHAnsi" w:hAnsiTheme="minorHAnsi" w:cstheme="minorHAnsi"/>
          <w:b w:val="0"/>
          <w:sz w:val="22"/>
          <w:szCs w:val="22"/>
          <w:lang w:val="de-DE" w:eastAsia="de-DE" w:bidi="de-DE"/>
        </w:rPr>
        <w:t>Happach</w:t>
      </w:r>
      <w:proofErr w:type="spellEnd"/>
      <w:r w:rsidRPr="0055428D">
        <w:rPr>
          <w:rFonts w:asciiTheme="minorHAnsi" w:hAnsiTheme="minorHAnsi" w:cstheme="minorHAnsi"/>
          <w:b w:val="0"/>
          <w:sz w:val="22"/>
          <w:szCs w:val="22"/>
          <w:lang w:val="de-DE" w:eastAsia="de-DE" w:bidi="de-DE"/>
        </w:rPr>
        <w:t xml:space="preserve"> </w:t>
      </w:r>
      <w:r w:rsidRPr="0055428D">
        <w:rPr>
          <w:rFonts w:asciiTheme="minorHAnsi" w:hAnsiTheme="minorHAnsi" w:cstheme="minorHAnsi"/>
          <w:b w:val="0"/>
          <w:sz w:val="22"/>
          <w:szCs w:val="22"/>
        </w:rPr>
        <w:t>- Dyrektor Biura Architektury i Planowania Przestrzennego</w:t>
      </w:r>
    </w:p>
    <w:sectPr w:rsidR="00AF1004" w:rsidRPr="0055428D">
      <w:footerReference w:type="default" r:id="rId7"/>
      <w:headerReference w:type="first" r:id="rId8"/>
      <w:footerReference w:type="first" r:id="rId9"/>
      <w:pgSz w:w="11900" w:h="16840"/>
      <w:pgMar w:top="1334" w:right="1515" w:bottom="1720" w:left="15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499" w:rsidRDefault="00B76499">
      <w:r>
        <w:separator/>
      </w:r>
    </w:p>
  </w:endnote>
  <w:endnote w:type="continuationSeparator" w:id="0">
    <w:p w:rsidR="00B76499" w:rsidRDefault="00B7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92513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55428D" w:rsidRPr="0055428D" w:rsidRDefault="0055428D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55428D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55428D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55428D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6F6DEC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55428D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AF1004" w:rsidRDefault="00AF1004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913193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55428D" w:rsidRPr="0055428D" w:rsidRDefault="0055428D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55428D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55428D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55428D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6F6DEC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55428D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55428D" w:rsidRDefault="005542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499" w:rsidRDefault="00B76499">
      <w:r>
        <w:separator/>
      </w:r>
    </w:p>
  </w:footnote>
  <w:footnote w:type="continuationSeparator" w:id="0">
    <w:p w:rsidR="00B76499" w:rsidRDefault="00B76499">
      <w:r>
        <w:continuationSeparator/>
      </w:r>
    </w:p>
  </w:footnote>
  <w:footnote w:id="1">
    <w:p w:rsidR="00AF1004" w:rsidRPr="00EA5B8F" w:rsidRDefault="00B76499" w:rsidP="006F6DEC">
      <w:pPr>
        <w:pStyle w:val="Footnote10"/>
        <w:shd w:val="clear" w:color="auto" w:fill="auto"/>
        <w:tabs>
          <w:tab w:val="left" w:pos="7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EA5B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EA5B8F">
        <w:rPr>
          <w:rFonts w:asciiTheme="minorHAnsi" w:hAnsiTheme="minorHAnsi" w:cstheme="minorHAnsi"/>
          <w:b w:val="0"/>
          <w:sz w:val="22"/>
          <w:szCs w:val="22"/>
        </w:rPr>
        <w:tab/>
        <w:t>Dzień przekazania kontrolującym w</w:t>
      </w:r>
      <w:bookmarkStart w:id="0" w:name="_GoBack"/>
      <w:bookmarkEnd w:id="0"/>
      <w:r w:rsidRPr="00EA5B8F">
        <w:rPr>
          <w:rFonts w:asciiTheme="minorHAnsi" w:hAnsiTheme="minorHAnsi" w:cstheme="minorHAnsi"/>
          <w:b w:val="0"/>
          <w:sz w:val="22"/>
          <w:szCs w:val="22"/>
        </w:rPr>
        <w:t>ykazu wydanych decyzji.</w:t>
      </w:r>
    </w:p>
  </w:footnote>
  <w:footnote w:id="2">
    <w:p w:rsidR="00AF1004" w:rsidRPr="00EA5B8F" w:rsidRDefault="00B76499" w:rsidP="006F6DEC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EA5B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="00EB21C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>Projekty budowlane zatwierdzone decyzjami: Nr: 342/WIL/17, 73/WIL/21,169/WIL/21, 253/WIU18, 15/WIL/22, 89/WIL/17,145/WIL/22, 277/WIL/20, 66/WIU20, 60/WIU19, 182/WIL/21, 233/WIL/20, 247/WIL/19, 124/WIL/21, 281/WIL/19, 359/WIL/17, 265/WIL21, 43/WIL/21, 262/WIL/21,184/WIL/21.</w:t>
      </w:r>
    </w:p>
  </w:footnote>
  <w:footnote w:id="3">
    <w:p w:rsidR="00AF1004" w:rsidRPr="00EA5B8F" w:rsidRDefault="00B76499" w:rsidP="006F6DEC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EA5B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="00EB21C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>Projekty budowlane zatwierdzone decyzjami: Nr: 342/WIL/17, 253/WIL/18, 265/WIL/21,15/WIL/22, 89/WIL/17, 145/WIL/22, 43/WIL/21, 182/WIL/21, 233/WIL/20, 262/WIL/21, 247/WIL/19.</w:t>
      </w:r>
    </w:p>
  </w:footnote>
  <w:footnote w:id="4">
    <w:p w:rsidR="00AF1004" w:rsidRPr="00EA5B8F" w:rsidRDefault="00B76499" w:rsidP="006F6DEC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right="500" w:firstLine="0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EA5B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="00EB21C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>Projekty budowlane zatwierdzone decyzjami: Nr: 73/WIL/21,169/WIL/21, 277/WIL/20, 66/WIL/20, 60/WIL/19, 124/WIL/21, 359/WIL/17, 184/WIL/21.</w:t>
      </w:r>
    </w:p>
  </w:footnote>
  <w:footnote w:id="5">
    <w:p w:rsidR="00AF1004" w:rsidRPr="00EA5B8F" w:rsidRDefault="00B76499" w:rsidP="006F6DEC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EA5B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="00EB21C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>Projekt budowlany zatwierdzony decyzją Nr 281/WIL/19.</w:t>
      </w:r>
    </w:p>
  </w:footnote>
  <w:footnote w:id="6">
    <w:p w:rsidR="00AF1004" w:rsidRPr="00EA5B8F" w:rsidRDefault="00B76499" w:rsidP="006F6DEC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EA5B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="00EB21C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>Projekty budowlane zatwierdzone decyzjami Nr: 89/WIL/17, 281/WIL/19, 169/WIL/21.</w:t>
      </w:r>
    </w:p>
  </w:footnote>
  <w:footnote w:id="7">
    <w:p w:rsidR="00AF1004" w:rsidRPr="00EA5B8F" w:rsidRDefault="00B76499" w:rsidP="006F6DEC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EA5B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="00EB21C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>Projekty budowlane zatwierdzone decyzjami Nr: 253/WIL/18, 262/WIL/21.</w:t>
      </w:r>
    </w:p>
  </w:footnote>
  <w:footnote w:id="8">
    <w:p w:rsidR="00AF1004" w:rsidRPr="00EA5B8F" w:rsidRDefault="00B76499" w:rsidP="006F6DEC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right="560" w:firstLine="0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EA5B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="00EB21C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>Projekty budowlane zatwierdzone decyzjami Nr: 43/WIL/21, 60/WIL/19,124/WIL/21, 277/WIL/20, 145/WIL/22, 66/WIL/20, 342/WIL/17, 265/WIL/21, 73/WIL/21, 15/WIL/22, 233/WIL/20,</w:t>
      </w:r>
    </w:p>
    <w:p w:rsidR="00AF1004" w:rsidRPr="00EA5B8F" w:rsidRDefault="00B76499" w:rsidP="006F6DEC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EA5B8F">
        <w:rPr>
          <w:rFonts w:asciiTheme="minorHAnsi" w:hAnsiTheme="minorHAnsi" w:cstheme="minorHAnsi"/>
          <w:b w:val="0"/>
          <w:sz w:val="22"/>
          <w:szCs w:val="22"/>
        </w:rPr>
        <w:t>182/WIL/21,359/WIL/17, 247/WIL/19, 184/WIL/21.</w:t>
      </w:r>
    </w:p>
  </w:footnote>
  <w:footnote w:id="9">
    <w:p w:rsidR="00AF1004" w:rsidRPr="00EA5B8F" w:rsidRDefault="00B76499" w:rsidP="006F6DEC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EA5B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="000C38A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>Decyzje Nr: 124/WIL/21, 277/WIU20, 145/WIL/22, 66/WIL/20, 342/WIU17, 265/WIL/21, 73/WIL/21, 359/WIL/17.</w:t>
      </w:r>
    </w:p>
  </w:footnote>
  <w:footnote w:id="10">
    <w:p w:rsidR="00AF1004" w:rsidRPr="00EA5B8F" w:rsidRDefault="00B76499" w:rsidP="006F6DEC">
      <w:pPr>
        <w:pStyle w:val="Footnote10"/>
        <w:shd w:val="clear" w:color="auto" w:fill="auto"/>
        <w:tabs>
          <w:tab w:val="left" w:pos="0"/>
          <w:tab w:val="left" w:pos="19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EA5B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EA5B8F">
        <w:rPr>
          <w:rFonts w:asciiTheme="minorHAnsi" w:hAnsiTheme="minorHAnsi" w:cstheme="minorHAnsi"/>
          <w:b w:val="0"/>
          <w:sz w:val="22"/>
          <w:szCs w:val="22"/>
        </w:rPr>
        <w:tab/>
        <w:t>Ustawa z dnia z dnia 7 lipca 1994 r. Prawo budowlane Dz.U.2021.2351 z późn. zm.</w:t>
      </w:r>
    </w:p>
  </w:footnote>
  <w:footnote w:id="11">
    <w:p w:rsidR="00AF1004" w:rsidRPr="00EA5B8F" w:rsidRDefault="00B76499" w:rsidP="006F6DEC">
      <w:pPr>
        <w:pStyle w:val="Footnote10"/>
        <w:shd w:val="clear" w:color="auto" w:fill="auto"/>
        <w:tabs>
          <w:tab w:val="left" w:pos="0"/>
          <w:tab w:val="left" w:pos="192"/>
        </w:tabs>
        <w:spacing w:before="120" w:after="240" w:line="300" w:lineRule="auto"/>
        <w:ind w:right="460" w:firstLine="0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EA5B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EA5B8F">
        <w:rPr>
          <w:rFonts w:asciiTheme="minorHAnsi" w:hAnsiTheme="minorHAnsi" w:cstheme="minorHAnsi"/>
          <w:b w:val="0"/>
          <w:sz w:val="22"/>
          <w:szCs w:val="22"/>
        </w:rPr>
        <w:tab/>
      </w:r>
      <w:r w:rsidRPr="00EA5B8F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>projektów budowlanych zatwierdzonych decyzjami Nr: 124/WIL/21, 277/WIL/20, 73/WIL/21, 359/WIL/17.</w:t>
      </w:r>
    </w:p>
  </w:footnote>
  <w:footnote w:id="12">
    <w:p w:rsidR="00AF1004" w:rsidRPr="00EA5B8F" w:rsidRDefault="00B76499" w:rsidP="006F6DEC">
      <w:pPr>
        <w:pStyle w:val="Footnote10"/>
        <w:shd w:val="clear" w:color="auto" w:fill="auto"/>
        <w:tabs>
          <w:tab w:val="left" w:pos="0"/>
          <w:tab w:val="left" w:pos="187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EA5B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EA5B8F">
        <w:rPr>
          <w:rFonts w:asciiTheme="minorHAnsi" w:hAnsiTheme="minorHAnsi" w:cstheme="minorHAnsi"/>
          <w:b w:val="0"/>
          <w:sz w:val="22"/>
          <w:szCs w:val="22"/>
        </w:rPr>
        <w:tab/>
        <w:t>Patrz np.: „Leksykon naukowo-techniczny”, praca zbiorowa, WNT, Warszawa 1991.</w:t>
      </w:r>
    </w:p>
  </w:footnote>
  <w:footnote w:id="13">
    <w:p w:rsidR="00AF1004" w:rsidRPr="00EA5B8F" w:rsidRDefault="00B76499" w:rsidP="006F6DEC">
      <w:pPr>
        <w:pStyle w:val="Footnote10"/>
        <w:shd w:val="clear" w:color="auto" w:fill="auto"/>
        <w:tabs>
          <w:tab w:val="left" w:pos="0"/>
          <w:tab w:val="left" w:pos="192"/>
        </w:tabs>
        <w:spacing w:before="120" w:after="240" w:line="300" w:lineRule="auto"/>
        <w:ind w:right="460" w:firstLine="0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EA5B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EA5B8F">
        <w:rPr>
          <w:rFonts w:asciiTheme="minorHAnsi" w:hAnsiTheme="minorHAnsi" w:cstheme="minorHAnsi"/>
          <w:b w:val="0"/>
          <w:sz w:val="22"/>
          <w:szCs w:val="22"/>
        </w:rPr>
        <w:tab/>
        <w:t>Patrz definicja stropodachu w „Fizyka budowli", W. Płoński, J.A. Pogorzelski, Arkady, Warszawa 1979.</w:t>
      </w:r>
    </w:p>
  </w:footnote>
  <w:footnote w:id="14">
    <w:p w:rsidR="00AF1004" w:rsidRPr="00EA5B8F" w:rsidRDefault="00B76499" w:rsidP="006F6DEC">
      <w:pPr>
        <w:pStyle w:val="Footnote10"/>
        <w:shd w:val="clear" w:color="auto" w:fill="auto"/>
        <w:tabs>
          <w:tab w:val="left" w:pos="19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EA5B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EA5B8F">
        <w:rPr>
          <w:rFonts w:asciiTheme="minorHAnsi" w:hAnsiTheme="minorHAnsi" w:cstheme="minorHAnsi"/>
          <w:b w:val="0"/>
          <w:sz w:val="22"/>
          <w:szCs w:val="22"/>
        </w:rPr>
        <w:tab/>
      </w:r>
      <w:r w:rsidRPr="00EA5B8F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 xml:space="preserve">projektów budowlanych zatwierdzonych decyzjami Nr: 124/WIL/21, </w:t>
      </w:r>
      <w:r w:rsidRPr="00EA5B8F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>277ЛЛШ20.</w:t>
      </w:r>
    </w:p>
  </w:footnote>
  <w:footnote w:id="15">
    <w:p w:rsidR="00AF1004" w:rsidRPr="004E378F" w:rsidRDefault="00B76499" w:rsidP="006F6DEC">
      <w:pPr>
        <w:pStyle w:val="Footnote10"/>
        <w:shd w:val="clear" w:color="auto" w:fill="auto"/>
        <w:tabs>
          <w:tab w:val="left" w:pos="178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4E37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4E378F">
        <w:rPr>
          <w:rFonts w:asciiTheme="minorHAnsi" w:hAnsiTheme="minorHAnsi" w:cstheme="minorHAnsi"/>
          <w:b w:val="0"/>
          <w:sz w:val="22"/>
          <w:szCs w:val="22"/>
        </w:rPr>
        <w:tab/>
        <w:t>W postępowaniach zakończonych decyzjami Nr: 89/WIL/17,169/WIL/21, 262/WIL/21</w:t>
      </w:r>
    </w:p>
  </w:footnote>
  <w:footnote w:id="16">
    <w:p w:rsidR="00AF1004" w:rsidRDefault="00B76499" w:rsidP="006F6DEC">
      <w:pPr>
        <w:pStyle w:val="Footnote10"/>
        <w:shd w:val="clear" w:color="auto" w:fill="auto"/>
        <w:tabs>
          <w:tab w:val="left" w:pos="192"/>
        </w:tabs>
        <w:spacing w:before="120" w:after="240" w:line="300" w:lineRule="auto"/>
        <w:ind w:firstLine="0"/>
        <w:contextualSpacing/>
      </w:pPr>
      <w:r w:rsidRPr="004E37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4E378F">
        <w:rPr>
          <w:rFonts w:asciiTheme="minorHAnsi" w:hAnsiTheme="minorHAnsi" w:cstheme="minorHAnsi"/>
          <w:b w:val="0"/>
          <w:sz w:val="22"/>
          <w:szCs w:val="22"/>
        </w:rPr>
        <w:tab/>
        <w:t xml:space="preserve">Serwis mapowy Miasta Stołecznego Warszawy - </w:t>
      </w:r>
      <w:hyperlink r:id="rId1" w:history="1">
        <w:r w:rsidRPr="004E378F">
          <w:rPr>
            <w:rFonts w:asciiTheme="minorHAnsi" w:hAnsiTheme="minorHAnsi" w:cstheme="minorHAnsi"/>
            <w:b w:val="0"/>
            <w:sz w:val="22"/>
            <w:szCs w:val="22"/>
            <w:lang w:val="en-US" w:eastAsia="en-US" w:bidi="en-US"/>
          </w:rPr>
          <w:t>https://smapa.um.warszawa.pl/</w:t>
        </w:r>
      </w:hyperlink>
    </w:p>
  </w:footnote>
  <w:footnote w:id="17">
    <w:p w:rsidR="00AF1004" w:rsidRPr="00EA5B8F" w:rsidRDefault="00B76499" w:rsidP="006F6DEC">
      <w:pPr>
        <w:pStyle w:val="Footnote10"/>
        <w:shd w:val="clear" w:color="auto" w:fill="auto"/>
        <w:tabs>
          <w:tab w:val="left" w:pos="197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EA5B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EA5B8F">
        <w:rPr>
          <w:rFonts w:asciiTheme="minorHAnsi" w:hAnsiTheme="minorHAnsi" w:cstheme="minorHAnsi"/>
          <w:b w:val="0"/>
          <w:sz w:val="22"/>
          <w:szCs w:val="22"/>
        </w:rPr>
        <w:tab/>
      </w:r>
      <w:r w:rsidRPr="00EA5B8F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>projektów budowlanych zatwierdzonych decyzjami Nr: 277/WIL/20, 66/WIL/20.</w:t>
      </w:r>
    </w:p>
  </w:footnote>
  <w:footnote w:id="18">
    <w:p w:rsidR="00AF1004" w:rsidRDefault="00B76499" w:rsidP="006F6DEC">
      <w:pPr>
        <w:pStyle w:val="Footnote10"/>
        <w:shd w:val="clear" w:color="auto" w:fill="auto"/>
        <w:tabs>
          <w:tab w:val="left" w:pos="192"/>
        </w:tabs>
        <w:spacing w:before="120" w:after="240" w:line="300" w:lineRule="auto"/>
        <w:ind w:firstLine="0"/>
        <w:contextualSpacing/>
      </w:pPr>
      <w:r w:rsidRPr="00EA5B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EA5B8F">
        <w:rPr>
          <w:rFonts w:asciiTheme="minorHAnsi" w:hAnsiTheme="minorHAnsi" w:cstheme="minorHAnsi"/>
          <w:b w:val="0"/>
          <w:sz w:val="22"/>
          <w:szCs w:val="22"/>
        </w:rPr>
        <w:tab/>
      </w:r>
      <w:r w:rsidRPr="00EA5B8F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>projektów budowlanych zatwierdzonych decyzjami Nr: 145/WIL/22, 342/WIL/17</w:t>
      </w:r>
    </w:p>
  </w:footnote>
  <w:footnote w:id="19">
    <w:p w:rsidR="00AF1004" w:rsidRPr="00EA5B8F" w:rsidRDefault="00B76499" w:rsidP="006F6DEC">
      <w:pPr>
        <w:pStyle w:val="Footnote10"/>
        <w:shd w:val="clear" w:color="auto" w:fill="auto"/>
        <w:tabs>
          <w:tab w:val="left" w:pos="192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EA5B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EA5B8F">
        <w:rPr>
          <w:rFonts w:asciiTheme="minorHAnsi" w:hAnsiTheme="minorHAnsi" w:cstheme="minorHAnsi"/>
          <w:b w:val="0"/>
          <w:sz w:val="22"/>
          <w:szCs w:val="22"/>
        </w:rPr>
        <w:tab/>
        <w:t xml:space="preserve">Dz. U. z 2022 r., poz. 1225 </w:t>
      </w:r>
      <w:proofErr w:type="spellStart"/>
      <w:r w:rsidRPr="00EA5B8F">
        <w:rPr>
          <w:rFonts w:asciiTheme="minorHAnsi" w:hAnsiTheme="minorHAnsi" w:cstheme="minorHAnsi"/>
          <w:b w:val="0"/>
          <w:sz w:val="22"/>
          <w:szCs w:val="22"/>
        </w:rPr>
        <w:t>t.j</w:t>
      </w:r>
      <w:proofErr w:type="spellEnd"/>
      <w:r w:rsidRPr="00EA5B8F">
        <w:rPr>
          <w:rFonts w:asciiTheme="minorHAnsi" w:hAnsiTheme="minorHAnsi" w:cstheme="minorHAnsi"/>
          <w:b w:val="0"/>
          <w:sz w:val="22"/>
          <w:szCs w:val="22"/>
        </w:rPr>
        <w:t>.</w:t>
      </w:r>
    </w:p>
  </w:footnote>
  <w:footnote w:id="20">
    <w:p w:rsidR="00AF1004" w:rsidRPr="00EA5B8F" w:rsidRDefault="00B76499" w:rsidP="006F6DEC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EA5B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="00115850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 xml:space="preserve">Wyrok Wojewódzkiego Sądu Administracyjnego w Poznaniu z dnia 30 stycznia 2019 </w:t>
      </w:r>
      <w:r w:rsidRPr="00EA5B8F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г.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 xml:space="preserve">IV SA/Po </w:t>
      </w:r>
      <w:r w:rsidRPr="00EA5B8F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1052/18, </w:t>
      </w:r>
      <w:r w:rsidRPr="00EA5B8F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LEX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 xml:space="preserve">nr 2624676; Wyrok Naczelnego Sądu Administracyjnego z dnia 26 maja 2020 r. OSK </w:t>
      </w:r>
      <w:r w:rsidRPr="00EA5B8F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2095/19, </w:t>
      </w:r>
      <w:r w:rsidRPr="00EA5B8F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LEX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>nr 3040875.</w:t>
      </w:r>
    </w:p>
  </w:footnote>
  <w:footnote w:id="21">
    <w:p w:rsidR="00AF1004" w:rsidRPr="00EA5B8F" w:rsidRDefault="00B76499" w:rsidP="006F6DEC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EA5B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="00115850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 xml:space="preserve">Postępowania zakończone wydaniem decyzji Nr: 124/WIL/21,145/WIL/22, </w:t>
      </w:r>
      <w:r w:rsidRPr="00EA5B8F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342/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>WIL/17,</w:t>
      </w:r>
    </w:p>
    <w:p w:rsidR="00AF1004" w:rsidRDefault="00B76499" w:rsidP="006F6DEC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jc w:val="left"/>
      </w:pPr>
      <w:r w:rsidRPr="00EA5B8F">
        <w:rPr>
          <w:rFonts w:asciiTheme="minorHAnsi" w:hAnsiTheme="minorHAnsi" w:cstheme="minorHAnsi"/>
          <w:b w:val="0"/>
          <w:sz w:val="22"/>
          <w:szCs w:val="22"/>
        </w:rPr>
        <w:t>66/WIL/20, 265/WIL/21.</w:t>
      </w:r>
    </w:p>
  </w:footnote>
  <w:footnote w:id="22">
    <w:p w:rsidR="00AF1004" w:rsidRPr="00EA5B8F" w:rsidRDefault="00B76499" w:rsidP="006F6DEC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EA5B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="00115850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 xml:space="preserve">Postępowania zakończone wydaniem decyzji Nr: 277/WIL/20, 73/WIL/21, </w:t>
      </w:r>
      <w:r w:rsidRPr="00EA5B8F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359/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>WIL/17.</w:t>
      </w:r>
    </w:p>
  </w:footnote>
  <w:footnote w:id="23">
    <w:p w:rsidR="00AF1004" w:rsidRPr="00EA5B8F" w:rsidRDefault="00B76499" w:rsidP="006F6DEC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EA5B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="00115850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 xml:space="preserve">Postępowania zakończone wydaniem decyzji Nr: 89/WIL/17, 169/WIL/21, 253/WIL/18,15/WIL/22, 233/W </w:t>
      </w:r>
      <w:r w:rsidRPr="00EA5B8F">
        <w:rPr>
          <w:rFonts w:asciiTheme="minorHAnsi" w:hAnsiTheme="minorHAnsi" w:cstheme="minorHAnsi"/>
          <w:b w:val="0"/>
          <w:sz w:val="22"/>
          <w:szCs w:val="22"/>
          <w:lang w:val="de-DE" w:eastAsia="de-DE" w:bidi="de-DE"/>
        </w:rPr>
        <w:t xml:space="preserve">IL/20,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>43/WIL/21.</w:t>
      </w:r>
    </w:p>
  </w:footnote>
  <w:footnote w:id="24">
    <w:p w:rsidR="00AF1004" w:rsidRPr="00EA5B8F" w:rsidRDefault="00B76499" w:rsidP="006F6DEC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EA5B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="00115850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EA5B8F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>projektów budowlanych zatwierdzonych decyzjami: Nr: 89/WIL/17,169/WIL/21, 253/WIL/18.</w:t>
      </w:r>
    </w:p>
  </w:footnote>
  <w:footnote w:id="25">
    <w:p w:rsidR="00AF1004" w:rsidRDefault="00B76499" w:rsidP="006F6DEC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</w:pPr>
      <w:r w:rsidRPr="00EA5B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="00E67F3E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 </w:t>
      </w:r>
      <w:r w:rsidRPr="00EA5B8F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>projektów budowlanych zatwierdzonych decyzjami: Nr: 15/WIL/22, 233/WIL/20.</w:t>
      </w:r>
    </w:p>
  </w:footnote>
  <w:footnote w:id="26">
    <w:p w:rsidR="00AF1004" w:rsidRPr="00EA5B8F" w:rsidRDefault="00B76499" w:rsidP="006F6DEC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EA5B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="00E67F3E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 xml:space="preserve">Wyrok Wojewódzkiego Sądu Administracyjnego w Gdańsku z dnia 5 grudnia 2018 </w:t>
      </w:r>
      <w:r w:rsidRPr="00EA5B8F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г.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 xml:space="preserve">II SA/Gd </w:t>
      </w:r>
      <w:r w:rsidRPr="00EA5B8F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500/18, </w:t>
      </w:r>
      <w:r w:rsidRPr="00EA5B8F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LEX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 xml:space="preserve">nr 2603882; Wyrok Wojewódzkiego Sądu Administracyjnego z dnia 19 grudnia 2012 r II SA/Gd </w:t>
      </w:r>
      <w:r w:rsidRPr="00EA5B8F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528/12, </w:t>
      </w:r>
      <w:r w:rsidRPr="00EA5B8F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LEX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>nr 1234931.</w:t>
      </w:r>
    </w:p>
  </w:footnote>
  <w:footnote w:id="27">
    <w:p w:rsidR="00AF1004" w:rsidRDefault="00B76499" w:rsidP="006F6DEC">
      <w:pPr>
        <w:pStyle w:val="Footnote10"/>
        <w:shd w:val="clear" w:color="auto" w:fill="auto"/>
        <w:tabs>
          <w:tab w:val="left" w:pos="202"/>
        </w:tabs>
        <w:spacing w:before="120" w:after="240" w:line="300" w:lineRule="auto"/>
        <w:ind w:firstLine="0"/>
        <w:contextualSpacing/>
      </w:pPr>
      <w:r w:rsidRPr="00EA5B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EA5B8F">
        <w:rPr>
          <w:rFonts w:asciiTheme="minorHAnsi" w:hAnsiTheme="minorHAnsi" w:cstheme="minorHAnsi"/>
          <w:b w:val="0"/>
          <w:sz w:val="22"/>
          <w:szCs w:val="22"/>
        </w:rPr>
        <w:tab/>
      </w:r>
      <w:r w:rsidR="00EE6F9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>projektów budowlanych zatwierdzonych decyzjami o nr: 281/WIL/19, 277/WIL/20, 87/WIL/17.</w:t>
      </w:r>
    </w:p>
  </w:footnote>
  <w:footnote w:id="28">
    <w:p w:rsidR="00AF1004" w:rsidRPr="00EA5B8F" w:rsidRDefault="00B76499" w:rsidP="006F6DEC">
      <w:pPr>
        <w:pStyle w:val="Footnote10"/>
        <w:shd w:val="clear" w:color="auto" w:fill="auto"/>
        <w:tabs>
          <w:tab w:val="left" w:pos="206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EA5B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EA5B8F">
        <w:rPr>
          <w:rFonts w:asciiTheme="minorHAnsi" w:hAnsiTheme="minorHAnsi" w:cstheme="minorHAnsi"/>
          <w:b w:val="0"/>
          <w:sz w:val="22"/>
          <w:szCs w:val="22"/>
        </w:rPr>
        <w:tab/>
      </w:r>
      <w:r w:rsidRPr="00EA5B8F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>projektów budowlanych zatwierdzonych decyzjami o nr: 87/WIL/17 i Nr 277/WIL/20.</w:t>
      </w:r>
    </w:p>
  </w:footnote>
  <w:footnote w:id="29">
    <w:p w:rsidR="00AF1004" w:rsidRPr="00EA5B8F" w:rsidRDefault="00B76499" w:rsidP="006F6DEC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right="940" w:firstLine="0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EA5B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="00EE6F93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EA5B8F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 xml:space="preserve">postępowań zakończonych wydaniem decyzji Nr: 169/WIL/21, </w:t>
      </w:r>
      <w:r w:rsidRPr="00EA5B8F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60/WIL/19,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>277/WIL/20, 66/WIL/20, 359/WIL/17.</w:t>
      </w:r>
    </w:p>
  </w:footnote>
  <w:footnote w:id="30">
    <w:p w:rsidR="00AF1004" w:rsidRDefault="00B76499" w:rsidP="006F6DEC">
      <w:pPr>
        <w:pStyle w:val="Footnote10"/>
        <w:shd w:val="clear" w:color="auto" w:fill="auto"/>
        <w:tabs>
          <w:tab w:val="left" w:pos="206"/>
        </w:tabs>
        <w:spacing w:before="120" w:after="240" w:line="300" w:lineRule="auto"/>
        <w:ind w:firstLine="0"/>
        <w:contextualSpacing/>
      </w:pPr>
      <w:r w:rsidRPr="00EA5B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EA5B8F">
        <w:rPr>
          <w:rFonts w:asciiTheme="minorHAnsi" w:hAnsiTheme="minorHAnsi" w:cstheme="minorHAnsi"/>
          <w:b w:val="0"/>
          <w:sz w:val="22"/>
          <w:szCs w:val="22"/>
        </w:rPr>
        <w:tab/>
      </w:r>
      <w:r w:rsidRPr="00EA5B8F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>decyzji nr 60/WIL/19.</w:t>
      </w:r>
    </w:p>
  </w:footnote>
  <w:footnote w:id="31">
    <w:p w:rsidR="00AF1004" w:rsidRPr="00EA5B8F" w:rsidRDefault="00B76499" w:rsidP="006F6DEC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right="260"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EA5B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="00EE6F93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>Decyzje Nr: 342/WIL/17, 73/WIL/21, 169/WIL/21, 253/WIL/18, 15/WIL/22, 89/WIL/17, 145/WIL/22, 277/WIL/20, 66/WIL/20, 60/WIL/19, 182/WIL/21, 233/WIL/20, 247/WIL/19,124/WIL/21, 281/WIL/19 oraz 359/W I L/17;</w:t>
      </w:r>
    </w:p>
  </w:footnote>
  <w:footnote w:id="32">
    <w:p w:rsidR="00AF1004" w:rsidRPr="00EA5B8F" w:rsidRDefault="00B76499" w:rsidP="006F6DEC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EA5B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="00EE6F93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>Decyzje Nr: 342/WIL/17, 73/WIL/21, 169/WIL/21, 253/WIL/18, 15/WIL/22, 89/WIL/17, 145/WIL/22, 277/WIL/20, 66/WIL/20, 60/WIL/19, 182/WIL/21, 233/WIL/20, 247/WIL/19, 124/WIL/21, 281/WIL/19, 359/WIL/17, 265/WIL21,43/WIL/21, 262/WIL/21;</w:t>
      </w:r>
    </w:p>
  </w:footnote>
  <w:footnote w:id="33">
    <w:p w:rsidR="00AF1004" w:rsidRDefault="00B76499" w:rsidP="006F6DEC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</w:pPr>
      <w:r w:rsidRPr="00EA5B8F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="00EE6F93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EA5B8F">
        <w:rPr>
          <w:rFonts w:asciiTheme="minorHAnsi" w:hAnsiTheme="minorHAnsi" w:cstheme="minorHAnsi"/>
          <w:b w:val="0"/>
          <w:sz w:val="22"/>
          <w:szCs w:val="22"/>
        </w:rPr>
        <w:t>Decyzje Nr: 265/WIL21, 43/WIL/21 oraz 262/WIL/21;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28D" w:rsidRDefault="0055428D">
    <w:pPr>
      <w:pStyle w:val="Nagwek"/>
    </w:pPr>
    <w:r>
      <w:rPr>
        <w:noProof/>
      </w:rPr>
      <w:drawing>
        <wp:inline distT="0" distB="0" distL="0" distR="0" wp14:anchorId="32882C4E" wp14:editId="2D187A43">
          <wp:extent cx="5641340" cy="1059617"/>
          <wp:effectExtent l="0" t="0" r="0" b="7620"/>
          <wp:docPr id="7" name="Obraz 7" descr="Prezydent Miasta Stołecznego Warszawy, pl. Bankowy 3/5, 00-950 Warszawa, tel. 22 443 10 01, faks 22 443 10 02, sekretariatprezydenta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rezydent Miasta Stołecznego Warszawy, pl. Bankowy 3/5, 00-950 Warszawa, tel. 22 443 10 01, faks 22 443 10 02, sekretariatprezydenta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1340" cy="10596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70F42"/>
    <w:multiLevelType w:val="multilevel"/>
    <w:tmpl w:val="21B4449C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B043E0"/>
    <w:multiLevelType w:val="multilevel"/>
    <w:tmpl w:val="33C0D11E"/>
    <w:lvl w:ilvl="0">
      <w:start w:val="1"/>
      <w:numFmt w:val="lowerLetter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FF2E47"/>
    <w:multiLevelType w:val="multilevel"/>
    <w:tmpl w:val="2E024ABC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59605B"/>
    <w:multiLevelType w:val="multilevel"/>
    <w:tmpl w:val="93B02F62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F321BF0"/>
    <w:multiLevelType w:val="multilevel"/>
    <w:tmpl w:val="D572296A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330A9D"/>
    <w:multiLevelType w:val="multilevel"/>
    <w:tmpl w:val="BBCE629C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62E7AFE"/>
    <w:multiLevelType w:val="multilevel"/>
    <w:tmpl w:val="5F42B9B0"/>
    <w:lvl w:ilvl="0">
      <w:start w:val="1"/>
      <w:numFmt w:val="bullet"/>
      <w:lvlText w:val="-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4C03DB2"/>
    <w:multiLevelType w:val="multilevel"/>
    <w:tmpl w:val="2418F55C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004"/>
    <w:rsid w:val="00062D87"/>
    <w:rsid w:val="000C38A6"/>
    <w:rsid w:val="00115850"/>
    <w:rsid w:val="003A0B33"/>
    <w:rsid w:val="004E378F"/>
    <w:rsid w:val="0055428D"/>
    <w:rsid w:val="0063552B"/>
    <w:rsid w:val="006612A1"/>
    <w:rsid w:val="006B119E"/>
    <w:rsid w:val="006F6DEC"/>
    <w:rsid w:val="00AA0AF4"/>
    <w:rsid w:val="00AF1004"/>
    <w:rsid w:val="00B76499"/>
    <w:rsid w:val="00E67F3E"/>
    <w:rsid w:val="00EA5B8F"/>
    <w:rsid w:val="00EB21C6"/>
    <w:rsid w:val="00EE6F93"/>
    <w:rsid w:val="00F4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A809CC2D-4319-473B-91B9-3AA27C226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42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2Exact">
    <w:name w:val="Body text|2 Exact"/>
    <w:basedOn w:val="Domylnaczcionkaakapitu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2Exact0">
    <w:name w:val="Body text|2 Exact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666A91"/>
      <w:sz w:val="17"/>
      <w:szCs w:val="17"/>
      <w:u w:val="none"/>
    </w:rPr>
  </w:style>
  <w:style w:type="character" w:customStyle="1" w:styleId="Bodytext2NotBoldItalicExact">
    <w:name w:val="Body text|2 + Not Bold;Italic Exact"/>
    <w:basedOn w:val="Bodytext2"/>
    <w:semiHidden/>
    <w:unhideWhenUsed/>
    <w:rPr>
      <w:rFonts w:ascii="Arial" w:eastAsia="Arial" w:hAnsi="Arial" w:cs="Arial"/>
      <w:b/>
      <w:bCs/>
      <w:i/>
      <w:iCs/>
      <w:smallCaps w:val="0"/>
      <w:strike w:val="0"/>
      <w:color w:val="666A91"/>
      <w:sz w:val="17"/>
      <w:szCs w:val="17"/>
      <w:u w:val="none"/>
    </w:rPr>
  </w:style>
  <w:style w:type="character" w:customStyle="1" w:styleId="Picturecaption1Exact">
    <w:name w:val="Picture caption|1 Exact"/>
    <w:basedOn w:val="Domylnaczcionkaakapitu"/>
    <w:link w:val="Picturecaption1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icturecaption1Exact0">
    <w:name w:val="Picture caption|1 Exact"/>
    <w:basedOn w:val="Picturecaption1Exact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DC6A8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/>
      <w:bCs/>
      <w:i w:val="0"/>
      <w:iCs w:val="0"/>
      <w:smallCaps w:val="0"/>
      <w:strike w:val="0"/>
      <w:w w:val="75"/>
      <w:u w:val="none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13"/>
      <w:szCs w:val="13"/>
      <w:u w:val="none"/>
      <w:lang w:val="en-US" w:eastAsia="en-US" w:bidi="en-US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9pt">
    <w:name w:val="Body text|2 + 9 pt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Headerorfooter1">
    <w:name w:val="Header or footer|1_"/>
    <w:basedOn w:val="Domylnaczcionkaakapitu"/>
    <w:link w:val="Headerorfooter10"/>
    <w:rPr>
      <w:b/>
      <w:bCs/>
      <w:i w:val="0"/>
      <w:iCs w:val="0"/>
      <w:smallCaps w:val="0"/>
      <w:strike w:val="0"/>
      <w:sz w:val="22"/>
      <w:szCs w:val="22"/>
      <w:u w:val="none"/>
      <w:lang w:val="ru-RU" w:eastAsia="ru-RU" w:bidi="ru-RU"/>
    </w:rPr>
  </w:style>
  <w:style w:type="character" w:customStyle="1" w:styleId="Headerorfooter11">
    <w:name w:val="Header or footer|1"/>
    <w:basedOn w:val="Headerorfooter1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21">
    <w:name w:val="Body text|2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Bodytext295pt">
    <w:name w:val="Body text|2 + 9.5 pt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2NotBoldItalic">
    <w:name w:val="Body text|2 + Not Bold;Italic"/>
    <w:basedOn w:val="Bodytext2"/>
    <w:semiHidden/>
    <w:unhideWhenUsed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Bodytext5">
    <w:name w:val="Body text|5_"/>
    <w:basedOn w:val="Domylnaczcionkaakapitu"/>
    <w:link w:val="Bodytext5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216" w:lineRule="exact"/>
      <w:ind w:hanging="260"/>
      <w:jc w:val="both"/>
    </w:pPr>
    <w:rPr>
      <w:rFonts w:ascii="Arial" w:eastAsia="Arial" w:hAnsi="Arial" w:cs="Arial"/>
      <w:b/>
      <w:bCs/>
      <w:sz w:val="17"/>
      <w:szCs w:val="17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line="190" w:lineRule="exact"/>
      <w:ind w:hanging="500"/>
    </w:pPr>
    <w:rPr>
      <w:rFonts w:ascii="Arial" w:eastAsia="Arial" w:hAnsi="Arial" w:cs="Arial"/>
      <w:b/>
      <w:bCs/>
      <w:sz w:val="17"/>
      <w:szCs w:val="17"/>
    </w:rPr>
  </w:style>
  <w:style w:type="paragraph" w:customStyle="1" w:styleId="Picturecaption1">
    <w:name w:val="Picture caption|1"/>
    <w:basedOn w:val="Normalny"/>
    <w:link w:val="Picturecaption1Exact"/>
    <w:qFormat/>
    <w:pPr>
      <w:shd w:val="clear" w:color="auto" w:fill="FFFFFF"/>
      <w:spacing w:line="211" w:lineRule="exact"/>
      <w:jc w:val="center"/>
    </w:pPr>
    <w:rPr>
      <w:rFonts w:ascii="Arial" w:eastAsia="Arial" w:hAnsi="Arial" w:cs="Arial"/>
      <w:sz w:val="17"/>
      <w:szCs w:val="17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line="268" w:lineRule="exact"/>
      <w:outlineLvl w:val="0"/>
    </w:pPr>
    <w:rPr>
      <w:rFonts w:ascii="Arial" w:eastAsia="Arial" w:hAnsi="Arial" w:cs="Arial"/>
      <w:b/>
      <w:bCs/>
      <w:w w:val="75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line="202" w:lineRule="exact"/>
    </w:pPr>
    <w:rPr>
      <w:rFonts w:ascii="Arial" w:eastAsia="Arial" w:hAnsi="Arial" w:cs="Arial"/>
      <w:b/>
      <w:bCs/>
      <w:sz w:val="13"/>
      <w:szCs w:val="13"/>
      <w:lang w:val="en-US" w:eastAsia="en-US" w:bidi="en-US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before="880" w:line="326" w:lineRule="exact"/>
    </w:pPr>
    <w:rPr>
      <w:rFonts w:ascii="Arial" w:eastAsia="Arial" w:hAnsi="Arial" w:cs="Arial"/>
      <w:b/>
      <w:bCs/>
      <w:sz w:val="18"/>
      <w:szCs w:val="18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44" w:lineRule="exact"/>
    </w:pPr>
    <w:rPr>
      <w:b/>
      <w:bCs/>
      <w:sz w:val="22"/>
      <w:szCs w:val="22"/>
      <w:lang w:val="ru-RU" w:eastAsia="ru-RU" w:bidi="ru-RU"/>
    </w:rPr>
  </w:style>
  <w:style w:type="paragraph" w:customStyle="1" w:styleId="Bodytext50">
    <w:name w:val="Body text|5"/>
    <w:basedOn w:val="Normalny"/>
    <w:link w:val="Bodytext5"/>
    <w:pPr>
      <w:shd w:val="clear" w:color="auto" w:fill="FFFFFF"/>
      <w:spacing w:after="320" w:line="190" w:lineRule="exact"/>
      <w:jc w:val="right"/>
    </w:pPr>
    <w:rPr>
      <w:rFonts w:ascii="Arial" w:eastAsia="Arial" w:hAnsi="Arial" w:cs="Arial"/>
      <w:sz w:val="17"/>
      <w:szCs w:val="17"/>
    </w:rPr>
  </w:style>
  <w:style w:type="paragraph" w:styleId="Nagwek">
    <w:name w:val="header"/>
    <w:basedOn w:val="Normalny"/>
    <w:link w:val="NagwekZnak"/>
    <w:rsid w:val="003A0B33"/>
    <w:pPr>
      <w:widowControl/>
      <w:tabs>
        <w:tab w:val="center" w:pos="4536"/>
        <w:tab w:val="right" w:pos="9072"/>
      </w:tabs>
      <w:spacing w:after="240" w:line="300" w:lineRule="auto"/>
    </w:pPr>
    <w:rPr>
      <w:rFonts w:asciiTheme="minorHAnsi" w:hAnsiTheme="minorHAnsi"/>
      <w:color w:val="auto"/>
      <w:sz w:val="22"/>
      <w:lang w:bidi="ar-SA"/>
    </w:rPr>
  </w:style>
  <w:style w:type="character" w:customStyle="1" w:styleId="NagwekZnak">
    <w:name w:val="Nagłówek Znak"/>
    <w:basedOn w:val="Domylnaczcionkaakapitu"/>
    <w:link w:val="Nagwek"/>
    <w:rsid w:val="003A0B33"/>
    <w:rPr>
      <w:rFonts w:asciiTheme="minorHAnsi" w:hAnsiTheme="minorHAnsi"/>
      <w:sz w:val="2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5542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428D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5542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mapa.um.warszawa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4168</Words>
  <Characters>25012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00206BFA04F1230404150737</vt:lpstr>
    </vt:vector>
  </TitlesOfParts>
  <Company>UMSTW</Company>
  <LinksUpToDate>false</LinksUpToDate>
  <CharactersWithSpaces>29122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00206BFA04F1230404150737</dc:title>
  <dc:subject/>
  <dc:creator>Marzanna Urban</dc:creator>
  <cp:keywords/>
  <cp:lastModifiedBy>Nalazek Izabela (KW)</cp:lastModifiedBy>
  <cp:revision>15</cp:revision>
  <dcterms:created xsi:type="dcterms:W3CDTF">2023-04-14T08:03:00Z</dcterms:created>
  <dcterms:modified xsi:type="dcterms:W3CDTF">2024-04-30T10:52:00Z</dcterms:modified>
</cp:coreProperties>
</file>