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BC5" w:rsidRPr="00CE5BC5" w:rsidRDefault="00CE5BC5" w:rsidP="00CE5BC5">
      <w:pPr>
        <w:pStyle w:val="Bodytext20"/>
        <w:shd w:val="clear" w:color="auto" w:fill="auto"/>
        <w:tabs>
          <w:tab w:val="left" w:pos="6540"/>
        </w:tabs>
        <w:spacing w:before="120" w:after="240" w:line="300" w:lineRule="auto"/>
        <w:ind w:left="5664" w:firstLine="0"/>
        <w:contextualSpacing/>
        <w:rPr>
          <w:rFonts w:asciiTheme="minorHAnsi" w:hAnsiTheme="minorHAnsi" w:cstheme="minorHAnsi"/>
          <w:sz w:val="22"/>
          <w:szCs w:val="22"/>
        </w:rPr>
      </w:pPr>
      <w:r w:rsidRPr="00CE5BC5">
        <w:rPr>
          <w:rFonts w:asciiTheme="minorHAnsi" w:hAnsiTheme="minorHAnsi" w:cstheme="minorHAnsi"/>
          <w:sz w:val="22"/>
          <w:szCs w:val="22"/>
        </w:rPr>
        <w:t>Warszawa, 31 października 2022 r.</w:t>
      </w:r>
    </w:p>
    <w:p w:rsidR="007469D5" w:rsidRPr="00CE5BC5" w:rsidRDefault="00CE5BC5" w:rsidP="00CE5BC5">
      <w:pPr>
        <w:pStyle w:val="Bodytext20"/>
        <w:shd w:val="clear" w:color="auto" w:fill="auto"/>
        <w:tabs>
          <w:tab w:val="left" w:pos="6540"/>
        </w:tabs>
        <w:spacing w:before="120" w:after="240" w:line="300" w:lineRule="auto"/>
        <w:ind w:left="198" w:firstLine="0"/>
        <w:contextualSpacing/>
        <w:rPr>
          <w:rFonts w:asciiTheme="minorHAnsi" w:hAnsiTheme="minorHAnsi" w:cstheme="minorHAnsi"/>
          <w:sz w:val="22"/>
          <w:szCs w:val="22"/>
        </w:rPr>
      </w:pPr>
      <w:r w:rsidRPr="00CE5BC5">
        <w:rPr>
          <w:rFonts w:asciiTheme="minorHAnsi" w:hAnsiTheme="minorHAnsi" w:cstheme="minorHAnsi"/>
          <w:b/>
          <w:sz w:val="22"/>
          <w:szCs w:val="22"/>
        </w:rPr>
        <w:t>Znak sprawy:</w:t>
      </w:r>
      <w:r w:rsidRPr="00CE5BC5">
        <w:rPr>
          <w:rFonts w:asciiTheme="minorHAnsi" w:hAnsiTheme="minorHAnsi" w:cstheme="minorHAnsi"/>
          <w:sz w:val="22"/>
          <w:szCs w:val="22"/>
        </w:rPr>
        <w:t xml:space="preserve"> </w:t>
      </w:r>
      <w:r w:rsidR="00954BA3" w:rsidRPr="00CE5BC5">
        <w:rPr>
          <w:rFonts w:asciiTheme="minorHAnsi" w:hAnsiTheme="minorHAnsi" w:cstheme="minorHAnsi"/>
          <w:sz w:val="22"/>
          <w:szCs w:val="22"/>
        </w:rPr>
        <w:t>KW-WP.1712.45.2022.BLE</w:t>
      </w:r>
    </w:p>
    <w:p w:rsidR="007469D5" w:rsidRPr="00CE5BC5" w:rsidRDefault="00954BA3" w:rsidP="00CE5BC5">
      <w:pPr>
        <w:pStyle w:val="Bodytext50"/>
        <w:shd w:val="clear" w:color="auto" w:fill="auto"/>
        <w:spacing w:before="240" w:after="680" w:line="300" w:lineRule="auto"/>
        <w:ind w:left="4820"/>
        <w:contextualSpacing/>
        <w:rPr>
          <w:rFonts w:asciiTheme="minorHAnsi" w:hAnsiTheme="minorHAnsi" w:cstheme="minorHAnsi"/>
          <w:sz w:val="22"/>
          <w:szCs w:val="22"/>
        </w:rPr>
      </w:pPr>
      <w:r w:rsidRPr="00CE5BC5">
        <w:rPr>
          <w:rFonts w:asciiTheme="minorHAnsi" w:hAnsiTheme="minorHAnsi" w:cstheme="minorHAnsi"/>
          <w:sz w:val="22"/>
          <w:szCs w:val="22"/>
        </w:rPr>
        <w:t>Pani</w:t>
      </w:r>
    </w:p>
    <w:p w:rsidR="00CE5BC5" w:rsidRPr="00CE5BC5" w:rsidRDefault="0001008D" w:rsidP="00CE5BC5">
      <w:pPr>
        <w:pStyle w:val="Bodytext50"/>
        <w:shd w:val="clear" w:color="auto" w:fill="auto"/>
        <w:spacing w:before="240" w:after="680" w:line="300" w:lineRule="auto"/>
        <w:ind w:left="4820" w:right="2260"/>
        <w:contextualSpacing/>
        <w:rPr>
          <w:rFonts w:asciiTheme="minorHAnsi" w:hAnsiTheme="minorHAnsi" w:cstheme="minorHAnsi"/>
          <w:sz w:val="22"/>
          <w:szCs w:val="22"/>
        </w:rPr>
      </w:pPr>
      <w:r w:rsidRPr="00CE5BC5">
        <w:rPr>
          <w:rFonts w:asciiTheme="minorHAnsi" w:hAnsiTheme="minorHAnsi" w:cstheme="minorHAnsi"/>
          <w:sz w:val="22"/>
          <w:szCs w:val="22"/>
        </w:rPr>
        <w:t>Barbara Karni</w:t>
      </w:r>
      <w:r w:rsidR="00954BA3" w:rsidRPr="00CE5BC5">
        <w:rPr>
          <w:rFonts w:asciiTheme="minorHAnsi" w:hAnsiTheme="minorHAnsi" w:cstheme="minorHAnsi"/>
          <w:sz w:val="22"/>
          <w:szCs w:val="22"/>
        </w:rPr>
        <w:t>ewska</w:t>
      </w:r>
    </w:p>
    <w:p w:rsidR="007469D5" w:rsidRPr="00CE5BC5" w:rsidRDefault="0001008D" w:rsidP="00CE5BC5">
      <w:pPr>
        <w:pStyle w:val="Bodytext50"/>
        <w:shd w:val="clear" w:color="auto" w:fill="auto"/>
        <w:spacing w:before="240" w:after="680" w:line="300" w:lineRule="auto"/>
        <w:ind w:left="4820" w:right="2260"/>
        <w:contextualSpacing/>
        <w:rPr>
          <w:rFonts w:asciiTheme="minorHAnsi" w:hAnsiTheme="minorHAnsi" w:cstheme="minorHAnsi"/>
          <w:sz w:val="22"/>
          <w:szCs w:val="22"/>
        </w:rPr>
      </w:pPr>
      <w:r w:rsidRPr="00CE5BC5">
        <w:rPr>
          <w:rFonts w:asciiTheme="minorHAnsi" w:hAnsiTheme="minorHAnsi" w:cstheme="minorHAnsi"/>
          <w:sz w:val="22"/>
          <w:szCs w:val="22"/>
        </w:rPr>
        <w:t xml:space="preserve"> </w:t>
      </w:r>
      <w:r w:rsidR="00954BA3" w:rsidRPr="00CE5BC5">
        <w:rPr>
          <w:rFonts w:asciiTheme="minorHAnsi" w:hAnsiTheme="minorHAnsi" w:cstheme="minorHAnsi"/>
          <w:sz w:val="22"/>
          <w:szCs w:val="22"/>
        </w:rPr>
        <w:t>Dyrektor</w:t>
      </w:r>
    </w:p>
    <w:p w:rsidR="007469D5" w:rsidRPr="00CE5BC5" w:rsidRDefault="00954BA3" w:rsidP="00CE5BC5">
      <w:pPr>
        <w:pStyle w:val="Bodytext50"/>
        <w:shd w:val="clear" w:color="auto" w:fill="auto"/>
        <w:spacing w:before="240" w:after="680" w:line="300" w:lineRule="auto"/>
        <w:ind w:left="4820"/>
        <w:contextualSpacing/>
        <w:rPr>
          <w:rFonts w:asciiTheme="minorHAnsi" w:hAnsiTheme="minorHAnsi" w:cstheme="minorHAnsi"/>
          <w:sz w:val="22"/>
          <w:szCs w:val="22"/>
        </w:rPr>
      </w:pPr>
      <w:r w:rsidRPr="00CE5BC5">
        <w:rPr>
          <w:rFonts w:asciiTheme="minorHAnsi" w:hAnsiTheme="minorHAnsi" w:cstheme="minorHAnsi"/>
          <w:sz w:val="22"/>
          <w:szCs w:val="22"/>
        </w:rPr>
        <w:t>Wawerskiego Centrum Kultury</w:t>
      </w:r>
    </w:p>
    <w:p w:rsidR="007469D5" w:rsidRDefault="00954BA3" w:rsidP="00CE5BC5">
      <w:pPr>
        <w:pStyle w:val="Nagwek1"/>
        <w:ind w:left="3540"/>
        <w:rPr>
          <w:rFonts w:asciiTheme="minorHAnsi" w:hAnsiTheme="minorHAnsi" w:cstheme="minorHAnsi"/>
          <w:b/>
          <w:color w:val="auto"/>
          <w:sz w:val="22"/>
          <w:szCs w:val="22"/>
        </w:rPr>
      </w:pPr>
      <w:r w:rsidRPr="00CE5BC5">
        <w:rPr>
          <w:rFonts w:asciiTheme="minorHAnsi" w:hAnsiTheme="minorHAnsi" w:cstheme="minorHAnsi"/>
          <w:b/>
          <w:color w:val="auto"/>
          <w:sz w:val="22"/>
          <w:szCs w:val="22"/>
        </w:rPr>
        <w:t>Wystąpienie pokontrolne</w:t>
      </w:r>
    </w:p>
    <w:p w:rsidR="005E5060" w:rsidRPr="005E5060" w:rsidRDefault="005E5060" w:rsidP="005E5060"/>
    <w:p w:rsid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 xml:space="preserve">Na podstawie § 22 ust. 10 Regulaminu organizacyjnego Urzędu miasta stołecznego Warszawy, stanowiącego załącznik do zarządzenia Nr </w:t>
      </w:r>
      <w:r w:rsidRPr="00CE5BC5">
        <w:rPr>
          <w:rFonts w:asciiTheme="minorHAnsi" w:hAnsiTheme="minorHAnsi" w:cstheme="minorHAnsi"/>
          <w:sz w:val="22"/>
          <w:szCs w:val="22"/>
          <w:lang w:val="ru-RU" w:eastAsia="ru-RU" w:bidi="ru-RU"/>
        </w:rPr>
        <w:t xml:space="preserve">312/2007 </w:t>
      </w:r>
      <w:r w:rsidRPr="00CE5BC5">
        <w:rPr>
          <w:rFonts w:asciiTheme="minorHAnsi" w:hAnsiTheme="minorHAnsi" w:cstheme="minorHAnsi"/>
          <w:sz w:val="22"/>
          <w:szCs w:val="22"/>
        </w:rPr>
        <w:t xml:space="preserve">Prezydenta miasta stołecznego Warszawy z dnia 4 kwietnia 2007 r. w sprawie nadania regulaminu organizacyjnego Urzędu miasta stołecznego Warszawy (z późn. zm.), w związku z kontrolą przeprowadzoną przez Biuro Kontroli Urzędu m.st. Warszawy w Wawerskim Centrum Kultury w okresie od 28 czerwca 2022 r. do 19 lipca 2022 r., w zakresie realizacji zadań statutowych, prowadzenia spraw kadrowych oraz zamówień publicznych poniżej 130 000 zł, której wyniki zostały przedstawione w protokole kontroli podpisanym w dniu 19 lipca 2022 r., stosownie do § 32 ust. 5 Zarządzenia nr </w:t>
      </w:r>
      <w:r w:rsidRPr="00CE5BC5">
        <w:rPr>
          <w:rFonts w:asciiTheme="minorHAnsi" w:hAnsiTheme="minorHAnsi" w:cstheme="minorHAnsi"/>
          <w:sz w:val="22"/>
          <w:szCs w:val="22"/>
          <w:lang w:val="ru-RU" w:eastAsia="ru-RU" w:bidi="ru-RU"/>
        </w:rPr>
        <w:t xml:space="preserve">1837/2019 </w:t>
      </w:r>
      <w:r w:rsidRPr="00CE5BC5">
        <w:rPr>
          <w:rFonts w:asciiTheme="minorHAnsi" w:hAnsiTheme="minorHAnsi" w:cstheme="minorHAnsi"/>
          <w:sz w:val="22"/>
          <w:szCs w:val="22"/>
        </w:rPr>
        <w:t>Prezydenta miasta stołecznego Warszawy z dnia 12 grudnia 2019 r. w sprawie zasad i trybu postępowania kontrolnego (zwanego dalej: Zarządzeniem), przekazuję Pani niniejsze wystąpienie pokontrolne.</w:t>
      </w:r>
      <w:r w:rsidR="00CE5BC5">
        <w:rPr>
          <w:rFonts w:asciiTheme="minorHAnsi" w:hAnsiTheme="minorHAnsi" w:cstheme="minorHAnsi"/>
          <w:sz w:val="22"/>
          <w:szCs w:val="22"/>
        </w:rPr>
        <w:t xml:space="preserve"> </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 xml:space="preserve">Kontrolą objęto działalność Wawerskiego Centrum Kultury (dalej: WCR) w 2021 r., prowadzoną w oparciu o statut stanowiący załącznik do uchwały nr </w:t>
      </w:r>
      <w:r w:rsidRPr="00CE5BC5">
        <w:rPr>
          <w:rFonts w:asciiTheme="minorHAnsi" w:hAnsiTheme="minorHAnsi" w:cstheme="minorHAnsi"/>
          <w:sz w:val="22"/>
          <w:szCs w:val="22"/>
          <w:lang w:val="en-US" w:eastAsia="en-US" w:bidi="en-US"/>
        </w:rPr>
        <w:t xml:space="preserve">LXXX/2053/2014 </w:t>
      </w:r>
      <w:r w:rsidRPr="00CE5BC5">
        <w:rPr>
          <w:rFonts w:asciiTheme="minorHAnsi" w:hAnsiTheme="minorHAnsi" w:cstheme="minorHAnsi"/>
          <w:sz w:val="22"/>
          <w:szCs w:val="22"/>
        </w:rPr>
        <w:t>Rady Miasta Stołecznego Warszawy z dnia 3 kwietnia 2014 r. w sprawie połączenia Klubu Kultury „Aleksandrów", Klubu Kultury „Anin", Klubu Kultury „Falenica", Klubu Kultury „Marysin", Klubu Kultury „Radość" i Klubu Kultury „Zastów" oraz nadanie nowej instytucji kultury statutu. Ocenie poddano sposób realizacji w kontrolowanym okresie zadań statutowych w wybranych obszarach, tj.: prowadzenia systematycznej działalności tematycznej w różnych dziedzinach edukacji kulturalnej, prowadzenia polityki kadrowej i spraw kadrowych (w tym udzielania pełnomocnictw i upoważnień, powierzania pracownikom zakresu obowiązków służbowych, zawierania z pracownikami etatowymi umów cywilnoprawnych); sposobu udzielania zamówień publicznych tzw. podprogowych; prawidłowości i terminowości sporządzania planów i sprawozdań finansowych oraz wykorzystania i rozliczenia dotacji podmiotowych m.st. Warszawy.</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 xml:space="preserve">Stwierdzono, że w kontrolowanym okresie WCK w stosownych terminach przekazało do Dzielnicy Wawer m.st. Warszawy projekt planu finansowego i plan finansowy za 2021 r., uwzględniający </w:t>
      </w:r>
      <w:r w:rsidRPr="00CE5BC5">
        <w:rPr>
          <w:rFonts w:asciiTheme="minorHAnsi" w:hAnsiTheme="minorHAnsi" w:cstheme="minorHAnsi"/>
          <w:sz w:val="22"/>
          <w:szCs w:val="22"/>
        </w:rPr>
        <w:lastRenderedPageBreak/>
        <w:t>wysokość przyznanej na dany rok dotacji podmiotowej</w:t>
      </w:r>
      <w:r w:rsidRPr="00CE5BC5">
        <w:rPr>
          <w:rFonts w:asciiTheme="minorHAnsi" w:hAnsiTheme="minorHAnsi" w:cstheme="minorHAnsi"/>
          <w:sz w:val="22"/>
          <w:szCs w:val="22"/>
          <w:vertAlign w:val="superscript"/>
        </w:rPr>
        <w:footnoteReference w:id="1"/>
      </w:r>
      <w:r w:rsidRPr="00CE5BC5">
        <w:rPr>
          <w:rFonts w:asciiTheme="minorHAnsi" w:hAnsiTheme="minorHAnsi" w:cstheme="minorHAnsi"/>
          <w:sz w:val="22"/>
          <w:szCs w:val="22"/>
        </w:rPr>
        <w:t xml:space="preserve">oraz sprawozdanie z wykonania planu finansowego za 2021 r. WCK zgodnie z </w:t>
      </w:r>
      <w:r w:rsidRPr="00CE5BC5">
        <w:rPr>
          <w:rFonts w:asciiTheme="minorHAnsi" w:hAnsiTheme="minorHAnsi" w:cstheme="minorHAnsi"/>
          <w:sz w:val="22"/>
          <w:szCs w:val="22"/>
          <w:lang w:val="en-US" w:eastAsia="en-US" w:bidi="en-US"/>
        </w:rPr>
        <w:t xml:space="preserve">art. </w:t>
      </w:r>
      <w:r w:rsidRPr="00CE5BC5">
        <w:rPr>
          <w:rFonts w:asciiTheme="minorHAnsi" w:hAnsiTheme="minorHAnsi" w:cstheme="minorHAnsi"/>
          <w:sz w:val="22"/>
          <w:szCs w:val="22"/>
        </w:rPr>
        <w:t>52 ustawy z dnia 29 września 1994 r. o rachunkowości</w:t>
      </w:r>
      <w:r w:rsidRPr="00CE5BC5">
        <w:rPr>
          <w:rFonts w:asciiTheme="minorHAnsi" w:hAnsiTheme="minorHAnsi" w:cstheme="minorHAnsi"/>
          <w:sz w:val="22"/>
          <w:szCs w:val="22"/>
          <w:vertAlign w:val="superscript"/>
        </w:rPr>
        <w:footnoteReference w:id="2"/>
      </w:r>
      <w:r w:rsidRPr="00CE5BC5">
        <w:rPr>
          <w:rFonts w:asciiTheme="minorHAnsi" w:hAnsiTheme="minorHAnsi" w:cstheme="minorHAnsi"/>
          <w:sz w:val="22"/>
          <w:szCs w:val="22"/>
        </w:rPr>
        <w:t xml:space="preserve">oraz § 11 ust. 3 statutu przekazało do Dzielnicy Wawer m.st. Warszawy sprawozdanie finansowe za 2021 r. Pismem znak </w:t>
      </w:r>
      <w:r w:rsidRPr="00CE5BC5">
        <w:rPr>
          <w:rFonts w:asciiTheme="minorHAnsi" w:hAnsiTheme="minorHAnsi" w:cstheme="minorHAnsi"/>
          <w:sz w:val="22"/>
          <w:szCs w:val="22"/>
          <w:lang w:val="en-US" w:eastAsia="en-US" w:bidi="en-US"/>
        </w:rPr>
        <w:t xml:space="preserve">UD-XIII-WKS.3024.1.2022.DML </w:t>
      </w:r>
      <w:r w:rsidRPr="00CE5BC5">
        <w:rPr>
          <w:rFonts w:asciiTheme="minorHAnsi" w:hAnsiTheme="minorHAnsi" w:cstheme="minorHAnsi"/>
          <w:sz w:val="22"/>
          <w:szCs w:val="22"/>
        </w:rPr>
        <w:t xml:space="preserve">z dnia 23 czerwca 2022 r. Urząd Dzielnicy Wawer m.st. Warszawy zatwierdził roczne sprawozdanie finansowe WCK. W kontrolowanym okresie nominalna wysokość pierwotnie przyznanej dotacji podmiotowej przekazywanej na działalność WCK została powiększona o 70 000 zł na realizację zadania pn. Koncerty okolicznościowe, 34 440 zł na realizację zadania pn. obchody 70-lecia Gminy Wawer, 78 000 zł na realizację 3 koncertów Jazz w Wawrze - Krzysztof </w:t>
      </w:r>
      <w:proofErr w:type="spellStart"/>
      <w:r w:rsidRPr="00CE5BC5">
        <w:rPr>
          <w:rFonts w:asciiTheme="minorHAnsi" w:hAnsiTheme="minorHAnsi" w:cstheme="minorHAnsi"/>
          <w:sz w:val="22"/>
          <w:szCs w:val="22"/>
        </w:rPr>
        <w:t>Kiljański</w:t>
      </w:r>
      <w:proofErr w:type="spellEnd"/>
      <w:r w:rsidRPr="00CE5BC5">
        <w:rPr>
          <w:rFonts w:asciiTheme="minorHAnsi" w:hAnsiTheme="minorHAnsi" w:cstheme="minorHAnsi"/>
          <w:sz w:val="22"/>
          <w:szCs w:val="22"/>
        </w:rPr>
        <w:t xml:space="preserve"> i Karolina Cichy, 170 280 zł na obchody 70-tej rocznicy przyłączenia Wawra do Warszawy oraz 6 000 zł na zadanie pn. Partnerstwo instytucji rozwijania wolontariatu na rzecz społeczeństwa lokalnego.</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Stwierdzono, że WCK w roku 2021 realizowało zadania zgodnie z § 7 statutu poprzez:</w:t>
      </w:r>
    </w:p>
    <w:p w:rsidR="007469D5" w:rsidRPr="00CE5BC5" w:rsidRDefault="00954BA3" w:rsidP="00CE5BC5">
      <w:pPr>
        <w:pStyle w:val="Bodytext20"/>
        <w:numPr>
          <w:ilvl w:val="0"/>
          <w:numId w:val="1"/>
        </w:numPr>
        <w:shd w:val="clear" w:color="auto" w:fill="auto"/>
        <w:tabs>
          <w:tab w:val="left" w:pos="449"/>
        </w:tabs>
        <w:spacing w:before="120" w:after="240" w:line="300" w:lineRule="auto"/>
        <w:ind w:left="360" w:hanging="180"/>
        <w:rPr>
          <w:rFonts w:asciiTheme="minorHAnsi" w:hAnsiTheme="minorHAnsi" w:cstheme="minorHAnsi"/>
          <w:sz w:val="22"/>
          <w:szCs w:val="22"/>
        </w:rPr>
      </w:pPr>
      <w:r w:rsidRPr="00CE5BC5">
        <w:rPr>
          <w:rFonts w:asciiTheme="minorHAnsi" w:hAnsiTheme="minorHAnsi" w:cstheme="minorHAnsi"/>
          <w:sz w:val="22"/>
          <w:szCs w:val="22"/>
        </w:rPr>
        <w:t>przeprowadzenie m.in. 1801 zajęć kulturalno-edukacyjnych z 1 828 uczestnikami, których ogólne koszty wyniosły 1914 312,23 zł, a przychody z tytułu opłat za zajęcia wyniosły 480167,40 zł;</w:t>
      </w:r>
    </w:p>
    <w:p w:rsidR="007469D5" w:rsidRPr="00CE5BC5" w:rsidRDefault="00954BA3" w:rsidP="00CE5BC5">
      <w:pPr>
        <w:pStyle w:val="Bodytext20"/>
        <w:numPr>
          <w:ilvl w:val="0"/>
          <w:numId w:val="1"/>
        </w:numPr>
        <w:shd w:val="clear" w:color="auto" w:fill="auto"/>
        <w:tabs>
          <w:tab w:val="left" w:pos="449"/>
        </w:tabs>
        <w:spacing w:before="120" w:after="240" w:line="300" w:lineRule="auto"/>
        <w:ind w:left="360" w:hanging="180"/>
        <w:rPr>
          <w:rFonts w:asciiTheme="minorHAnsi" w:hAnsiTheme="minorHAnsi" w:cstheme="minorHAnsi"/>
          <w:sz w:val="22"/>
          <w:szCs w:val="22"/>
        </w:rPr>
      </w:pPr>
      <w:r w:rsidRPr="00CE5BC5">
        <w:rPr>
          <w:rFonts w:asciiTheme="minorHAnsi" w:hAnsiTheme="minorHAnsi" w:cstheme="minorHAnsi"/>
          <w:sz w:val="22"/>
          <w:szCs w:val="22"/>
        </w:rPr>
        <w:t xml:space="preserve">organizację m.in. 884 wydarzeń (spektakle, koncerty, pikniki, spotkania, wykłady, wystawy), w których uczestniczyło stacjonarnie i </w:t>
      </w:r>
      <w:r w:rsidRPr="00CE5BC5">
        <w:rPr>
          <w:rFonts w:asciiTheme="minorHAnsi" w:hAnsiTheme="minorHAnsi" w:cstheme="minorHAnsi"/>
          <w:sz w:val="22"/>
          <w:szCs w:val="22"/>
          <w:lang w:val="en-US" w:eastAsia="en-US" w:bidi="en-US"/>
        </w:rPr>
        <w:t xml:space="preserve">online </w:t>
      </w:r>
      <w:r w:rsidRPr="00CE5BC5">
        <w:rPr>
          <w:rFonts w:asciiTheme="minorHAnsi" w:hAnsiTheme="minorHAnsi" w:cstheme="minorHAnsi"/>
          <w:sz w:val="22"/>
          <w:szCs w:val="22"/>
        </w:rPr>
        <w:t>245 834 odbiorców. Ogólny koszt organizacji ww. imprez wyniósł 843 000,88 zł, zaś przychód ze sprzedaży biletów wyniósł 25 185,24 zł.</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Wynik finansowy WCK za 2021 r. był ujemny i wyniósł - 239 988,50 zł.</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 xml:space="preserve">Ustalono, że WCK realizowało przyjęte cele i powierzone zadania w formie cyklicznych zajęć np.: muzyczno-wokalnych, tanecznych -m. </w:t>
      </w:r>
      <w:r w:rsidRPr="00CE5BC5">
        <w:rPr>
          <w:rFonts w:asciiTheme="minorHAnsi" w:hAnsiTheme="minorHAnsi" w:cstheme="minorHAnsi"/>
          <w:sz w:val="22"/>
          <w:szCs w:val="22"/>
          <w:lang w:val="en-US" w:eastAsia="en-US" w:bidi="en-US"/>
        </w:rPr>
        <w:t xml:space="preserve">in. </w:t>
      </w:r>
      <w:r w:rsidRPr="00CE5BC5">
        <w:rPr>
          <w:rFonts w:asciiTheme="minorHAnsi" w:hAnsiTheme="minorHAnsi" w:cstheme="minorHAnsi"/>
          <w:sz w:val="22"/>
          <w:szCs w:val="22"/>
        </w:rPr>
        <w:t xml:space="preserve">balet, tango, taniec nowoczesny, taniec cygański, tańce w kręgu, hip-hop, </w:t>
      </w:r>
      <w:proofErr w:type="spellStart"/>
      <w:r w:rsidRPr="00CE5BC5">
        <w:rPr>
          <w:rFonts w:asciiTheme="minorHAnsi" w:hAnsiTheme="minorHAnsi" w:cstheme="minorHAnsi"/>
          <w:sz w:val="22"/>
          <w:szCs w:val="22"/>
        </w:rPr>
        <w:t>breackdance</w:t>
      </w:r>
      <w:proofErr w:type="spellEnd"/>
      <w:r w:rsidRPr="00CE5BC5">
        <w:rPr>
          <w:rFonts w:asciiTheme="minorHAnsi" w:hAnsiTheme="minorHAnsi" w:cstheme="minorHAnsi"/>
          <w:sz w:val="22"/>
          <w:szCs w:val="22"/>
        </w:rPr>
        <w:t xml:space="preserve">, taniec disco, zumba, jazz modern, wokalnych, teatralnych, plastycznych - w tym komiks, linoryt, graffiti, malarskich-m.in. malarstwo sztalugowe, ceramicznych, sensorycznych, fotograficznych, sztuki nowoczesnej OP-ART, krawieckich, rękodzielniczych - m. </w:t>
      </w:r>
      <w:r w:rsidRPr="00CE5BC5">
        <w:rPr>
          <w:rFonts w:asciiTheme="minorHAnsi" w:hAnsiTheme="minorHAnsi" w:cstheme="minorHAnsi"/>
          <w:sz w:val="22"/>
          <w:szCs w:val="22"/>
          <w:lang w:val="en-US" w:eastAsia="en-US" w:bidi="en-US"/>
        </w:rPr>
        <w:t xml:space="preserve">in. </w:t>
      </w:r>
      <w:proofErr w:type="spellStart"/>
      <w:r w:rsidRPr="00CE5BC5">
        <w:rPr>
          <w:rFonts w:asciiTheme="minorHAnsi" w:hAnsiTheme="minorHAnsi" w:cstheme="minorHAnsi"/>
          <w:sz w:val="22"/>
          <w:szCs w:val="22"/>
        </w:rPr>
        <w:t>makrama</w:t>
      </w:r>
      <w:proofErr w:type="spellEnd"/>
      <w:r w:rsidRPr="00CE5BC5">
        <w:rPr>
          <w:rFonts w:asciiTheme="minorHAnsi" w:hAnsiTheme="minorHAnsi" w:cstheme="minorHAnsi"/>
          <w:sz w:val="22"/>
          <w:szCs w:val="22"/>
        </w:rPr>
        <w:t>, biżuteria, wiklina, medytacyjnych, brydż, szachy, gier RPG i planszowych, joga oraz fitness. Zajęcia były prowadzone</w:t>
      </w:r>
      <w:r w:rsidR="0001008D" w:rsidRPr="00CE5BC5">
        <w:rPr>
          <w:rFonts w:asciiTheme="minorHAnsi" w:hAnsiTheme="minorHAnsi" w:cstheme="minorHAnsi"/>
          <w:sz w:val="22"/>
          <w:szCs w:val="22"/>
        </w:rPr>
        <w:t xml:space="preserve"> </w:t>
      </w:r>
      <w:r w:rsidRPr="00CE5BC5">
        <w:rPr>
          <w:rFonts w:asciiTheme="minorHAnsi" w:hAnsiTheme="minorHAnsi" w:cstheme="minorHAnsi"/>
          <w:sz w:val="22"/>
          <w:szCs w:val="22"/>
        </w:rPr>
        <w:t xml:space="preserve">zarówno stacjonarnie jak i zdalnie z powodu </w:t>
      </w:r>
      <w:r w:rsidRPr="00CE5BC5">
        <w:rPr>
          <w:rFonts w:asciiTheme="minorHAnsi" w:hAnsiTheme="minorHAnsi" w:cstheme="minorHAnsi"/>
          <w:sz w:val="22"/>
          <w:szCs w:val="22"/>
          <w:lang w:val="en-US" w:eastAsia="en-US" w:bidi="en-US"/>
        </w:rPr>
        <w:t xml:space="preserve">COVID-19. </w:t>
      </w:r>
      <w:r w:rsidRPr="00CE5BC5">
        <w:rPr>
          <w:rFonts w:asciiTheme="minorHAnsi" w:hAnsiTheme="minorHAnsi" w:cstheme="minorHAnsi"/>
          <w:sz w:val="22"/>
          <w:szCs w:val="22"/>
        </w:rPr>
        <w:t xml:space="preserve">Oferta była skierowana do dzieci, młodzieży, dorosłych i seniorów. W sprawozdaniu merytorycznym WCK m.in. podało, że: „Wawerskie Centrum Kultury działa głównie na rzecz mieszkańców Wawra. Natomiast dzięki realizacji dużych przedsięwzięć oraz działalności w przestrzeni wirtualnej znacznie zwiększa liczbę odbiorców. Najważniejsze jest dla nas spotkanie, dialog i współdziałanie. Pragniemy przygotować uczestników naszych działań do bardziej świadomego uczestnictwa w życiu społecznym i kulturalnym w szybko zmieniającym się świecie. (...) Przy organizacji programów m.in. wykazywano: elastyczność w realizacji oferty programowej w zależności od sytuacji pandemicznej (działania </w:t>
      </w:r>
      <w:r w:rsidRPr="00CE5BC5">
        <w:rPr>
          <w:rFonts w:asciiTheme="minorHAnsi" w:hAnsiTheme="minorHAnsi" w:cstheme="minorHAnsi"/>
          <w:sz w:val="22"/>
          <w:szCs w:val="22"/>
          <w:lang w:val="de-DE" w:eastAsia="de-DE" w:bidi="de-DE"/>
        </w:rPr>
        <w:t xml:space="preserve">offline, online </w:t>
      </w:r>
      <w:r w:rsidRPr="00CE5BC5">
        <w:rPr>
          <w:rFonts w:asciiTheme="minorHAnsi" w:hAnsiTheme="minorHAnsi" w:cstheme="minorHAnsi"/>
          <w:sz w:val="22"/>
          <w:szCs w:val="22"/>
        </w:rPr>
        <w:t xml:space="preserve">i hybrydowe) - przygotowanie pracowników do takich działań. Organizowano zajęcia i wydarzenia poza przestrzenią </w:t>
      </w:r>
      <w:r w:rsidRPr="00CE5BC5">
        <w:rPr>
          <w:rFonts w:asciiTheme="minorHAnsi" w:hAnsiTheme="minorHAnsi" w:cstheme="minorHAnsi"/>
          <w:sz w:val="22"/>
          <w:szCs w:val="22"/>
        </w:rPr>
        <w:lastRenderedPageBreak/>
        <w:t xml:space="preserve">domu kultury: koncerty plenerowe w nowych miejscach (parking UD Wawer, osiedle Las, spotkania artystyczne w lesie. Noc Muzeów w prywatnej wilii należącej przed wojną do Antoniego Fertnera). Sytuacja związana z epidemią </w:t>
      </w:r>
      <w:r w:rsidRPr="00CE5BC5">
        <w:rPr>
          <w:rFonts w:asciiTheme="minorHAnsi" w:hAnsiTheme="minorHAnsi" w:cstheme="minorHAnsi"/>
          <w:sz w:val="22"/>
          <w:szCs w:val="22"/>
          <w:lang w:val="de-DE" w:eastAsia="de-DE" w:bidi="de-DE"/>
        </w:rPr>
        <w:t xml:space="preserve">COVID-19 </w:t>
      </w:r>
      <w:r w:rsidRPr="00CE5BC5">
        <w:rPr>
          <w:rFonts w:asciiTheme="minorHAnsi" w:hAnsiTheme="minorHAnsi" w:cstheme="minorHAnsi"/>
          <w:sz w:val="22"/>
          <w:szCs w:val="22"/>
        </w:rPr>
        <w:t>spowodowała niemożność realizacji niektórych zaplanowanych działań na żywo. Nastąpiła konieczność dostosowania instytucji do działań w przestrzeni wirtualnej".</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Ustalono, że w WCK realizacja zadań statutowych następowała m.in. w formie umów zleceń zawieranych z pracownikami etatowymi oraz podmiotami zewnętrznymi. Sprawdzeniu poddano, wybrane wg oglądu kontrolera, 7 umów</w:t>
      </w:r>
      <w:r w:rsidRPr="00CE5BC5">
        <w:rPr>
          <w:rFonts w:asciiTheme="minorHAnsi" w:hAnsiTheme="minorHAnsi" w:cstheme="minorHAnsi"/>
          <w:sz w:val="22"/>
          <w:szCs w:val="22"/>
          <w:vertAlign w:val="superscript"/>
        </w:rPr>
        <w:footnoteReference w:id="3"/>
      </w:r>
      <w:r w:rsidRPr="00CE5BC5">
        <w:rPr>
          <w:rFonts w:asciiTheme="minorHAnsi" w:hAnsiTheme="minorHAnsi" w:cstheme="minorHAnsi"/>
          <w:sz w:val="22"/>
          <w:szCs w:val="22"/>
        </w:rPr>
        <w:t xml:space="preserve"> zawartych ze zleceniobiorcami zewnętrznymi oraz 2 umowy</w:t>
      </w:r>
      <w:r w:rsidRPr="00CE5BC5">
        <w:rPr>
          <w:rFonts w:asciiTheme="minorHAnsi" w:hAnsiTheme="minorHAnsi" w:cstheme="minorHAnsi"/>
          <w:sz w:val="22"/>
          <w:szCs w:val="22"/>
          <w:vertAlign w:val="superscript"/>
        </w:rPr>
        <w:footnoteReference w:id="4"/>
      </w:r>
      <w:r w:rsidRPr="00CE5BC5">
        <w:rPr>
          <w:rFonts w:asciiTheme="minorHAnsi" w:hAnsiTheme="minorHAnsi" w:cstheme="minorHAnsi"/>
          <w:sz w:val="22"/>
          <w:szCs w:val="22"/>
        </w:rPr>
        <w:t xml:space="preserve"> zlecenia zawarte z pracownikami etatowymi, gdzie jak stwierdzono, zakres prac wynikający z umowy zlecenia nie był zbieżny z zakresem obowiązków pracowników oraz był wykonywany poza godzinami ich etatowej pracy.</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W skontrolowanej próbie umów zleceń zawartych w roku 2021, na łączną kwotę brutto 58 268,78 zł, wszystkie umowy były kontrasygnowane przez Głównego Księgowego oraz parafowane przez Radcę Prawnego. Realizacja przedmiotu zbadanych umów oraz udokumentowanie sposobu ich realizacji przez zleceniobiorców było zgodne z zapisami umownymi. Wartość usług wykazana na fakturze była zgodna z ceną ustaloną w umowie.</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Stwierdzono, że 3 rachunki wystawione na podstawie umów zleceń nie posiadały akceptacji Głównego Księgowego. Dyrektor WCK wyjaśniła, że brak akceptacji rachunków przez Głównego Księgowego nastąpił w wyniku przeoczenia.</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Działalność gospodarcza WCK polegała m.in. na wynajmowaniu pomieszczeń. Przychody z tego tytułu w 2021 r. wyniosły łącznie 75 697,36 zł.</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Sprawdzeniu poddano, 3 umowy najmu wybrane wg oglądu kontrolera. Wszystkie zbadane umowy zawarte z najemcami posiadały zapis określający termin zapłaty rachunku/faktury przez wynajmującego oraz zapis, że w sprawach nieuregulowanych umową mają zastosowanie odpowiednie przepisy Kodeksu Cywilnego.</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Stwierdzono, że w 2 przypadkach</w:t>
      </w:r>
      <w:r w:rsidRPr="00CE5BC5">
        <w:rPr>
          <w:rFonts w:asciiTheme="minorHAnsi" w:hAnsiTheme="minorHAnsi" w:cstheme="minorHAnsi"/>
          <w:sz w:val="22"/>
          <w:szCs w:val="22"/>
          <w:vertAlign w:val="superscript"/>
        </w:rPr>
        <w:footnoteReference w:id="5"/>
      </w:r>
      <w:r w:rsidRPr="00CE5BC5">
        <w:rPr>
          <w:rFonts w:asciiTheme="minorHAnsi" w:hAnsiTheme="minorHAnsi" w:cstheme="minorHAnsi"/>
          <w:sz w:val="22"/>
          <w:szCs w:val="22"/>
        </w:rPr>
        <w:t xml:space="preserve"> z 3 zbadanych, nie został udokumentowany sposób ustalenia wysokości stawki miesięcznej podanej w umowie. Również w Zarządzeniu nr </w:t>
      </w:r>
      <w:r w:rsidRPr="00CE5BC5">
        <w:rPr>
          <w:rFonts w:asciiTheme="minorHAnsi" w:hAnsiTheme="minorHAnsi" w:cstheme="minorHAnsi"/>
          <w:sz w:val="22"/>
          <w:szCs w:val="22"/>
          <w:lang w:val="ru-RU" w:eastAsia="ru-RU" w:bidi="ru-RU"/>
        </w:rPr>
        <w:t xml:space="preserve">3/2021 </w:t>
      </w:r>
      <w:r w:rsidRPr="00CE5BC5">
        <w:rPr>
          <w:rFonts w:asciiTheme="minorHAnsi" w:hAnsiTheme="minorHAnsi" w:cstheme="minorHAnsi"/>
          <w:sz w:val="22"/>
          <w:szCs w:val="22"/>
        </w:rPr>
        <w:t xml:space="preserve">Dyrektora WCR w sprawie wprowadzenia stawek za wynajem powierzchni, obowiązującym w okresie kontrolowanym, nie podano stawki miesięcznego najmu pomieszczeń. Jak wyjaśniła Pani Dyrektor, kalkulacja stawki </w:t>
      </w:r>
      <w:r w:rsidRPr="00CE5BC5">
        <w:rPr>
          <w:rFonts w:asciiTheme="minorHAnsi" w:hAnsiTheme="minorHAnsi" w:cstheme="minorHAnsi"/>
          <w:sz w:val="22"/>
          <w:szCs w:val="22"/>
        </w:rPr>
        <w:lastRenderedPageBreak/>
        <w:t xml:space="preserve">wynikała z kosztów utrzymania lm </w:t>
      </w:r>
      <w:r w:rsidRPr="00CE5BC5">
        <w:rPr>
          <w:rFonts w:asciiTheme="minorHAnsi" w:hAnsiTheme="minorHAnsi" w:cstheme="minorHAnsi"/>
          <w:sz w:val="22"/>
          <w:szCs w:val="22"/>
          <w:vertAlign w:val="superscript"/>
        </w:rPr>
        <w:t>2</w:t>
      </w:r>
      <w:r w:rsidRPr="00CE5BC5">
        <w:rPr>
          <w:rFonts w:asciiTheme="minorHAnsi" w:hAnsiTheme="minorHAnsi" w:cstheme="minorHAnsi"/>
          <w:sz w:val="22"/>
          <w:szCs w:val="22"/>
        </w:rPr>
        <w:t xml:space="preserve"> pow</w:t>
      </w:r>
      <w:bookmarkStart w:id="0" w:name="_GoBack"/>
      <w:bookmarkEnd w:id="0"/>
      <w:r w:rsidRPr="00CE5BC5">
        <w:rPr>
          <w:rFonts w:asciiTheme="minorHAnsi" w:hAnsiTheme="minorHAnsi" w:cstheme="minorHAnsi"/>
          <w:sz w:val="22"/>
          <w:szCs w:val="22"/>
        </w:rPr>
        <w:t>ierzchni budynku, powiększonej o zysk. Przy kalkulacji stawki brano również pod uwagę, że jednostka wynajmująca posiadała statusu organizacji pozarządowej.</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Wyniki kontroli uzasadniają sformułowanie ogólnej pozytywnej oceny w zakresie realizowanych przez WCK zadań statutowych.</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W okresie objętym kontrolą, w zakresie wydatków poniżej 130 000 z -wyłączonych ze stosowania przepisów ustawy z dnia 29 stycznia 2004 r. Prawo zamówień publicznych</w:t>
      </w:r>
      <w:r w:rsidRPr="00CE5BC5">
        <w:rPr>
          <w:rFonts w:asciiTheme="minorHAnsi" w:hAnsiTheme="minorHAnsi" w:cstheme="minorHAnsi"/>
          <w:sz w:val="22"/>
          <w:szCs w:val="22"/>
          <w:vertAlign w:val="superscript"/>
        </w:rPr>
        <w:footnoteReference w:id="6"/>
      </w:r>
      <w:r w:rsidRPr="00CE5BC5">
        <w:rPr>
          <w:rFonts w:asciiTheme="minorHAnsi" w:hAnsiTheme="minorHAnsi" w:cstheme="minorHAnsi"/>
          <w:sz w:val="22"/>
          <w:szCs w:val="22"/>
        </w:rPr>
        <w:t xml:space="preserve"> (dalej: </w:t>
      </w:r>
      <w:proofErr w:type="spellStart"/>
      <w:r w:rsidRPr="00CE5BC5">
        <w:rPr>
          <w:rFonts w:asciiTheme="minorHAnsi" w:hAnsiTheme="minorHAnsi" w:cstheme="minorHAnsi"/>
          <w:sz w:val="22"/>
          <w:szCs w:val="22"/>
        </w:rPr>
        <w:t>Pzp</w:t>
      </w:r>
      <w:proofErr w:type="spellEnd"/>
      <w:r w:rsidRPr="00CE5BC5">
        <w:rPr>
          <w:rFonts w:asciiTheme="minorHAnsi" w:hAnsiTheme="minorHAnsi" w:cstheme="minorHAnsi"/>
          <w:sz w:val="22"/>
          <w:szCs w:val="22"/>
        </w:rPr>
        <w:t>) - obowiązywało Zarządzenie Dyrektora Wawerskiego Centrum Kultury z dnia 16 kwietnia 2018 r. oraz z dnia 2 lutego 2021 r. w sprawie udzielania zamówień, których wartość szacunkowa nie przekracza kwoty 130 000 zł. Zgodnie z ww. Zarządzeniami procedury udzielania zamówień publicznych do 130 000 zł, regulowane były w układzie:</w:t>
      </w:r>
    </w:p>
    <w:p w:rsidR="007469D5" w:rsidRPr="00CE5BC5" w:rsidRDefault="00954BA3" w:rsidP="00CE5BC5">
      <w:pPr>
        <w:pStyle w:val="Bodytext20"/>
        <w:numPr>
          <w:ilvl w:val="0"/>
          <w:numId w:val="2"/>
        </w:numPr>
        <w:shd w:val="clear" w:color="auto" w:fill="auto"/>
        <w:tabs>
          <w:tab w:val="left" w:pos="398"/>
        </w:tabs>
        <w:spacing w:before="120" w:after="240" w:line="300" w:lineRule="auto"/>
        <w:ind w:firstLine="200"/>
        <w:rPr>
          <w:rFonts w:asciiTheme="minorHAnsi" w:hAnsiTheme="minorHAnsi" w:cstheme="minorHAnsi"/>
          <w:sz w:val="22"/>
          <w:szCs w:val="22"/>
        </w:rPr>
      </w:pPr>
      <w:r w:rsidRPr="00CE5BC5">
        <w:rPr>
          <w:rFonts w:asciiTheme="minorHAnsi" w:hAnsiTheme="minorHAnsi" w:cstheme="minorHAnsi"/>
          <w:sz w:val="22"/>
          <w:szCs w:val="22"/>
        </w:rPr>
        <w:t>zamówienia o wartości poniżej 10.000 zł,</w:t>
      </w:r>
    </w:p>
    <w:p w:rsidR="007469D5" w:rsidRPr="00CE5BC5" w:rsidRDefault="00954BA3" w:rsidP="00CE5BC5">
      <w:pPr>
        <w:pStyle w:val="Bodytext20"/>
        <w:numPr>
          <w:ilvl w:val="0"/>
          <w:numId w:val="2"/>
        </w:numPr>
        <w:shd w:val="clear" w:color="auto" w:fill="auto"/>
        <w:tabs>
          <w:tab w:val="left" w:pos="402"/>
        </w:tabs>
        <w:spacing w:before="120" w:after="240" w:line="300" w:lineRule="auto"/>
        <w:ind w:firstLine="200"/>
        <w:rPr>
          <w:rFonts w:asciiTheme="minorHAnsi" w:hAnsiTheme="minorHAnsi" w:cstheme="minorHAnsi"/>
          <w:sz w:val="22"/>
          <w:szCs w:val="22"/>
        </w:rPr>
      </w:pPr>
      <w:r w:rsidRPr="00CE5BC5">
        <w:rPr>
          <w:rFonts w:asciiTheme="minorHAnsi" w:hAnsiTheme="minorHAnsi" w:cstheme="minorHAnsi"/>
          <w:sz w:val="22"/>
          <w:szCs w:val="22"/>
        </w:rPr>
        <w:t>zamówienia o wartości od 10.000 zł-do 130.000 zł.</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 xml:space="preserve">W zakresie postępowań o udzielenie zamówień publicznych o wartości powyżej 10 000 zł, na podstawie przedstawionego Rejestru zamówień wyłączonych ze stosowania ustawy </w:t>
      </w:r>
      <w:proofErr w:type="spellStart"/>
      <w:r w:rsidRPr="00CE5BC5">
        <w:rPr>
          <w:rFonts w:asciiTheme="minorHAnsi" w:hAnsiTheme="minorHAnsi" w:cstheme="minorHAnsi"/>
          <w:sz w:val="22"/>
          <w:szCs w:val="22"/>
        </w:rPr>
        <w:t>Pzp</w:t>
      </w:r>
      <w:proofErr w:type="spellEnd"/>
      <w:r w:rsidRPr="00CE5BC5">
        <w:rPr>
          <w:rFonts w:asciiTheme="minorHAnsi" w:hAnsiTheme="minorHAnsi" w:cstheme="minorHAnsi"/>
          <w:sz w:val="22"/>
          <w:szCs w:val="22"/>
        </w:rPr>
        <w:t xml:space="preserve">, wybrano wg oglądu kontrolera oraz poddano szczegółowej analizie 8 postępowań o udzielenie zamówień publicznych poniżej progu określonego w </w:t>
      </w:r>
      <w:r w:rsidRPr="00CE5BC5">
        <w:rPr>
          <w:rFonts w:asciiTheme="minorHAnsi" w:hAnsiTheme="minorHAnsi" w:cstheme="minorHAnsi"/>
          <w:sz w:val="22"/>
          <w:szCs w:val="22"/>
          <w:lang w:val="en-US" w:eastAsia="en-US" w:bidi="en-US"/>
        </w:rPr>
        <w:t xml:space="preserve">art. </w:t>
      </w:r>
      <w:r w:rsidRPr="00CE5BC5">
        <w:rPr>
          <w:rFonts w:asciiTheme="minorHAnsi" w:hAnsiTheme="minorHAnsi" w:cstheme="minorHAnsi"/>
          <w:sz w:val="22"/>
          <w:szCs w:val="22"/>
        </w:rPr>
        <w:t xml:space="preserve">2 pkt 1 </w:t>
      </w:r>
      <w:proofErr w:type="spellStart"/>
      <w:r w:rsidRPr="00CE5BC5">
        <w:rPr>
          <w:rFonts w:asciiTheme="minorHAnsi" w:hAnsiTheme="minorHAnsi" w:cstheme="minorHAnsi"/>
          <w:sz w:val="22"/>
          <w:szCs w:val="22"/>
        </w:rPr>
        <w:t>Pzp</w:t>
      </w:r>
      <w:proofErr w:type="spellEnd"/>
      <w:r w:rsidRPr="00CE5BC5">
        <w:rPr>
          <w:rFonts w:asciiTheme="minorHAnsi" w:hAnsiTheme="minorHAnsi" w:cstheme="minorHAnsi"/>
          <w:sz w:val="22"/>
          <w:szCs w:val="22"/>
        </w:rPr>
        <w:t xml:space="preserve"> zakończonych zawarciem pisemnej umowy, w wyniku których wydatkowano 400,5 tys. zł brutto.</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 xml:space="preserve">Stwierdzono, że w jednostce przestrzegane były wewnętrzne zasady udzielania zamówień do 130.000 zł, tj. w przeprowadzonych postępowaniach zastosowano przyjętą procedurę wewnętrzną udzielania zamówień oraz zastosowano kryteria wg kwoty zamówienia. Nie stwierdzono elementów wskazujących na tzw. podział zamówienia w celu ominięcia stosowania ustawy </w:t>
      </w:r>
      <w:proofErr w:type="spellStart"/>
      <w:r w:rsidRPr="00CE5BC5">
        <w:rPr>
          <w:rFonts w:asciiTheme="minorHAnsi" w:hAnsiTheme="minorHAnsi" w:cstheme="minorHAnsi"/>
          <w:sz w:val="22"/>
          <w:szCs w:val="22"/>
        </w:rPr>
        <w:t>Pzp</w:t>
      </w:r>
      <w:proofErr w:type="spellEnd"/>
      <w:r w:rsidRPr="00CE5BC5">
        <w:rPr>
          <w:rFonts w:asciiTheme="minorHAnsi" w:hAnsiTheme="minorHAnsi" w:cstheme="minorHAnsi"/>
          <w:sz w:val="22"/>
          <w:szCs w:val="22"/>
        </w:rPr>
        <w:t>. Wszystkie zamówienia, których wartość szacunkowa była wyższa niż 10.000 zł, udzielone zostały poprzez zawarcie pisemnej umowy. Stwierdzono, że zgodnie z obowiązującym Zarządzeniem, w przypadku zamówień o wartości powyżej 10 000 zł - dokumentacja postępowań zawierała zapytania ofertowe, zaś w przypadku zamówień o wartości od 10.000 zł do równowartości 130.000 zł netto - udokumentowane zostało również przeprowadzenie rozpoznania cenowego.</w:t>
      </w:r>
    </w:p>
    <w:p w:rsidR="007469D5" w:rsidRPr="00CE5BC5" w:rsidRDefault="00954BA3" w:rsidP="00CE5BC5">
      <w:pPr>
        <w:pStyle w:val="Bodytext20"/>
        <w:shd w:val="clear" w:color="auto" w:fill="auto"/>
        <w:spacing w:before="120" w:after="240" w:line="300" w:lineRule="auto"/>
        <w:ind w:right="400" w:firstLine="0"/>
        <w:rPr>
          <w:rFonts w:asciiTheme="minorHAnsi" w:hAnsiTheme="minorHAnsi" w:cstheme="minorHAnsi"/>
          <w:sz w:val="22"/>
          <w:szCs w:val="22"/>
        </w:rPr>
      </w:pPr>
      <w:r w:rsidRPr="00CE5BC5">
        <w:rPr>
          <w:rFonts w:asciiTheme="minorHAnsi" w:hAnsiTheme="minorHAnsi" w:cstheme="minorHAnsi"/>
          <w:sz w:val="22"/>
          <w:szCs w:val="22"/>
        </w:rPr>
        <w:t xml:space="preserve">Wyniki kontroli sposobu przeprowadzania przez WCK, korzystających z wyłączenia na podstawie </w:t>
      </w:r>
      <w:r w:rsidRPr="00CE5BC5">
        <w:rPr>
          <w:rFonts w:asciiTheme="minorHAnsi" w:hAnsiTheme="minorHAnsi" w:cstheme="minorHAnsi"/>
          <w:sz w:val="22"/>
          <w:szCs w:val="22"/>
          <w:lang w:val="en-US" w:eastAsia="en-US" w:bidi="en-US"/>
        </w:rPr>
        <w:t xml:space="preserve">art. </w:t>
      </w:r>
      <w:r w:rsidRPr="00CE5BC5">
        <w:rPr>
          <w:rFonts w:asciiTheme="minorHAnsi" w:hAnsiTheme="minorHAnsi" w:cstheme="minorHAnsi"/>
          <w:sz w:val="22"/>
          <w:szCs w:val="22"/>
        </w:rPr>
        <w:t xml:space="preserve">2 pkt 1 </w:t>
      </w:r>
      <w:proofErr w:type="spellStart"/>
      <w:r w:rsidRPr="00CE5BC5">
        <w:rPr>
          <w:rFonts w:asciiTheme="minorHAnsi" w:hAnsiTheme="minorHAnsi" w:cstheme="minorHAnsi"/>
          <w:sz w:val="22"/>
          <w:szCs w:val="22"/>
        </w:rPr>
        <w:t>Pzp</w:t>
      </w:r>
      <w:proofErr w:type="spellEnd"/>
      <w:r w:rsidRPr="00CE5BC5">
        <w:rPr>
          <w:rFonts w:asciiTheme="minorHAnsi" w:hAnsiTheme="minorHAnsi" w:cstheme="minorHAnsi"/>
          <w:sz w:val="22"/>
          <w:szCs w:val="22"/>
        </w:rPr>
        <w:t xml:space="preserve"> postępowań </w:t>
      </w:r>
      <w:r w:rsidRPr="00CE5BC5">
        <w:rPr>
          <w:rFonts w:asciiTheme="minorHAnsi" w:hAnsiTheme="minorHAnsi" w:cstheme="minorHAnsi"/>
          <w:sz w:val="22"/>
          <w:szCs w:val="22"/>
          <w:lang w:val="en-US" w:eastAsia="en-US" w:bidi="en-US"/>
        </w:rPr>
        <w:t xml:space="preserve">dot. </w:t>
      </w:r>
      <w:r w:rsidRPr="00CE5BC5">
        <w:rPr>
          <w:rFonts w:asciiTheme="minorHAnsi" w:hAnsiTheme="minorHAnsi" w:cstheme="minorHAnsi"/>
          <w:sz w:val="22"/>
          <w:szCs w:val="22"/>
        </w:rPr>
        <w:t>udzielenia zamówienia do 130.000 zł, wobec zachowania zasad jawności i transparentności postępowań, uczciwej konkurencji oraz równego traktowania wykonawców przy wydatkowaniu środków publicznych, pozwalają na pozytywną ocenę w tym przedmiocie z zastrzeżeniami wynikającymi ze stwierdzonych nieprawidłowości i uchybień, jak poniżej.</w:t>
      </w:r>
    </w:p>
    <w:p w:rsidR="007469D5" w:rsidRPr="00CE5BC5" w:rsidRDefault="00954BA3" w:rsidP="00CE5BC5">
      <w:pPr>
        <w:pStyle w:val="Bodytext20"/>
        <w:numPr>
          <w:ilvl w:val="0"/>
          <w:numId w:val="3"/>
        </w:numPr>
        <w:shd w:val="clear" w:color="auto" w:fill="auto"/>
        <w:tabs>
          <w:tab w:val="left" w:pos="469"/>
        </w:tabs>
        <w:spacing w:before="120" w:after="240" w:line="300" w:lineRule="auto"/>
        <w:ind w:left="520" w:right="240" w:hanging="340"/>
        <w:rPr>
          <w:rFonts w:asciiTheme="minorHAnsi" w:hAnsiTheme="minorHAnsi" w:cstheme="minorHAnsi"/>
          <w:sz w:val="22"/>
          <w:szCs w:val="22"/>
        </w:rPr>
      </w:pPr>
      <w:r w:rsidRPr="00CE5BC5">
        <w:rPr>
          <w:rFonts w:asciiTheme="minorHAnsi" w:hAnsiTheme="minorHAnsi" w:cstheme="minorHAnsi"/>
          <w:sz w:val="22"/>
          <w:szCs w:val="22"/>
        </w:rPr>
        <w:lastRenderedPageBreak/>
        <w:t xml:space="preserve">W 7 przypadkach w zawartych umowach powołano się na nieaktualny przepis </w:t>
      </w:r>
      <w:r w:rsidRPr="00CE5BC5">
        <w:rPr>
          <w:rFonts w:asciiTheme="minorHAnsi" w:hAnsiTheme="minorHAnsi" w:cstheme="minorHAnsi"/>
          <w:sz w:val="22"/>
          <w:szCs w:val="22"/>
          <w:lang w:val="en-US" w:eastAsia="en-US" w:bidi="en-US"/>
        </w:rPr>
        <w:t xml:space="preserve">dot. </w:t>
      </w:r>
      <w:r w:rsidRPr="00CE5BC5">
        <w:rPr>
          <w:rFonts w:asciiTheme="minorHAnsi" w:hAnsiTheme="minorHAnsi" w:cstheme="minorHAnsi"/>
          <w:sz w:val="22"/>
          <w:szCs w:val="22"/>
        </w:rPr>
        <w:t xml:space="preserve">wyłączenia stosowania </w:t>
      </w:r>
      <w:proofErr w:type="spellStart"/>
      <w:r w:rsidRPr="00CE5BC5">
        <w:rPr>
          <w:rFonts w:asciiTheme="minorHAnsi" w:hAnsiTheme="minorHAnsi" w:cstheme="minorHAnsi"/>
          <w:sz w:val="22"/>
          <w:szCs w:val="22"/>
        </w:rPr>
        <w:t>Pzp</w:t>
      </w:r>
      <w:proofErr w:type="spellEnd"/>
      <w:r w:rsidRPr="00CE5BC5">
        <w:rPr>
          <w:rFonts w:asciiTheme="minorHAnsi" w:hAnsiTheme="minorHAnsi" w:cstheme="minorHAnsi"/>
          <w:sz w:val="22"/>
          <w:szCs w:val="22"/>
          <w:vertAlign w:val="superscript"/>
        </w:rPr>
        <w:footnoteReference w:id="7"/>
      </w:r>
      <w:r w:rsidRPr="00CE5BC5">
        <w:rPr>
          <w:rFonts w:asciiTheme="minorHAnsi" w:hAnsiTheme="minorHAnsi" w:cstheme="minorHAnsi"/>
          <w:sz w:val="22"/>
          <w:szCs w:val="22"/>
        </w:rPr>
        <w:t>.</w:t>
      </w:r>
    </w:p>
    <w:p w:rsidR="007469D5" w:rsidRPr="00CE5BC5" w:rsidRDefault="00954BA3" w:rsidP="00CE5BC5">
      <w:pPr>
        <w:pStyle w:val="Bodytext20"/>
        <w:numPr>
          <w:ilvl w:val="0"/>
          <w:numId w:val="3"/>
        </w:numPr>
        <w:shd w:val="clear" w:color="auto" w:fill="auto"/>
        <w:tabs>
          <w:tab w:val="left" w:pos="478"/>
        </w:tabs>
        <w:spacing w:before="120" w:after="240" w:line="300" w:lineRule="auto"/>
        <w:ind w:left="520" w:right="240" w:hanging="340"/>
        <w:rPr>
          <w:rFonts w:asciiTheme="minorHAnsi" w:hAnsiTheme="minorHAnsi" w:cstheme="minorHAnsi"/>
          <w:sz w:val="22"/>
          <w:szCs w:val="22"/>
        </w:rPr>
      </w:pPr>
      <w:r w:rsidRPr="00CE5BC5">
        <w:rPr>
          <w:rFonts w:asciiTheme="minorHAnsi" w:hAnsiTheme="minorHAnsi" w:cstheme="minorHAnsi"/>
          <w:sz w:val="22"/>
          <w:szCs w:val="22"/>
        </w:rPr>
        <w:t xml:space="preserve">Wszystkie zbadane umowy nie zostały opatrzone akceptacją Radcy Prawnego oraz kontrasygnatą Głównej Księgowej, co było niezgodne z </w:t>
      </w:r>
      <w:r w:rsidRPr="00CE5BC5">
        <w:rPr>
          <w:rFonts w:asciiTheme="minorHAnsi" w:hAnsiTheme="minorHAnsi" w:cstheme="minorHAnsi"/>
          <w:sz w:val="22"/>
          <w:szCs w:val="22"/>
          <w:lang w:val="en-US" w:eastAsia="en-US" w:bidi="en-US"/>
        </w:rPr>
        <w:t xml:space="preserve">art. </w:t>
      </w:r>
      <w:r w:rsidRPr="00CE5BC5">
        <w:rPr>
          <w:rFonts w:asciiTheme="minorHAnsi" w:hAnsiTheme="minorHAnsi" w:cstheme="minorHAnsi"/>
          <w:sz w:val="22"/>
          <w:szCs w:val="22"/>
        </w:rPr>
        <w:t xml:space="preserve">54 </w:t>
      </w:r>
      <w:proofErr w:type="spellStart"/>
      <w:r w:rsidRPr="00CE5BC5">
        <w:rPr>
          <w:rFonts w:asciiTheme="minorHAnsi" w:hAnsiTheme="minorHAnsi" w:cstheme="minorHAnsi"/>
          <w:sz w:val="22"/>
          <w:szCs w:val="22"/>
        </w:rPr>
        <w:t>ust.l</w:t>
      </w:r>
      <w:proofErr w:type="spellEnd"/>
      <w:r w:rsidRPr="00CE5BC5">
        <w:rPr>
          <w:rFonts w:asciiTheme="minorHAnsi" w:hAnsiTheme="minorHAnsi" w:cstheme="minorHAnsi"/>
          <w:sz w:val="22"/>
          <w:szCs w:val="22"/>
        </w:rPr>
        <w:t xml:space="preserve"> pkt 3 ustawy o finansach publicznych</w:t>
      </w:r>
      <w:r w:rsidRPr="00CE5BC5">
        <w:rPr>
          <w:rFonts w:asciiTheme="minorHAnsi" w:hAnsiTheme="minorHAnsi" w:cstheme="minorHAnsi"/>
          <w:sz w:val="22"/>
          <w:szCs w:val="22"/>
          <w:vertAlign w:val="superscript"/>
        </w:rPr>
        <w:footnoteReference w:id="8"/>
      </w:r>
      <w:r w:rsidRPr="00CE5BC5">
        <w:rPr>
          <w:rFonts w:asciiTheme="minorHAnsi" w:hAnsiTheme="minorHAnsi" w:cstheme="minorHAnsi"/>
          <w:sz w:val="22"/>
          <w:szCs w:val="22"/>
        </w:rPr>
        <w:t xml:space="preserve"> (dalej: </w:t>
      </w:r>
      <w:proofErr w:type="spellStart"/>
      <w:r w:rsidRPr="00CE5BC5">
        <w:rPr>
          <w:rFonts w:asciiTheme="minorHAnsi" w:hAnsiTheme="minorHAnsi" w:cstheme="minorHAnsi"/>
          <w:sz w:val="22"/>
          <w:szCs w:val="22"/>
        </w:rPr>
        <w:t>uofp</w:t>
      </w:r>
      <w:proofErr w:type="spellEnd"/>
      <w:r w:rsidRPr="00CE5BC5">
        <w:rPr>
          <w:rFonts w:asciiTheme="minorHAnsi" w:hAnsiTheme="minorHAnsi" w:cstheme="minorHAnsi"/>
          <w:sz w:val="22"/>
          <w:szCs w:val="22"/>
        </w:rPr>
        <w:t>).</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Ustalono, że w zbadanej próbie postępowań, dowody finansowo - księgowe zawierały informacje o ich sprawdzeniu pod względem merytorycznym, formalnym i rachunkowym potwierdzoną podpisem Dyrektora jednostki oraz adnotacją o zatwierdzeniu do wypłaty. Zobowiązania wynikające ze sprawdzonych dowodów regulowane były w wysokości wskazanej na dowodach księgowych. Wartość towarów lub usług wykazana na fakturze była zgodna z ceną ustaloną w umowie.</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Stwierdzono, że 2 faktury</w:t>
      </w:r>
      <w:r w:rsidRPr="00CE5BC5">
        <w:rPr>
          <w:rFonts w:asciiTheme="minorHAnsi" w:hAnsiTheme="minorHAnsi" w:cstheme="minorHAnsi"/>
          <w:sz w:val="22"/>
          <w:szCs w:val="22"/>
          <w:vertAlign w:val="superscript"/>
        </w:rPr>
        <w:footnoteReference w:id="9"/>
      </w:r>
      <w:r w:rsidRPr="00CE5BC5">
        <w:rPr>
          <w:rFonts w:asciiTheme="minorHAnsi" w:hAnsiTheme="minorHAnsi" w:cstheme="minorHAnsi"/>
          <w:sz w:val="22"/>
          <w:szCs w:val="22"/>
        </w:rPr>
        <w:t xml:space="preserve"> zostały uregulowane po terminie płatności. Pani Dyrektor wyjaśniła, że w jednym przypadku - faktura wpłynęła po terminie płatności, zaś w drugim przypadku - oryginał faktury nie został dostarczony, a zapłaty dokonano na podstawie wystawionego duplikatu. Wykonawcy nie wystąpili o zapłatę ustawowych odsetek.</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 xml:space="preserve">Ponadto, na fakturach w ogóle nie była zamieszczana informacja o wyłączeniu udzielanego zamówienia na podstawie </w:t>
      </w:r>
      <w:r w:rsidRPr="00CE5BC5">
        <w:rPr>
          <w:rFonts w:asciiTheme="minorHAnsi" w:hAnsiTheme="minorHAnsi" w:cstheme="minorHAnsi"/>
          <w:sz w:val="22"/>
          <w:szCs w:val="22"/>
          <w:lang w:val="en-US" w:eastAsia="en-US" w:bidi="en-US"/>
        </w:rPr>
        <w:t xml:space="preserve">art. </w:t>
      </w:r>
      <w:r w:rsidRPr="00CE5BC5">
        <w:rPr>
          <w:rFonts w:asciiTheme="minorHAnsi" w:hAnsiTheme="minorHAnsi" w:cstheme="minorHAnsi"/>
          <w:sz w:val="22"/>
          <w:szCs w:val="22"/>
        </w:rPr>
        <w:t xml:space="preserve">2 pkt 1 ustawy </w:t>
      </w:r>
      <w:proofErr w:type="spellStart"/>
      <w:r w:rsidRPr="00CE5BC5">
        <w:rPr>
          <w:rFonts w:asciiTheme="minorHAnsi" w:hAnsiTheme="minorHAnsi" w:cstheme="minorHAnsi"/>
          <w:sz w:val="22"/>
          <w:szCs w:val="22"/>
        </w:rPr>
        <w:t>Pzp</w:t>
      </w:r>
      <w:proofErr w:type="spellEnd"/>
      <w:r w:rsidRPr="00CE5BC5">
        <w:rPr>
          <w:rFonts w:asciiTheme="minorHAnsi" w:hAnsiTheme="minorHAnsi" w:cstheme="minorHAnsi"/>
          <w:sz w:val="22"/>
          <w:szCs w:val="22"/>
        </w:rPr>
        <w:t xml:space="preserve">, co stanowi o niezachowywaniu wymogów </w:t>
      </w:r>
      <w:r w:rsidRPr="00CE5BC5">
        <w:rPr>
          <w:rFonts w:asciiTheme="minorHAnsi" w:hAnsiTheme="minorHAnsi" w:cstheme="minorHAnsi"/>
          <w:sz w:val="22"/>
          <w:szCs w:val="22"/>
          <w:lang w:val="en-US" w:eastAsia="en-US" w:bidi="en-US"/>
        </w:rPr>
        <w:t xml:space="preserve">art. </w:t>
      </w:r>
      <w:r w:rsidRPr="00CE5BC5">
        <w:rPr>
          <w:rFonts w:asciiTheme="minorHAnsi" w:hAnsiTheme="minorHAnsi" w:cstheme="minorHAnsi"/>
          <w:sz w:val="22"/>
          <w:szCs w:val="22"/>
        </w:rPr>
        <w:t xml:space="preserve">44 ust. 4 </w:t>
      </w:r>
      <w:proofErr w:type="spellStart"/>
      <w:r w:rsidRPr="00CE5BC5">
        <w:rPr>
          <w:rFonts w:asciiTheme="minorHAnsi" w:hAnsiTheme="minorHAnsi" w:cstheme="minorHAnsi"/>
          <w:sz w:val="22"/>
          <w:szCs w:val="22"/>
        </w:rPr>
        <w:t>uofp</w:t>
      </w:r>
      <w:proofErr w:type="spellEnd"/>
      <w:r w:rsidRPr="00CE5BC5">
        <w:rPr>
          <w:rFonts w:asciiTheme="minorHAnsi" w:hAnsiTheme="minorHAnsi" w:cstheme="minorHAnsi"/>
          <w:sz w:val="22"/>
          <w:szCs w:val="22"/>
        </w:rPr>
        <w:t xml:space="preserve"> oraz świadczy o braku należytej staranności przy dokumentowaniu przebiegu przeprowadzanych postępowań.</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 xml:space="preserve">Stwierdzono również, że w ustawowym terminie nie sporządzono i nie przekazano do Prezesa Urzędu Zamówień Publicznych (dalej: Prezes UZP) rocznego sprawozdania o udzielonych przez WCK zamówieniach za 2021 r. pomimo, że obowiązek sprawozdawczy dotyczy każdego zamawiającego, niezależnie od skali wydatków. Zgodnie z </w:t>
      </w:r>
      <w:r w:rsidRPr="00CE5BC5">
        <w:rPr>
          <w:rFonts w:asciiTheme="minorHAnsi" w:hAnsiTheme="minorHAnsi" w:cstheme="minorHAnsi"/>
          <w:sz w:val="22"/>
          <w:szCs w:val="22"/>
          <w:lang w:val="en-US" w:eastAsia="en-US" w:bidi="en-US"/>
        </w:rPr>
        <w:t xml:space="preserve">art. </w:t>
      </w:r>
      <w:r w:rsidRPr="00CE5BC5">
        <w:rPr>
          <w:rFonts w:asciiTheme="minorHAnsi" w:hAnsiTheme="minorHAnsi" w:cstheme="minorHAnsi"/>
          <w:sz w:val="22"/>
          <w:szCs w:val="22"/>
        </w:rPr>
        <w:t xml:space="preserve">82 ust.2 ustawy </w:t>
      </w:r>
      <w:proofErr w:type="spellStart"/>
      <w:r w:rsidRPr="00CE5BC5">
        <w:rPr>
          <w:rFonts w:asciiTheme="minorHAnsi" w:hAnsiTheme="minorHAnsi" w:cstheme="minorHAnsi"/>
          <w:sz w:val="22"/>
          <w:szCs w:val="22"/>
        </w:rPr>
        <w:t>Pzp</w:t>
      </w:r>
      <w:proofErr w:type="spellEnd"/>
      <w:r w:rsidRPr="00CE5BC5">
        <w:rPr>
          <w:rFonts w:asciiTheme="minorHAnsi" w:hAnsiTheme="minorHAnsi" w:cstheme="minorHAnsi"/>
          <w:sz w:val="22"/>
          <w:szCs w:val="22"/>
        </w:rPr>
        <w:t xml:space="preserve"> zamawiający miał obowiązek sporządzić roczne sprawozdanie o udzielonych zamówieniach (także w zakresie zamówień do 130.000 zł) i przekazać je Prezesowi UZP w terminie do 1 marca każdego roku następującego po roku, którego dotyczy sprawozdanie.</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Co prawda, w powyższym zakresie podjęto częściowe działania naprawcze w trakcie czynności kontrolnych, tj. WCK złożył sprawozdanie do Prezesa UZP, jednakże sprawozdanie to zostało sporządzone nieprawidłowo, gdyż nie uwzględniono w nim danych dotyczących umów zleceń i umów o dzieło.</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lastRenderedPageBreak/>
        <w:t>Należy zwrócić uwagę, że sprawozdawczość z udzielonych zamówień podprogowych, powinna być źródłem wiarygodnej informacji na temat skali zaciągniętych zobowiązań oraz monitorowania sposobu dokonywania wydatków publicznych. Ważną rolę w rzetelnym sporządzeniu corocznego sprawozdania, spełnia należyta staranność przy prowadzeniu ewidencji udzielonych zamówień. Niesporządzanie corocznych sprawozdań do Prezesa UZP, nie pozwala uzyskać w prosty sposób informacji w zakresie łącznej liczby i wartości udzielonych zamówień przez jednostkę, co uniemożliwia prowadzenie efektywnego ich monitoringu.</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Dyrektorem WCK w okresie objętym kontrolą była Pani Barbara Karniewska (pełniła funkcję w okresie od 1 lipca 2014 r.).</w:t>
      </w:r>
    </w:p>
    <w:p w:rsidR="007469D5" w:rsidRPr="00CE5BC5" w:rsidRDefault="00954BA3" w:rsidP="00CE5BC5">
      <w:pPr>
        <w:pStyle w:val="Bodytext20"/>
        <w:shd w:val="clear" w:color="auto" w:fill="auto"/>
        <w:spacing w:before="120" w:after="240" w:line="300" w:lineRule="auto"/>
        <w:ind w:left="160" w:firstLine="0"/>
        <w:rPr>
          <w:rFonts w:asciiTheme="minorHAnsi" w:hAnsiTheme="minorHAnsi" w:cstheme="minorHAnsi"/>
          <w:sz w:val="22"/>
          <w:szCs w:val="22"/>
        </w:rPr>
      </w:pPr>
      <w:r w:rsidRPr="00CE5BC5">
        <w:rPr>
          <w:rFonts w:asciiTheme="minorHAnsi" w:hAnsiTheme="minorHAnsi" w:cstheme="minorHAnsi"/>
          <w:sz w:val="22"/>
          <w:szCs w:val="22"/>
        </w:rPr>
        <w:t>Funkcję Głównego Księgowego WCK pełniła p. Bernadeta Kołodziejczyk, zatrudniona od dnia 1 lutego 2017 r.</w:t>
      </w:r>
    </w:p>
    <w:p w:rsidR="007469D5" w:rsidRPr="00CE5BC5" w:rsidRDefault="00954BA3" w:rsidP="00CE5BC5">
      <w:pPr>
        <w:pStyle w:val="Bodytext20"/>
        <w:shd w:val="clear" w:color="auto" w:fill="auto"/>
        <w:spacing w:before="120" w:after="240" w:line="300" w:lineRule="auto"/>
        <w:ind w:left="400" w:hanging="240"/>
        <w:rPr>
          <w:rFonts w:asciiTheme="minorHAnsi" w:hAnsiTheme="minorHAnsi" w:cstheme="minorHAnsi"/>
          <w:sz w:val="22"/>
          <w:szCs w:val="22"/>
        </w:rPr>
      </w:pPr>
      <w:r w:rsidRPr="00CE5BC5">
        <w:rPr>
          <w:rFonts w:asciiTheme="minorHAnsi" w:hAnsiTheme="minorHAnsi" w:cstheme="minorHAnsi"/>
          <w:sz w:val="22"/>
          <w:szCs w:val="22"/>
        </w:rPr>
        <w:t>Przedstawiając powyższe ustalenia i oceny zalecam:</w:t>
      </w:r>
    </w:p>
    <w:p w:rsidR="007469D5" w:rsidRPr="00CE5BC5" w:rsidRDefault="00954BA3" w:rsidP="00CE5BC5">
      <w:pPr>
        <w:pStyle w:val="Bodytext20"/>
        <w:numPr>
          <w:ilvl w:val="0"/>
          <w:numId w:val="4"/>
        </w:numPr>
        <w:shd w:val="clear" w:color="auto" w:fill="auto"/>
        <w:tabs>
          <w:tab w:val="left" w:pos="463"/>
        </w:tabs>
        <w:spacing w:before="120" w:after="240" w:line="300" w:lineRule="auto"/>
        <w:ind w:left="400" w:hanging="240"/>
        <w:rPr>
          <w:rFonts w:asciiTheme="minorHAnsi" w:hAnsiTheme="minorHAnsi" w:cstheme="minorHAnsi"/>
          <w:sz w:val="22"/>
          <w:szCs w:val="22"/>
        </w:rPr>
      </w:pPr>
      <w:r w:rsidRPr="00CE5BC5">
        <w:rPr>
          <w:rFonts w:asciiTheme="minorHAnsi" w:hAnsiTheme="minorHAnsi" w:cstheme="minorHAnsi"/>
          <w:sz w:val="22"/>
          <w:szCs w:val="22"/>
        </w:rPr>
        <w:t xml:space="preserve">Kontrasygnowanie przez Głównego księgowego umów zawieranych przez Wawerskie Centrum Kultury, w celu potwierdzenia dokonania kontroli wstępnej operacji gospodarczych i finansowych, w sposób zgodny z </w:t>
      </w:r>
      <w:r w:rsidRPr="00CE5BC5">
        <w:rPr>
          <w:rFonts w:asciiTheme="minorHAnsi" w:hAnsiTheme="minorHAnsi" w:cstheme="minorHAnsi"/>
          <w:sz w:val="22"/>
          <w:szCs w:val="22"/>
          <w:lang w:val="en-US" w:eastAsia="en-US" w:bidi="en-US"/>
        </w:rPr>
        <w:t xml:space="preserve">art. </w:t>
      </w:r>
      <w:r w:rsidRPr="00CE5BC5">
        <w:rPr>
          <w:rFonts w:asciiTheme="minorHAnsi" w:hAnsiTheme="minorHAnsi" w:cstheme="minorHAnsi"/>
          <w:sz w:val="22"/>
          <w:szCs w:val="22"/>
        </w:rPr>
        <w:t>54 ust. 3 ustawy o finansach publicznych, oraz rzetelne i pełne dokumentowanie operacji finansowych w sposób zgodny ze standardami kontroli zarządczej.</w:t>
      </w:r>
    </w:p>
    <w:p w:rsidR="007469D5" w:rsidRPr="00CE5BC5" w:rsidRDefault="00954BA3" w:rsidP="00CE5BC5">
      <w:pPr>
        <w:pStyle w:val="Bodytext20"/>
        <w:numPr>
          <w:ilvl w:val="0"/>
          <w:numId w:val="4"/>
        </w:numPr>
        <w:shd w:val="clear" w:color="auto" w:fill="auto"/>
        <w:tabs>
          <w:tab w:val="left" w:pos="468"/>
        </w:tabs>
        <w:spacing w:before="120" w:after="240" w:line="300" w:lineRule="auto"/>
        <w:ind w:left="400" w:hanging="240"/>
        <w:rPr>
          <w:rFonts w:asciiTheme="minorHAnsi" w:hAnsiTheme="minorHAnsi" w:cstheme="minorHAnsi"/>
          <w:sz w:val="22"/>
          <w:szCs w:val="22"/>
        </w:rPr>
      </w:pPr>
      <w:r w:rsidRPr="00CE5BC5">
        <w:rPr>
          <w:rFonts w:asciiTheme="minorHAnsi" w:hAnsiTheme="minorHAnsi" w:cstheme="minorHAnsi"/>
          <w:sz w:val="22"/>
          <w:szCs w:val="22"/>
        </w:rPr>
        <w:t>Uwzględnienie w Regulaminie wynajmowania przestrzeni stawek długoterminowego najmu pomieszczeń z uwzględnieniem zasad udzielania stawek preferencyjnych.</w:t>
      </w:r>
    </w:p>
    <w:p w:rsidR="007469D5" w:rsidRPr="00CE5BC5" w:rsidRDefault="00954BA3" w:rsidP="00CE5BC5">
      <w:pPr>
        <w:pStyle w:val="Bodytext20"/>
        <w:numPr>
          <w:ilvl w:val="0"/>
          <w:numId w:val="4"/>
        </w:numPr>
        <w:shd w:val="clear" w:color="auto" w:fill="auto"/>
        <w:tabs>
          <w:tab w:val="left" w:pos="468"/>
        </w:tabs>
        <w:spacing w:before="120" w:after="240" w:line="300" w:lineRule="auto"/>
        <w:ind w:left="400" w:hanging="240"/>
        <w:rPr>
          <w:rFonts w:asciiTheme="minorHAnsi" w:hAnsiTheme="minorHAnsi" w:cstheme="minorHAnsi"/>
          <w:sz w:val="22"/>
          <w:szCs w:val="22"/>
        </w:rPr>
      </w:pPr>
      <w:r w:rsidRPr="00CE5BC5">
        <w:rPr>
          <w:rFonts w:asciiTheme="minorHAnsi" w:hAnsiTheme="minorHAnsi" w:cstheme="minorHAnsi"/>
          <w:sz w:val="22"/>
          <w:szCs w:val="22"/>
        </w:rPr>
        <w:t>Wskazywanie w zawieranych umowach na dostawy lub usługi prawidłowej podstawy wyłączenia z postępowania zgodnej z ustawą Prawo Zamówień Publicznych.</w:t>
      </w:r>
    </w:p>
    <w:p w:rsidR="007469D5" w:rsidRPr="00CE5BC5" w:rsidRDefault="00954BA3" w:rsidP="00CE5BC5">
      <w:pPr>
        <w:pStyle w:val="Bodytext20"/>
        <w:numPr>
          <w:ilvl w:val="0"/>
          <w:numId w:val="4"/>
        </w:numPr>
        <w:shd w:val="clear" w:color="auto" w:fill="auto"/>
        <w:tabs>
          <w:tab w:val="left" w:pos="477"/>
        </w:tabs>
        <w:spacing w:before="120" w:after="240" w:line="300" w:lineRule="auto"/>
        <w:ind w:left="400" w:hanging="240"/>
        <w:rPr>
          <w:rFonts w:asciiTheme="minorHAnsi" w:hAnsiTheme="minorHAnsi" w:cstheme="minorHAnsi"/>
          <w:sz w:val="22"/>
          <w:szCs w:val="22"/>
        </w:rPr>
      </w:pPr>
      <w:r w:rsidRPr="00CE5BC5">
        <w:rPr>
          <w:rFonts w:asciiTheme="minorHAnsi" w:hAnsiTheme="minorHAnsi" w:cstheme="minorHAnsi"/>
          <w:sz w:val="22"/>
          <w:szCs w:val="22"/>
        </w:rPr>
        <w:t xml:space="preserve">Dokonywanie wydatków publicznych w terminach wynikających z wcześniej zaciągniętych zobowiązań zgodnie z </w:t>
      </w:r>
      <w:r w:rsidRPr="00CE5BC5">
        <w:rPr>
          <w:rFonts w:asciiTheme="minorHAnsi" w:hAnsiTheme="minorHAnsi" w:cstheme="minorHAnsi"/>
          <w:sz w:val="22"/>
          <w:szCs w:val="22"/>
          <w:lang w:val="en-US" w:eastAsia="en-US" w:bidi="en-US"/>
        </w:rPr>
        <w:t xml:space="preserve">art. </w:t>
      </w:r>
      <w:r w:rsidRPr="00CE5BC5">
        <w:rPr>
          <w:rFonts w:asciiTheme="minorHAnsi" w:hAnsiTheme="minorHAnsi" w:cstheme="minorHAnsi"/>
          <w:sz w:val="22"/>
          <w:szCs w:val="22"/>
        </w:rPr>
        <w:t>44 ust.3 ustawy z dnia 27 sierpnia 2009 r. o finansach publicznych.</w:t>
      </w:r>
    </w:p>
    <w:p w:rsidR="007469D5" w:rsidRPr="00CE5BC5" w:rsidRDefault="00954BA3" w:rsidP="00CE5BC5">
      <w:pPr>
        <w:pStyle w:val="Bodytext20"/>
        <w:numPr>
          <w:ilvl w:val="0"/>
          <w:numId w:val="4"/>
        </w:numPr>
        <w:shd w:val="clear" w:color="auto" w:fill="auto"/>
        <w:tabs>
          <w:tab w:val="left" w:pos="477"/>
        </w:tabs>
        <w:spacing w:before="120" w:after="240" w:line="300" w:lineRule="auto"/>
        <w:ind w:left="400" w:hanging="240"/>
        <w:rPr>
          <w:rFonts w:asciiTheme="minorHAnsi" w:hAnsiTheme="minorHAnsi" w:cstheme="minorHAnsi"/>
          <w:sz w:val="22"/>
          <w:szCs w:val="22"/>
        </w:rPr>
      </w:pPr>
      <w:r w:rsidRPr="00CE5BC5">
        <w:rPr>
          <w:rFonts w:asciiTheme="minorHAnsi" w:hAnsiTheme="minorHAnsi" w:cstheme="minorHAnsi"/>
          <w:sz w:val="22"/>
          <w:szCs w:val="22"/>
        </w:rPr>
        <w:t xml:space="preserve">Terminowe sporządzanie i przekazywanie Prezesowi Urzędu Zamówień Publicznych corocznego sprawozdania o udzielonych zamówieniach zgodnie z </w:t>
      </w:r>
      <w:r w:rsidRPr="00CE5BC5">
        <w:rPr>
          <w:rFonts w:asciiTheme="minorHAnsi" w:hAnsiTheme="minorHAnsi" w:cstheme="minorHAnsi"/>
          <w:sz w:val="22"/>
          <w:szCs w:val="22"/>
          <w:lang w:val="en-US" w:eastAsia="en-US" w:bidi="en-US"/>
        </w:rPr>
        <w:t xml:space="preserve">art. </w:t>
      </w:r>
      <w:r w:rsidRPr="00CE5BC5">
        <w:rPr>
          <w:rFonts w:asciiTheme="minorHAnsi" w:hAnsiTheme="minorHAnsi" w:cstheme="minorHAnsi"/>
          <w:sz w:val="22"/>
          <w:szCs w:val="22"/>
        </w:rPr>
        <w:t xml:space="preserve">82 ustawy z dnia 11 września 2019 r. Prawo zamówień publicznych, w tym uwzględnianie informacji </w:t>
      </w:r>
      <w:r w:rsidRPr="00CE5BC5">
        <w:rPr>
          <w:rFonts w:asciiTheme="minorHAnsi" w:hAnsiTheme="minorHAnsi" w:cstheme="minorHAnsi"/>
          <w:sz w:val="22"/>
          <w:szCs w:val="22"/>
          <w:lang w:val="en-US" w:eastAsia="en-US" w:bidi="en-US"/>
        </w:rPr>
        <w:t xml:space="preserve">dot. </w:t>
      </w:r>
      <w:r w:rsidRPr="00CE5BC5">
        <w:rPr>
          <w:rFonts w:asciiTheme="minorHAnsi" w:hAnsiTheme="minorHAnsi" w:cstheme="minorHAnsi"/>
          <w:sz w:val="22"/>
          <w:szCs w:val="22"/>
        </w:rPr>
        <w:t>zamówień, których wartość jest mniejsza niż 130.000 zł.</w:t>
      </w:r>
    </w:p>
    <w:p w:rsidR="007469D5" w:rsidRPr="00CE5BC5" w:rsidRDefault="00954BA3" w:rsidP="00CE5BC5">
      <w:pPr>
        <w:pStyle w:val="Bodytext20"/>
        <w:numPr>
          <w:ilvl w:val="0"/>
          <w:numId w:val="4"/>
        </w:numPr>
        <w:shd w:val="clear" w:color="auto" w:fill="auto"/>
        <w:tabs>
          <w:tab w:val="left" w:pos="477"/>
        </w:tabs>
        <w:spacing w:before="120" w:after="240" w:line="300" w:lineRule="auto"/>
        <w:ind w:left="400" w:hanging="240"/>
        <w:rPr>
          <w:rFonts w:asciiTheme="minorHAnsi" w:hAnsiTheme="minorHAnsi" w:cstheme="minorHAnsi"/>
          <w:sz w:val="22"/>
          <w:szCs w:val="22"/>
        </w:rPr>
      </w:pPr>
      <w:r w:rsidRPr="00CE5BC5">
        <w:rPr>
          <w:rFonts w:asciiTheme="minorHAnsi" w:hAnsiTheme="minorHAnsi" w:cstheme="minorHAnsi"/>
          <w:sz w:val="22"/>
          <w:szCs w:val="22"/>
        </w:rPr>
        <w:t>Zamieszczanie na otrzymanych fakturach i rachunkach informacji o wyłączeniu ze stosowania przepisów ustawy Prawo Zamówień Publicznych.</w:t>
      </w:r>
    </w:p>
    <w:p w:rsidR="007469D5" w:rsidRPr="00CE5BC5" w:rsidRDefault="00954BA3" w:rsidP="00CE5BC5">
      <w:pPr>
        <w:pStyle w:val="Bodytext20"/>
        <w:numPr>
          <w:ilvl w:val="0"/>
          <w:numId w:val="4"/>
        </w:numPr>
        <w:shd w:val="clear" w:color="auto" w:fill="auto"/>
        <w:tabs>
          <w:tab w:val="left" w:pos="415"/>
        </w:tabs>
        <w:spacing w:before="120" w:after="240" w:line="300" w:lineRule="auto"/>
        <w:ind w:left="400"/>
        <w:rPr>
          <w:rFonts w:asciiTheme="minorHAnsi" w:hAnsiTheme="minorHAnsi" w:cstheme="minorHAnsi"/>
          <w:sz w:val="22"/>
          <w:szCs w:val="22"/>
        </w:rPr>
      </w:pPr>
      <w:r w:rsidRPr="00CE5BC5">
        <w:rPr>
          <w:rFonts w:asciiTheme="minorHAnsi" w:hAnsiTheme="minorHAnsi" w:cstheme="minorHAnsi"/>
          <w:sz w:val="22"/>
          <w:szCs w:val="22"/>
        </w:rPr>
        <w:t>Każdorazowe opiniowanie przez Radcę Prawnego, pod względem formalnoprawnym, zawieranych umów na dostawy lub usługi.</w:t>
      </w:r>
    </w:p>
    <w:p w:rsidR="007469D5" w:rsidRPr="00CE5BC5" w:rsidRDefault="00954BA3" w:rsidP="00CE5BC5">
      <w:pPr>
        <w:pStyle w:val="Bodytext20"/>
        <w:shd w:val="clear" w:color="auto" w:fill="auto"/>
        <w:tabs>
          <w:tab w:val="left" w:pos="7589"/>
        </w:tabs>
        <w:spacing w:before="120" w:after="240" w:line="300" w:lineRule="auto"/>
        <w:ind w:right="520" w:firstLine="0"/>
        <w:rPr>
          <w:rFonts w:asciiTheme="minorHAnsi" w:hAnsiTheme="minorHAnsi" w:cstheme="minorHAnsi"/>
          <w:sz w:val="22"/>
          <w:szCs w:val="22"/>
        </w:rPr>
      </w:pPr>
      <w:r w:rsidRPr="00CE5BC5">
        <w:rPr>
          <w:rFonts w:asciiTheme="minorHAnsi" w:hAnsiTheme="minorHAnsi" w:cstheme="minorHAnsi"/>
          <w:sz w:val="22"/>
          <w:szCs w:val="22"/>
        </w:rPr>
        <w:t xml:space="preserve">Na podstawie § 22 ust. 10 Regulaminu organizacyjnego oraz § 41 ust. 1 Zarządzenia oczekuję od Pani w terminie nie dłuższym niż 30 dni od dnia doręczenia niniejszego Wystąpienia </w:t>
      </w:r>
      <w:r w:rsidRPr="00CE5BC5">
        <w:rPr>
          <w:rFonts w:asciiTheme="minorHAnsi" w:hAnsiTheme="minorHAnsi" w:cstheme="minorHAnsi"/>
          <w:sz w:val="22"/>
          <w:szCs w:val="22"/>
        </w:rPr>
        <w:lastRenderedPageBreak/>
        <w:t>pokontrolnego, informacji o sposobie realizacji zaleceń/wniosków pokontrolnych i wykorzystaniu uwag zawartych w wystąpieniu pokontrolnym lub przyczynach braku realizacji zaleceń/wniosków pokontrolnych lub niewykorzystaniu uwag bądź o innym sposobie usunięcia stwierdzonych nieprawidłowości lub uchybień.</w:t>
      </w:r>
      <w:r w:rsidRPr="00CE5BC5">
        <w:rPr>
          <w:rFonts w:asciiTheme="minorHAnsi" w:hAnsiTheme="minorHAnsi" w:cstheme="minorHAnsi"/>
          <w:sz w:val="22"/>
          <w:szCs w:val="22"/>
        </w:rPr>
        <w:tab/>
        <w:t>-</w:t>
      </w:r>
    </w:p>
    <w:p w:rsidR="007469D5" w:rsidRPr="00CE5BC5" w:rsidRDefault="00954BA3" w:rsidP="00CE5BC5">
      <w:pPr>
        <w:pStyle w:val="Bodytext20"/>
        <w:shd w:val="clear" w:color="auto" w:fill="auto"/>
        <w:spacing w:before="120" w:after="240" w:line="300" w:lineRule="auto"/>
        <w:ind w:firstLine="0"/>
        <w:rPr>
          <w:rFonts w:asciiTheme="minorHAnsi" w:hAnsiTheme="minorHAnsi" w:cstheme="minorHAnsi"/>
          <w:sz w:val="22"/>
          <w:szCs w:val="22"/>
        </w:rPr>
      </w:pPr>
      <w:r w:rsidRPr="00CE5BC5">
        <w:rPr>
          <w:rFonts w:asciiTheme="minorHAnsi" w:hAnsiTheme="minorHAnsi" w:cstheme="minorHAnsi"/>
          <w:sz w:val="22"/>
          <w:szCs w:val="22"/>
        </w:rPr>
        <w:t>Na podstawie § 41 ust. 1 Zarządzenia zobowiązuję Panią do przekazania kopii ww</w:t>
      </w:r>
      <w:r w:rsidR="0001008D" w:rsidRPr="00CE5BC5">
        <w:rPr>
          <w:rFonts w:asciiTheme="minorHAnsi" w:hAnsiTheme="minorHAnsi" w:cstheme="minorHAnsi"/>
          <w:sz w:val="22"/>
          <w:szCs w:val="22"/>
        </w:rPr>
        <w:t>. in</w:t>
      </w:r>
      <w:r w:rsidRPr="00CE5BC5">
        <w:rPr>
          <w:rFonts w:asciiTheme="minorHAnsi" w:hAnsiTheme="minorHAnsi" w:cstheme="minorHAnsi"/>
          <w:sz w:val="22"/>
          <w:szCs w:val="22"/>
        </w:rPr>
        <w:t>formacji Panu</w:t>
      </w:r>
    </w:p>
    <w:p w:rsidR="007469D5" w:rsidRPr="00CE5BC5" w:rsidRDefault="00954BA3" w:rsidP="00CE5BC5">
      <w:pPr>
        <w:pStyle w:val="Bodytext20"/>
        <w:shd w:val="clear" w:color="auto" w:fill="auto"/>
        <w:spacing w:before="120" w:after="240" w:line="300" w:lineRule="auto"/>
        <w:ind w:firstLine="0"/>
        <w:rPr>
          <w:rStyle w:val="Bodytext2Italic"/>
          <w:rFonts w:asciiTheme="minorHAnsi" w:hAnsiTheme="minorHAnsi" w:cstheme="minorHAnsi"/>
          <w:sz w:val="22"/>
          <w:szCs w:val="22"/>
        </w:rPr>
      </w:pPr>
      <w:r w:rsidRPr="00CE5BC5">
        <w:rPr>
          <w:rFonts w:asciiTheme="minorHAnsi" w:hAnsiTheme="minorHAnsi" w:cstheme="minorHAnsi"/>
          <w:sz w:val="22"/>
          <w:szCs w:val="22"/>
        </w:rPr>
        <w:t xml:space="preserve">Norbertowi Szczepańskiemu Burmistrzowi </w:t>
      </w:r>
      <w:r w:rsidR="0001008D" w:rsidRPr="00CE5BC5">
        <w:rPr>
          <w:rFonts w:asciiTheme="minorHAnsi" w:hAnsiTheme="minorHAnsi" w:cstheme="minorHAnsi"/>
          <w:sz w:val="22"/>
          <w:szCs w:val="22"/>
        </w:rPr>
        <w:t>Dzielnicy Wawer m.st. Warszawy.</w:t>
      </w:r>
    </w:p>
    <w:p w:rsidR="004E4AA2" w:rsidRPr="004E4AA2" w:rsidRDefault="004E4AA2" w:rsidP="004E4AA2">
      <w:pPr>
        <w:tabs>
          <w:tab w:val="left" w:pos="426"/>
        </w:tabs>
        <w:spacing w:before="120" w:after="240" w:line="300" w:lineRule="auto"/>
        <w:ind w:left="4536"/>
        <w:contextualSpacing/>
        <w:rPr>
          <w:rFonts w:asciiTheme="minorHAnsi" w:eastAsia="Arial" w:hAnsiTheme="minorHAnsi" w:cstheme="minorHAnsi"/>
          <w:sz w:val="22"/>
          <w:szCs w:val="22"/>
        </w:rPr>
      </w:pPr>
      <w:r w:rsidRPr="004E4AA2">
        <w:rPr>
          <w:rFonts w:asciiTheme="minorHAnsi" w:eastAsia="Arial" w:hAnsiTheme="minorHAnsi" w:cstheme="minorHAnsi"/>
          <w:sz w:val="22"/>
          <w:szCs w:val="22"/>
        </w:rPr>
        <w:t xml:space="preserve">ZASTĘPCA DYREKTORA BIURA KONTROLI /-/ </w:t>
      </w:r>
    </w:p>
    <w:p w:rsidR="007469D5" w:rsidRPr="004E4AA2" w:rsidRDefault="004E4AA2" w:rsidP="004E4AA2">
      <w:pPr>
        <w:tabs>
          <w:tab w:val="left" w:pos="426"/>
        </w:tabs>
        <w:spacing w:before="120" w:after="240" w:line="300" w:lineRule="auto"/>
        <w:ind w:left="4536"/>
        <w:contextualSpacing/>
        <w:rPr>
          <w:rFonts w:asciiTheme="minorHAnsi" w:eastAsia="Arial" w:hAnsiTheme="minorHAnsi" w:cstheme="minorHAnsi"/>
          <w:sz w:val="22"/>
          <w:szCs w:val="22"/>
        </w:rPr>
      </w:pPr>
      <w:r w:rsidRPr="004E4AA2">
        <w:rPr>
          <w:rFonts w:asciiTheme="minorHAnsi" w:eastAsia="Arial" w:hAnsiTheme="minorHAnsi" w:cstheme="minorHAnsi"/>
          <w:sz w:val="22"/>
          <w:szCs w:val="22"/>
        </w:rPr>
        <w:t>Piotr Sielecki</w:t>
      </w:r>
    </w:p>
    <w:sectPr w:rsidR="007469D5" w:rsidRPr="004E4AA2" w:rsidSect="001937A3">
      <w:footerReference w:type="default" r:id="rId7"/>
      <w:headerReference w:type="first" r:id="rId8"/>
      <w:footerReference w:type="first" r:id="rId9"/>
      <w:pgSz w:w="11900" w:h="16840"/>
      <w:pgMar w:top="1558" w:right="1191" w:bottom="1861" w:left="1483"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CC8" w:rsidRDefault="001D2CC8">
      <w:r>
        <w:separator/>
      </w:r>
    </w:p>
  </w:endnote>
  <w:endnote w:type="continuationSeparator" w:id="0">
    <w:p w:rsidR="001D2CC8" w:rsidRDefault="001D2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3853935"/>
      <w:docPartObj>
        <w:docPartGallery w:val="Page Numbers (Bottom of Page)"/>
        <w:docPartUnique/>
      </w:docPartObj>
    </w:sdtPr>
    <w:sdtEndPr>
      <w:rPr>
        <w:rFonts w:asciiTheme="minorHAnsi" w:hAnsiTheme="minorHAnsi" w:cstheme="minorHAnsi"/>
        <w:sz w:val="22"/>
        <w:szCs w:val="22"/>
      </w:rPr>
    </w:sdtEndPr>
    <w:sdtContent>
      <w:p w:rsidR="00CE5BC5" w:rsidRPr="00CE5BC5" w:rsidRDefault="00CE5BC5">
        <w:pPr>
          <w:pStyle w:val="Stopka"/>
          <w:jc w:val="right"/>
          <w:rPr>
            <w:rFonts w:asciiTheme="minorHAnsi" w:hAnsiTheme="minorHAnsi" w:cstheme="minorHAnsi"/>
            <w:sz w:val="22"/>
            <w:szCs w:val="22"/>
          </w:rPr>
        </w:pPr>
        <w:r w:rsidRPr="00CE5BC5">
          <w:rPr>
            <w:rFonts w:asciiTheme="minorHAnsi" w:hAnsiTheme="minorHAnsi" w:cstheme="minorHAnsi"/>
            <w:sz w:val="22"/>
            <w:szCs w:val="22"/>
          </w:rPr>
          <w:fldChar w:fldCharType="begin"/>
        </w:r>
        <w:r w:rsidRPr="00CE5BC5">
          <w:rPr>
            <w:rFonts w:asciiTheme="minorHAnsi" w:hAnsiTheme="minorHAnsi" w:cstheme="minorHAnsi"/>
            <w:sz w:val="22"/>
            <w:szCs w:val="22"/>
          </w:rPr>
          <w:instrText>PAGE   \* MERGEFORMAT</w:instrText>
        </w:r>
        <w:r w:rsidRPr="00CE5BC5">
          <w:rPr>
            <w:rFonts w:asciiTheme="minorHAnsi" w:hAnsiTheme="minorHAnsi" w:cstheme="minorHAnsi"/>
            <w:sz w:val="22"/>
            <w:szCs w:val="22"/>
          </w:rPr>
          <w:fldChar w:fldCharType="separate"/>
        </w:r>
        <w:r w:rsidR="000B2327">
          <w:rPr>
            <w:rFonts w:asciiTheme="minorHAnsi" w:hAnsiTheme="minorHAnsi" w:cstheme="minorHAnsi"/>
            <w:noProof/>
            <w:sz w:val="22"/>
            <w:szCs w:val="22"/>
          </w:rPr>
          <w:t>4</w:t>
        </w:r>
        <w:r w:rsidRPr="00CE5BC5">
          <w:rPr>
            <w:rFonts w:asciiTheme="minorHAnsi" w:hAnsiTheme="minorHAnsi" w:cstheme="minorHAnsi"/>
            <w:sz w:val="22"/>
            <w:szCs w:val="22"/>
          </w:rPr>
          <w:fldChar w:fldCharType="end"/>
        </w:r>
      </w:p>
    </w:sdtContent>
  </w:sdt>
  <w:p w:rsidR="007469D5" w:rsidRDefault="007469D5">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3278217"/>
      <w:docPartObj>
        <w:docPartGallery w:val="Page Numbers (Bottom of Page)"/>
        <w:docPartUnique/>
      </w:docPartObj>
    </w:sdtPr>
    <w:sdtEndPr>
      <w:rPr>
        <w:rFonts w:asciiTheme="minorHAnsi" w:hAnsiTheme="minorHAnsi" w:cstheme="minorHAnsi"/>
        <w:sz w:val="22"/>
        <w:szCs w:val="22"/>
      </w:rPr>
    </w:sdtEndPr>
    <w:sdtContent>
      <w:p w:rsidR="001937A3" w:rsidRPr="001937A3" w:rsidRDefault="001937A3">
        <w:pPr>
          <w:pStyle w:val="Stopka"/>
          <w:jc w:val="right"/>
          <w:rPr>
            <w:rFonts w:asciiTheme="minorHAnsi" w:hAnsiTheme="minorHAnsi" w:cstheme="minorHAnsi"/>
            <w:sz w:val="22"/>
            <w:szCs w:val="22"/>
          </w:rPr>
        </w:pPr>
        <w:r w:rsidRPr="001937A3">
          <w:rPr>
            <w:rFonts w:asciiTheme="minorHAnsi" w:hAnsiTheme="minorHAnsi" w:cstheme="minorHAnsi"/>
            <w:sz w:val="22"/>
            <w:szCs w:val="22"/>
          </w:rPr>
          <w:fldChar w:fldCharType="begin"/>
        </w:r>
        <w:r w:rsidRPr="001937A3">
          <w:rPr>
            <w:rFonts w:asciiTheme="minorHAnsi" w:hAnsiTheme="minorHAnsi" w:cstheme="minorHAnsi"/>
            <w:sz w:val="22"/>
            <w:szCs w:val="22"/>
          </w:rPr>
          <w:instrText>PAGE   \* MERGEFORMAT</w:instrText>
        </w:r>
        <w:r w:rsidRPr="001937A3">
          <w:rPr>
            <w:rFonts w:asciiTheme="minorHAnsi" w:hAnsiTheme="minorHAnsi" w:cstheme="minorHAnsi"/>
            <w:sz w:val="22"/>
            <w:szCs w:val="22"/>
          </w:rPr>
          <w:fldChar w:fldCharType="separate"/>
        </w:r>
        <w:r w:rsidR="000B2327">
          <w:rPr>
            <w:rFonts w:asciiTheme="minorHAnsi" w:hAnsiTheme="minorHAnsi" w:cstheme="minorHAnsi"/>
            <w:noProof/>
            <w:sz w:val="22"/>
            <w:szCs w:val="22"/>
          </w:rPr>
          <w:t>1</w:t>
        </w:r>
        <w:r w:rsidRPr="001937A3">
          <w:rPr>
            <w:rFonts w:asciiTheme="minorHAnsi" w:hAnsiTheme="minorHAnsi" w:cstheme="minorHAnsi"/>
            <w:sz w:val="22"/>
            <w:szCs w:val="22"/>
          </w:rPr>
          <w:fldChar w:fldCharType="end"/>
        </w:r>
      </w:p>
    </w:sdtContent>
  </w:sdt>
  <w:p w:rsidR="001937A3" w:rsidRDefault="001937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CC8" w:rsidRDefault="001D2CC8">
      <w:r>
        <w:separator/>
      </w:r>
    </w:p>
  </w:footnote>
  <w:footnote w:type="continuationSeparator" w:id="0">
    <w:p w:rsidR="001D2CC8" w:rsidRDefault="001D2CC8">
      <w:r>
        <w:continuationSeparator/>
      </w:r>
    </w:p>
  </w:footnote>
  <w:footnote w:id="1">
    <w:p w:rsidR="007469D5" w:rsidRPr="0001008D" w:rsidRDefault="00954BA3" w:rsidP="000B2327">
      <w:pPr>
        <w:pStyle w:val="Footnote10"/>
        <w:shd w:val="clear" w:color="auto" w:fill="auto"/>
        <w:spacing w:before="120" w:after="240" w:line="300" w:lineRule="auto"/>
        <w:ind w:firstLine="0"/>
        <w:contextualSpacing/>
        <w:rPr>
          <w:rFonts w:asciiTheme="minorHAnsi" w:hAnsiTheme="minorHAnsi" w:cstheme="minorHAnsi"/>
          <w:sz w:val="22"/>
          <w:szCs w:val="22"/>
        </w:rPr>
      </w:pPr>
      <w:r w:rsidRPr="0001008D">
        <w:rPr>
          <w:rFonts w:asciiTheme="minorHAnsi" w:hAnsiTheme="minorHAnsi" w:cstheme="minorHAnsi"/>
          <w:sz w:val="22"/>
          <w:szCs w:val="22"/>
          <w:vertAlign w:val="superscript"/>
        </w:rPr>
        <w:footnoteRef/>
      </w:r>
      <w:r w:rsidRPr="0001008D">
        <w:rPr>
          <w:rFonts w:asciiTheme="minorHAnsi" w:hAnsiTheme="minorHAnsi" w:cstheme="minorHAnsi"/>
          <w:sz w:val="22"/>
          <w:szCs w:val="22"/>
        </w:rPr>
        <w:t>W 2021 r. WCK otrzymało dotację podmiotową w wysokości 5 077 888,68 zł.</w:t>
      </w:r>
    </w:p>
  </w:footnote>
  <w:footnote w:id="2">
    <w:p w:rsidR="007469D5" w:rsidRDefault="00954BA3" w:rsidP="000B2327">
      <w:pPr>
        <w:pStyle w:val="Footnote10"/>
        <w:shd w:val="clear" w:color="auto" w:fill="auto"/>
        <w:spacing w:before="120" w:after="240" w:line="300" w:lineRule="auto"/>
        <w:ind w:firstLine="0"/>
        <w:contextualSpacing/>
      </w:pPr>
      <w:r w:rsidRPr="0001008D">
        <w:rPr>
          <w:rFonts w:asciiTheme="minorHAnsi" w:hAnsiTheme="minorHAnsi" w:cstheme="minorHAnsi"/>
          <w:sz w:val="22"/>
          <w:szCs w:val="22"/>
          <w:vertAlign w:val="superscript"/>
        </w:rPr>
        <w:footnoteRef/>
      </w:r>
      <w:r w:rsidRPr="0001008D">
        <w:rPr>
          <w:rFonts w:asciiTheme="minorHAnsi" w:hAnsiTheme="minorHAnsi" w:cstheme="minorHAnsi"/>
          <w:sz w:val="22"/>
          <w:szCs w:val="22"/>
        </w:rPr>
        <w:t xml:space="preserve"> Dz.U. z 2021 r. poz. 217 </w:t>
      </w:r>
      <w:proofErr w:type="spellStart"/>
      <w:r w:rsidRPr="0001008D">
        <w:rPr>
          <w:rFonts w:asciiTheme="minorHAnsi" w:hAnsiTheme="minorHAnsi" w:cstheme="minorHAnsi"/>
          <w:sz w:val="22"/>
          <w:szCs w:val="22"/>
        </w:rPr>
        <w:t>t.j</w:t>
      </w:r>
      <w:proofErr w:type="spellEnd"/>
      <w:r w:rsidRPr="0001008D">
        <w:rPr>
          <w:rFonts w:asciiTheme="minorHAnsi" w:hAnsiTheme="minorHAnsi" w:cstheme="minorHAnsi"/>
          <w:sz w:val="22"/>
          <w:szCs w:val="22"/>
        </w:rPr>
        <w:t>.</w:t>
      </w:r>
    </w:p>
  </w:footnote>
  <w:footnote w:id="3">
    <w:p w:rsidR="007469D5" w:rsidRPr="0001008D" w:rsidRDefault="00954BA3" w:rsidP="000B2327">
      <w:pPr>
        <w:pStyle w:val="Footnote10"/>
        <w:shd w:val="clear" w:color="auto" w:fill="auto"/>
        <w:tabs>
          <w:tab w:val="left" w:pos="130"/>
        </w:tabs>
        <w:spacing w:before="120" w:after="240" w:line="300" w:lineRule="auto"/>
        <w:ind w:firstLine="0"/>
        <w:contextualSpacing/>
        <w:rPr>
          <w:rFonts w:asciiTheme="minorHAnsi" w:hAnsiTheme="minorHAnsi" w:cstheme="minorHAnsi"/>
          <w:sz w:val="22"/>
          <w:szCs w:val="22"/>
        </w:rPr>
      </w:pPr>
      <w:r w:rsidRPr="0001008D">
        <w:rPr>
          <w:rFonts w:asciiTheme="minorHAnsi" w:hAnsiTheme="minorHAnsi" w:cstheme="minorHAnsi"/>
          <w:sz w:val="22"/>
          <w:szCs w:val="22"/>
          <w:vertAlign w:val="superscript"/>
        </w:rPr>
        <w:footnoteRef/>
      </w:r>
      <w:r w:rsidRPr="0001008D">
        <w:rPr>
          <w:rFonts w:asciiTheme="minorHAnsi" w:hAnsiTheme="minorHAnsi" w:cstheme="minorHAnsi"/>
          <w:sz w:val="22"/>
          <w:szCs w:val="22"/>
        </w:rPr>
        <w:tab/>
      </w:r>
      <w:r w:rsidRPr="0001008D">
        <w:rPr>
          <w:rFonts w:asciiTheme="minorHAnsi" w:hAnsiTheme="minorHAnsi" w:cstheme="minorHAnsi"/>
          <w:sz w:val="22"/>
          <w:szCs w:val="22"/>
          <w:lang w:val="en-US" w:eastAsia="en-US" w:bidi="en-US"/>
        </w:rPr>
        <w:t xml:space="preserve">Dot. </w:t>
      </w:r>
      <w:r w:rsidRPr="0001008D">
        <w:rPr>
          <w:rFonts w:asciiTheme="minorHAnsi" w:hAnsiTheme="minorHAnsi" w:cstheme="minorHAnsi"/>
          <w:sz w:val="22"/>
          <w:szCs w:val="22"/>
        </w:rPr>
        <w:t>7 umów zleceń zawartych z podmiotami zewnętrznymi o nr: 394/2021/AL,</w:t>
      </w:r>
    </w:p>
    <w:p w:rsidR="007469D5" w:rsidRPr="0001008D" w:rsidRDefault="00954BA3" w:rsidP="000B2327">
      <w:pPr>
        <w:pStyle w:val="Footnote10"/>
        <w:shd w:val="clear" w:color="auto" w:fill="auto"/>
        <w:tabs>
          <w:tab w:val="left" w:pos="7356"/>
        </w:tabs>
        <w:spacing w:before="120" w:after="240" w:line="300" w:lineRule="auto"/>
        <w:ind w:firstLine="0"/>
        <w:contextualSpacing/>
        <w:rPr>
          <w:rFonts w:asciiTheme="minorHAnsi" w:hAnsiTheme="minorHAnsi" w:cstheme="minorHAnsi"/>
          <w:sz w:val="22"/>
          <w:szCs w:val="22"/>
        </w:rPr>
      </w:pPr>
      <w:r w:rsidRPr="0001008D">
        <w:rPr>
          <w:rFonts w:asciiTheme="minorHAnsi" w:hAnsiTheme="minorHAnsi" w:cstheme="minorHAnsi"/>
          <w:sz w:val="22"/>
          <w:szCs w:val="22"/>
        </w:rPr>
        <w:t>383/2021/RA, 357/2021/NA, 341/2021/ZA, 175/2020/</w:t>
      </w:r>
      <w:r w:rsidRPr="00DC1D39">
        <w:rPr>
          <w:rStyle w:val="Footnote11"/>
          <w:rFonts w:asciiTheme="minorHAnsi" w:hAnsiTheme="minorHAnsi" w:cstheme="minorHAnsi"/>
          <w:sz w:val="22"/>
          <w:szCs w:val="22"/>
          <w:u w:val="none"/>
          <w:lang w:val="pl-PL" w:eastAsia="pl-PL" w:bidi="pl-PL"/>
        </w:rPr>
        <w:t xml:space="preserve">WCK, </w:t>
      </w:r>
      <w:r w:rsidRPr="00DC1D39">
        <w:rPr>
          <w:rStyle w:val="Footnote11"/>
          <w:rFonts w:asciiTheme="minorHAnsi" w:hAnsiTheme="minorHAnsi" w:cstheme="minorHAnsi"/>
          <w:sz w:val="22"/>
          <w:szCs w:val="22"/>
          <w:u w:val="none"/>
        </w:rPr>
        <w:t>94/202</w:t>
      </w:r>
      <w:r w:rsidRPr="00DC1D39">
        <w:rPr>
          <w:rFonts w:asciiTheme="minorHAnsi" w:hAnsiTheme="minorHAnsi" w:cstheme="minorHAnsi"/>
          <w:sz w:val="22"/>
          <w:szCs w:val="22"/>
          <w:lang w:val="ru-RU" w:eastAsia="ru-RU" w:bidi="ru-RU"/>
        </w:rPr>
        <w:t>1, 6/20</w:t>
      </w:r>
      <w:r w:rsidRPr="00DC1D39">
        <w:rPr>
          <w:rStyle w:val="Footnote11"/>
          <w:rFonts w:asciiTheme="minorHAnsi" w:hAnsiTheme="minorHAnsi" w:cstheme="minorHAnsi"/>
          <w:sz w:val="22"/>
          <w:szCs w:val="22"/>
          <w:u w:val="none"/>
        </w:rPr>
        <w:t>21</w:t>
      </w:r>
      <w:r w:rsidRPr="0001008D">
        <w:rPr>
          <w:rFonts w:asciiTheme="minorHAnsi" w:hAnsiTheme="minorHAnsi" w:cstheme="minorHAnsi"/>
          <w:sz w:val="22"/>
          <w:szCs w:val="22"/>
          <w:lang w:val="ru-RU" w:eastAsia="ru-RU" w:bidi="ru-RU"/>
        </w:rPr>
        <w:tab/>
      </w:r>
      <w:r w:rsidRPr="0001008D">
        <w:rPr>
          <w:rFonts w:asciiTheme="minorHAnsi" w:hAnsiTheme="minorHAnsi" w:cstheme="minorHAnsi"/>
          <w:sz w:val="22"/>
          <w:szCs w:val="22"/>
        </w:rPr>
        <w:t>.</w:t>
      </w:r>
    </w:p>
  </w:footnote>
  <w:footnote w:id="4">
    <w:p w:rsidR="007469D5" w:rsidRPr="0001008D" w:rsidRDefault="00954BA3" w:rsidP="000B2327">
      <w:pPr>
        <w:pStyle w:val="Footnote10"/>
        <w:shd w:val="clear" w:color="auto" w:fill="auto"/>
        <w:spacing w:before="120" w:after="240" w:line="300" w:lineRule="auto"/>
        <w:ind w:right="1400" w:firstLine="0"/>
        <w:contextualSpacing/>
        <w:rPr>
          <w:rFonts w:asciiTheme="minorHAnsi" w:hAnsiTheme="minorHAnsi" w:cstheme="minorHAnsi"/>
          <w:sz w:val="22"/>
          <w:szCs w:val="22"/>
        </w:rPr>
      </w:pPr>
      <w:r w:rsidRPr="0001008D">
        <w:rPr>
          <w:rFonts w:asciiTheme="minorHAnsi" w:hAnsiTheme="minorHAnsi" w:cstheme="minorHAnsi"/>
          <w:sz w:val="22"/>
          <w:szCs w:val="22"/>
          <w:vertAlign w:val="superscript"/>
        </w:rPr>
        <w:footnoteRef/>
      </w:r>
      <w:r w:rsidR="00FA1FE0">
        <w:rPr>
          <w:rFonts w:asciiTheme="minorHAnsi" w:hAnsiTheme="minorHAnsi" w:cstheme="minorHAnsi"/>
          <w:sz w:val="22"/>
          <w:szCs w:val="22"/>
        </w:rPr>
        <w:t xml:space="preserve"> </w:t>
      </w:r>
      <w:r w:rsidRPr="0001008D">
        <w:rPr>
          <w:rFonts w:asciiTheme="minorHAnsi" w:hAnsiTheme="minorHAnsi" w:cstheme="minorHAnsi"/>
          <w:sz w:val="22"/>
          <w:szCs w:val="22"/>
          <w:lang w:val="en-US" w:eastAsia="en-US" w:bidi="en-US"/>
        </w:rPr>
        <w:t xml:space="preserve">Dot. </w:t>
      </w:r>
      <w:r w:rsidRPr="0001008D">
        <w:rPr>
          <w:rFonts w:asciiTheme="minorHAnsi" w:hAnsiTheme="minorHAnsi" w:cstheme="minorHAnsi"/>
          <w:sz w:val="22"/>
          <w:szCs w:val="22"/>
        </w:rPr>
        <w:t xml:space="preserve">2 umów zleceń zawartych z </w:t>
      </w:r>
      <w:r w:rsidR="00DC1D39">
        <w:rPr>
          <w:rFonts w:asciiTheme="minorHAnsi" w:hAnsiTheme="minorHAnsi" w:cstheme="minorHAnsi"/>
          <w:sz w:val="22"/>
          <w:szCs w:val="22"/>
          <w:lang w:eastAsia="ru-RU" w:bidi="ru-RU"/>
        </w:rPr>
        <w:t xml:space="preserve"> Panem                                                  o nr: </w:t>
      </w:r>
      <w:r w:rsidRPr="0001008D">
        <w:rPr>
          <w:rFonts w:asciiTheme="minorHAnsi" w:hAnsiTheme="minorHAnsi" w:cstheme="minorHAnsi"/>
          <w:sz w:val="22"/>
          <w:szCs w:val="22"/>
        </w:rPr>
        <w:t>349/2021/MA i 279/2021/NA/FEK</w:t>
      </w:r>
    </w:p>
  </w:footnote>
  <w:footnote w:id="5">
    <w:p w:rsidR="007469D5" w:rsidRDefault="00954BA3" w:rsidP="000B2327">
      <w:pPr>
        <w:pStyle w:val="Footnote10"/>
        <w:shd w:val="clear" w:color="auto" w:fill="auto"/>
        <w:tabs>
          <w:tab w:val="left" w:pos="0"/>
        </w:tabs>
        <w:spacing w:before="120" w:after="240" w:line="300" w:lineRule="auto"/>
        <w:ind w:right="420" w:firstLine="0"/>
        <w:contextualSpacing/>
      </w:pPr>
      <w:r w:rsidRPr="0001008D">
        <w:rPr>
          <w:rFonts w:asciiTheme="minorHAnsi" w:hAnsiTheme="minorHAnsi" w:cstheme="minorHAnsi"/>
          <w:sz w:val="22"/>
          <w:szCs w:val="22"/>
          <w:vertAlign w:val="superscript"/>
        </w:rPr>
        <w:footnoteRef/>
      </w:r>
      <w:r w:rsidR="00FA1FE0">
        <w:rPr>
          <w:rFonts w:asciiTheme="minorHAnsi" w:hAnsiTheme="minorHAnsi" w:cstheme="minorHAnsi"/>
          <w:sz w:val="22"/>
          <w:szCs w:val="22"/>
        </w:rPr>
        <w:t xml:space="preserve"> </w:t>
      </w:r>
      <w:r w:rsidRPr="0001008D">
        <w:rPr>
          <w:rFonts w:asciiTheme="minorHAnsi" w:hAnsiTheme="minorHAnsi" w:cstheme="minorHAnsi"/>
          <w:sz w:val="22"/>
          <w:szCs w:val="22"/>
          <w:lang w:val="en-US" w:eastAsia="en-US" w:bidi="en-US"/>
        </w:rPr>
        <w:t xml:space="preserve">Dot. </w:t>
      </w:r>
      <w:r w:rsidRPr="0001008D">
        <w:rPr>
          <w:rFonts w:asciiTheme="minorHAnsi" w:hAnsiTheme="minorHAnsi" w:cstheme="minorHAnsi"/>
          <w:sz w:val="22"/>
          <w:szCs w:val="22"/>
        </w:rPr>
        <w:t xml:space="preserve">wynajęcia trzech </w:t>
      </w:r>
      <w:proofErr w:type="spellStart"/>
      <w:r w:rsidRPr="0001008D">
        <w:rPr>
          <w:rFonts w:asciiTheme="minorHAnsi" w:hAnsiTheme="minorHAnsi" w:cstheme="minorHAnsi"/>
          <w:sz w:val="22"/>
          <w:szCs w:val="22"/>
        </w:rPr>
        <w:t>sal</w:t>
      </w:r>
      <w:proofErr w:type="spellEnd"/>
      <w:r w:rsidRPr="0001008D">
        <w:rPr>
          <w:rFonts w:asciiTheme="minorHAnsi" w:hAnsiTheme="minorHAnsi" w:cstheme="minorHAnsi"/>
          <w:sz w:val="22"/>
          <w:szCs w:val="22"/>
        </w:rPr>
        <w:t xml:space="preserve"> Fundacji „Radość dla Ludzi" oraz czterech </w:t>
      </w:r>
      <w:proofErr w:type="spellStart"/>
      <w:r w:rsidRPr="0001008D">
        <w:rPr>
          <w:rFonts w:asciiTheme="minorHAnsi" w:hAnsiTheme="minorHAnsi" w:cstheme="minorHAnsi"/>
          <w:sz w:val="22"/>
          <w:szCs w:val="22"/>
        </w:rPr>
        <w:t>sal</w:t>
      </w:r>
      <w:proofErr w:type="spellEnd"/>
      <w:r w:rsidRPr="0001008D">
        <w:rPr>
          <w:rFonts w:asciiTheme="minorHAnsi" w:hAnsiTheme="minorHAnsi" w:cstheme="minorHAnsi"/>
          <w:sz w:val="22"/>
          <w:szCs w:val="22"/>
        </w:rPr>
        <w:t xml:space="preserve"> Stowarzyszenia „Warszawska Akademia Karate Tradycyjnego".</w:t>
      </w:r>
    </w:p>
  </w:footnote>
  <w:footnote w:id="6">
    <w:p w:rsidR="007469D5" w:rsidRPr="0001008D" w:rsidRDefault="00954BA3" w:rsidP="000B2327">
      <w:pPr>
        <w:pStyle w:val="Footnote10"/>
        <w:shd w:val="clear" w:color="auto" w:fill="auto"/>
        <w:tabs>
          <w:tab w:val="left" w:pos="130"/>
        </w:tabs>
        <w:spacing w:before="120" w:after="240" w:line="300" w:lineRule="auto"/>
        <w:ind w:firstLine="0"/>
        <w:contextualSpacing/>
        <w:rPr>
          <w:rFonts w:asciiTheme="minorHAnsi" w:hAnsiTheme="minorHAnsi" w:cstheme="minorHAnsi"/>
          <w:sz w:val="22"/>
          <w:szCs w:val="22"/>
        </w:rPr>
      </w:pPr>
      <w:r w:rsidRPr="0001008D">
        <w:rPr>
          <w:rFonts w:asciiTheme="minorHAnsi" w:hAnsiTheme="minorHAnsi" w:cstheme="minorHAnsi"/>
          <w:sz w:val="22"/>
          <w:szCs w:val="22"/>
          <w:vertAlign w:val="superscript"/>
        </w:rPr>
        <w:footnoteRef/>
      </w:r>
      <w:r w:rsidRPr="0001008D">
        <w:rPr>
          <w:rFonts w:asciiTheme="minorHAnsi" w:hAnsiTheme="minorHAnsi" w:cstheme="minorHAnsi"/>
          <w:sz w:val="22"/>
          <w:szCs w:val="22"/>
        </w:rPr>
        <w:tab/>
        <w:t xml:space="preserve">Dz.U. z 2021 r. poz. 1129 </w:t>
      </w:r>
      <w:proofErr w:type="spellStart"/>
      <w:r w:rsidRPr="0001008D">
        <w:rPr>
          <w:rFonts w:asciiTheme="minorHAnsi" w:hAnsiTheme="minorHAnsi" w:cstheme="minorHAnsi"/>
          <w:sz w:val="22"/>
          <w:szCs w:val="22"/>
        </w:rPr>
        <w:t>t.j</w:t>
      </w:r>
      <w:proofErr w:type="spellEnd"/>
      <w:r w:rsidRPr="0001008D">
        <w:rPr>
          <w:rFonts w:asciiTheme="minorHAnsi" w:hAnsiTheme="minorHAnsi" w:cstheme="minorHAnsi"/>
          <w:sz w:val="22"/>
          <w:szCs w:val="22"/>
        </w:rPr>
        <w:t>.</w:t>
      </w:r>
    </w:p>
  </w:footnote>
  <w:footnote w:id="7">
    <w:p w:rsidR="007469D5" w:rsidRPr="0001008D" w:rsidRDefault="00954BA3" w:rsidP="000B2327">
      <w:pPr>
        <w:pStyle w:val="Footnote10"/>
        <w:shd w:val="clear" w:color="auto" w:fill="auto"/>
        <w:tabs>
          <w:tab w:val="left" w:pos="0"/>
        </w:tabs>
        <w:spacing w:before="120" w:after="240" w:line="300" w:lineRule="auto"/>
        <w:ind w:firstLine="0"/>
        <w:contextualSpacing/>
        <w:rPr>
          <w:rFonts w:asciiTheme="minorHAnsi" w:hAnsiTheme="minorHAnsi" w:cstheme="minorHAnsi"/>
          <w:sz w:val="22"/>
          <w:szCs w:val="22"/>
        </w:rPr>
      </w:pPr>
      <w:r w:rsidRPr="0001008D">
        <w:rPr>
          <w:rFonts w:asciiTheme="minorHAnsi" w:hAnsiTheme="minorHAnsi" w:cstheme="minorHAnsi"/>
          <w:sz w:val="22"/>
          <w:szCs w:val="22"/>
          <w:vertAlign w:val="superscript"/>
        </w:rPr>
        <w:footnoteRef/>
      </w:r>
      <w:r w:rsidR="00FA1FE0">
        <w:rPr>
          <w:rFonts w:asciiTheme="minorHAnsi" w:hAnsiTheme="minorHAnsi" w:cstheme="minorHAnsi"/>
          <w:sz w:val="22"/>
          <w:szCs w:val="22"/>
        </w:rPr>
        <w:t xml:space="preserve"> </w:t>
      </w:r>
      <w:r w:rsidRPr="0001008D">
        <w:rPr>
          <w:rFonts w:asciiTheme="minorHAnsi" w:hAnsiTheme="minorHAnsi" w:cstheme="minorHAnsi"/>
          <w:sz w:val="22"/>
          <w:szCs w:val="22"/>
        </w:rPr>
        <w:t xml:space="preserve">W umowach wstawiono art.4 pkt 8 </w:t>
      </w:r>
      <w:proofErr w:type="spellStart"/>
      <w:r w:rsidRPr="0001008D">
        <w:rPr>
          <w:rFonts w:asciiTheme="minorHAnsi" w:hAnsiTheme="minorHAnsi" w:cstheme="minorHAnsi"/>
          <w:sz w:val="22"/>
          <w:szCs w:val="22"/>
        </w:rPr>
        <w:t>Pzp</w:t>
      </w:r>
      <w:proofErr w:type="spellEnd"/>
      <w:r w:rsidRPr="0001008D">
        <w:rPr>
          <w:rFonts w:asciiTheme="minorHAnsi" w:hAnsiTheme="minorHAnsi" w:cstheme="minorHAnsi"/>
          <w:sz w:val="22"/>
          <w:szCs w:val="22"/>
        </w:rPr>
        <w:t xml:space="preserve"> (Dz. U. z 2019 r., poz. 1843 ze zm.) zamiast art.2 pkt 1 </w:t>
      </w:r>
      <w:proofErr w:type="spellStart"/>
      <w:r w:rsidRPr="0001008D">
        <w:rPr>
          <w:rFonts w:asciiTheme="minorHAnsi" w:hAnsiTheme="minorHAnsi" w:cstheme="minorHAnsi"/>
          <w:sz w:val="22"/>
          <w:szCs w:val="22"/>
        </w:rPr>
        <w:t>Pzp</w:t>
      </w:r>
      <w:proofErr w:type="spellEnd"/>
      <w:r w:rsidRPr="0001008D">
        <w:rPr>
          <w:rFonts w:asciiTheme="minorHAnsi" w:hAnsiTheme="minorHAnsi" w:cstheme="minorHAnsi"/>
          <w:sz w:val="22"/>
          <w:szCs w:val="22"/>
        </w:rPr>
        <w:t xml:space="preserve"> (Dz. U. z 2021 r., poz. 1129 </w:t>
      </w:r>
      <w:proofErr w:type="spellStart"/>
      <w:r w:rsidRPr="0001008D">
        <w:rPr>
          <w:rFonts w:asciiTheme="minorHAnsi" w:hAnsiTheme="minorHAnsi" w:cstheme="minorHAnsi"/>
          <w:sz w:val="22"/>
          <w:szCs w:val="22"/>
        </w:rPr>
        <w:t>t.j</w:t>
      </w:r>
      <w:proofErr w:type="spellEnd"/>
      <w:r w:rsidRPr="0001008D">
        <w:rPr>
          <w:rFonts w:asciiTheme="minorHAnsi" w:hAnsiTheme="minorHAnsi" w:cstheme="minorHAnsi"/>
          <w:sz w:val="22"/>
          <w:szCs w:val="22"/>
        </w:rPr>
        <w:t>.).</w:t>
      </w:r>
    </w:p>
  </w:footnote>
  <w:footnote w:id="8">
    <w:p w:rsidR="007469D5" w:rsidRPr="0001008D" w:rsidRDefault="00954BA3" w:rsidP="000B2327">
      <w:pPr>
        <w:pStyle w:val="Footnote10"/>
        <w:shd w:val="clear" w:color="auto" w:fill="auto"/>
        <w:tabs>
          <w:tab w:val="left" w:pos="130"/>
        </w:tabs>
        <w:spacing w:before="120" w:after="240" w:line="300" w:lineRule="auto"/>
        <w:ind w:firstLine="0"/>
        <w:contextualSpacing/>
        <w:rPr>
          <w:rFonts w:asciiTheme="minorHAnsi" w:hAnsiTheme="minorHAnsi" w:cstheme="minorHAnsi"/>
          <w:sz w:val="22"/>
          <w:szCs w:val="22"/>
        </w:rPr>
      </w:pPr>
      <w:r w:rsidRPr="0001008D">
        <w:rPr>
          <w:rFonts w:asciiTheme="minorHAnsi" w:hAnsiTheme="minorHAnsi" w:cstheme="minorHAnsi"/>
          <w:sz w:val="22"/>
          <w:szCs w:val="22"/>
          <w:vertAlign w:val="superscript"/>
        </w:rPr>
        <w:footnoteRef/>
      </w:r>
      <w:r w:rsidRPr="0001008D">
        <w:rPr>
          <w:rFonts w:asciiTheme="minorHAnsi" w:hAnsiTheme="minorHAnsi" w:cstheme="minorHAnsi"/>
          <w:sz w:val="22"/>
          <w:szCs w:val="22"/>
        </w:rPr>
        <w:tab/>
        <w:t>Dz. U. z 2022r., poz. 1634 j.t.</w:t>
      </w:r>
    </w:p>
  </w:footnote>
  <w:footnote w:id="9">
    <w:p w:rsidR="007469D5" w:rsidRDefault="00954BA3" w:rsidP="000B2327">
      <w:pPr>
        <w:pStyle w:val="Footnote10"/>
        <w:shd w:val="clear" w:color="auto" w:fill="auto"/>
        <w:tabs>
          <w:tab w:val="left" w:pos="125"/>
        </w:tabs>
        <w:spacing w:before="120" w:after="240" w:line="300" w:lineRule="auto"/>
        <w:ind w:firstLine="0"/>
        <w:contextualSpacing/>
      </w:pPr>
      <w:r w:rsidRPr="0001008D">
        <w:rPr>
          <w:rFonts w:asciiTheme="minorHAnsi" w:hAnsiTheme="minorHAnsi" w:cstheme="minorHAnsi"/>
          <w:sz w:val="22"/>
          <w:szCs w:val="22"/>
          <w:vertAlign w:val="superscript"/>
        </w:rPr>
        <w:footnoteRef/>
      </w:r>
      <w:r w:rsidRPr="0001008D">
        <w:rPr>
          <w:rFonts w:asciiTheme="minorHAnsi" w:hAnsiTheme="minorHAnsi" w:cstheme="minorHAnsi"/>
          <w:sz w:val="22"/>
          <w:szCs w:val="22"/>
        </w:rPr>
        <w:tab/>
      </w:r>
      <w:r w:rsidRPr="0001008D">
        <w:rPr>
          <w:rFonts w:asciiTheme="minorHAnsi" w:hAnsiTheme="minorHAnsi" w:cstheme="minorHAnsi"/>
          <w:sz w:val="22"/>
          <w:szCs w:val="22"/>
          <w:lang w:val="en-US" w:eastAsia="en-US" w:bidi="en-US"/>
        </w:rPr>
        <w:t xml:space="preserve">Dot. </w:t>
      </w:r>
      <w:r w:rsidR="009F0048" w:rsidRPr="0001008D">
        <w:rPr>
          <w:rFonts w:asciiTheme="minorHAnsi" w:hAnsiTheme="minorHAnsi" w:cstheme="minorHAnsi"/>
          <w:sz w:val="22"/>
          <w:szCs w:val="22"/>
        </w:rPr>
        <w:t>F</w:t>
      </w:r>
      <w:r w:rsidRPr="0001008D">
        <w:rPr>
          <w:rFonts w:asciiTheme="minorHAnsi" w:hAnsiTheme="minorHAnsi" w:cstheme="minorHAnsi"/>
          <w:sz w:val="22"/>
          <w:szCs w:val="22"/>
        </w:rPr>
        <w:t>aktur</w:t>
      </w:r>
      <w:r w:rsidR="009F0048">
        <w:rPr>
          <w:rFonts w:asciiTheme="minorHAnsi" w:hAnsiTheme="minorHAnsi" w:cstheme="minorHAnsi"/>
          <w:sz w:val="22"/>
          <w:szCs w:val="22"/>
        </w:rPr>
        <w:t xml:space="preserve"> </w:t>
      </w:r>
      <w:r w:rsidRPr="0001008D">
        <w:rPr>
          <w:rFonts w:asciiTheme="minorHAnsi" w:hAnsiTheme="minorHAnsi" w:cstheme="minorHAnsi"/>
          <w:sz w:val="22"/>
          <w:szCs w:val="22"/>
        </w:rPr>
        <w:t>o nr: F/000376/J R/21 i F/000376/JR/21.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7A3" w:rsidRDefault="001937A3">
    <w:pPr>
      <w:pStyle w:val="Nagwek"/>
    </w:pPr>
    <w:r>
      <w:rPr>
        <w:noProof/>
        <w:lang w:bidi="ar-SA"/>
      </w:rPr>
      <w:drawing>
        <wp:inline distT="0" distB="0" distL="0" distR="0" wp14:anchorId="1E741F17" wp14:editId="67D97EB5">
          <wp:extent cx="5760813" cy="1082057"/>
          <wp:effectExtent l="0" t="0" r="0" b="3810"/>
          <wp:docPr id="2" name="Obraz 2" descr="Urząd Miasta Stołecznego Warszawy, Biuro Kontroli, ul. Niecała 2, 00-098 Warszawa, tel. 22 443 32 35, 22 443 32 36, faks 22 443 32 37, adres do korespondencji: Aleje Jerozolimskie 44, 00-024 Warszawa, Sekretariat.BKW@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Urząd Miasta Stołecznego Warszawy, Biuro Kontroli, ul. Niecała 2, 00-098 Warszawa, tel. 22 443 32 35, 22 443 32 36, faks 22 443 32 37, adres do korespondencji: Aleje Jerozolimskie 44, 00-024 Warszawa, Sekretariat.BKW@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813" cy="10820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B5007"/>
    <w:multiLevelType w:val="multilevel"/>
    <w:tmpl w:val="D022591C"/>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6C34632"/>
    <w:multiLevelType w:val="multilevel"/>
    <w:tmpl w:val="558087D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3652FE"/>
    <w:multiLevelType w:val="multilevel"/>
    <w:tmpl w:val="4ED6DF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C2A5727"/>
    <w:multiLevelType w:val="multilevel"/>
    <w:tmpl w:val="7B726A9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9D5"/>
    <w:rsid w:val="0001008D"/>
    <w:rsid w:val="000B2327"/>
    <w:rsid w:val="001937A3"/>
    <w:rsid w:val="001C0621"/>
    <w:rsid w:val="001D2CC8"/>
    <w:rsid w:val="004E4AA2"/>
    <w:rsid w:val="005E5060"/>
    <w:rsid w:val="007469D5"/>
    <w:rsid w:val="008C1057"/>
    <w:rsid w:val="00954BA3"/>
    <w:rsid w:val="009F0048"/>
    <w:rsid w:val="00A01C0A"/>
    <w:rsid w:val="00CD7B7F"/>
    <w:rsid w:val="00CE5BC5"/>
    <w:rsid w:val="00DC1D39"/>
    <w:rsid w:val="00FA1F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6A9E8A0-37B1-4470-985B-382F3F498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CE5BC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9"/>
      <w:szCs w:val="19"/>
      <w:u w:val="none"/>
    </w:rPr>
  </w:style>
  <w:style w:type="character" w:customStyle="1" w:styleId="Footnote11">
    <w:name w:val="Footnote|1"/>
    <w:basedOn w:val="Footnote1"/>
    <w:semiHidden/>
    <w:unhideWhenUsed/>
    <w:rPr>
      <w:rFonts w:ascii="Arial" w:eastAsia="Arial" w:hAnsi="Arial" w:cs="Arial"/>
      <w:b w:val="0"/>
      <w:bCs w:val="0"/>
      <w:i w:val="0"/>
      <w:iCs w:val="0"/>
      <w:smallCaps w:val="0"/>
      <w:strike w:val="0"/>
      <w:color w:val="000000"/>
      <w:spacing w:val="0"/>
      <w:w w:val="100"/>
      <w:position w:val="0"/>
      <w:sz w:val="19"/>
      <w:szCs w:val="19"/>
      <w:u w:val="single"/>
      <w:lang w:val="ru-RU" w:eastAsia="ru-RU" w:bidi="ru-RU"/>
    </w:rPr>
  </w:style>
  <w:style w:type="character" w:customStyle="1" w:styleId="Bodytext6Exact">
    <w:name w:val="Body text|6 Exact"/>
    <w:basedOn w:val="Domylnaczcionkaakapitu"/>
    <w:link w:val="Bodytext6"/>
    <w:rPr>
      <w:rFonts w:ascii="Arial" w:eastAsia="Arial" w:hAnsi="Arial" w:cs="Arial"/>
      <w:b/>
      <w:bCs/>
      <w:i w:val="0"/>
      <w:iCs w:val="0"/>
      <w:smallCaps w:val="0"/>
      <w:strike w:val="0"/>
      <w:w w:val="80"/>
      <w:sz w:val="22"/>
      <w:szCs w:val="22"/>
      <w:u w:val="none"/>
    </w:rPr>
  </w:style>
  <w:style w:type="character" w:customStyle="1" w:styleId="Picturecaption1Exact">
    <w:name w:val="Picture caption|1 Exact"/>
    <w:basedOn w:val="Domylnaczcionkaakapitu"/>
    <w:link w:val="Picturecaption1"/>
    <w:rPr>
      <w:rFonts w:ascii="Arial" w:eastAsia="Arial" w:hAnsi="Arial" w:cs="Arial"/>
      <w:b w:val="0"/>
      <w:bCs w:val="0"/>
      <w:i w:val="0"/>
      <w:iCs w:val="0"/>
      <w:smallCaps w:val="0"/>
      <w:strike w:val="0"/>
      <w:sz w:val="19"/>
      <w:szCs w:val="19"/>
      <w:u w:val="none"/>
    </w:rPr>
  </w:style>
  <w:style w:type="character" w:customStyle="1" w:styleId="Heading11">
    <w:name w:val="Heading #1|1_"/>
    <w:basedOn w:val="Domylnaczcionkaakapitu"/>
    <w:link w:val="Heading110"/>
    <w:rPr>
      <w:rFonts w:ascii="Arial" w:eastAsia="Arial" w:hAnsi="Arial" w:cs="Arial"/>
      <w:b/>
      <w:bCs/>
      <w:i w:val="0"/>
      <w:iCs w:val="0"/>
      <w:smallCaps w:val="0"/>
      <w:strike w:val="0"/>
      <w:w w:val="80"/>
      <w:sz w:val="22"/>
      <w:szCs w:val="22"/>
      <w:u w:val="none"/>
    </w:rPr>
  </w:style>
  <w:style w:type="character" w:customStyle="1" w:styleId="Bodytext3">
    <w:name w:val="Body text|3_"/>
    <w:basedOn w:val="Domylnaczcionkaakapitu"/>
    <w:link w:val="Bodytext30"/>
    <w:rPr>
      <w:rFonts w:ascii="Arial" w:eastAsia="Arial" w:hAnsi="Arial" w:cs="Arial"/>
      <w:b/>
      <w:bCs/>
      <w:i w:val="0"/>
      <w:iCs w:val="0"/>
      <w:smallCaps w:val="0"/>
      <w:strike w:val="0"/>
      <w:sz w:val="12"/>
      <w:szCs w:val="12"/>
      <w:u w:val="none"/>
    </w:rPr>
  </w:style>
  <w:style w:type="character" w:customStyle="1" w:styleId="Bodytext4">
    <w:name w:val="Body text|4_"/>
    <w:basedOn w:val="Domylnaczcionkaakapitu"/>
    <w:link w:val="Bodytext40"/>
    <w:rPr>
      <w:rFonts w:ascii="Arial" w:eastAsia="Arial" w:hAnsi="Arial" w:cs="Arial"/>
      <w:b/>
      <w:bCs/>
      <w:i w:val="0"/>
      <w:iCs w:val="0"/>
      <w:smallCaps w:val="0"/>
      <w:strike w:val="0"/>
      <w:sz w:val="18"/>
      <w:szCs w:val="18"/>
      <w:u w:val="none"/>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Bodytext5">
    <w:name w:val="Body text|5_"/>
    <w:basedOn w:val="Domylnaczcionkaakapitu"/>
    <w:link w:val="Bodytext50"/>
    <w:rPr>
      <w:rFonts w:ascii="Arial" w:eastAsia="Arial" w:hAnsi="Arial" w:cs="Arial"/>
      <w:b/>
      <w:bCs/>
      <w:i w:val="0"/>
      <w:iCs w:val="0"/>
      <w:smallCaps w:val="0"/>
      <w:strike w:val="0"/>
      <w:sz w:val="18"/>
      <w:szCs w:val="18"/>
      <w:u w:val="none"/>
    </w:rPr>
  </w:style>
  <w:style w:type="character" w:customStyle="1" w:styleId="Headerorfooter1">
    <w:name w:val="Header or footer|1_"/>
    <w:basedOn w:val="Domylnaczcionkaakapitu"/>
    <w:link w:val="Headerorfooter10"/>
    <w:rPr>
      <w:rFonts w:ascii="Arial" w:eastAsia="Arial" w:hAnsi="Arial" w:cs="Arial"/>
      <w:b/>
      <w:bCs/>
      <w:i w:val="0"/>
      <w:iCs w:val="0"/>
      <w:smallCaps w:val="0"/>
      <w:strike w:val="0"/>
      <w:sz w:val="19"/>
      <w:szCs w:val="19"/>
      <w:u w:val="none"/>
      <w:lang w:val="ru-RU" w:eastAsia="ru-RU" w:bidi="ru-RU"/>
    </w:rPr>
  </w:style>
  <w:style w:type="character" w:customStyle="1" w:styleId="Headerorfooter11">
    <w:name w:val="Header or footer|1"/>
    <w:basedOn w:val="Headerorfooter1"/>
    <w:semiHidden/>
    <w:unhideWhenUsed/>
    <w:rPr>
      <w:rFonts w:ascii="Arial" w:eastAsia="Arial" w:hAnsi="Arial" w:cs="Arial"/>
      <w:b/>
      <w:bCs/>
      <w:i w:val="0"/>
      <w:iCs w:val="0"/>
      <w:smallCaps w:val="0"/>
      <w:strike w:val="0"/>
      <w:color w:val="000000"/>
      <w:spacing w:val="0"/>
      <w:w w:val="100"/>
      <w:position w:val="0"/>
      <w:sz w:val="19"/>
      <w:szCs w:val="19"/>
      <w:u w:val="none"/>
      <w:lang w:val="ru-RU" w:eastAsia="ru-RU" w:bidi="ru-RU"/>
    </w:rPr>
  </w:style>
  <w:style w:type="character" w:customStyle="1" w:styleId="Bodytext2Italic">
    <w:name w:val="Body text|2 + Italic"/>
    <w:basedOn w:val="Bodytext2"/>
    <w:semiHidden/>
    <w:unhideWhenUsed/>
    <w:rPr>
      <w:rFonts w:ascii="Arial" w:eastAsia="Arial" w:hAnsi="Arial" w:cs="Arial"/>
      <w:b w:val="0"/>
      <w:bCs w:val="0"/>
      <w:i/>
      <w:iCs/>
      <w:smallCaps w:val="0"/>
      <w:strike w:val="0"/>
      <w:color w:val="000000"/>
      <w:spacing w:val="0"/>
      <w:w w:val="100"/>
      <w:position w:val="0"/>
      <w:sz w:val="19"/>
      <w:szCs w:val="19"/>
      <w:u w:val="none"/>
      <w:lang w:val="ru-RU" w:eastAsia="ru-RU" w:bidi="ru-RU"/>
    </w:rPr>
  </w:style>
  <w:style w:type="character" w:customStyle="1" w:styleId="Bodytext7">
    <w:name w:val="Body text|7_"/>
    <w:basedOn w:val="Domylnaczcionkaakapitu"/>
    <w:link w:val="Bodytext70"/>
    <w:rPr>
      <w:rFonts w:ascii="Arial" w:eastAsia="Arial" w:hAnsi="Arial" w:cs="Arial"/>
      <w:b w:val="0"/>
      <w:bCs w:val="0"/>
      <w:i w:val="0"/>
      <w:iCs w:val="0"/>
      <w:smallCaps w:val="0"/>
      <w:strike w:val="0"/>
      <w:sz w:val="18"/>
      <w:szCs w:val="18"/>
      <w:u w:val="none"/>
    </w:rPr>
  </w:style>
  <w:style w:type="character" w:customStyle="1" w:styleId="Bodytext7SmallCaps">
    <w:name w:val="Body text|7 + Small Caps"/>
    <w:basedOn w:val="Bodytext7"/>
    <w:semiHidden/>
    <w:unhideWhenUsed/>
    <w:rPr>
      <w:rFonts w:ascii="Arial" w:eastAsia="Arial" w:hAnsi="Arial" w:cs="Arial"/>
      <w:b w:val="0"/>
      <w:bCs w:val="0"/>
      <w:i w:val="0"/>
      <w:iCs w:val="0"/>
      <w:smallCaps/>
      <w:strike w:val="0"/>
      <w:color w:val="000000"/>
      <w:spacing w:val="0"/>
      <w:w w:val="100"/>
      <w:position w:val="0"/>
      <w:sz w:val="18"/>
      <w:szCs w:val="18"/>
      <w:u w:val="none"/>
      <w:lang w:val="pl-PL" w:eastAsia="pl-PL" w:bidi="pl-PL"/>
    </w:rPr>
  </w:style>
  <w:style w:type="character" w:customStyle="1" w:styleId="Bodytext8">
    <w:name w:val="Body text|8_"/>
    <w:basedOn w:val="Domylnaczcionkaakapitu"/>
    <w:link w:val="Bodytext80"/>
    <w:rPr>
      <w:rFonts w:ascii="Arial" w:eastAsia="Arial" w:hAnsi="Arial" w:cs="Arial"/>
      <w:b/>
      <w:bCs/>
      <w:i w:val="0"/>
      <w:iCs w:val="0"/>
      <w:smallCaps w:val="0"/>
      <w:strike w:val="0"/>
      <w:sz w:val="15"/>
      <w:szCs w:val="15"/>
      <w:u w:val="none"/>
    </w:rPr>
  </w:style>
  <w:style w:type="character" w:customStyle="1" w:styleId="Bodytext9">
    <w:name w:val="Body text|9_"/>
    <w:basedOn w:val="Domylnaczcionkaakapitu"/>
    <w:link w:val="Bodytext90"/>
    <w:rPr>
      <w:rFonts w:ascii="Arial" w:eastAsia="Arial" w:hAnsi="Arial" w:cs="Arial"/>
      <w:b w:val="0"/>
      <w:bCs w:val="0"/>
      <w:i w:val="0"/>
      <w:iCs w:val="0"/>
      <w:smallCaps w:val="0"/>
      <w:strike w:val="0"/>
      <w:sz w:val="11"/>
      <w:szCs w:val="11"/>
      <w:u w:val="none"/>
    </w:rPr>
  </w:style>
  <w:style w:type="character" w:customStyle="1" w:styleId="Bodytext995ptItalic">
    <w:name w:val="Body text|9 + 9.5 pt;Italic"/>
    <w:basedOn w:val="Bodytext9"/>
    <w:semiHidden/>
    <w:unhideWhenUsed/>
    <w:rPr>
      <w:rFonts w:ascii="Arial" w:eastAsia="Arial" w:hAnsi="Arial" w:cs="Arial"/>
      <w:b w:val="0"/>
      <w:bCs w:val="0"/>
      <w:i/>
      <w:iCs/>
      <w:smallCaps w:val="0"/>
      <w:strike w:val="0"/>
      <w:color w:val="000000"/>
      <w:spacing w:val="0"/>
      <w:w w:val="100"/>
      <w:position w:val="0"/>
      <w:sz w:val="19"/>
      <w:szCs w:val="19"/>
      <w:u w:val="none"/>
      <w:lang w:val="ru-RU" w:eastAsia="ru-RU" w:bidi="ru-RU"/>
    </w:rPr>
  </w:style>
  <w:style w:type="character" w:customStyle="1" w:styleId="Bodytext10">
    <w:name w:val="Body text|10_"/>
    <w:basedOn w:val="Domylnaczcionkaakapitu"/>
    <w:link w:val="Bodytext100"/>
    <w:rPr>
      <w:rFonts w:ascii="Arial" w:eastAsia="Arial" w:hAnsi="Arial" w:cs="Arial"/>
      <w:b/>
      <w:bCs/>
      <w:i w:val="0"/>
      <w:iCs w:val="0"/>
      <w:smallCaps w:val="0"/>
      <w:strike w:val="0"/>
      <w:sz w:val="15"/>
      <w:szCs w:val="15"/>
      <w:u w:val="none"/>
    </w:rPr>
  </w:style>
  <w:style w:type="character" w:customStyle="1" w:styleId="Bodytext109ptNotBoldItalicSpacing4pt">
    <w:name w:val="Body text|10 + 9 pt;Not Bold;Italic;Spacing 4 pt"/>
    <w:basedOn w:val="Bodytext10"/>
    <w:semiHidden/>
    <w:unhideWhenUsed/>
    <w:rPr>
      <w:rFonts w:ascii="Arial" w:eastAsia="Arial" w:hAnsi="Arial" w:cs="Arial"/>
      <w:b/>
      <w:bCs/>
      <w:i/>
      <w:iCs/>
      <w:smallCaps w:val="0"/>
      <w:strike w:val="0"/>
      <w:color w:val="000000"/>
      <w:spacing w:val="90"/>
      <w:w w:val="100"/>
      <w:position w:val="0"/>
      <w:sz w:val="18"/>
      <w:szCs w:val="18"/>
      <w:u w:val="none"/>
      <w:lang w:val="pl-PL" w:eastAsia="pl-PL" w:bidi="pl-PL"/>
    </w:rPr>
  </w:style>
  <w:style w:type="paragraph" w:customStyle="1" w:styleId="Footnote10">
    <w:name w:val="Footnote|1"/>
    <w:basedOn w:val="Normalny"/>
    <w:link w:val="Footnote1"/>
    <w:qFormat/>
    <w:pPr>
      <w:shd w:val="clear" w:color="auto" w:fill="FFFFFF"/>
      <w:spacing w:line="259" w:lineRule="exact"/>
      <w:ind w:hanging="200"/>
    </w:pPr>
    <w:rPr>
      <w:rFonts w:ascii="Arial" w:eastAsia="Arial" w:hAnsi="Arial" w:cs="Arial"/>
      <w:sz w:val="19"/>
      <w:szCs w:val="19"/>
    </w:rPr>
  </w:style>
  <w:style w:type="paragraph" w:customStyle="1" w:styleId="Bodytext6">
    <w:name w:val="Body text|6"/>
    <w:basedOn w:val="Normalny"/>
    <w:link w:val="Bodytext6Exact"/>
    <w:pPr>
      <w:shd w:val="clear" w:color="auto" w:fill="FFFFFF"/>
      <w:spacing w:line="246" w:lineRule="exact"/>
    </w:pPr>
    <w:rPr>
      <w:rFonts w:ascii="Arial" w:eastAsia="Arial" w:hAnsi="Arial" w:cs="Arial"/>
      <w:b/>
      <w:bCs/>
      <w:w w:val="80"/>
      <w:sz w:val="22"/>
      <w:szCs w:val="22"/>
    </w:rPr>
  </w:style>
  <w:style w:type="paragraph" w:customStyle="1" w:styleId="Picturecaption1">
    <w:name w:val="Picture caption|1"/>
    <w:basedOn w:val="Normalny"/>
    <w:link w:val="Picturecaption1Exact"/>
    <w:qFormat/>
    <w:pPr>
      <w:shd w:val="clear" w:color="auto" w:fill="FFFFFF"/>
      <w:spacing w:line="212" w:lineRule="exact"/>
    </w:pPr>
    <w:rPr>
      <w:rFonts w:ascii="Arial" w:eastAsia="Arial" w:hAnsi="Arial" w:cs="Arial"/>
      <w:sz w:val="19"/>
      <w:szCs w:val="19"/>
    </w:rPr>
  </w:style>
  <w:style w:type="paragraph" w:customStyle="1" w:styleId="Heading110">
    <w:name w:val="Heading #1|1"/>
    <w:basedOn w:val="Normalny"/>
    <w:link w:val="Heading11"/>
    <w:qFormat/>
    <w:pPr>
      <w:shd w:val="clear" w:color="auto" w:fill="FFFFFF"/>
      <w:spacing w:line="246" w:lineRule="exact"/>
      <w:outlineLvl w:val="0"/>
    </w:pPr>
    <w:rPr>
      <w:rFonts w:ascii="Arial" w:eastAsia="Arial" w:hAnsi="Arial" w:cs="Arial"/>
      <w:b/>
      <w:bCs/>
      <w:w w:val="80"/>
      <w:sz w:val="22"/>
      <w:szCs w:val="22"/>
    </w:rPr>
  </w:style>
  <w:style w:type="paragraph" w:customStyle="1" w:styleId="Bodytext30">
    <w:name w:val="Body text|3"/>
    <w:basedOn w:val="Normalny"/>
    <w:link w:val="Bodytext3"/>
    <w:pPr>
      <w:shd w:val="clear" w:color="auto" w:fill="FFFFFF"/>
      <w:spacing w:after="80" w:line="192" w:lineRule="exact"/>
    </w:pPr>
    <w:rPr>
      <w:rFonts w:ascii="Arial" w:eastAsia="Arial" w:hAnsi="Arial" w:cs="Arial"/>
      <w:b/>
      <w:bCs/>
      <w:sz w:val="12"/>
      <w:szCs w:val="12"/>
    </w:rPr>
  </w:style>
  <w:style w:type="paragraph" w:customStyle="1" w:styleId="Bodytext40">
    <w:name w:val="Body text|4"/>
    <w:basedOn w:val="Normalny"/>
    <w:link w:val="Bodytext4"/>
    <w:pPr>
      <w:shd w:val="clear" w:color="auto" w:fill="FFFFFF"/>
      <w:spacing w:before="80" w:after="360" w:line="200" w:lineRule="exact"/>
    </w:pPr>
    <w:rPr>
      <w:rFonts w:ascii="Arial" w:eastAsia="Arial" w:hAnsi="Arial" w:cs="Arial"/>
      <w:b/>
      <w:bCs/>
      <w:sz w:val="18"/>
      <w:szCs w:val="18"/>
    </w:rPr>
  </w:style>
  <w:style w:type="paragraph" w:customStyle="1" w:styleId="Bodytext20">
    <w:name w:val="Body text|2"/>
    <w:basedOn w:val="Normalny"/>
    <w:link w:val="Bodytext2"/>
    <w:qFormat/>
    <w:pPr>
      <w:shd w:val="clear" w:color="auto" w:fill="FFFFFF"/>
      <w:spacing w:before="360" w:after="1700" w:line="212" w:lineRule="exact"/>
      <w:ind w:hanging="400"/>
    </w:pPr>
    <w:rPr>
      <w:rFonts w:ascii="Arial" w:eastAsia="Arial" w:hAnsi="Arial" w:cs="Arial"/>
      <w:sz w:val="19"/>
      <w:szCs w:val="19"/>
    </w:rPr>
  </w:style>
  <w:style w:type="paragraph" w:customStyle="1" w:styleId="Bodytext50">
    <w:name w:val="Body text|5"/>
    <w:basedOn w:val="Normalny"/>
    <w:link w:val="Bodytext5"/>
    <w:pPr>
      <w:shd w:val="clear" w:color="auto" w:fill="FFFFFF"/>
      <w:spacing w:before="1700" w:line="322" w:lineRule="exact"/>
    </w:pPr>
    <w:rPr>
      <w:rFonts w:ascii="Arial" w:eastAsia="Arial" w:hAnsi="Arial" w:cs="Arial"/>
      <w:b/>
      <w:bCs/>
      <w:sz w:val="18"/>
      <w:szCs w:val="18"/>
    </w:rPr>
  </w:style>
  <w:style w:type="paragraph" w:customStyle="1" w:styleId="Headerorfooter10">
    <w:name w:val="Header or footer|1"/>
    <w:basedOn w:val="Normalny"/>
    <w:link w:val="Headerorfooter1"/>
    <w:qFormat/>
    <w:pPr>
      <w:shd w:val="clear" w:color="auto" w:fill="FFFFFF"/>
      <w:spacing w:line="212" w:lineRule="exact"/>
    </w:pPr>
    <w:rPr>
      <w:rFonts w:ascii="Arial" w:eastAsia="Arial" w:hAnsi="Arial" w:cs="Arial"/>
      <w:b/>
      <w:bCs/>
      <w:sz w:val="19"/>
      <w:szCs w:val="19"/>
      <w:lang w:val="ru-RU" w:eastAsia="ru-RU" w:bidi="ru-RU"/>
    </w:rPr>
  </w:style>
  <w:style w:type="paragraph" w:customStyle="1" w:styleId="Bodytext70">
    <w:name w:val="Body text|7"/>
    <w:basedOn w:val="Normalny"/>
    <w:link w:val="Bodytext7"/>
    <w:pPr>
      <w:shd w:val="clear" w:color="auto" w:fill="FFFFFF"/>
      <w:spacing w:line="200" w:lineRule="exact"/>
    </w:pPr>
    <w:rPr>
      <w:rFonts w:ascii="Arial" w:eastAsia="Arial" w:hAnsi="Arial" w:cs="Arial"/>
      <w:sz w:val="18"/>
      <w:szCs w:val="18"/>
    </w:rPr>
  </w:style>
  <w:style w:type="paragraph" w:customStyle="1" w:styleId="Bodytext80">
    <w:name w:val="Body text|8"/>
    <w:basedOn w:val="Normalny"/>
    <w:link w:val="Bodytext8"/>
    <w:pPr>
      <w:shd w:val="clear" w:color="auto" w:fill="FFFFFF"/>
      <w:spacing w:after="100" w:line="168" w:lineRule="exact"/>
      <w:jc w:val="both"/>
    </w:pPr>
    <w:rPr>
      <w:rFonts w:ascii="Arial" w:eastAsia="Arial" w:hAnsi="Arial" w:cs="Arial"/>
      <w:b/>
      <w:bCs/>
      <w:sz w:val="15"/>
      <w:szCs w:val="15"/>
    </w:rPr>
  </w:style>
  <w:style w:type="paragraph" w:customStyle="1" w:styleId="Bodytext90">
    <w:name w:val="Body text|9"/>
    <w:basedOn w:val="Normalny"/>
    <w:link w:val="Bodytext9"/>
    <w:pPr>
      <w:shd w:val="clear" w:color="auto" w:fill="FFFFFF"/>
      <w:spacing w:before="100" w:line="298" w:lineRule="exact"/>
      <w:jc w:val="both"/>
    </w:pPr>
    <w:rPr>
      <w:rFonts w:ascii="Arial" w:eastAsia="Arial" w:hAnsi="Arial" w:cs="Arial"/>
      <w:sz w:val="11"/>
      <w:szCs w:val="11"/>
    </w:rPr>
  </w:style>
  <w:style w:type="paragraph" w:customStyle="1" w:styleId="Bodytext100">
    <w:name w:val="Body text|10"/>
    <w:basedOn w:val="Normalny"/>
    <w:link w:val="Bodytext10"/>
    <w:pPr>
      <w:shd w:val="clear" w:color="auto" w:fill="FFFFFF"/>
      <w:spacing w:after="240" w:line="298" w:lineRule="exact"/>
    </w:pPr>
    <w:rPr>
      <w:rFonts w:ascii="Arial" w:eastAsia="Arial" w:hAnsi="Arial" w:cs="Arial"/>
      <w:b/>
      <w:bCs/>
      <w:sz w:val="15"/>
      <w:szCs w:val="15"/>
    </w:rPr>
  </w:style>
  <w:style w:type="paragraph" w:styleId="Nagwek">
    <w:name w:val="header"/>
    <w:basedOn w:val="Normalny"/>
    <w:link w:val="NagwekZnak"/>
    <w:uiPriority w:val="99"/>
    <w:unhideWhenUsed/>
    <w:rsid w:val="008C1057"/>
    <w:pPr>
      <w:tabs>
        <w:tab w:val="center" w:pos="4536"/>
        <w:tab w:val="right" w:pos="9072"/>
      </w:tabs>
    </w:pPr>
  </w:style>
  <w:style w:type="character" w:customStyle="1" w:styleId="NagwekZnak">
    <w:name w:val="Nagłówek Znak"/>
    <w:basedOn w:val="Domylnaczcionkaakapitu"/>
    <w:link w:val="Nagwek"/>
    <w:uiPriority w:val="99"/>
    <w:rsid w:val="008C1057"/>
    <w:rPr>
      <w:color w:val="000000"/>
    </w:rPr>
  </w:style>
  <w:style w:type="paragraph" w:styleId="Stopka">
    <w:name w:val="footer"/>
    <w:basedOn w:val="Normalny"/>
    <w:link w:val="StopkaZnak"/>
    <w:uiPriority w:val="99"/>
    <w:unhideWhenUsed/>
    <w:rsid w:val="008C1057"/>
    <w:pPr>
      <w:tabs>
        <w:tab w:val="center" w:pos="4536"/>
        <w:tab w:val="right" w:pos="9072"/>
      </w:tabs>
    </w:pPr>
  </w:style>
  <w:style w:type="character" w:customStyle="1" w:styleId="StopkaZnak">
    <w:name w:val="Stopka Znak"/>
    <w:basedOn w:val="Domylnaczcionkaakapitu"/>
    <w:link w:val="Stopka"/>
    <w:uiPriority w:val="99"/>
    <w:rsid w:val="008C1057"/>
    <w:rPr>
      <w:color w:val="000000"/>
    </w:rPr>
  </w:style>
  <w:style w:type="character" w:customStyle="1" w:styleId="Nagwek1Znak">
    <w:name w:val="Nagłówek 1 Znak"/>
    <w:basedOn w:val="Domylnaczcionkaakapitu"/>
    <w:link w:val="Nagwek1"/>
    <w:uiPriority w:val="9"/>
    <w:rsid w:val="00CE5BC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7</Pages>
  <Words>2203</Words>
  <Characters>13224</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00206BFA04F1221103211231</vt:lpstr>
    </vt:vector>
  </TitlesOfParts>
  <Company>Urzad Miasta</Company>
  <LinksUpToDate>false</LinksUpToDate>
  <CharactersWithSpaces>15397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Szymczyk Katarzyna (KW)</dc:creator>
  <cp:keywords/>
  <cp:lastModifiedBy>Nalazek Izabela (KW)</cp:lastModifiedBy>
  <cp:revision>13</cp:revision>
  <dcterms:created xsi:type="dcterms:W3CDTF">2022-11-03T13:14:00Z</dcterms:created>
  <dcterms:modified xsi:type="dcterms:W3CDTF">2024-04-30T10:51:00Z</dcterms:modified>
</cp:coreProperties>
</file>