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91BC" w14:textId="057DB299" w:rsidR="00C8559D" w:rsidRPr="00E640A3" w:rsidRDefault="00E640A3" w:rsidP="00F744EE">
      <w:pPr>
        <w:pStyle w:val="Bodytext20"/>
        <w:shd w:val="clear" w:color="auto" w:fill="auto"/>
        <w:spacing w:before="120" w:after="240" w:line="300" w:lineRule="auto"/>
        <w:ind w:left="6237" w:firstLine="0"/>
        <w:jc w:val="left"/>
        <w:rPr>
          <w:rFonts w:asciiTheme="minorHAnsi" w:hAnsiTheme="minorHAnsi" w:cstheme="minorHAnsi"/>
          <w:sz w:val="22"/>
          <w:szCs w:val="22"/>
        </w:rPr>
      </w:pPr>
      <w:r w:rsidRPr="00E640A3">
        <w:rPr>
          <w:rFonts w:asciiTheme="minorHAnsi" w:hAnsiTheme="minorHAnsi" w:cstheme="minorHAnsi"/>
          <w:sz w:val="22"/>
          <w:szCs w:val="22"/>
        </w:rPr>
        <w:t xml:space="preserve">Warszawa, 22 </w:t>
      </w:r>
      <w:r w:rsidR="009F6E71" w:rsidRPr="00E640A3">
        <w:rPr>
          <w:rFonts w:asciiTheme="minorHAnsi" w:hAnsiTheme="minorHAnsi" w:cstheme="minorHAnsi"/>
          <w:sz w:val="22"/>
          <w:szCs w:val="22"/>
        </w:rPr>
        <w:t>lutego 2024 r.</w:t>
      </w:r>
    </w:p>
    <w:p w14:paraId="0E5491BD" w14:textId="77777777" w:rsidR="00C8559D" w:rsidRPr="00E640A3" w:rsidRDefault="009F6E71" w:rsidP="00437391">
      <w:pPr>
        <w:pStyle w:val="Bodytext20"/>
        <w:shd w:val="clear" w:color="auto" w:fill="auto"/>
        <w:spacing w:before="120" w:after="240" w:line="300" w:lineRule="auto"/>
        <w:ind w:firstLine="0"/>
        <w:jc w:val="left"/>
        <w:rPr>
          <w:rFonts w:asciiTheme="minorHAnsi" w:hAnsiTheme="minorHAnsi" w:cstheme="minorHAnsi"/>
          <w:b/>
          <w:sz w:val="22"/>
          <w:szCs w:val="22"/>
        </w:rPr>
      </w:pPr>
      <w:r w:rsidRPr="00E640A3">
        <w:rPr>
          <w:rFonts w:asciiTheme="minorHAnsi" w:hAnsiTheme="minorHAnsi" w:cstheme="minorHAnsi"/>
          <w:b/>
          <w:sz w:val="22"/>
          <w:szCs w:val="22"/>
        </w:rPr>
        <w:t>KW-WP. 1712.24.2023.AMR</w:t>
      </w:r>
    </w:p>
    <w:p w14:paraId="0E5491BE" w14:textId="77777777" w:rsidR="00C8559D" w:rsidRPr="00E640A3" w:rsidRDefault="009F6E71" w:rsidP="00437391">
      <w:pPr>
        <w:pStyle w:val="Bodytext20"/>
        <w:shd w:val="clear" w:color="auto" w:fill="auto"/>
        <w:spacing w:before="240" w:after="680" w:line="300" w:lineRule="auto"/>
        <w:ind w:left="6220" w:firstLine="0"/>
        <w:contextualSpacing/>
        <w:jc w:val="left"/>
        <w:rPr>
          <w:rFonts w:asciiTheme="minorHAnsi" w:hAnsiTheme="minorHAnsi" w:cstheme="minorHAnsi"/>
          <w:b/>
          <w:sz w:val="22"/>
          <w:szCs w:val="22"/>
        </w:rPr>
      </w:pPr>
      <w:r w:rsidRPr="00E640A3">
        <w:rPr>
          <w:rFonts w:asciiTheme="minorHAnsi" w:hAnsiTheme="minorHAnsi" w:cstheme="minorHAnsi"/>
          <w:b/>
          <w:sz w:val="22"/>
          <w:szCs w:val="22"/>
        </w:rPr>
        <w:t>Pani</w:t>
      </w:r>
    </w:p>
    <w:p w14:paraId="0E5491BF" w14:textId="77777777" w:rsidR="00C8559D" w:rsidRPr="00E640A3" w:rsidRDefault="009F6E71" w:rsidP="00437391">
      <w:pPr>
        <w:pStyle w:val="Bodytext20"/>
        <w:shd w:val="clear" w:color="auto" w:fill="auto"/>
        <w:spacing w:before="240" w:after="680" w:line="300" w:lineRule="auto"/>
        <w:ind w:left="6220" w:right="380" w:firstLine="0"/>
        <w:contextualSpacing/>
        <w:jc w:val="left"/>
        <w:rPr>
          <w:rFonts w:asciiTheme="minorHAnsi" w:hAnsiTheme="minorHAnsi" w:cstheme="minorHAnsi"/>
          <w:b/>
          <w:sz w:val="22"/>
          <w:szCs w:val="22"/>
        </w:rPr>
      </w:pPr>
      <w:r w:rsidRPr="00E640A3">
        <w:rPr>
          <w:rFonts w:asciiTheme="minorHAnsi" w:hAnsiTheme="minorHAnsi" w:cstheme="minorHAnsi"/>
          <w:b/>
          <w:sz w:val="22"/>
          <w:szCs w:val="22"/>
        </w:rPr>
        <w:t>Dorota Stegienka Burmistrz Dzielnicy Ochota m.st. Warszawy</w:t>
      </w:r>
    </w:p>
    <w:p w14:paraId="0E5491C0" w14:textId="77777777" w:rsidR="00C8559D" w:rsidRPr="009F6E71" w:rsidRDefault="009F6E71" w:rsidP="00437391">
      <w:pPr>
        <w:pStyle w:val="Nagwek1"/>
        <w:spacing w:before="120" w:after="240" w:line="300" w:lineRule="auto"/>
        <w:ind w:left="3402"/>
        <w:rPr>
          <w:rFonts w:asciiTheme="minorHAnsi" w:hAnsiTheme="minorHAnsi" w:cstheme="minorHAnsi"/>
          <w:b/>
          <w:color w:val="auto"/>
          <w:sz w:val="22"/>
          <w:szCs w:val="22"/>
        </w:rPr>
      </w:pPr>
      <w:r w:rsidRPr="009F6E71">
        <w:rPr>
          <w:rFonts w:asciiTheme="minorHAnsi" w:hAnsiTheme="minorHAnsi" w:cstheme="minorHAnsi"/>
          <w:b/>
          <w:color w:val="auto"/>
          <w:sz w:val="22"/>
          <w:szCs w:val="22"/>
        </w:rPr>
        <w:t>Wystąpienie pokontrolne</w:t>
      </w:r>
    </w:p>
    <w:p w14:paraId="0E5491C1" w14:textId="23F36E2C" w:rsidR="00C8559D" w:rsidRPr="00E640A3" w:rsidRDefault="009F6E71" w:rsidP="00437391">
      <w:pPr>
        <w:pStyle w:val="Bodytext20"/>
        <w:shd w:val="clear" w:color="auto" w:fill="auto"/>
        <w:spacing w:before="120" w:after="240" w:line="300" w:lineRule="auto"/>
        <w:ind w:firstLine="0"/>
        <w:jc w:val="left"/>
        <w:rPr>
          <w:rFonts w:asciiTheme="minorHAnsi" w:hAnsiTheme="minorHAnsi" w:cstheme="minorHAnsi"/>
          <w:sz w:val="22"/>
          <w:szCs w:val="22"/>
        </w:rPr>
      </w:pPr>
      <w:r w:rsidRPr="00E640A3">
        <w:rPr>
          <w:rFonts w:asciiTheme="minorHAnsi" w:hAnsiTheme="minorHAnsi" w:cstheme="minorHAnsi"/>
          <w:sz w:val="22"/>
          <w:szCs w:val="22"/>
        </w:rPr>
        <w:t xml:space="preserve">Na podstawie § 22 ust. 10 Regulaminu organizacyjnego Urzędu miasta stołecznego Warszawy, stanowiącego załącznik do zarządzenia Nr </w:t>
      </w:r>
      <w:r w:rsidRPr="00E640A3">
        <w:rPr>
          <w:rFonts w:asciiTheme="minorHAnsi" w:hAnsiTheme="minorHAnsi" w:cstheme="minorHAnsi"/>
          <w:sz w:val="22"/>
          <w:szCs w:val="22"/>
          <w:lang w:val="ru-RU" w:eastAsia="ru-RU" w:bidi="ru-RU"/>
        </w:rPr>
        <w:t xml:space="preserve">312/2007 </w:t>
      </w:r>
      <w:r w:rsidRPr="00E640A3">
        <w:rPr>
          <w:rFonts w:asciiTheme="minorHAnsi" w:hAnsiTheme="minorHAnsi" w:cstheme="minorHAnsi"/>
          <w:sz w:val="22"/>
          <w:szCs w:val="22"/>
        </w:rPr>
        <w:t>Prezydenta miasta stołecznego Warszawy z dnia 4 kwietnia 2007 r. w sprawie nadania regulaminu organizacyjnego Urzędu miasta stołecznego Warszawy (z późn. zm.), w związku z kontrolą przeprowadzoną przez Biuro Kontroli Urzędu m.st. Warszawy w Urzędzie Dzielnicy Ochota m.st. Warszawy w okresie 18.04 - 31.05.2023 r. z przerwą w</w:t>
      </w:r>
      <w:r>
        <w:rPr>
          <w:rFonts w:asciiTheme="minorHAnsi" w:hAnsiTheme="minorHAnsi" w:cstheme="minorHAnsi"/>
          <w:sz w:val="22"/>
          <w:szCs w:val="22"/>
        </w:rPr>
        <w:t xml:space="preserve"> </w:t>
      </w:r>
      <w:r w:rsidRPr="00E640A3">
        <w:rPr>
          <w:rFonts w:asciiTheme="minorHAnsi" w:hAnsiTheme="minorHAnsi" w:cstheme="minorHAnsi"/>
          <w:sz w:val="22"/>
          <w:szCs w:val="22"/>
        </w:rPr>
        <w:t xml:space="preserve">dn. 2.05 oraz 8-19.05 2023 r., w zakresie prawidłowości wydawania decyzji o pozwoleniu na budowę w Urzędzie Dzielnicy Ochota m.st. Warszawy w roku 2022, której wyniki zostały przedstawione w protokole kontroli podpisanym 5 czerwca 2023 r., stosownie do § 32 ust. 5 Zarządzenia nr </w:t>
      </w:r>
      <w:r w:rsidRPr="00E640A3">
        <w:rPr>
          <w:rFonts w:asciiTheme="minorHAnsi" w:hAnsiTheme="minorHAnsi" w:cstheme="minorHAnsi"/>
          <w:sz w:val="22"/>
          <w:szCs w:val="22"/>
          <w:lang w:val="ru-RU" w:eastAsia="ru-RU" w:bidi="ru-RU"/>
        </w:rPr>
        <w:t xml:space="preserve">1837/2019 </w:t>
      </w:r>
      <w:r w:rsidRPr="00E640A3">
        <w:rPr>
          <w:rFonts w:asciiTheme="minorHAnsi" w:hAnsiTheme="minorHAnsi" w:cstheme="minorHAnsi"/>
          <w:sz w:val="22"/>
          <w:szCs w:val="22"/>
        </w:rPr>
        <w:t>Prezydenta miasta stołecznego Warszawy z dnia 12 grudnia 2019 r. w sprawie zasad i trybu postępowania kontrolnego (zwanego dalej: Zarządzeniem), przekazuję Pani niniejsze wystąpienie pokontrolne nieuwzględniające złożonych przez Panią zastrzeżeń do projektu wystąpienia pokontrolnego.</w:t>
      </w:r>
    </w:p>
    <w:p w14:paraId="0E5491C2" w14:textId="77777777" w:rsidR="00C8559D" w:rsidRPr="00E640A3" w:rsidRDefault="009F6E71" w:rsidP="00437391">
      <w:pPr>
        <w:pStyle w:val="Bodytext20"/>
        <w:shd w:val="clear" w:color="auto" w:fill="auto"/>
        <w:spacing w:before="120" w:after="240" w:line="300" w:lineRule="auto"/>
        <w:ind w:firstLine="0"/>
        <w:jc w:val="left"/>
        <w:rPr>
          <w:rFonts w:asciiTheme="minorHAnsi" w:hAnsiTheme="minorHAnsi" w:cstheme="minorHAnsi"/>
          <w:sz w:val="22"/>
          <w:szCs w:val="22"/>
        </w:rPr>
      </w:pPr>
      <w:r w:rsidRPr="00E640A3">
        <w:rPr>
          <w:rFonts w:asciiTheme="minorHAnsi" w:hAnsiTheme="minorHAnsi" w:cstheme="minorHAnsi"/>
          <w:sz w:val="22"/>
          <w:szCs w:val="22"/>
        </w:rPr>
        <w:t>W dn. 3.01.2024 r. Biuro Kontroli przedstawiło stanowisko w sprawie złożonych zastrzeżeń do projektu wystąpienia pokontrolnego wraz z uzasadnieniem. Wobec nieprzekazania we wskazanym terminie 7 dni, tj. do 12.01.2024 r., informacji o akceptacji sporządzonego Projektu wystąpienia bądź jej braku, na podstawie § 37 ust. 4 Zarządzenia przyjęto, iż jego treść została przez Panią zaakceptowana, co potwierdzono 6.02.2024 r. w kontakcie roboczym z Urzędem Dzielnicy Ochota.</w:t>
      </w:r>
    </w:p>
    <w:p w14:paraId="0E5491C3" w14:textId="77777777" w:rsidR="00C8559D" w:rsidRPr="00E640A3" w:rsidRDefault="009F6E71" w:rsidP="00437391">
      <w:pPr>
        <w:pStyle w:val="Bodytext20"/>
        <w:shd w:val="clear" w:color="auto" w:fill="auto"/>
        <w:spacing w:before="120" w:after="240" w:line="300" w:lineRule="auto"/>
        <w:ind w:firstLine="0"/>
        <w:jc w:val="left"/>
        <w:rPr>
          <w:rFonts w:asciiTheme="minorHAnsi" w:hAnsiTheme="minorHAnsi" w:cstheme="minorHAnsi"/>
          <w:sz w:val="22"/>
          <w:szCs w:val="22"/>
        </w:rPr>
      </w:pPr>
      <w:r w:rsidRPr="00E640A3">
        <w:rPr>
          <w:rFonts w:asciiTheme="minorHAnsi" w:hAnsiTheme="minorHAnsi" w:cstheme="minorHAnsi"/>
          <w:sz w:val="22"/>
          <w:szCs w:val="22"/>
        </w:rPr>
        <w:t xml:space="preserve">Ustalono, że w badanym okresie, tj. od 1 stycznia 2022 r. do 31 grudnia 2022 r. w Wydziale Architektury i Budownictwa dla Dzielnicy Ochota (zwanym dalej WAB) wydano 66 decyzji z wniosku o pozwolenie na budowę/rozbiórkę. W okresie tym zarejestrowano 83 wnioski o pozwolenie na budowę/rozbiórkę. W dniu rozpoczęcia kontroli dane wszystkich powyższych decyzji oraz dane 73 wniosków znajdowały się w wyszukiwarce publicznej RWDZ udostępnionej przez GUNB na stronie </w:t>
      </w:r>
      <w:r w:rsidRPr="00E640A3">
        <w:rPr>
          <w:rStyle w:val="Bodytext21"/>
          <w:rFonts w:asciiTheme="minorHAnsi" w:hAnsiTheme="minorHAnsi" w:cstheme="minorHAnsi"/>
          <w:sz w:val="22"/>
          <w:szCs w:val="22"/>
        </w:rPr>
        <w:t>http:/</w:t>
      </w:r>
      <w:r w:rsidRPr="00E640A3">
        <w:rPr>
          <w:rFonts w:asciiTheme="minorHAnsi" w:hAnsiTheme="minorHAnsi" w:cstheme="minorHAnsi"/>
          <w:sz w:val="22"/>
          <w:szCs w:val="22"/>
          <w:lang w:val="en-US" w:eastAsia="en-US" w:bidi="en-US"/>
        </w:rPr>
        <w:t>/w</w:t>
      </w:r>
      <w:r w:rsidRPr="00E640A3">
        <w:rPr>
          <w:rStyle w:val="Bodytext21"/>
          <w:rFonts w:asciiTheme="minorHAnsi" w:hAnsiTheme="minorHAnsi" w:cstheme="minorHAnsi"/>
          <w:sz w:val="22"/>
          <w:szCs w:val="22"/>
        </w:rPr>
        <w:t>yszukiwarka</w:t>
      </w:r>
      <w:r w:rsidRPr="00E640A3">
        <w:rPr>
          <w:rFonts w:asciiTheme="minorHAnsi" w:hAnsiTheme="minorHAnsi" w:cstheme="minorHAnsi"/>
          <w:sz w:val="22"/>
          <w:szCs w:val="22"/>
          <w:lang w:val="en-US" w:eastAsia="en-US" w:bidi="en-US"/>
        </w:rPr>
        <w:t>.</w:t>
      </w:r>
      <w:r w:rsidRPr="00E640A3">
        <w:rPr>
          <w:rStyle w:val="Bodytext21"/>
          <w:rFonts w:asciiTheme="minorHAnsi" w:hAnsiTheme="minorHAnsi" w:cstheme="minorHAnsi"/>
          <w:sz w:val="22"/>
          <w:szCs w:val="22"/>
        </w:rPr>
        <w:t>eunb.E</w:t>
      </w:r>
      <w:r w:rsidRPr="00E640A3">
        <w:rPr>
          <w:rFonts w:asciiTheme="minorHAnsi" w:hAnsiTheme="minorHAnsi" w:cstheme="minorHAnsi"/>
          <w:sz w:val="22"/>
          <w:szCs w:val="22"/>
          <w:lang w:val="en-US" w:eastAsia="en-US" w:bidi="en-US"/>
        </w:rPr>
        <w:t xml:space="preserve">ov.pl/. </w:t>
      </w:r>
      <w:r w:rsidRPr="00E640A3">
        <w:rPr>
          <w:rFonts w:asciiTheme="minorHAnsi" w:hAnsiTheme="minorHAnsi" w:cstheme="minorHAnsi"/>
          <w:sz w:val="22"/>
          <w:szCs w:val="22"/>
        </w:rPr>
        <w:t>Dane dotyczące pozostałych wniosków zostały wprowadzone w toku kontroli.</w:t>
      </w:r>
    </w:p>
    <w:p w14:paraId="0E5491C4" w14:textId="77777777" w:rsidR="00C8559D" w:rsidRPr="00E640A3" w:rsidRDefault="009F6E71" w:rsidP="00437391">
      <w:pPr>
        <w:pStyle w:val="Bodytext20"/>
        <w:shd w:val="clear" w:color="auto" w:fill="auto"/>
        <w:spacing w:before="120" w:after="240" w:line="300" w:lineRule="auto"/>
        <w:ind w:right="520" w:firstLine="0"/>
        <w:jc w:val="left"/>
        <w:rPr>
          <w:rFonts w:asciiTheme="minorHAnsi" w:hAnsiTheme="minorHAnsi" w:cstheme="minorHAnsi"/>
          <w:sz w:val="22"/>
          <w:szCs w:val="22"/>
        </w:rPr>
      </w:pPr>
      <w:r w:rsidRPr="00E640A3">
        <w:rPr>
          <w:rFonts w:asciiTheme="minorHAnsi" w:hAnsiTheme="minorHAnsi" w:cstheme="minorHAnsi"/>
          <w:sz w:val="22"/>
          <w:szCs w:val="22"/>
        </w:rPr>
        <w:lastRenderedPageBreak/>
        <w:t>Kontrolą objęto 8 wybranych postępowań</w:t>
      </w:r>
      <w:r w:rsidRPr="00E640A3">
        <w:rPr>
          <w:rFonts w:asciiTheme="minorHAnsi" w:hAnsiTheme="minorHAnsi" w:cstheme="minorHAnsi"/>
          <w:sz w:val="22"/>
          <w:szCs w:val="22"/>
          <w:vertAlign w:val="superscript"/>
        </w:rPr>
        <w:footnoteReference w:id="1"/>
      </w:r>
      <w:r w:rsidRPr="00E640A3">
        <w:rPr>
          <w:rFonts w:asciiTheme="minorHAnsi" w:hAnsiTheme="minorHAnsi" w:cstheme="minorHAnsi"/>
          <w:sz w:val="22"/>
          <w:szCs w:val="22"/>
        </w:rPr>
        <w:t xml:space="preserve"> zakończonych wydaniem decyzji o pozwoleniu na budowę. Sprawdzenie ww. decyzji oraz poprzedzających ich wydanie postępowań wykazało, że:</w:t>
      </w:r>
    </w:p>
    <w:p w14:paraId="0E5491C5" w14:textId="77777777" w:rsidR="00C8559D" w:rsidRPr="00E640A3" w:rsidRDefault="009F6E71" w:rsidP="00437391">
      <w:pPr>
        <w:pStyle w:val="Bodytext20"/>
        <w:numPr>
          <w:ilvl w:val="0"/>
          <w:numId w:val="1"/>
        </w:numPr>
        <w:shd w:val="clear" w:color="auto" w:fill="auto"/>
        <w:tabs>
          <w:tab w:val="left" w:pos="336"/>
        </w:tabs>
        <w:spacing w:before="120" w:after="240" w:line="300" w:lineRule="auto"/>
        <w:ind w:left="400" w:right="1220" w:hanging="400"/>
        <w:jc w:val="left"/>
        <w:rPr>
          <w:rFonts w:asciiTheme="minorHAnsi" w:hAnsiTheme="minorHAnsi" w:cstheme="minorHAnsi"/>
          <w:sz w:val="22"/>
          <w:szCs w:val="22"/>
        </w:rPr>
      </w:pPr>
      <w:r w:rsidRPr="00E640A3">
        <w:rPr>
          <w:rFonts w:asciiTheme="minorHAnsi" w:hAnsiTheme="minorHAnsi" w:cstheme="minorHAnsi"/>
          <w:sz w:val="22"/>
          <w:szCs w:val="22"/>
        </w:rPr>
        <w:t>Wydano 4 decyzje o pozwoleniu na budowę</w:t>
      </w:r>
      <w:r w:rsidRPr="00E640A3">
        <w:rPr>
          <w:rFonts w:asciiTheme="minorHAnsi" w:hAnsiTheme="minorHAnsi" w:cstheme="minorHAnsi"/>
          <w:sz w:val="22"/>
          <w:szCs w:val="22"/>
          <w:vertAlign w:val="superscript"/>
        </w:rPr>
        <w:footnoteReference w:id="2"/>
      </w:r>
      <w:r w:rsidRPr="00E640A3">
        <w:rPr>
          <w:rFonts w:asciiTheme="minorHAnsi" w:hAnsiTheme="minorHAnsi" w:cstheme="minorHAnsi"/>
          <w:sz w:val="22"/>
          <w:szCs w:val="22"/>
        </w:rPr>
        <w:t xml:space="preserve"> pomimo istniejących nieprawidłowości w dokumentacji projektowej, a w szczególności:</w:t>
      </w:r>
    </w:p>
    <w:p w14:paraId="0E5491C6" w14:textId="77777777" w:rsidR="00C8559D" w:rsidRPr="00E640A3" w:rsidRDefault="009F6E71" w:rsidP="00437391">
      <w:pPr>
        <w:pStyle w:val="Bodytext20"/>
        <w:shd w:val="clear" w:color="auto" w:fill="auto"/>
        <w:spacing w:before="120" w:after="240" w:line="300" w:lineRule="auto"/>
        <w:ind w:left="800" w:hanging="400"/>
        <w:jc w:val="left"/>
        <w:rPr>
          <w:rFonts w:asciiTheme="minorHAnsi" w:hAnsiTheme="minorHAnsi" w:cstheme="minorHAnsi"/>
          <w:sz w:val="22"/>
          <w:szCs w:val="22"/>
        </w:rPr>
      </w:pPr>
      <w:r w:rsidRPr="00E640A3">
        <w:rPr>
          <w:rFonts w:asciiTheme="minorHAnsi" w:hAnsiTheme="minorHAnsi" w:cstheme="minorHAnsi"/>
          <w:sz w:val="22"/>
          <w:szCs w:val="22"/>
        </w:rPr>
        <w:t>a) w 3 przypadkach</w:t>
      </w:r>
      <w:r w:rsidRPr="00E640A3">
        <w:rPr>
          <w:rFonts w:asciiTheme="minorHAnsi" w:hAnsiTheme="minorHAnsi" w:cstheme="minorHAnsi"/>
          <w:sz w:val="22"/>
          <w:szCs w:val="22"/>
          <w:vertAlign w:val="superscript"/>
        </w:rPr>
        <w:footnoteReference w:id="3"/>
      </w:r>
      <w:r w:rsidRPr="00E640A3">
        <w:rPr>
          <w:rFonts w:asciiTheme="minorHAnsi" w:hAnsiTheme="minorHAnsi" w:cstheme="minorHAnsi"/>
          <w:sz w:val="22"/>
          <w:szCs w:val="22"/>
        </w:rPr>
        <w:t xml:space="preserve"> zatwierdzono projekt zagospodarowania terenu niezgodny z przepisami techniczno-budowlanymi lub którego zgodność z tymi przepisami nie była możliwa do sprawdzenia, czym naruszono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35 ust. 1 pkt 2 ustawy z dnia 7 lipca 1994 r. Prawo budowlane</w:t>
      </w:r>
      <w:r w:rsidRPr="00E640A3">
        <w:rPr>
          <w:rFonts w:asciiTheme="minorHAnsi" w:hAnsiTheme="minorHAnsi" w:cstheme="minorHAnsi"/>
          <w:sz w:val="22"/>
          <w:szCs w:val="22"/>
          <w:vertAlign w:val="superscript"/>
        </w:rPr>
        <w:footnoteReference w:id="4"/>
      </w:r>
      <w:r w:rsidRPr="00E640A3">
        <w:rPr>
          <w:rFonts w:asciiTheme="minorHAnsi" w:hAnsiTheme="minorHAnsi" w:cstheme="minorHAnsi"/>
          <w:sz w:val="22"/>
          <w:szCs w:val="22"/>
        </w:rPr>
        <w:t xml:space="preserve"> (dalej: Prawo budowlane), tj.:</w:t>
      </w:r>
    </w:p>
    <w:p w14:paraId="0E5491C7" w14:textId="77777777" w:rsidR="00C8559D" w:rsidRPr="00E640A3" w:rsidRDefault="009F6E71" w:rsidP="00437391">
      <w:pPr>
        <w:pStyle w:val="Bodytext20"/>
        <w:numPr>
          <w:ilvl w:val="0"/>
          <w:numId w:val="2"/>
        </w:numPr>
        <w:shd w:val="clear" w:color="auto" w:fill="auto"/>
        <w:tabs>
          <w:tab w:val="left" w:pos="1148"/>
        </w:tabs>
        <w:spacing w:before="120" w:after="240" w:line="300" w:lineRule="auto"/>
        <w:ind w:left="1160" w:hanging="360"/>
        <w:jc w:val="left"/>
        <w:rPr>
          <w:rFonts w:asciiTheme="minorHAnsi" w:hAnsiTheme="minorHAnsi" w:cstheme="minorHAnsi"/>
          <w:sz w:val="22"/>
          <w:szCs w:val="22"/>
        </w:rPr>
      </w:pPr>
      <w:r w:rsidRPr="00E640A3">
        <w:rPr>
          <w:rFonts w:asciiTheme="minorHAnsi" w:hAnsiTheme="minorHAnsi" w:cstheme="minorHAnsi"/>
          <w:sz w:val="22"/>
          <w:szCs w:val="22"/>
        </w:rPr>
        <w:t xml:space="preserve">decyzją nr </w:t>
      </w:r>
      <w:r w:rsidRPr="00E640A3">
        <w:rPr>
          <w:rFonts w:asciiTheme="minorHAnsi" w:hAnsiTheme="minorHAnsi" w:cstheme="minorHAnsi"/>
          <w:sz w:val="22"/>
          <w:szCs w:val="22"/>
          <w:lang w:val="ru-RU" w:eastAsia="ru-RU" w:bidi="ru-RU"/>
        </w:rPr>
        <w:t xml:space="preserve">37/2022 </w:t>
      </w:r>
      <w:r w:rsidRPr="00E640A3">
        <w:rPr>
          <w:rFonts w:asciiTheme="minorHAnsi" w:hAnsiTheme="minorHAnsi" w:cstheme="minorHAnsi"/>
          <w:sz w:val="22"/>
          <w:szCs w:val="22"/>
        </w:rPr>
        <w:t>udzielono pozwolenia na budowę z naruszeniem przepisu § 12 ust. 4 pkt 1 Rozporządzenia Ministra Infrastruktury z dnia 12 kwietnia 2002 r. w sprawie warunków technicznych, jakim powinny odpowiadać budynki i ich usytuowanie</w:t>
      </w:r>
      <w:r w:rsidRPr="00E640A3">
        <w:rPr>
          <w:rFonts w:asciiTheme="minorHAnsi" w:hAnsiTheme="minorHAnsi" w:cstheme="minorHAnsi"/>
          <w:sz w:val="22"/>
          <w:szCs w:val="22"/>
          <w:vertAlign w:val="superscript"/>
        </w:rPr>
        <w:footnoteReference w:id="5"/>
      </w:r>
      <w:r w:rsidRPr="00E640A3">
        <w:rPr>
          <w:rFonts w:asciiTheme="minorHAnsi" w:hAnsiTheme="minorHAnsi" w:cstheme="minorHAnsi"/>
          <w:sz w:val="22"/>
          <w:szCs w:val="22"/>
        </w:rPr>
        <w:t xml:space="preserve"> (dalej: Warunki Techniczne), gdyż zaprojektowano ścianę budynku mieszkalnego jednorodzinnego w granicy działki oraz w odległości ok. 3 m od ściany budynku na działce sąsiedniej. Zgodnie z ww. przepisem w zabudowie jednorodzinnej i zagrodowej możliwa była budowa budynku ścianą bez okien i drzwi bezpośrednio przy granicy działki budowlanej pod warunkiem spełnienia m.in. przepisów § 271 Warunków Technicznych, tj. zachowania odpowiedniej odległości między budynkami, w tym przypadku 8 m. Zachowanie powyższej odległości, konieczne co do zasady, nie obowiązywałoby gdyby projektowana ściana była ścianą oddzielenia pożarowego. Wzmianka projektanta</w:t>
      </w:r>
    </w:p>
    <w:p w14:paraId="0E5491C8" w14:textId="77777777" w:rsidR="00C8559D" w:rsidRPr="00E640A3" w:rsidRDefault="009F6E71" w:rsidP="00437391">
      <w:pPr>
        <w:pStyle w:val="Bodytext20"/>
        <w:shd w:val="clear" w:color="auto" w:fill="auto"/>
        <w:spacing w:before="120" w:after="240" w:line="300" w:lineRule="auto"/>
        <w:ind w:left="1160" w:firstLine="0"/>
        <w:jc w:val="left"/>
        <w:rPr>
          <w:rFonts w:asciiTheme="minorHAnsi" w:hAnsiTheme="minorHAnsi" w:cstheme="minorHAnsi"/>
          <w:sz w:val="22"/>
          <w:szCs w:val="22"/>
        </w:rPr>
      </w:pPr>
      <w:r w:rsidRPr="00E640A3">
        <w:rPr>
          <w:rFonts w:asciiTheme="minorHAnsi" w:hAnsiTheme="minorHAnsi" w:cstheme="minorHAnsi"/>
          <w:sz w:val="22"/>
          <w:szCs w:val="22"/>
        </w:rPr>
        <w:t>w opisie technicznym, że „Ze względu na zwarty typ zabudowy (...) zastosowano ściany oddzielenia pożarowego na granicach z sąsiadami" nie oznaczała, że projektowana ściana miała właściwości ściany oddzielenia pożarowego, tj. odpowiednią klasę odporności ogniowej oraz dymoszczelności. Na rysunkach rzutów i przekroju oraz w opisie technicznym brak było oznaczenia powyższych parametrów a zgodnie z § 9 ust. 2 rozporządzenia Ministra Rozwoju z dnia 11 września 2020 r. w sprawie szczegółowego zakresu i formy projektu budowlanego</w:t>
      </w:r>
      <w:r w:rsidRPr="00E640A3">
        <w:rPr>
          <w:rFonts w:asciiTheme="minorHAnsi" w:hAnsiTheme="minorHAnsi" w:cstheme="minorHAnsi"/>
          <w:sz w:val="22"/>
          <w:szCs w:val="22"/>
          <w:vertAlign w:val="superscript"/>
        </w:rPr>
        <w:footnoteReference w:id="6"/>
      </w:r>
      <w:r w:rsidRPr="00E640A3">
        <w:rPr>
          <w:rFonts w:asciiTheme="minorHAnsi" w:hAnsiTheme="minorHAnsi" w:cstheme="minorHAnsi"/>
          <w:sz w:val="22"/>
          <w:szCs w:val="22"/>
        </w:rPr>
        <w:t xml:space="preserve"> (dalej: rozporządzenie w sprawie zakresu i formy projektu budowlanego) elementy oddzielenia przeciwpożarowego powinny posiadać oznaczenia klas odporności ogniowej lub </w:t>
      </w:r>
      <w:r w:rsidRPr="00E640A3">
        <w:rPr>
          <w:rFonts w:asciiTheme="minorHAnsi" w:hAnsiTheme="minorHAnsi" w:cstheme="minorHAnsi"/>
          <w:sz w:val="22"/>
          <w:szCs w:val="22"/>
        </w:rPr>
        <w:lastRenderedPageBreak/>
        <w:t>dymoszczelności;</w:t>
      </w:r>
    </w:p>
    <w:p w14:paraId="0E5491C9" w14:textId="77777777" w:rsidR="00C8559D" w:rsidRPr="00E640A3" w:rsidRDefault="009F6E71" w:rsidP="00437391">
      <w:pPr>
        <w:pStyle w:val="Bodytext20"/>
        <w:numPr>
          <w:ilvl w:val="0"/>
          <w:numId w:val="2"/>
        </w:numPr>
        <w:shd w:val="clear" w:color="auto" w:fill="auto"/>
        <w:tabs>
          <w:tab w:val="left" w:pos="1148"/>
        </w:tabs>
        <w:spacing w:before="120" w:after="240" w:line="300" w:lineRule="auto"/>
        <w:ind w:left="1160" w:hanging="360"/>
        <w:jc w:val="left"/>
        <w:rPr>
          <w:rFonts w:asciiTheme="minorHAnsi" w:hAnsiTheme="minorHAnsi" w:cstheme="minorHAnsi"/>
          <w:sz w:val="22"/>
          <w:szCs w:val="22"/>
        </w:rPr>
      </w:pPr>
      <w:r w:rsidRPr="00E640A3">
        <w:rPr>
          <w:rFonts w:asciiTheme="minorHAnsi" w:hAnsiTheme="minorHAnsi" w:cstheme="minorHAnsi"/>
          <w:sz w:val="22"/>
          <w:szCs w:val="22"/>
        </w:rPr>
        <w:t xml:space="preserve">decyzją nr </w:t>
      </w:r>
      <w:r w:rsidRPr="00E640A3">
        <w:rPr>
          <w:rFonts w:asciiTheme="minorHAnsi" w:hAnsiTheme="minorHAnsi" w:cstheme="minorHAnsi"/>
          <w:sz w:val="22"/>
          <w:szCs w:val="22"/>
          <w:lang w:val="ru-RU" w:eastAsia="ru-RU" w:bidi="ru-RU"/>
        </w:rPr>
        <w:t xml:space="preserve">9/2022 </w:t>
      </w:r>
      <w:r w:rsidRPr="00E640A3">
        <w:rPr>
          <w:rFonts w:asciiTheme="minorHAnsi" w:hAnsiTheme="minorHAnsi" w:cstheme="minorHAnsi"/>
          <w:sz w:val="22"/>
          <w:szCs w:val="22"/>
        </w:rPr>
        <w:t>udzielono pozwolenia na budowę z naruszeniem przepisu § 13 ust. 1 pkt 1 Warunków Technicznych, gdyż zatwierdzono lokalizację budynku mieszkalnego wielorodzinnego, w którym część pomieszczeń od strony wschodniej przeznaczonych na pobyt ludzi nie posiadała odpowiedniego naturalnego oświetlenia. Ustalono, że</w:t>
      </w:r>
    </w:p>
    <w:p w14:paraId="0E5491CA" w14:textId="77777777" w:rsidR="00C8559D" w:rsidRPr="00E640A3" w:rsidRDefault="009F6E71" w:rsidP="00437391">
      <w:pPr>
        <w:pStyle w:val="Bodytext20"/>
        <w:shd w:val="clear" w:color="auto" w:fill="auto"/>
        <w:spacing w:before="120" w:after="240" w:line="300" w:lineRule="auto"/>
        <w:ind w:left="1060" w:firstLine="0"/>
        <w:jc w:val="left"/>
        <w:rPr>
          <w:rFonts w:asciiTheme="minorHAnsi" w:hAnsiTheme="minorHAnsi" w:cstheme="minorHAnsi"/>
          <w:sz w:val="22"/>
          <w:szCs w:val="22"/>
        </w:rPr>
      </w:pPr>
      <w:r w:rsidRPr="00E640A3">
        <w:rPr>
          <w:rFonts w:asciiTheme="minorHAnsi" w:hAnsiTheme="minorHAnsi" w:cstheme="minorHAnsi"/>
          <w:sz w:val="22"/>
          <w:szCs w:val="22"/>
        </w:rPr>
        <w:t xml:space="preserve">projektowany budynek o wysokości 13 m zost3ł usytuowany w odległości ok. 18 ni od istniejącego na działce sąsiedniej nr </w:t>
      </w:r>
      <w:r w:rsidRPr="00E640A3">
        <w:rPr>
          <w:rFonts w:asciiTheme="minorHAnsi" w:hAnsiTheme="minorHAnsi" w:cstheme="minorHAnsi"/>
          <w:sz w:val="22"/>
          <w:szCs w:val="22"/>
          <w:lang w:val="ru-RU" w:eastAsia="ru-RU" w:bidi="ru-RU"/>
        </w:rPr>
        <w:t xml:space="preserve">77/2, </w:t>
      </w:r>
      <w:r w:rsidRPr="00E640A3">
        <w:rPr>
          <w:rFonts w:asciiTheme="minorHAnsi" w:hAnsiTheme="minorHAnsi" w:cstheme="minorHAnsi"/>
          <w:sz w:val="22"/>
          <w:szCs w:val="22"/>
        </w:rPr>
        <w:t>budynku o wysokości 28 m. Maksymalna wysokość przesłaniania w planowanym budynku wynosiła ok. 25 m i była znacząco większa od odległości między omawianymi budynkami. Uwzględniając dodatkowo usytuowanie względem siebie obu budynków oraz znaczną szerokość elewacji zachodniej istniejącego budynku, spełnienie warunku umożliwiającego naturalne oświetlenie wszystkich pomieszczeń przeznaczonych na pobyt ludzi w projektowanym budynku nie było w tej sytuacji możliwe;</w:t>
      </w:r>
    </w:p>
    <w:p w14:paraId="0E5491CB" w14:textId="77777777" w:rsidR="00C8559D" w:rsidRPr="00E640A3" w:rsidRDefault="009F6E71" w:rsidP="00437391">
      <w:pPr>
        <w:pStyle w:val="Bodytext20"/>
        <w:shd w:val="clear" w:color="auto" w:fill="auto"/>
        <w:spacing w:before="120" w:after="240" w:line="300" w:lineRule="auto"/>
        <w:ind w:left="1060" w:hanging="360"/>
        <w:jc w:val="left"/>
        <w:rPr>
          <w:rFonts w:asciiTheme="minorHAnsi" w:hAnsiTheme="minorHAnsi" w:cstheme="minorHAnsi"/>
          <w:sz w:val="22"/>
          <w:szCs w:val="22"/>
        </w:rPr>
      </w:pPr>
      <w:r w:rsidRPr="00E640A3">
        <w:rPr>
          <w:rFonts w:asciiTheme="minorHAnsi" w:hAnsiTheme="minorHAnsi" w:cstheme="minorHAnsi"/>
          <w:sz w:val="22"/>
          <w:szCs w:val="22"/>
        </w:rPr>
        <w:t>- w 2 przypadkach</w:t>
      </w:r>
      <w:r w:rsidRPr="00E640A3">
        <w:rPr>
          <w:rFonts w:asciiTheme="minorHAnsi" w:hAnsiTheme="minorHAnsi" w:cstheme="minorHAnsi"/>
          <w:sz w:val="22"/>
          <w:szCs w:val="22"/>
          <w:vertAlign w:val="superscript"/>
        </w:rPr>
        <w:footnoteReference w:id="7"/>
      </w:r>
      <w:r w:rsidRPr="00E640A3">
        <w:rPr>
          <w:rFonts w:asciiTheme="minorHAnsi" w:hAnsiTheme="minorHAnsi" w:cstheme="minorHAnsi"/>
          <w:sz w:val="22"/>
          <w:szCs w:val="22"/>
        </w:rPr>
        <w:t xml:space="preserve"> zatwierdzono projekt zagospodarowania terenu w sytuacji braku możliwości obligatoryjnego sprawdzenia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35 ust. 1 pkt 2 Prawa budowlanego) zgodności projektu zagospodarowania działki z przepisami techniczno-budowlanymi gdyż dokumentacja projektowa nie zawierała:</w:t>
      </w:r>
    </w:p>
    <w:p w14:paraId="0E5491CC" w14:textId="77777777" w:rsidR="00C8559D" w:rsidRPr="00E640A3" w:rsidRDefault="009F6E71" w:rsidP="00437391">
      <w:pPr>
        <w:pStyle w:val="Bodytext20"/>
        <w:shd w:val="clear" w:color="auto" w:fill="auto"/>
        <w:spacing w:before="120" w:after="240" w:line="300" w:lineRule="auto"/>
        <w:ind w:left="1420" w:hanging="360"/>
        <w:jc w:val="left"/>
        <w:rPr>
          <w:rFonts w:asciiTheme="minorHAnsi" w:hAnsiTheme="minorHAnsi" w:cstheme="minorHAnsi"/>
          <w:sz w:val="22"/>
          <w:szCs w:val="22"/>
        </w:rPr>
      </w:pPr>
      <w:r w:rsidRPr="00E640A3">
        <w:rPr>
          <w:rFonts w:asciiTheme="minorHAnsi" w:hAnsiTheme="minorHAnsi" w:cstheme="minorHAnsi"/>
          <w:sz w:val="22"/>
          <w:szCs w:val="22"/>
        </w:rPr>
        <w:t xml:space="preserve">w przypadku decyzji nr </w:t>
      </w:r>
      <w:r w:rsidRPr="00E640A3">
        <w:rPr>
          <w:rFonts w:asciiTheme="minorHAnsi" w:hAnsiTheme="minorHAnsi" w:cstheme="minorHAnsi"/>
          <w:sz w:val="22"/>
          <w:szCs w:val="22"/>
          <w:lang w:val="ru-RU" w:eastAsia="ru-RU" w:bidi="ru-RU"/>
        </w:rPr>
        <w:t>9/2022:</w:t>
      </w:r>
    </w:p>
    <w:p w14:paraId="0E5491CD" w14:textId="30FB1FE5" w:rsidR="00C8559D" w:rsidRPr="00E640A3" w:rsidRDefault="00BF362E" w:rsidP="00437391">
      <w:pPr>
        <w:pStyle w:val="Bodytext20"/>
        <w:shd w:val="clear" w:color="auto" w:fill="auto"/>
        <w:spacing w:before="120" w:after="240" w:line="300" w:lineRule="auto"/>
        <w:ind w:left="1420" w:hanging="360"/>
        <w:jc w:val="left"/>
        <w:rPr>
          <w:rFonts w:asciiTheme="minorHAnsi" w:hAnsiTheme="minorHAnsi" w:cstheme="minorHAnsi"/>
          <w:sz w:val="22"/>
          <w:szCs w:val="22"/>
        </w:rPr>
      </w:pPr>
      <w:r>
        <w:rPr>
          <w:rFonts w:asciiTheme="minorHAnsi" w:hAnsiTheme="minorHAnsi" w:cstheme="minorHAnsi"/>
          <w:sz w:val="22"/>
          <w:szCs w:val="22"/>
        </w:rPr>
        <w:t>v</w:t>
      </w:r>
      <w:r w:rsidR="009F6E71" w:rsidRPr="00E640A3">
        <w:rPr>
          <w:rFonts w:asciiTheme="minorHAnsi" w:hAnsiTheme="minorHAnsi" w:cstheme="minorHAnsi"/>
          <w:sz w:val="22"/>
          <w:szCs w:val="22"/>
        </w:rPr>
        <w:t xml:space="preserve"> rysunku wykazującego, że pomieszczenia przeznaczone na pobyt ludzi na parterze projektowanego budynku od strony zachodniej będą posiadały naturalne oświetlenie zgodne z normą określoną w § 13 ust. 1 pkt 1 Warunków Technicznych oraz,</w:t>
      </w:r>
    </w:p>
    <w:p w14:paraId="0E5491CE" w14:textId="01AFE543" w:rsidR="00C8559D" w:rsidRPr="00E640A3" w:rsidRDefault="00BF362E" w:rsidP="00437391">
      <w:pPr>
        <w:pStyle w:val="Bodytext20"/>
        <w:shd w:val="clear" w:color="auto" w:fill="auto"/>
        <w:spacing w:before="120" w:after="240" w:line="300" w:lineRule="auto"/>
        <w:ind w:left="1420" w:hanging="360"/>
        <w:jc w:val="left"/>
        <w:rPr>
          <w:rFonts w:asciiTheme="minorHAnsi" w:hAnsiTheme="minorHAnsi" w:cstheme="minorHAnsi"/>
          <w:sz w:val="22"/>
          <w:szCs w:val="22"/>
        </w:rPr>
      </w:pPr>
      <w:r>
        <w:rPr>
          <w:rFonts w:asciiTheme="minorHAnsi" w:hAnsiTheme="minorHAnsi" w:cstheme="minorHAnsi"/>
          <w:sz w:val="22"/>
          <w:szCs w:val="22"/>
        </w:rPr>
        <w:t>v</w:t>
      </w:r>
      <w:r w:rsidR="009F6E71" w:rsidRPr="00E640A3">
        <w:rPr>
          <w:rFonts w:asciiTheme="minorHAnsi" w:hAnsiTheme="minorHAnsi" w:cstheme="minorHAnsi"/>
          <w:sz w:val="22"/>
          <w:szCs w:val="22"/>
        </w:rPr>
        <w:t xml:space="preserve"> graficznej analizy nasłonecznienia, z której wynikałoby, że czas nasłonecznienia przynajmniej 1 pokoju mieszkalnego w każdym z projektowanych lokali mieszkalnych ma zapewniony czas nasłonecznienia wynoszący co najmniej 3 godziny w dniach równonocy w godzinach 7.00-17.00 zgodnie z normą § 60 Warunków Technicznych.</w:t>
      </w:r>
    </w:p>
    <w:p w14:paraId="0E5491CF" w14:textId="77777777" w:rsidR="00C8559D" w:rsidRPr="00E640A3" w:rsidRDefault="009F6E71" w:rsidP="00437391">
      <w:pPr>
        <w:pStyle w:val="Bodytext20"/>
        <w:shd w:val="clear" w:color="auto" w:fill="auto"/>
        <w:spacing w:before="120" w:after="240" w:line="300" w:lineRule="auto"/>
        <w:ind w:left="1420" w:firstLine="0"/>
        <w:jc w:val="left"/>
        <w:rPr>
          <w:rFonts w:asciiTheme="minorHAnsi" w:hAnsiTheme="minorHAnsi" w:cstheme="minorHAnsi"/>
          <w:sz w:val="22"/>
          <w:szCs w:val="22"/>
        </w:rPr>
      </w:pPr>
      <w:r w:rsidRPr="00E640A3">
        <w:rPr>
          <w:rFonts w:asciiTheme="minorHAnsi" w:hAnsiTheme="minorHAnsi" w:cstheme="minorHAnsi"/>
          <w:sz w:val="22"/>
          <w:szCs w:val="22"/>
        </w:rPr>
        <w:t xml:space="preserve">Co prawda Pani Burmistrz w odniesieniu do obu powyższych przypadków wskazała, że „(...) z treści całości projektu wynikało, że spełnia on wymagania przepisów. Opis projektu architektoniczno-budowlanego zawiera informację, że budynek zaprojektowano tak, aby zapewnić odpowiedni czas nasłonecznienia (min. 3 h w dniach równonocy w godz. 7 17) przynajmniej jednego pokoju w każdym </w:t>
      </w:r>
      <w:r w:rsidRPr="00E640A3">
        <w:rPr>
          <w:rFonts w:asciiTheme="minorHAnsi" w:hAnsiTheme="minorHAnsi" w:cstheme="minorHAnsi"/>
          <w:sz w:val="22"/>
          <w:szCs w:val="22"/>
        </w:rPr>
        <w:lastRenderedPageBreak/>
        <w:t xml:space="preserve">mieszkaniu oraz odległości od innych obiektów umożliwiały naturalne oświetlenie pomieszczeń na pobyt ludzi. Informację zawarto w pkt 1.6 na str. 17 opisu. Ponadto projekt został uzgodniony bez zastrzeżeń pod względem wymagań higienicznych i zdrowotnych przez rzeczoznawcę ds. sanitarnohigienicznych (o czym mowa w § 17 ust. 1 rozporządzenia Ministra Zdrowia z 29 listopada 2002 r. w sprawie rzeczoznawców do spraw sanitarnohigienicznych). Projektant złożył oświadczenie o sporządzeniu projektu zgodnie z obowiązującymi przepisami oraz zasadami wiedzy technicznej, zgodnie z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20 ust. 4 Prawa budowlanego".</w:t>
      </w:r>
    </w:p>
    <w:p w14:paraId="0E5491D0" w14:textId="77777777" w:rsidR="00C8559D" w:rsidRPr="00E640A3" w:rsidRDefault="009F6E71" w:rsidP="00437391">
      <w:pPr>
        <w:pStyle w:val="Bodytext20"/>
        <w:shd w:val="clear" w:color="auto" w:fill="auto"/>
        <w:spacing w:before="120" w:after="240" w:line="300" w:lineRule="auto"/>
        <w:ind w:left="1420" w:firstLine="0"/>
        <w:jc w:val="left"/>
        <w:rPr>
          <w:rFonts w:asciiTheme="minorHAnsi" w:hAnsiTheme="minorHAnsi" w:cstheme="minorHAnsi"/>
          <w:sz w:val="22"/>
          <w:szCs w:val="22"/>
        </w:rPr>
      </w:pPr>
      <w:r w:rsidRPr="00E640A3">
        <w:rPr>
          <w:rFonts w:asciiTheme="minorHAnsi" w:hAnsiTheme="minorHAnsi" w:cstheme="minorHAnsi"/>
          <w:sz w:val="22"/>
          <w:szCs w:val="22"/>
        </w:rPr>
        <w:t>Jednakże to analiza nasłonecznienia wykonana odpowiednią metodą graficzną, a nie stwierdzenie projektanta, że norma nasłonecznienia jest zachowana, powinno stanowić przedmiot badania organu. Brak w dokumentacji projektowej ww. analizy,</w:t>
      </w:r>
    </w:p>
    <w:p w14:paraId="0E5491D1" w14:textId="77777777" w:rsidR="00C8559D" w:rsidRPr="00E640A3" w:rsidRDefault="009F6E71" w:rsidP="00437391">
      <w:pPr>
        <w:pStyle w:val="Bodytext20"/>
        <w:shd w:val="clear" w:color="auto" w:fill="auto"/>
        <w:spacing w:before="120" w:after="240" w:line="300" w:lineRule="auto"/>
        <w:ind w:left="1180" w:firstLine="0"/>
        <w:jc w:val="left"/>
        <w:rPr>
          <w:rFonts w:asciiTheme="minorHAnsi" w:hAnsiTheme="minorHAnsi" w:cstheme="minorHAnsi"/>
          <w:sz w:val="22"/>
          <w:szCs w:val="22"/>
        </w:rPr>
      </w:pPr>
      <w:r w:rsidRPr="00E640A3">
        <w:rPr>
          <w:rFonts w:asciiTheme="minorHAnsi" w:hAnsiTheme="minorHAnsi" w:cstheme="minorHAnsi"/>
          <w:sz w:val="22"/>
          <w:szCs w:val="22"/>
        </w:rPr>
        <w:t>której wyniki stanowiłyby dokładny czas operowania promieni słonecznych w odpowiednich pomieszczeniach lokali mieszkalnych w dniach równonocy w godzinach 7.00-17.00, w konsekwencji uniemożliwił dokonanie obligatoryjnego sprawdzenia przez organ zgodności projektu zagospodarowania działki z przepisami, w tym m.in. techniczno-budowlanymi zawartymi w § 60 Warunków Technicznych;</w:t>
      </w:r>
    </w:p>
    <w:p w14:paraId="0E5491D2" w14:textId="77777777" w:rsidR="00C8559D" w:rsidRPr="00E640A3" w:rsidRDefault="009F6E71" w:rsidP="00437391">
      <w:pPr>
        <w:pStyle w:val="Bodytext20"/>
        <w:shd w:val="clear" w:color="auto" w:fill="auto"/>
        <w:spacing w:before="120" w:after="240" w:line="300" w:lineRule="auto"/>
        <w:ind w:left="1180" w:hanging="360"/>
        <w:jc w:val="left"/>
        <w:rPr>
          <w:rFonts w:asciiTheme="minorHAnsi" w:hAnsiTheme="minorHAnsi" w:cstheme="minorHAnsi"/>
          <w:sz w:val="22"/>
          <w:szCs w:val="22"/>
        </w:rPr>
      </w:pPr>
      <w:r w:rsidRPr="00E640A3">
        <w:rPr>
          <w:rFonts w:asciiTheme="minorHAnsi" w:hAnsiTheme="minorHAnsi" w:cstheme="minorHAnsi"/>
          <w:sz w:val="22"/>
          <w:szCs w:val="22"/>
        </w:rPr>
        <w:t xml:space="preserve">w przypadku decyzji nr </w:t>
      </w:r>
      <w:r w:rsidRPr="00E640A3">
        <w:rPr>
          <w:rFonts w:asciiTheme="minorHAnsi" w:hAnsiTheme="minorHAnsi" w:cstheme="minorHAnsi"/>
          <w:sz w:val="22"/>
          <w:szCs w:val="22"/>
          <w:lang w:val="ru-RU" w:eastAsia="ru-RU" w:bidi="ru-RU"/>
        </w:rPr>
        <w:t>18/2022:</w:t>
      </w:r>
    </w:p>
    <w:p w14:paraId="0E5491D3" w14:textId="59ACD768" w:rsidR="00C8559D" w:rsidRPr="00E640A3" w:rsidRDefault="00BF362E" w:rsidP="00437391">
      <w:pPr>
        <w:pStyle w:val="Bodytext20"/>
        <w:shd w:val="clear" w:color="auto" w:fill="auto"/>
        <w:spacing w:before="120" w:after="240" w:line="300" w:lineRule="auto"/>
        <w:ind w:left="1180" w:hanging="360"/>
        <w:jc w:val="left"/>
        <w:rPr>
          <w:rFonts w:asciiTheme="minorHAnsi" w:hAnsiTheme="minorHAnsi" w:cstheme="minorHAnsi"/>
          <w:sz w:val="22"/>
          <w:szCs w:val="22"/>
        </w:rPr>
      </w:pPr>
      <w:r>
        <w:rPr>
          <w:rFonts w:asciiTheme="minorHAnsi" w:hAnsiTheme="minorHAnsi" w:cstheme="minorHAnsi"/>
          <w:sz w:val="22"/>
          <w:szCs w:val="22"/>
        </w:rPr>
        <w:t>v</w:t>
      </w:r>
      <w:r w:rsidR="009F6E71" w:rsidRPr="00E640A3">
        <w:rPr>
          <w:rFonts w:asciiTheme="minorHAnsi" w:hAnsiTheme="minorHAnsi" w:cstheme="minorHAnsi"/>
          <w:sz w:val="22"/>
          <w:szCs w:val="22"/>
        </w:rPr>
        <w:t xml:space="preserve"> brak było informacji, czy na elewacji zachodniej w istniejącym budynku Centrum Dydaktycznego Warszawskiego Uniwersytetu Medycznego (dalej: WUM) nie znajdują się okna pomieszczeń przeznaczonych na stały pobyt ludzi. Powyższe było istotne, gdyż zaprojektowane dodatkowe miejsca postojowe na istniejącym parkingu liczącym w sumie 57 miejsc zostały zlokalizowane w odległości ok. 6,5 m od zachodniej ściany tego budynku. Zgodnie z § 19 ust. 1 pkt 1 lit. b Warunków Technicznych odległość stanowisk postojowych od m.in. okien pomieszczeń przeznaczonych na stały pobyt ludzi w budynku oświaty i wychowania, nie może być mniejsza niż 10 m w przypadku parkingu od 11 do 60 stanowisk postojowych włącznie Co prawda Pani Burmistrz wyjaśniła, że na podstawie znajdującego się w WAB projektu budowlanego, zatwierdzonego decyzją Prezydenta m.st. Warszawy nr </w:t>
      </w:r>
      <w:r w:rsidR="009F6E71" w:rsidRPr="00E640A3">
        <w:rPr>
          <w:rFonts w:asciiTheme="minorHAnsi" w:hAnsiTheme="minorHAnsi" w:cstheme="minorHAnsi"/>
          <w:sz w:val="22"/>
          <w:szCs w:val="22"/>
          <w:lang w:val="ru-RU" w:eastAsia="ru-RU" w:bidi="ru-RU"/>
        </w:rPr>
        <w:t xml:space="preserve">107/2004 </w:t>
      </w:r>
      <w:r w:rsidR="009F6E71" w:rsidRPr="00E640A3">
        <w:rPr>
          <w:rFonts w:asciiTheme="minorHAnsi" w:hAnsiTheme="minorHAnsi" w:cstheme="minorHAnsi"/>
          <w:sz w:val="22"/>
          <w:szCs w:val="22"/>
        </w:rPr>
        <w:t>z 15.06.2004 r. można stwierdzić, że w omawianej ścianie znajdują się okna pomieszczeń nieprzeznaczonych na stały pobyt ludzi, tj. okna klatki schodowej i korytarza, jednakże fakt zatwierdzenia projektu budowlanego 19 lat temu, nie oznaczał, że aktualny układ pomieszczeń budynku WUM odpowiada rysunkom z tego projektu. Brak informacji, w której projektant potwierdziłby taki stan rzeczy, uniemożliwiał organowi prawidłową ocenę przedłożonego do zatwierdzenia projektu zagospodarowania działki;</w:t>
      </w:r>
    </w:p>
    <w:p w14:paraId="0E5491D4" w14:textId="77777777" w:rsidR="00C8559D" w:rsidRPr="00E640A3" w:rsidRDefault="009F6E71" w:rsidP="00437391">
      <w:pPr>
        <w:pStyle w:val="Bodytext20"/>
        <w:shd w:val="clear" w:color="auto" w:fill="auto"/>
        <w:spacing w:before="120" w:after="240" w:line="300" w:lineRule="auto"/>
        <w:ind w:firstLine="0"/>
        <w:jc w:val="left"/>
        <w:rPr>
          <w:rFonts w:asciiTheme="minorHAnsi" w:hAnsiTheme="minorHAnsi" w:cstheme="minorHAnsi"/>
          <w:sz w:val="22"/>
          <w:szCs w:val="22"/>
        </w:rPr>
      </w:pPr>
      <w:r w:rsidRPr="00E640A3">
        <w:rPr>
          <w:rFonts w:asciiTheme="minorHAnsi" w:hAnsiTheme="minorHAnsi" w:cstheme="minorHAnsi"/>
          <w:sz w:val="22"/>
          <w:szCs w:val="22"/>
        </w:rPr>
        <w:t xml:space="preserve">b) w postępowaniu zakończonym decyzją nr </w:t>
      </w:r>
      <w:r w:rsidRPr="00E640A3">
        <w:rPr>
          <w:rFonts w:asciiTheme="minorHAnsi" w:hAnsiTheme="minorHAnsi" w:cstheme="minorHAnsi"/>
          <w:sz w:val="22"/>
          <w:szCs w:val="22"/>
          <w:lang w:val="ru-RU" w:eastAsia="ru-RU" w:bidi="ru-RU"/>
        </w:rPr>
        <w:t xml:space="preserve">22/2022 </w:t>
      </w:r>
      <w:r w:rsidRPr="00E640A3">
        <w:rPr>
          <w:rFonts w:asciiTheme="minorHAnsi" w:hAnsiTheme="minorHAnsi" w:cstheme="minorHAnsi"/>
          <w:sz w:val="22"/>
          <w:szCs w:val="22"/>
        </w:rPr>
        <w:t>zatwierdzono niekompletną</w:t>
      </w:r>
    </w:p>
    <w:p w14:paraId="0E5491D5" w14:textId="77777777" w:rsidR="00C8559D" w:rsidRPr="00E640A3" w:rsidRDefault="009F6E71" w:rsidP="00437391">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E640A3">
        <w:rPr>
          <w:rFonts w:asciiTheme="minorHAnsi" w:hAnsiTheme="minorHAnsi" w:cstheme="minorHAnsi"/>
          <w:sz w:val="22"/>
          <w:szCs w:val="22"/>
        </w:rPr>
        <w:lastRenderedPageBreak/>
        <w:t xml:space="preserve">dokumentację projektową, czym naruszono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35 ust. 1 pkt 3 Prawa budowlanego, gdyż w aktach sprawy brak było załącznika do decyzji Mazowieckiego Wojewódzkiego Konserwatora Zabytków (dalej: MWKZ) stanowiącego ostemplowaną przez ten organ dokumentację projektową. Ponadto projekt architektoniczno-budowlany nie zawierał rysunków istniejących i projektowanych elewacji. Ponieważ decyzja MWKZ udzielała zgody na wymianę okien w budynku zlokalizowanym na terenie wpisanym do rejestru zabytków, pod warunkiem zachowania istniejących podziałów i rozmiarów wymienianych okien, odpowiednie rysunki były niezbędne organowi do oceny spełnienia zaleceń MWKZ.</w:t>
      </w:r>
    </w:p>
    <w:p w14:paraId="0E5491D8" w14:textId="6119F126" w:rsidR="00C8559D" w:rsidRPr="00E640A3" w:rsidRDefault="009F6E71" w:rsidP="00437391">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E640A3">
        <w:rPr>
          <w:rFonts w:asciiTheme="minorHAnsi" w:hAnsiTheme="minorHAnsi" w:cstheme="minorHAnsi"/>
          <w:sz w:val="22"/>
          <w:szCs w:val="22"/>
        </w:rPr>
        <w:t>Co prawda Pani Burmistrz wyjaśniła, że „Inwestycja wymiany okien była przedmiotem zgłoszenia złożonego przez inwestorów 16 maja 2022 r. Do zgłoszenia załączono kopię decyzji MWKZ z 25 stycznia 2022 r. Zgłoszenie przyjęto bez sprzeciwu. Dokumentacja przekazana dodatkowo przez inwestora drogą mailową, była informacją, że zamierzenie inwestora, dotyczące wymiany okien, jest uzgodnione z konserwatorem i będzie realizowane odrębną procedurą", to jednak zgłoszenie zamiaru wymiany okien wpłynęło do organu po 26 dniach</w:t>
      </w:r>
      <w:r w:rsidR="00437391">
        <w:rPr>
          <w:rFonts w:asciiTheme="minorHAnsi" w:hAnsiTheme="minorHAnsi" w:cstheme="minorHAnsi"/>
          <w:sz w:val="22"/>
          <w:szCs w:val="22"/>
        </w:rPr>
        <w:t xml:space="preserve"> </w:t>
      </w:r>
      <w:r w:rsidRPr="00E640A3">
        <w:rPr>
          <w:rFonts w:asciiTheme="minorHAnsi" w:hAnsiTheme="minorHAnsi" w:cstheme="minorHAnsi"/>
          <w:sz w:val="22"/>
          <w:szCs w:val="22"/>
        </w:rPr>
        <w:t xml:space="preserve">od daty wydania decyzji o pozwoleniu na budowę. Zatwierdzony projekt architektoniczno-budowlany będący załącznikiem do decyzji o pozwoleniu na budowę zawierał na str. 6 w pkt 6.1 zapis </w:t>
      </w:r>
      <w:r w:rsidRPr="00E640A3">
        <w:rPr>
          <w:rFonts w:asciiTheme="minorHAnsi" w:hAnsiTheme="minorHAnsi" w:cstheme="minorHAnsi"/>
          <w:sz w:val="22"/>
          <w:szCs w:val="22"/>
          <w:lang w:val="en-US" w:eastAsia="en-US" w:bidi="en-US"/>
        </w:rPr>
        <w:t xml:space="preserve">dot. </w:t>
      </w:r>
      <w:r w:rsidRPr="00E640A3">
        <w:rPr>
          <w:rFonts w:asciiTheme="minorHAnsi" w:hAnsiTheme="minorHAnsi" w:cstheme="minorHAnsi"/>
          <w:sz w:val="22"/>
          <w:szCs w:val="22"/>
        </w:rPr>
        <w:t>wymiany stolarki okiennej: „Okna zostaną wymienione na nowe, szczelne, odtworzone w najmniejszym szczególe, zgodnie z rysunkami (...) Klamki okucia wykorzystane z okien archiwalnych." W dokumentacji projektowej brak było rysunków potwierdzających powyższe stwierdzenie projektanta a akta sprawy nie zawierały informacji, że wymiana okien będzie realizowana odrębną procedurą w późniejszym terminie;</w:t>
      </w:r>
    </w:p>
    <w:p w14:paraId="0E5491D9" w14:textId="77777777" w:rsidR="00C8559D" w:rsidRPr="00E640A3" w:rsidRDefault="009F6E71" w:rsidP="00437391">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E640A3">
        <w:rPr>
          <w:rFonts w:asciiTheme="minorHAnsi" w:hAnsiTheme="minorHAnsi" w:cstheme="minorHAnsi"/>
          <w:sz w:val="22"/>
          <w:szCs w:val="22"/>
        </w:rPr>
        <w:t xml:space="preserve">Zaznaczyć trzeba, że w żadnym z ww. 4 postępowań, w toku prowadzonego postępowania nie zobowiązano inwestora w formie postanowienia do usunięcia wymienionych nieprawidłowości, czym naruszono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35 ust. 3 Prawa budowlanego.</w:t>
      </w:r>
    </w:p>
    <w:p w14:paraId="0E5491DA" w14:textId="77777777" w:rsidR="00C8559D" w:rsidRPr="00E640A3" w:rsidRDefault="009F6E71" w:rsidP="00437391">
      <w:pPr>
        <w:pStyle w:val="Bodytext20"/>
        <w:numPr>
          <w:ilvl w:val="0"/>
          <w:numId w:val="1"/>
        </w:numPr>
        <w:shd w:val="clear" w:color="auto" w:fill="auto"/>
        <w:tabs>
          <w:tab w:val="left" w:pos="331"/>
        </w:tabs>
        <w:spacing w:before="120" w:after="240" w:line="300" w:lineRule="auto"/>
        <w:ind w:left="380" w:hanging="380"/>
        <w:jc w:val="left"/>
        <w:rPr>
          <w:rFonts w:asciiTheme="minorHAnsi" w:hAnsiTheme="minorHAnsi" w:cstheme="minorHAnsi"/>
          <w:sz w:val="22"/>
          <w:szCs w:val="22"/>
        </w:rPr>
      </w:pPr>
      <w:r w:rsidRPr="00E640A3">
        <w:rPr>
          <w:rFonts w:asciiTheme="minorHAnsi" w:hAnsiTheme="minorHAnsi" w:cstheme="minorHAnsi"/>
          <w:sz w:val="22"/>
          <w:szCs w:val="22"/>
        </w:rPr>
        <w:t>W 3 przypadkach</w:t>
      </w:r>
      <w:r w:rsidRPr="00E640A3">
        <w:rPr>
          <w:rFonts w:asciiTheme="minorHAnsi" w:hAnsiTheme="minorHAnsi" w:cstheme="minorHAnsi"/>
          <w:sz w:val="22"/>
          <w:szCs w:val="22"/>
          <w:vertAlign w:val="superscript"/>
        </w:rPr>
        <w:footnoteReference w:id="8"/>
      </w:r>
      <w:r w:rsidRPr="00E640A3">
        <w:rPr>
          <w:rFonts w:asciiTheme="minorHAnsi" w:hAnsiTheme="minorHAnsi" w:cstheme="minorHAnsi"/>
          <w:sz w:val="22"/>
          <w:szCs w:val="22"/>
        </w:rPr>
        <w:t xml:space="preserve"> naruszono § 15 ust. 2 w zakresie pkt 3,3 i 9 rozporządzenia w sprawie zakresu i formy projektu budowlanego poprzez zatwierdzenie projektu zagospodarowania terenu, który nie zawierał m.in. orientacji położenia działki w stosunku do sąsiednich terenów</w:t>
      </w:r>
      <w:r w:rsidRPr="00E640A3">
        <w:rPr>
          <w:rFonts w:asciiTheme="minorHAnsi" w:hAnsiTheme="minorHAnsi" w:cstheme="minorHAnsi"/>
          <w:sz w:val="22"/>
          <w:szCs w:val="22"/>
          <w:vertAlign w:val="superscript"/>
        </w:rPr>
        <w:footnoteReference w:id="9"/>
      </w:r>
      <w:r w:rsidRPr="00E640A3">
        <w:rPr>
          <w:rFonts w:asciiTheme="minorHAnsi" w:hAnsiTheme="minorHAnsi" w:cstheme="minorHAnsi"/>
          <w:sz w:val="22"/>
          <w:szCs w:val="22"/>
        </w:rPr>
        <w:t>, wymiarów projektowanego obiektu</w:t>
      </w:r>
      <w:r w:rsidRPr="00E640A3">
        <w:rPr>
          <w:rFonts w:asciiTheme="minorHAnsi" w:hAnsiTheme="minorHAnsi" w:cstheme="minorHAnsi"/>
          <w:sz w:val="22"/>
          <w:szCs w:val="22"/>
          <w:vertAlign w:val="superscript"/>
        </w:rPr>
        <w:footnoteReference w:id="10"/>
      </w:r>
      <w:r w:rsidRPr="00E640A3">
        <w:rPr>
          <w:rFonts w:asciiTheme="minorHAnsi" w:hAnsiTheme="minorHAnsi" w:cstheme="minorHAnsi"/>
          <w:sz w:val="22"/>
          <w:szCs w:val="22"/>
        </w:rPr>
        <w:t>, oznaczenia istniejących i projektowanych wjazdów na parking</w:t>
      </w:r>
      <w:r w:rsidRPr="00E640A3">
        <w:rPr>
          <w:rFonts w:asciiTheme="minorHAnsi" w:hAnsiTheme="minorHAnsi" w:cstheme="minorHAnsi"/>
          <w:sz w:val="22"/>
          <w:szCs w:val="22"/>
          <w:vertAlign w:val="superscript"/>
        </w:rPr>
        <w:footnoteReference w:id="11"/>
      </w:r>
      <w:r w:rsidRPr="00E640A3">
        <w:rPr>
          <w:rFonts w:asciiTheme="minorHAnsi" w:hAnsiTheme="minorHAnsi" w:cstheme="minorHAnsi"/>
          <w:sz w:val="22"/>
          <w:szCs w:val="22"/>
        </w:rPr>
        <w:t>oraz powierzchni biologicznie czynnej na dachu budynku</w:t>
      </w:r>
      <w:r w:rsidRPr="00E640A3">
        <w:rPr>
          <w:rFonts w:asciiTheme="minorHAnsi" w:hAnsiTheme="minorHAnsi" w:cstheme="minorHAnsi"/>
          <w:sz w:val="22"/>
          <w:szCs w:val="22"/>
          <w:vertAlign w:val="superscript"/>
        </w:rPr>
        <w:footnoteReference w:id="12"/>
      </w:r>
      <w:r w:rsidRPr="00E640A3">
        <w:rPr>
          <w:rFonts w:asciiTheme="minorHAnsi" w:hAnsiTheme="minorHAnsi" w:cstheme="minorHAnsi"/>
          <w:sz w:val="22"/>
          <w:szCs w:val="22"/>
        </w:rPr>
        <w:t>.</w:t>
      </w:r>
    </w:p>
    <w:p w14:paraId="0E5491DB" w14:textId="77777777" w:rsidR="00C8559D" w:rsidRPr="00E640A3" w:rsidRDefault="009F6E71" w:rsidP="00437391">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E640A3">
        <w:rPr>
          <w:rFonts w:asciiTheme="minorHAnsi" w:hAnsiTheme="minorHAnsi" w:cstheme="minorHAnsi"/>
          <w:sz w:val="22"/>
          <w:szCs w:val="22"/>
        </w:rPr>
        <w:t>Dodatkowo w 2</w:t>
      </w:r>
      <w:r w:rsidRPr="00E640A3">
        <w:rPr>
          <w:rFonts w:asciiTheme="minorHAnsi" w:hAnsiTheme="minorHAnsi" w:cstheme="minorHAnsi"/>
          <w:sz w:val="22"/>
          <w:szCs w:val="22"/>
          <w:vertAlign w:val="superscript"/>
        </w:rPr>
        <w:footnoteReference w:id="13"/>
      </w:r>
      <w:r w:rsidRPr="00E640A3">
        <w:rPr>
          <w:rFonts w:asciiTheme="minorHAnsi" w:hAnsiTheme="minorHAnsi" w:cstheme="minorHAnsi"/>
          <w:sz w:val="22"/>
          <w:szCs w:val="22"/>
        </w:rPr>
        <w:t xml:space="preserve"> z ww. 3 przypadków brak było na mapie podpisu wykonawcy prac geodezyjnych pod oświadczeniem o uzyskaniu pozytywnego wyniku weryfikacji. Powyższe było </w:t>
      </w:r>
      <w:r w:rsidRPr="00E640A3">
        <w:rPr>
          <w:rFonts w:asciiTheme="minorHAnsi" w:hAnsiTheme="minorHAnsi" w:cstheme="minorHAnsi"/>
          <w:sz w:val="22"/>
          <w:szCs w:val="22"/>
        </w:rPr>
        <w:lastRenderedPageBreak/>
        <w:t xml:space="preserve">konieczne, zgodnie z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34b Prawa budowlanego, do uznania, że projekt zagospodarowania terenu wykonano na mapie do celów projektowych.</w:t>
      </w:r>
    </w:p>
    <w:p w14:paraId="0E5491DC" w14:textId="77777777" w:rsidR="00C8559D" w:rsidRPr="00E640A3" w:rsidRDefault="009F6E71" w:rsidP="00437391">
      <w:pPr>
        <w:pStyle w:val="Bodytext20"/>
        <w:numPr>
          <w:ilvl w:val="0"/>
          <w:numId w:val="1"/>
        </w:numPr>
        <w:shd w:val="clear" w:color="auto" w:fill="auto"/>
        <w:tabs>
          <w:tab w:val="left" w:pos="331"/>
        </w:tabs>
        <w:spacing w:before="120" w:after="240" w:line="300" w:lineRule="auto"/>
        <w:ind w:left="380" w:hanging="380"/>
        <w:jc w:val="left"/>
        <w:rPr>
          <w:rFonts w:asciiTheme="minorHAnsi" w:hAnsiTheme="minorHAnsi" w:cstheme="minorHAnsi"/>
          <w:sz w:val="22"/>
          <w:szCs w:val="22"/>
        </w:rPr>
      </w:pPr>
      <w:r w:rsidRPr="00E640A3">
        <w:rPr>
          <w:rFonts w:asciiTheme="minorHAnsi" w:hAnsiTheme="minorHAnsi" w:cstheme="minorHAnsi"/>
          <w:sz w:val="22"/>
          <w:szCs w:val="22"/>
        </w:rPr>
        <w:t>W 3 postępowaniach</w:t>
      </w:r>
      <w:r w:rsidRPr="00E640A3">
        <w:rPr>
          <w:rFonts w:asciiTheme="minorHAnsi" w:hAnsiTheme="minorHAnsi" w:cstheme="minorHAnsi"/>
          <w:sz w:val="22"/>
          <w:szCs w:val="22"/>
          <w:vertAlign w:val="superscript"/>
        </w:rPr>
        <w:footnoteReference w:id="14"/>
      </w:r>
      <w:r w:rsidRPr="00E640A3">
        <w:rPr>
          <w:rFonts w:asciiTheme="minorHAnsi" w:hAnsiTheme="minorHAnsi" w:cstheme="minorHAnsi"/>
          <w:sz w:val="22"/>
          <w:szCs w:val="22"/>
        </w:rPr>
        <w:t xml:space="preserve"> nie wezwano inwestora do złożenia prawidłowo wypełnionego druku oświadczenia o posiadanym prawie do dysponowania nieruchomością na cele budowlane, tj. zgodnie ze wzorem określonym w rozporządzeniu w sprawie wzoru oświadczenia</w:t>
      </w:r>
      <w:r w:rsidRPr="00E640A3">
        <w:rPr>
          <w:rFonts w:asciiTheme="minorHAnsi" w:hAnsiTheme="minorHAnsi" w:cstheme="minorHAnsi"/>
          <w:sz w:val="22"/>
          <w:szCs w:val="22"/>
          <w:vertAlign w:val="superscript"/>
        </w:rPr>
        <w:footnoteReference w:id="15"/>
      </w:r>
      <w:r w:rsidRPr="00E640A3">
        <w:rPr>
          <w:rFonts w:asciiTheme="minorHAnsi" w:hAnsiTheme="minorHAnsi" w:cstheme="minorHAnsi"/>
          <w:sz w:val="22"/>
          <w:szCs w:val="22"/>
        </w:rPr>
        <w:t xml:space="preserve"> a mianowicie:</w:t>
      </w:r>
    </w:p>
    <w:p w14:paraId="0E5491DD" w14:textId="77777777" w:rsidR="00C8559D" w:rsidRPr="00E640A3" w:rsidRDefault="009F6E71" w:rsidP="00437391">
      <w:pPr>
        <w:pStyle w:val="Bodytext20"/>
        <w:shd w:val="clear" w:color="auto" w:fill="auto"/>
        <w:spacing w:before="120" w:after="240" w:line="300" w:lineRule="auto"/>
        <w:ind w:left="780" w:hanging="400"/>
        <w:jc w:val="left"/>
        <w:rPr>
          <w:rFonts w:asciiTheme="minorHAnsi" w:hAnsiTheme="minorHAnsi" w:cstheme="minorHAnsi"/>
          <w:sz w:val="22"/>
          <w:szCs w:val="22"/>
        </w:rPr>
      </w:pPr>
      <w:r w:rsidRPr="00E640A3">
        <w:rPr>
          <w:rFonts w:asciiTheme="minorHAnsi" w:hAnsiTheme="minorHAnsi" w:cstheme="minorHAnsi"/>
          <w:sz w:val="22"/>
          <w:szCs w:val="22"/>
        </w:rPr>
        <w:t xml:space="preserve">- oświadczenie </w:t>
      </w:r>
      <w:r w:rsidRPr="00E640A3">
        <w:rPr>
          <w:rFonts w:asciiTheme="minorHAnsi" w:hAnsiTheme="minorHAnsi" w:cstheme="minorHAnsi"/>
          <w:sz w:val="22"/>
          <w:szCs w:val="22"/>
          <w:lang w:val="en-US" w:eastAsia="en-US" w:bidi="en-US"/>
        </w:rPr>
        <w:t xml:space="preserve">dot. </w:t>
      </w:r>
      <w:r w:rsidRPr="00E640A3">
        <w:rPr>
          <w:rFonts w:asciiTheme="minorHAnsi" w:hAnsiTheme="minorHAnsi" w:cstheme="minorHAnsi"/>
          <w:sz w:val="22"/>
          <w:szCs w:val="22"/>
        </w:rPr>
        <w:t xml:space="preserve">postępowania zakończonego decyzją nr </w:t>
      </w:r>
      <w:r w:rsidRPr="00E640A3">
        <w:rPr>
          <w:rFonts w:asciiTheme="minorHAnsi" w:hAnsiTheme="minorHAnsi" w:cstheme="minorHAnsi"/>
          <w:sz w:val="22"/>
          <w:szCs w:val="22"/>
          <w:lang w:val="ru-RU" w:eastAsia="ru-RU" w:bidi="ru-RU"/>
        </w:rPr>
        <w:t xml:space="preserve">22/2022 </w:t>
      </w:r>
      <w:r w:rsidRPr="00E640A3">
        <w:rPr>
          <w:rFonts w:asciiTheme="minorHAnsi" w:hAnsiTheme="minorHAnsi" w:cstheme="minorHAnsi"/>
          <w:sz w:val="22"/>
          <w:szCs w:val="22"/>
        </w:rPr>
        <w:t>zostało złożone wspólnie przez dwoje inwestorów na jednym formularzu, pomimo że w pouczeniu ww. wzoru wskazano, że w przypadku, gdy do złożenia oświadczenia zobowiązanych jest kilka osób, każda z tych osób składa oświadczenie oddzielnie na osobnym formularzu;</w:t>
      </w:r>
    </w:p>
    <w:p w14:paraId="0E5491DE" w14:textId="77777777" w:rsidR="00C8559D" w:rsidRPr="00E640A3" w:rsidRDefault="009F6E71" w:rsidP="00437391">
      <w:pPr>
        <w:pStyle w:val="Bodytext20"/>
        <w:shd w:val="clear" w:color="auto" w:fill="auto"/>
        <w:spacing w:before="120" w:after="240" w:line="300" w:lineRule="auto"/>
        <w:ind w:left="780" w:firstLine="0"/>
        <w:jc w:val="left"/>
        <w:rPr>
          <w:rFonts w:asciiTheme="minorHAnsi" w:hAnsiTheme="minorHAnsi" w:cstheme="minorHAnsi"/>
          <w:sz w:val="22"/>
          <w:szCs w:val="22"/>
        </w:rPr>
      </w:pPr>
      <w:r w:rsidRPr="00E640A3">
        <w:rPr>
          <w:rFonts w:asciiTheme="minorHAnsi" w:hAnsiTheme="minorHAnsi" w:cstheme="minorHAnsi"/>
          <w:sz w:val="22"/>
          <w:szCs w:val="22"/>
        </w:rPr>
        <w:t xml:space="preserve">w oświadczeniu </w:t>
      </w:r>
      <w:r w:rsidRPr="00E640A3">
        <w:rPr>
          <w:rFonts w:asciiTheme="minorHAnsi" w:hAnsiTheme="minorHAnsi" w:cstheme="minorHAnsi"/>
          <w:sz w:val="22"/>
          <w:szCs w:val="22"/>
          <w:lang w:val="en-US" w:eastAsia="en-US" w:bidi="en-US"/>
        </w:rPr>
        <w:t xml:space="preserve">dot. </w:t>
      </w:r>
      <w:r w:rsidRPr="00E640A3">
        <w:rPr>
          <w:rFonts w:asciiTheme="minorHAnsi" w:hAnsiTheme="minorHAnsi" w:cstheme="minorHAnsi"/>
          <w:sz w:val="22"/>
          <w:szCs w:val="22"/>
        </w:rPr>
        <w:t xml:space="preserve">postępowania zakończonego decyzją nr </w:t>
      </w:r>
      <w:r w:rsidRPr="00E640A3">
        <w:rPr>
          <w:rFonts w:asciiTheme="minorHAnsi" w:hAnsiTheme="minorHAnsi" w:cstheme="minorHAnsi"/>
          <w:sz w:val="22"/>
          <w:szCs w:val="22"/>
          <w:lang w:val="ru-RU" w:eastAsia="ru-RU" w:bidi="ru-RU"/>
        </w:rPr>
        <w:t xml:space="preserve">51/2022 </w:t>
      </w:r>
      <w:r w:rsidRPr="00E640A3">
        <w:rPr>
          <w:rFonts w:asciiTheme="minorHAnsi" w:hAnsiTheme="minorHAnsi" w:cstheme="minorHAnsi"/>
          <w:sz w:val="22"/>
          <w:szCs w:val="22"/>
        </w:rPr>
        <w:t>brak było danych osoby upoważnionej do złożenia oświadczenia w imieniu inwestora będącego osobą prawną;</w:t>
      </w:r>
    </w:p>
    <w:p w14:paraId="0E5491DF" w14:textId="77777777" w:rsidR="00C8559D" w:rsidRPr="00E640A3" w:rsidRDefault="009F6E71" w:rsidP="00437391">
      <w:pPr>
        <w:pStyle w:val="Bodytext20"/>
        <w:numPr>
          <w:ilvl w:val="0"/>
          <w:numId w:val="2"/>
        </w:numPr>
        <w:shd w:val="clear" w:color="auto" w:fill="auto"/>
        <w:tabs>
          <w:tab w:val="left" w:pos="743"/>
        </w:tabs>
        <w:spacing w:before="120" w:after="240" w:line="300" w:lineRule="auto"/>
        <w:ind w:left="800" w:hanging="400"/>
        <w:jc w:val="left"/>
        <w:rPr>
          <w:rFonts w:asciiTheme="minorHAnsi" w:hAnsiTheme="minorHAnsi" w:cstheme="minorHAnsi"/>
          <w:sz w:val="22"/>
          <w:szCs w:val="22"/>
        </w:rPr>
      </w:pPr>
      <w:r w:rsidRPr="00E640A3">
        <w:rPr>
          <w:rFonts w:asciiTheme="minorHAnsi" w:hAnsiTheme="minorHAnsi" w:cstheme="minorHAnsi"/>
          <w:sz w:val="22"/>
          <w:szCs w:val="22"/>
        </w:rPr>
        <w:t xml:space="preserve">w oświadczeniu </w:t>
      </w:r>
      <w:r w:rsidRPr="00E640A3">
        <w:rPr>
          <w:rFonts w:asciiTheme="minorHAnsi" w:hAnsiTheme="minorHAnsi" w:cstheme="minorHAnsi"/>
          <w:sz w:val="22"/>
          <w:szCs w:val="22"/>
          <w:lang w:val="en-US" w:eastAsia="en-US" w:bidi="en-US"/>
        </w:rPr>
        <w:t xml:space="preserve">dot. </w:t>
      </w:r>
      <w:r w:rsidRPr="00E640A3">
        <w:rPr>
          <w:rFonts w:asciiTheme="minorHAnsi" w:hAnsiTheme="minorHAnsi" w:cstheme="minorHAnsi"/>
          <w:sz w:val="22"/>
          <w:szCs w:val="22"/>
        </w:rPr>
        <w:t xml:space="preserve">postępowania zakończonego decyzją nr </w:t>
      </w:r>
      <w:r w:rsidRPr="00E640A3">
        <w:rPr>
          <w:rFonts w:asciiTheme="minorHAnsi" w:hAnsiTheme="minorHAnsi" w:cstheme="minorHAnsi"/>
          <w:sz w:val="22"/>
          <w:szCs w:val="22"/>
          <w:lang w:val="ru-RU" w:eastAsia="ru-RU" w:bidi="ru-RU"/>
        </w:rPr>
        <w:t xml:space="preserve">37/20 </w:t>
      </w:r>
      <w:r w:rsidRPr="00E640A3">
        <w:rPr>
          <w:rFonts w:asciiTheme="minorHAnsi" w:hAnsiTheme="minorHAnsi" w:cstheme="minorHAnsi"/>
          <w:sz w:val="22"/>
          <w:szCs w:val="22"/>
        </w:rPr>
        <w:t>w rubryce pod nazwą „Dane osoby upoważnionej do złożenia oświadczenia w imieniu inwestora" zostały wpisane dane osoby, która nie podpisała oświadczenia i która nie była do tego upoważniona.</w:t>
      </w:r>
    </w:p>
    <w:p w14:paraId="0E5491E0" w14:textId="77777777" w:rsidR="00C8559D" w:rsidRPr="00E640A3" w:rsidRDefault="009F6E71" w:rsidP="00437391">
      <w:pPr>
        <w:pStyle w:val="Bodytext20"/>
        <w:numPr>
          <w:ilvl w:val="0"/>
          <w:numId w:val="1"/>
        </w:numPr>
        <w:shd w:val="clear" w:color="auto" w:fill="auto"/>
        <w:tabs>
          <w:tab w:val="left" w:pos="346"/>
        </w:tabs>
        <w:spacing w:before="120" w:after="240" w:line="300" w:lineRule="auto"/>
        <w:ind w:left="400" w:hanging="400"/>
        <w:jc w:val="left"/>
        <w:rPr>
          <w:rFonts w:asciiTheme="minorHAnsi" w:hAnsiTheme="minorHAnsi" w:cstheme="minorHAnsi"/>
          <w:sz w:val="22"/>
          <w:szCs w:val="22"/>
        </w:rPr>
      </w:pPr>
      <w:r w:rsidRPr="00E640A3">
        <w:rPr>
          <w:rFonts w:asciiTheme="minorHAnsi" w:hAnsiTheme="minorHAnsi" w:cstheme="minorHAnsi"/>
          <w:sz w:val="22"/>
          <w:szCs w:val="22"/>
        </w:rPr>
        <w:t>W 3 postępowaniach</w:t>
      </w:r>
      <w:r w:rsidRPr="00E640A3">
        <w:rPr>
          <w:rFonts w:asciiTheme="minorHAnsi" w:hAnsiTheme="minorHAnsi" w:cstheme="minorHAnsi"/>
          <w:sz w:val="22"/>
          <w:szCs w:val="22"/>
          <w:vertAlign w:val="superscript"/>
        </w:rPr>
        <w:footnoteReference w:id="16"/>
      </w:r>
      <w:r w:rsidRPr="00E640A3">
        <w:rPr>
          <w:rFonts w:asciiTheme="minorHAnsi" w:hAnsiTheme="minorHAnsi" w:cstheme="minorHAnsi"/>
          <w:sz w:val="22"/>
          <w:szCs w:val="22"/>
        </w:rPr>
        <w:t xml:space="preserve"> załączone do dokumentacji projektowej kopie uprawnień budowlanych projektantów lub projektantów sprawdzających nie zostały potwierdzone za zgodność</w:t>
      </w:r>
    </w:p>
    <w:p w14:paraId="0E5491E1" w14:textId="77777777" w:rsidR="00C8559D" w:rsidRPr="00E640A3" w:rsidRDefault="009F6E71" w:rsidP="00437391">
      <w:pPr>
        <w:pStyle w:val="Bodytext20"/>
        <w:shd w:val="clear" w:color="auto" w:fill="auto"/>
        <w:spacing w:before="120" w:after="240" w:line="300" w:lineRule="auto"/>
        <w:ind w:left="400" w:firstLine="0"/>
        <w:jc w:val="left"/>
        <w:rPr>
          <w:rFonts w:asciiTheme="minorHAnsi" w:hAnsiTheme="minorHAnsi" w:cstheme="minorHAnsi"/>
          <w:sz w:val="22"/>
          <w:szCs w:val="22"/>
        </w:rPr>
      </w:pPr>
      <w:r w:rsidRPr="00E640A3">
        <w:rPr>
          <w:rFonts w:asciiTheme="minorHAnsi" w:hAnsiTheme="minorHAnsi" w:cstheme="minorHAnsi"/>
          <w:sz w:val="22"/>
          <w:szCs w:val="22"/>
        </w:rPr>
        <w:t xml:space="preserve">z oryginałem przez osobę sporządzającą projekt, co naruszało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34 ust. 3d pkt 1 Prawa budowlanego.</w:t>
      </w:r>
    </w:p>
    <w:p w14:paraId="0E5491E2" w14:textId="77777777" w:rsidR="00C8559D" w:rsidRPr="00E640A3" w:rsidRDefault="009F6E71" w:rsidP="00437391">
      <w:pPr>
        <w:pStyle w:val="Bodytext20"/>
        <w:numPr>
          <w:ilvl w:val="0"/>
          <w:numId w:val="1"/>
        </w:numPr>
        <w:shd w:val="clear" w:color="auto" w:fill="auto"/>
        <w:tabs>
          <w:tab w:val="left" w:pos="346"/>
        </w:tabs>
        <w:spacing w:before="120" w:after="240" w:line="300" w:lineRule="auto"/>
        <w:ind w:left="400" w:hanging="400"/>
        <w:jc w:val="left"/>
        <w:rPr>
          <w:rFonts w:asciiTheme="minorHAnsi" w:hAnsiTheme="minorHAnsi" w:cstheme="minorHAnsi"/>
          <w:sz w:val="22"/>
          <w:szCs w:val="22"/>
        </w:rPr>
      </w:pPr>
      <w:r w:rsidRPr="00E640A3">
        <w:rPr>
          <w:rFonts w:asciiTheme="minorHAnsi" w:hAnsiTheme="minorHAnsi" w:cstheme="minorHAnsi"/>
          <w:sz w:val="22"/>
          <w:szCs w:val="22"/>
        </w:rPr>
        <w:t xml:space="preserve">W postępowaniu zakończonym decyzją nr </w:t>
      </w:r>
      <w:r w:rsidRPr="00E640A3">
        <w:rPr>
          <w:rFonts w:asciiTheme="minorHAnsi" w:hAnsiTheme="minorHAnsi" w:cstheme="minorHAnsi"/>
          <w:sz w:val="22"/>
          <w:szCs w:val="22"/>
          <w:lang w:val="ru-RU" w:eastAsia="ru-RU" w:bidi="ru-RU"/>
        </w:rPr>
        <w:t xml:space="preserve">37/2022 </w:t>
      </w:r>
      <w:r w:rsidRPr="00E640A3">
        <w:rPr>
          <w:rFonts w:asciiTheme="minorHAnsi" w:hAnsiTheme="minorHAnsi" w:cstheme="minorHAnsi"/>
          <w:sz w:val="22"/>
          <w:szCs w:val="22"/>
        </w:rPr>
        <w:t xml:space="preserve">naruszono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 xml:space="preserve">33 ust. 6 Prawa budowlanego, gdyż wezwano inwestora w trybie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64 § 2 ustawy z dnia 14 czerwca 1960 r. Kodeks postępowania administracyjnego</w:t>
      </w:r>
      <w:r w:rsidRPr="00E640A3">
        <w:rPr>
          <w:rFonts w:asciiTheme="minorHAnsi" w:hAnsiTheme="minorHAnsi" w:cstheme="minorHAnsi"/>
          <w:sz w:val="22"/>
          <w:szCs w:val="22"/>
          <w:vertAlign w:val="superscript"/>
        </w:rPr>
        <w:footnoteReference w:id="17"/>
      </w:r>
      <w:r w:rsidRPr="00E640A3">
        <w:rPr>
          <w:rFonts w:asciiTheme="minorHAnsi" w:hAnsiTheme="minorHAnsi" w:cstheme="minorHAnsi"/>
          <w:sz w:val="22"/>
          <w:szCs w:val="22"/>
        </w:rPr>
        <w:t xml:space="preserve"> (dalej: k.p.a.) do doręczenia decyzji lokalizacyjnej na budowę zjazdu oraz odstępstwa od przepisów Warunków Technicznych, które to dokumenty zgodnie z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33 ust. 2 Prawa budowlanego nie stanowiły braków formalnych wniosku o pozwolenie na budowę.</w:t>
      </w:r>
    </w:p>
    <w:p w14:paraId="0E5491E3" w14:textId="77777777" w:rsidR="00C8559D" w:rsidRPr="00E640A3" w:rsidRDefault="009F6E71" w:rsidP="00437391">
      <w:pPr>
        <w:pStyle w:val="Bodytext20"/>
        <w:numPr>
          <w:ilvl w:val="0"/>
          <w:numId w:val="1"/>
        </w:numPr>
        <w:shd w:val="clear" w:color="auto" w:fill="auto"/>
        <w:tabs>
          <w:tab w:val="left" w:pos="346"/>
        </w:tabs>
        <w:spacing w:before="120" w:after="240" w:line="300" w:lineRule="auto"/>
        <w:ind w:left="400" w:hanging="400"/>
        <w:jc w:val="left"/>
        <w:rPr>
          <w:rFonts w:asciiTheme="minorHAnsi" w:hAnsiTheme="minorHAnsi" w:cstheme="minorHAnsi"/>
          <w:sz w:val="22"/>
          <w:szCs w:val="22"/>
        </w:rPr>
      </w:pPr>
      <w:r w:rsidRPr="00E640A3">
        <w:rPr>
          <w:rFonts w:asciiTheme="minorHAnsi" w:hAnsiTheme="minorHAnsi" w:cstheme="minorHAnsi"/>
          <w:sz w:val="22"/>
          <w:szCs w:val="22"/>
        </w:rPr>
        <w:lastRenderedPageBreak/>
        <w:t>W 3 postępowaniach</w:t>
      </w:r>
      <w:r w:rsidRPr="00E640A3">
        <w:rPr>
          <w:rFonts w:asciiTheme="minorHAnsi" w:hAnsiTheme="minorHAnsi" w:cstheme="minorHAnsi"/>
          <w:sz w:val="22"/>
          <w:szCs w:val="22"/>
          <w:vertAlign w:val="superscript"/>
        </w:rPr>
        <w:footnoteReference w:id="18"/>
      </w:r>
      <w:r w:rsidRPr="00E640A3">
        <w:rPr>
          <w:rFonts w:asciiTheme="minorHAnsi" w:hAnsiTheme="minorHAnsi" w:cstheme="minorHAnsi"/>
          <w:sz w:val="22"/>
          <w:szCs w:val="22"/>
        </w:rPr>
        <w:t xml:space="preserve"> naruszono zasadę szybkości postępowania zawartą w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 xml:space="preserve">12 § 1 k.p.a. oraz nie wypełniono obowiązku załatwienia sprawy bez zbędnej zwłoki ujętego w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35 § 1 k.p.a., gdyż:</w:t>
      </w:r>
    </w:p>
    <w:p w14:paraId="0E5491E4" w14:textId="77777777" w:rsidR="00C8559D" w:rsidRPr="00E640A3" w:rsidRDefault="009F6E71" w:rsidP="00437391">
      <w:pPr>
        <w:pStyle w:val="Bodytext20"/>
        <w:numPr>
          <w:ilvl w:val="0"/>
          <w:numId w:val="2"/>
        </w:numPr>
        <w:shd w:val="clear" w:color="auto" w:fill="auto"/>
        <w:tabs>
          <w:tab w:val="left" w:pos="743"/>
        </w:tabs>
        <w:spacing w:before="120" w:after="240" w:line="300" w:lineRule="auto"/>
        <w:ind w:left="800" w:hanging="400"/>
        <w:jc w:val="left"/>
        <w:rPr>
          <w:rFonts w:asciiTheme="minorHAnsi" w:hAnsiTheme="minorHAnsi" w:cstheme="minorHAnsi"/>
          <w:sz w:val="22"/>
          <w:szCs w:val="22"/>
        </w:rPr>
      </w:pPr>
      <w:r w:rsidRPr="00E640A3">
        <w:rPr>
          <w:rFonts w:asciiTheme="minorHAnsi" w:hAnsiTheme="minorHAnsi" w:cstheme="minorHAnsi"/>
          <w:sz w:val="22"/>
          <w:szCs w:val="22"/>
        </w:rPr>
        <w:t xml:space="preserve">decyzję nr </w:t>
      </w:r>
      <w:r w:rsidRPr="00E640A3">
        <w:rPr>
          <w:rFonts w:asciiTheme="minorHAnsi" w:hAnsiTheme="minorHAnsi" w:cstheme="minorHAnsi"/>
          <w:sz w:val="22"/>
          <w:szCs w:val="22"/>
          <w:lang w:val="ru-RU" w:eastAsia="ru-RU" w:bidi="ru-RU"/>
        </w:rPr>
        <w:t xml:space="preserve">43/2022 </w:t>
      </w:r>
      <w:r w:rsidRPr="00E640A3">
        <w:rPr>
          <w:rFonts w:asciiTheme="minorHAnsi" w:hAnsiTheme="minorHAnsi" w:cstheme="minorHAnsi"/>
          <w:sz w:val="22"/>
          <w:szCs w:val="22"/>
        </w:rPr>
        <w:t xml:space="preserve">wydano po upływie 43 dni licząc od dnia złożenia wniosku, pomimo że projekt budowlany został zatwierdzony wcześniej odrębną decyzją. Sprawa ta nie była szczególnie skomplikowana a więc zgodnie z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35 § 3 k.p.a. załatwienie jej powinno nastąpić nie później niż w ciągu miesiąca;</w:t>
      </w:r>
    </w:p>
    <w:p w14:paraId="0E5491E5" w14:textId="77777777" w:rsidR="00C8559D" w:rsidRPr="00E640A3" w:rsidRDefault="009F6E71" w:rsidP="00437391">
      <w:pPr>
        <w:pStyle w:val="Bodytext20"/>
        <w:numPr>
          <w:ilvl w:val="0"/>
          <w:numId w:val="2"/>
        </w:numPr>
        <w:shd w:val="clear" w:color="auto" w:fill="auto"/>
        <w:tabs>
          <w:tab w:val="left" w:pos="743"/>
        </w:tabs>
        <w:spacing w:before="120" w:after="240" w:line="300" w:lineRule="auto"/>
        <w:ind w:left="800" w:hanging="400"/>
        <w:jc w:val="left"/>
        <w:rPr>
          <w:rFonts w:asciiTheme="minorHAnsi" w:hAnsiTheme="minorHAnsi" w:cstheme="minorHAnsi"/>
          <w:sz w:val="22"/>
          <w:szCs w:val="22"/>
        </w:rPr>
      </w:pPr>
      <w:r w:rsidRPr="00E640A3">
        <w:rPr>
          <w:rFonts w:asciiTheme="minorHAnsi" w:hAnsiTheme="minorHAnsi" w:cstheme="minorHAnsi"/>
          <w:sz w:val="22"/>
          <w:szCs w:val="22"/>
        </w:rPr>
        <w:t xml:space="preserve">w postępowaniu zakończonym decyzją nr </w:t>
      </w:r>
      <w:r w:rsidRPr="00E640A3">
        <w:rPr>
          <w:rFonts w:asciiTheme="minorHAnsi" w:hAnsiTheme="minorHAnsi" w:cstheme="minorHAnsi"/>
          <w:sz w:val="22"/>
          <w:szCs w:val="22"/>
          <w:lang w:val="ru-RU" w:eastAsia="ru-RU" w:bidi="ru-RU"/>
        </w:rPr>
        <w:t xml:space="preserve">60/2022 </w:t>
      </w:r>
      <w:r w:rsidRPr="00E640A3">
        <w:rPr>
          <w:rFonts w:asciiTheme="minorHAnsi" w:hAnsiTheme="minorHAnsi" w:cstheme="minorHAnsi"/>
          <w:sz w:val="22"/>
          <w:szCs w:val="22"/>
        </w:rPr>
        <w:t xml:space="preserve">wezwano inwestora do uzupełnienia wniosku po 23 dniach od daty jego wpływu, pomimo że zgodnie z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33 ust. 6 Prawa budowlanego wezwanie wnioskodawcy nie powinno nastąpić później niż po upływie 14 dni od dnia wpływu wniosku;</w:t>
      </w:r>
    </w:p>
    <w:p w14:paraId="0E5491E6" w14:textId="77777777" w:rsidR="00C8559D" w:rsidRPr="00E640A3" w:rsidRDefault="009F6E71" w:rsidP="00437391">
      <w:pPr>
        <w:pStyle w:val="Bodytext20"/>
        <w:numPr>
          <w:ilvl w:val="0"/>
          <w:numId w:val="2"/>
        </w:numPr>
        <w:shd w:val="clear" w:color="auto" w:fill="auto"/>
        <w:tabs>
          <w:tab w:val="left" w:pos="743"/>
        </w:tabs>
        <w:spacing w:before="120" w:after="240" w:line="300" w:lineRule="auto"/>
        <w:ind w:left="800" w:hanging="400"/>
        <w:jc w:val="left"/>
        <w:rPr>
          <w:rFonts w:asciiTheme="minorHAnsi" w:hAnsiTheme="minorHAnsi" w:cstheme="minorHAnsi"/>
          <w:sz w:val="22"/>
          <w:szCs w:val="22"/>
        </w:rPr>
      </w:pPr>
      <w:r w:rsidRPr="00E640A3">
        <w:rPr>
          <w:rFonts w:asciiTheme="minorHAnsi" w:hAnsiTheme="minorHAnsi" w:cstheme="minorHAnsi"/>
          <w:sz w:val="22"/>
          <w:szCs w:val="22"/>
        </w:rPr>
        <w:t xml:space="preserve">w postępowaniu zakończonym decyzją Nr </w:t>
      </w:r>
      <w:r w:rsidRPr="00E640A3">
        <w:rPr>
          <w:rFonts w:asciiTheme="minorHAnsi" w:hAnsiTheme="minorHAnsi" w:cstheme="minorHAnsi"/>
          <w:sz w:val="22"/>
          <w:szCs w:val="22"/>
          <w:lang w:val="ru-RU" w:eastAsia="ru-RU" w:bidi="ru-RU"/>
        </w:rPr>
        <w:t xml:space="preserve">37/2022 </w:t>
      </w:r>
      <w:r w:rsidRPr="00E640A3">
        <w:rPr>
          <w:rFonts w:asciiTheme="minorHAnsi" w:hAnsiTheme="minorHAnsi" w:cstheme="minorHAnsi"/>
          <w:sz w:val="22"/>
          <w:szCs w:val="22"/>
        </w:rPr>
        <w:t>postanowienie o podjęciu zawieszonego wcześniej postępowania zostało wydane po 24 dniach od daty złożenia wniosku w tej sprawie.</w:t>
      </w:r>
    </w:p>
    <w:p w14:paraId="0E5491E7" w14:textId="02A1B035" w:rsidR="00C8559D" w:rsidRPr="00E640A3" w:rsidRDefault="009F6E71" w:rsidP="00437391">
      <w:pPr>
        <w:pStyle w:val="Bodytext20"/>
        <w:numPr>
          <w:ilvl w:val="0"/>
          <w:numId w:val="1"/>
        </w:numPr>
        <w:shd w:val="clear" w:color="auto" w:fill="auto"/>
        <w:tabs>
          <w:tab w:val="left" w:pos="346"/>
        </w:tabs>
        <w:spacing w:before="120" w:after="240" w:line="300" w:lineRule="auto"/>
        <w:ind w:left="400" w:hanging="400"/>
        <w:jc w:val="left"/>
        <w:rPr>
          <w:rFonts w:asciiTheme="minorHAnsi" w:hAnsiTheme="minorHAnsi" w:cstheme="minorHAnsi"/>
          <w:sz w:val="22"/>
          <w:szCs w:val="22"/>
        </w:rPr>
      </w:pPr>
      <w:r w:rsidRPr="00E640A3">
        <w:rPr>
          <w:rFonts w:asciiTheme="minorHAnsi" w:hAnsiTheme="minorHAnsi" w:cstheme="minorHAnsi"/>
          <w:sz w:val="22"/>
          <w:szCs w:val="22"/>
        </w:rPr>
        <w:t>W przypadku 4 postępowań</w:t>
      </w:r>
      <w:r w:rsidRPr="00E640A3">
        <w:rPr>
          <w:rFonts w:asciiTheme="minorHAnsi" w:hAnsiTheme="minorHAnsi" w:cstheme="minorHAnsi"/>
          <w:sz w:val="22"/>
          <w:szCs w:val="22"/>
          <w:vertAlign w:val="superscript"/>
        </w:rPr>
        <w:footnoteReference w:id="19"/>
      </w:r>
      <w:r w:rsidRPr="00E640A3">
        <w:rPr>
          <w:rFonts w:asciiTheme="minorHAnsi" w:hAnsiTheme="minorHAnsi" w:cstheme="minorHAnsi"/>
          <w:sz w:val="22"/>
          <w:szCs w:val="22"/>
        </w:rPr>
        <w:t xml:space="preserve"> naruszono zasadę czynnego udziału strony w postępowaniu określoną w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10 § 1 k.p.a., gdyż nie zawiadomiono stron postępowania o fakcie zebrania dowodów i materiałów w postępowaniu oraz o możliwości wypowiedzenia się co do zebranych dowodów i materiałów przed wydaniem decyzji. Ponadto w 2</w:t>
      </w:r>
      <w:r w:rsidR="006E1F86" w:rsidRPr="00E640A3">
        <w:rPr>
          <w:rFonts w:asciiTheme="minorHAnsi" w:hAnsiTheme="minorHAnsi" w:cstheme="minorHAnsi"/>
          <w:sz w:val="22"/>
          <w:szCs w:val="22"/>
          <w:vertAlign w:val="superscript"/>
        </w:rPr>
        <w:footnoteReference w:id="20"/>
      </w:r>
      <w:r w:rsidR="006E1F86" w:rsidRPr="00E640A3">
        <w:rPr>
          <w:rFonts w:asciiTheme="minorHAnsi" w:hAnsiTheme="minorHAnsi" w:cstheme="minorHAnsi"/>
          <w:sz w:val="22"/>
          <w:szCs w:val="22"/>
          <w:vertAlign w:val="superscript"/>
        </w:rPr>
        <w:t xml:space="preserve"> </w:t>
      </w:r>
      <w:r w:rsidRPr="00E640A3">
        <w:rPr>
          <w:rFonts w:asciiTheme="minorHAnsi" w:hAnsiTheme="minorHAnsi" w:cstheme="minorHAnsi"/>
          <w:sz w:val="22"/>
          <w:szCs w:val="22"/>
        </w:rPr>
        <w:t xml:space="preserve"> z WW. 4 przypadków nie zawiadomiono ustanowionych stron o wszczęciu postępowania.</w:t>
      </w:r>
    </w:p>
    <w:p w14:paraId="0E5491E8" w14:textId="230FEAE6" w:rsidR="00C8559D" w:rsidRPr="00E640A3" w:rsidRDefault="009F6E71" w:rsidP="00437391">
      <w:pPr>
        <w:pStyle w:val="Bodytext20"/>
        <w:numPr>
          <w:ilvl w:val="0"/>
          <w:numId w:val="1"/>
        </w:numPr>
        <w:shd w:val="clear" w:color="auto" w:fill="auto"/>
        <w:tabs>
          <w:tab w:val="left" w:pos="360"/>
        </w:tabs>
        <w:spacing w:before="120" w:after="240" w:line="300" w:lineRule="auto"/>
        <w:ind w:left="420" w:hanging="420"/>
        <w:jc w:val="left"/>
        <w:rPr>
          <w:rFonts w:asciiTheme="minorHAnsi" w:hAnsiTheme="minorHAnsi" w:cstheme="minorHAnsi"/>
          <w:sz w:val="22"/>
          <w:szCs w:val="22"/>
        </w:rPr>
      </w:pPr>
      <w:r w:rsidRPr="00E640A3">
        <w:rPr>
          <w:rFonts w:asciiTheme="minorHAnsi" w:hAnsiTheme="minorHAnsi" w:cstheme="minorHAnsi"/>
          <w:sz w:val="22"/>
          <w:szCs w:val="22"/>
        </w:rPr>
        <w:t>W 3 przypadkach</w:t>
      </w:r>
      <w:r w:rsidR="002369B7">
        <w:rPr>
          <w:rStyle w:val="Odwoanieprzypisudolnego"/>
          <w:rFonts w:asciiTheme="minorHAnsi" w:hAnsiTheme="minorHAnsi" w:cstheme="minorHAnsi"/>
          <w:sz w:val="22"/>
          <w:szCs w:val="22"/>
        </w:rPr>
        <w:footnoteReference w:id="21"/>
      </w:r>
      <w:r w:rsidR="002369B7">
        <w:rPr>
          <w:rFonts w:asciiTheme="minorHAnsi" w:hAnsiTheme="minorHAnsi" w:cstheme="minorHAnsi"/>
          <w:sz w:val="22"/>
          <w:szCs w:val="22"/>
        </w:rPr>
        <w:t xml:space="preserve"> </w:t>
      </w:r>
      <w:r w:rsidRPr="00E640A3">
        <w:rPr>
          <w:rFonts w:asciiTheme="minorHAnsi" w:hAnsiTheme="minorHAnsi" w:cstheme="minorHAnsi"/>
          <w:sz w:val="22"/>
          <w:szCs w:val="22"/>
        </w:rPr>
        <w:t xml:space="preserve">organ zawiesił postępowanie z naruszeniem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98 § 1 k.p.a., gdyż nie poinformował pozostałych stron postępowania o złożonym przez inwestora wniosku</w:t>
      </w:r>
    </w:p>
    <w:p w14:paraId="0E5491E9" w14:textId="77777777" w:rsidR="00C8559D" w:rsidRPr="00E640A3" w:rsidRDefault="009F6E71" w:rsidP="00437391">
      <w:pPr>
        <w:pStyle w:val="Bodytext20"/>
        <w:shd w:val="clear" w:color="auto" w:fill="auto"/>
        <w:spacing w:before="120" w:after="240" w:line="300" w:lineRule="auto"/>
        <w:ind w:left="420" w:firstLine="0"/>
        <w:jc w:val="left"/>
        <w:rPr>
          <w:rFonts w:asciiTheme="minorHAnsi" w:hAnsiTheme="minorHAnsi" w:cstheme="minorHAnsi"/>
          <w:sz w:val="22"/>
          <w:szCs w:val="22"/>
        </w:rPr>
      </w:pPr>
      <w:r w:rsidRPr="00E640A3">
        <w:rPr>
          <w:rFonts w:asciiTheme="minorHAnsi" w:hAnsiTheme="minorHAnsi" w:cstheme="minorHAnsi"/>
          <w:sz w:val="22"/>
          <w:szCs w:val="22"/>
        </w:rPr>
        <w:t xml:space="preserve">o zawieszenia postępowania z jednoczesnym wyznaczeniem stronom terminu do zgłoszenia ewentualnego sprzeciwu. Dodatkowo, w postępowaniu zakończonym decyzją nr </w:t>
      </w:r>
      <w:r w:rsidRPr="00E640A3">
        <w:rPr>
          <w:rFonts w:asciiTheme="minorHAnsi" w:hAnsiTheme="minorHAnsi" w:cstheme="minorHAnsi"/>
          <w:sz w:val="22"/>
          <w:szCs w:val="22"/>
          <w:lang w:val="ru-RU" w:eastAsia="ru-RU" w:bidi="ru-RU"/>
        </w:rPr>
        <w:t xml:space="preserve">51/2022 </w:t>
      </w:r>
      <w:r w:rsidRPr="00E640A3">
        <w:rPr>
          <w:rFonts w:asciiTheme="minorHAnsi" w:hAnsiTheme="minorHAnsi" w:cstheme="minorHAnsi"/>
          <w:sz w:val="22"/>
          <w:szCs w:val="22"/>
        </w:rPr>
        <w:t>organ podjął zawieszone na wniosek inwestora postępowanie, w sytuacji gdy inwestor nie wnioskował o takie działanie organu.</w:t>
      </w:r>
    </w:p>
    <w:p w14:paraId="0E5491EA" w14:textId="5C54353A" w:rsidR="00C8559D" w:rsidRPr="00E640A3" w:rsidRDefault="009F6E71" w:rsidP="00437391">
      <w:pPr>
        <w:pStyle w:val="Bodytext20"/>
        <w:numPr>
          <w:ilvl w:val="0"/>
          <w:numId w:val="1"/>
        </w:numPr>
        <w:shd w:val="clear" w:color="auto" w:fill="auto"/>
        <w:tabs>
          <w:tab w:val="left" w:pos="360"/>
        </w:tabs>
        <w:spacing w:before="120" w:after="240" w:line="300" w:lineRule="auto"/>
        <w:ind w:left="420" w:hanging="420"/>
        <w:jc w:val="left"/>
        <w:rPr>
          <w:rFonts w:asciiTheme="minorHAnsi" w:hAnsiTheme="minorHAnsi" w:cstheme="minorHAnsi"/>
          <w:sz w:val="22"/>
          <w:szCs w:val="22"/>
        </w:rPr>
      </w:pPr>
      <w:r w:rsidRPr="00E640A3">
        <w:rPr>
          <w:rFonts w:asciiTheme="minorHAnsi" w:hAnsiTheme="minorHAnsi" w:cstheme="minorHAnsi"/>
          <w:sz w:val="22"/>
          <w:szCs w:val="22"/>
        </w:rPr>
        <w:t>W 5 przypadkach</w:t>
      </w:r>
      <w:r w:rsidR="002369B7">
        <w:rPr>
          <w:rStyle w:val="Odwoanieprzypisudolnego"/>
          <w:rFonts w:asciiTheme="minorHAnsi" w:hAnsiTheme="minorHAnsi" w:cstheme="minorHAnsi"/>
          <w:sz w:val="22"/>
          <w:szCs w:val="22"/>
        </w:rPr>
        <w:footnoteReference w:id="22"/>
      </w:r>
      <w:r w:rsidR="006E1F86" w:rsidRPr="00E640A3">
        <w:rPr>
          <w:rFonts w:asciiTheme="minorHAnsi" w:hAnsiTheme="minorHAnsi" w:cstheme="minorHAnsi"/>
          <w:sz w:val="22"/>
          <w:szCs w:val="22"/>
          <w:vertAlign w:val="superscript"/>
        </w:rPr>
        <w:t xml:space="preserve"> </w:t>
      </w:r>
      <w:r w:rsidRPr="00E640A3">
        <w:rPr>
          <w:rFonts w:asciiTheme="minorHAnsi" w:hAnsiTheme="minorHAnsi" w:cstheme="minorHAnsi"/>
          <w:sz w:val="22"/>
          <w:szCs w:val="22"/>
        </w:rPr>
        <w:t xml:space="preserve"> błędnie ustalono datę ostateczności decyzji wskazując datę o 1 - 2 dni późniejszą albo o 1 dzień wcześniejszą będącą jednocześnie ostatnim dniem terminu do wniesienia odwołania określonym w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129 § 2 k.p.a.</w:t>
      </w:r>
    </w:p>
    <w:p w14:paraId="0E5491EB" w14:textId="77777777" w:rsidR="00C8559D" w:rsidRPr="00E640A3" w:rsidRDefault="009F6E71" w:rsidP="00437391">
      <w:pPr>
        <w:pStyle w:val="Bodytext20"/>
        <w:numPr>
          <w:ilvl w:val="0"/>
          <w:numId w:val="1"/>
        </w:numPr>
        <w:shd w:val="clear" w:color="auto" w:fill="auto"/>
        <w:tabs>
          <w:tab w:val="left" w:pos="390"/>
        </w:tabs>
        <w:spacing w:before="120" w:after="240" w:line="300" w:lineRule="auto"/>
        <w:ind w:left="420" w:hanging="420"/>
        <w:jc w:val="left"/>
        <w:rPr>
          <w:rFonts w:asciiTheme="minorHAnsi" w:hAnsiTheme="minorHAnsi" w:cstheme="minorHAnsi"/>
          <w:sz w:val="22"/>
          <w:szCs w:val="22"/>
        </w:rPr>
      </w:pPr>
      <w:r w:rsidRPr="00E640A3">
        <w:rPr>
          <w:rFonts w:asciiTheme="minorHAnsi" w:hAnsiTheme="minorHAnsi" w:cstheme="minorHAnsi"/>
          <w:sz w:val="22"/>
          <w:szCs w:val="22"/>
        </w:rPr>
        <w:lastRenderedPageBreak/>
        <w:t xml:space="preserve">W postępowaniu zakończonym decyzją nr </w:t>
      </w:r>
      <w:r w:rsidRPr="00E640A3">
        <w:rPr>
          <w:rFonts w:asciiTheme="minorHAnsi" w:hAnsiTheme="minorHAnsi" w:cstheme="minorHAnsi"/>
          <w:sz w:val="22"/>
          <w:szCs w:val="22"/>
          <w:lang w:val="ru-RU" w:eastAsia="ru-RU" w:bidi="ru-RU"/>
        </w:rPr>
        <w:t xml:space="preserve">37/2022 </w:t>
      </w:r>
      <w:r w:rsidRPr="00E640A3">
        <w:rPr>
          <w:rFonts w:asciiTheme="minorHAnsi" w:hAnsiTheme="minorHAnsi" w:cstheme="minorHAnsi"/>
          <w:sz w:val="22"/>
          <w:szCs w:val="22"/>
        </w:rPr>
        <w:t xml:space="preserve">naruszono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76a § 2 k.p.a., gdyż kopia pełnomocnictwa załączonego do wniosku nie została poświadczona za zgodność z oryginałem.</w:t>
      </w:r>
    </w:p>
    <w:p w14:paraId="0E5491EC" w14:textId="70F4401E" w:rsidR="00C8559D" w:rsidRPr="00E640A3" w:rsidRDefault="009F6E71" w:rsidP="00437391">
      <w:pPr>
        <w:pStyle w:val="Bodytext20"/>
        <w:numPr>
          <w:ilvl w:val="0"/>
          <w:numId w:val="1"/>
        </w:numPr>
        <w:shd w:val="clear" w:color="auto" w:fill="auto"/>
        <w:tabs>
          <w:tab w:val="left" w:pos="390"/>
        </w:tabs>
        <w:spacing w:before="120" w:after="240" w:line="300" w:lineRule="auto"/>
        <w:ind w:left="420" w:hanging="420"/>
        <w:jc w:val="left"/>
        <w:rPr>
          <w:rFonts w:asciiTheme="minorHAnsi" w:hAnsiTheme="minorHAnsi" w:cstheme="minorHAnsi"/>
          <w:sz w:val="22"/>
          <w:szCs w:val="22"/>
        </w:rPr>
      </w:pPr>
      <w:r w:rsidRPr="00E640A3">
        <w:rPr>
          <w:rFonts w:asciiTheme="minorHAnsi" w:hAnsiTheme="minorHAnsi" w:cstheme="minorHAnsi"/>
          <w:sz w:val="22"/>
          <w:szCs w:val="22"/>
        </w:rPr>
        <w:t>W 2 przypadkach</w:t>
      </w:r>
      <w:r w:rsidRPr="00E640A3">
        <w:rPr>
          <w:rFonts w:asciiTheme="minorHAnsi" w:hAnsiTheme="minorHAnsi" w:cstheme="minorHAnsi"/>
          <w:sz w:val="22"/>
          <w:szCs w:val="22"/>
          <w:vertAlign w:val="superscript"/>
        </w:rPr>
        <w:t xml:space="preserve">   </w:t>
      </w:r>
      <w:r w:rsidRPr="00E640A3">
        <w:rPr>
          <w:rFonts w:asciiTheme="minorHAnsi" w:hAnsiTheme="minorHAnsi" w:cstheme="minorHAnsi"/>
          <w:sz w:val="22"/>
          <w:szCs w:val="22"/>
          <w:vertAlign w:val="superscript"/>
        </w:rPr>
        <w:footnoteReference w:id="23"/>
      </w:r>
      <w:r w:rsidRPr="00E640A3">
        <w:rPr>
          <w:rFonts w:asciiTheme="minorHAnsi" w:hAnsiTheme="minorHAnsi" w:cstheme="minorHAnsi"/>
          <w:sz w:val="22"/>
          <w:szCs w:val="22"/>
        </w:rPr>
        <w:t xml:space="preserve"> nie wypełniono wymogów ustalonych w § 2 ust. 1 zarządzenia Nr </w:t>
      </w:r>
      <w:r w:rsidRPr="00E640A3">
        <w:rPr>
          <w:rFonts w:asciiTheme="minorHAnsi" w:hAnsiTheme="minorHAnsi" w:cstheme="minorHAnsi"/>
          <w:sz w:val="22"/>
          <w:szCs w:val="22"/>
          <w:lang w:val="ru-RU" w:eastAsia="ru-RU" w:bidi="ru-RU"/>
        </w:rPr>
        <w:t xml:space="preserve">1793/2016 </w:t>
      </w:r>
      <w:r w:rsidRPr="00E640A3">
        <w:rPr>
          <w:rFonts w:asciiTheme="minorHAnsi" w:hAnsiTheme="minorHAnsi" w:cstheme="minorHAnsi"/>
          <w:sz w:val="22"/>
          <w:szCs w:val="22"/>
        </w:rPr>
        <w:t xml:space="preserve">Prezydenta Miasta Stołecznego Warszawy z dnia 9 grudnia 2016 r. </w:t>
      </w:r>
      <w:r w:rsidRPr="00E640A3">
        <w:rPr>
          <w:rFonts w:asciiTheme="minorHAnsi" w:hAnsiTheme="minorHAnsi" w:cstheme="minorHAnsi"/>
          <w:sz w:val="22"/>
          <w:szCs w:val="22"/>
          <w:lang w:val="en-US" w:eastAsia="en-US" w:bidi="en-US"/>
        </w:rPr>
        <w:t xml:space="preserve">dot. </w:t>
      </w:r>
      <w:r w:rsidRPr="00E640A3">
        <w:rPr>
          <w:rFonts w:asciiTheme="minorHAnsi" w:hAnsiTheme="minorHAnsi" w:cstheme="minorHAnsi"/>
          <w:sz w:val="22"/>
          <w:szCs w:val="22"/>
        </w:rPr>
        <w:t>złożenia oświadczenia</w:t>
      </w:r>
    </w:p>
    <w:p w14:paraId="0E5491ED" w14:textId="77777777" w:rsidR="00C8559D" w:rsidRPr="00E640A3" w:rsidRDefault="009F6E71" w:rsidP="00437391">
      <w:pPr>
        <w:pStyle w:val="Bodytext20"/>
        <w:shd w:val="clear" w:color="auto" w:fill="auto"/>
        <w:spacing w:before="120" w:after="240" w:line="300" w:lineRule="auto"/>
        <w:ind w:left="420" w:firstLine="0"/>
        <w:jc w:val="left"/>
        <w:rPr>
          <w:rFonts w:asciiTheme="minorHAnsi" w:hAnsiTheme="minorHAnsi" w:cstheme="minorHAnsi"/>
          <w:sz w:val="22"/>
          <w:szCs w:val="22"/>
        </w:rPr>
      </w:pPr>
      <w:r w:rsidRPr="00E640A3">
        <w:rPr>
          <w:rFonts w:asciiTheme="minorHAnsi" w:hAnsiTheme="minorHAnsi" w:cstheme="minorHAnsi"/>
          <w:sz w:val="22"/>
          <w:szCs w:val="22"/>
        </w:rPr>
        <w:t>o bezstronności w rozpatrywaniu sprawy.</w:t>
      </w:r>
    </w:p>
    <w:p w14:paraId="0E5491EE" w14:textId="77777777" w:rsidR="00C8559D" w:rsidRPr="00E640A3" w:rsidRDefault="009F6E71" w:rsidP="00437391">
      <w:pPr>
        <w:pStyle w:val="Bodytext20"/>
        <w:numPr>
          <w:ilvl w:val="0"/>
          <w:numId w:val="1"/>
        </w:numPr>
        <w:shd w:val="clear" w:color="auto" w:fill="auto"/>
        <w:tabs>
          <w:tab w:val="left" w:pos="390"/>
        </w:tabs>
        <w:spacing w:before="120" w:after="240" w:line="300" w:lineRule="auto"/>
        <w:ind w:left="420" w:hanging="420"/>
        <w:jc w:val="left"/>
        <w:rPr>
          <w:rFonts w:asciiTheme="minorHAnsi" w:hAnsiTheme="minorHAnsi" w:cstheme="minorHAnsi"/>
          <w:sz w:val="22"/>
          <w:szCs w:val="22"/>
        </w:rPr>
      </w:pPr>
      <w:r w:rsidRPr="00E640A3">
        <w:rPr>
          <w:rFonts w:asciiTheme="minorHAnsi" w:hAnsiTheme="minorHAnsi" w:cstheme="minorHAnsi"/>
          <w:sz w:val="22"/>
          <w:szCs w:val="22"/>
        </w:rPr>
        <w:t>W 3 przypadkach</w:t>
      </w:r>
      <w:r w:rsidRPr="00E640A3">
        <w:rPr>
          <w:rFonts w:asciiTheme="minorHAnsi" w:hAnsiTheme="minorHAnsi" w:cstheme="minorHAnsi"/>
          <w:sz w:val="22"/>
          <w:szCs w:val="22"/>
          <w:vertAlign w:val="superscript"/>
        </w:rPr>
        <w:footnoteReference w:id="24"/>
      </w:r>
      <w:r w:rsidRPr="00E640A3">
        <w:rPr>
          <w:rFonts w:asciiTheme="minorHAnsi" w:hAnsiTheme="minorHAnsi" w:cstheme="minorHAnsi"/>
          <w:sz w:val="22"/>
          <w:szCs w:val="22"/>
        </w:rPr>
        <w:t xml:space="preserve"> na 4 naruszono § 6 ust. 1 i 3 rozporządzenia Ministra Finansów z dnia 24 grudnia 2002 r. w sprawie informacji podatkowych</w:t>
      </w:r>
      <w:r w:rsidRPr="00E640A3">
        <w:rPr>
          <w:rFonts w:asciiTheme="minorHAnsi" w:hAnsiTheme="minorHAnsi" w:cstheme="minorHAnsi"/>
          <w:sz w:val="22"/>
          <w:szCs w:val="22"/>
          <w:vertAlign w:val="superscript"/>
        </w:rPr>
        <w:footnoteReference w:id="25"/>
      </w:r>
      <w:r w:rsidRPr="00E640A3">
        <w:rPr>
          <w:rFonts w:asciiTheme="minorHAnsi" w:hAnsiTheme="minorHAnsi" w:cstheme="minorHAnsi"/>
          <w:sz w:val="22"/>
          <w:szCs w:val="22"/>
        </w:rPr>
        <w:t>"</w:t>
      </w:r>
      <w:r w:rsidRPr="00E640A3">
        <w:rPr>
          <w:rFonts w:asciiTheme="minorHAnsi" w:hAnsiTheme="minorHAnsi" w:cstheme="minorHAnsi"/>
          <w:sz w:val="22"/>
          <w:szCs w:val="22"/>
          <w:vertAlign w:val="superscript"/>
        </w:rPr>
        <w:t>5</w:t>
      </w:r>
      <w:r w:rsidRPr="00E640A3">
        <w:rPr>
          <w:rFonts w:asciiTheme="minorHAnsi" w:hAnsiTheme="minorHAnsi" w:cstheme="minorHAnsi"/>
          <w:sz w:val="22"/>
          <w:szCs w:val="22"/>
        </w:rPr>
        <w:t>, gdyż decyzje zostały przekazane do Centrum Obsługi Podatnika w terminie od 2 do 8 miesięcy od dnia, w którym stały się ostateczne. 2 wyjaśnień Pani Burmistrz wynikało, że są one wysyłane zbiorczo raz w roku, pomimo że powyższy przepis obliguje organ do przekazywania kopii decyzji o pozwoleniu na budowę do organu podatkowego w terminie do 15 dnia miesiąca następującego po miesiącu, w którym wydana decyzja stała się ostateczna. Ponadto w piśmie do Centrum Obsługi Podatnika przekazującym zbiorczo 70 decyzji nie wskazano ich numerów, co uniemożliwiało weryfikację tego działania w poszczególnych przypadkach.</w:t>
      </w:r>
    </w:p>
    <w:p w14:paraId="0E5491EF" w14:textId="77777777" w:rsidR="00C8559D" w:rsidRPr="00E640A3" w:rsidRDefault="009F6E71" w:rsidP="00437391">
      <w:pPr>
        <w:pStyle w:val="Bodytext20"/>
        <w:numPr>
          <w:ilvl w:val="0"/>
          <w:numId w:val="1"/>
        </w:numPr>
        <w:shd w:val="clear" w:color="auto" w:fill="auto"/>
        <w:tabs>
          <w:tab w:val="left" w:pos="390"/>
        </w:tabs>
        <w:spacing w:before="120" w:after="240" w:line="300" w:lineRule="auto"/>
        <w:ind w:left="420" w:hanging="420"/>
        <w:jc w:val="left"/>
        <w:rPr>
          <w:rFonts w:asciiTheme="minorHAnsi" w:hAnsiTheme="minorHAnsi" w:cstheme="minorHAnsi"/>
          <w:sz w:val="22"/>
          <w:szCs w:val="22"/>
        </w:rPr>
      </w:pPr>
      <w:r w:rsidRPr="00E640A3">
        <w:rPr>
          <w:rFonts w:asciiTheme="minorHAnsi" w:hAnsiTheme="minorHAnsi" w:cstheme="minorHAnsi"/>
          <w:sz w:val="22"/>
          <w:szCs w:val="22"/>
        </w:rPr>
        <w:t>W 5 przypadkach</w:t>
      </w:r>
      <w:r w:rsidRPr="00E640A3">
        <w:rPr>
          <w:rFonts w:asciiTheme="minorHAnsi" w:hAnsiTheme="minorHAnsi" w:cstheme="minorHAnsi"/>
          <w:sz w:val="22"/>
          <w:szCs w:val="22"/>
          <w:vertAlign w:val="superscript"/>
        </w:rPr>
        <w:footnoteReference w:id="26"/>
      </w:r>
      <w:r w:rsidRPr="00E640A3">
        <w:rPr>
          <w:rFonts w:asciiTheme="minorHAnsi" w:hAnsiTheme="minorHAnsi" w:cstheme="minorHAnsi"/>
          <w:sz w:val="22"/>
          <w:szCs w:val="22"/>
        </w:rPr>
        <w:t xml:space="preserve">ostateczne decyzje przesłano do Powiatowego Inspektora Nadzoru Budowlanego dopiero po 3 - 8 miesiącach od dnia, w którym decyzje te stały się ostateczne, co naruszało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82b ust. 1 pkt 2 Prawa budowlanego.</w:t>
      </w:r>
    </w:p>
    <w:p w14:paraId="0E5491F0" w14:textId="77777777" w:rsidR="00C8559D" w:rsidRPr="00E640A3" w:rsidRDefault="009F6E71" w:rsidP="00437391">
      <w:pPr>
        <w:pStyle w:val="Bodytext20"/>
        <w:numPr>
          <w:ilvl w:val="0"/>
          <w:numId w:val="1"/>
        </w:numPr>
        <w:shd w:val="clear" w:color="auto" w:fill="auto"/>
        <w:tabs>
          <w:tab w:val="left" w:pos="860"/>
        </w:tabs>
        <w:spacing w:before="120" w:after="240" w:line="300" w:lineRule="auto"/>
        <w:ind w:left="820" w:hanging="340"/>
        <w:jc w:val="left"/>
        <w:rPr>
          <w:rFonts w:asciiTheme="minorHAnsi" w:hAnsiTheme="minorHAnsi" w:cstheme="minorHAnsi"/>
          <w:sz w:val="22"/>
          <w:szCs w:val="22"/>
        </w:rPr>
      </w:pPr>
      <w:r w:rsidRPr="00E640A3">
        <w:rPr>
          <w:rFonts w:asciiTheme="minorHAnsi" w:hAnsiTheme="minorHAnsi" w:cstheme="minorHAnsi"/>
          <w:sz w:val="22"/>
          <w:szCs w:val="22"/>
        </w:rPr>
        <w:t>W 5 przypadkach</w:t>
      </w:r>
      <w:r w:rsidRPr="00E640A3">
        <w:rPr>
          <w:rFonts w:asciiTheme="minorHAnsi" w:hAnsiTheme="minorHAnsi" w:cstheme="minorHAnsi"/>
          <w:sz w:val="22"/>
          <w:szCs w:val="22"/>
          <w:vertAlign w:val="superscript"/>
        </w:rPr>
        <w:footnoteReference w:id="27"/>
      </w:r>
      <w:r w:rsidRPr="00E640A3">
        <w:rPr>
          <w:rFonts w:asciiTheme="minorHAnsi" w:hAnsiTheme="minorHAnsi" w:cstheme="minorHAnsi"/>
          <w:sz w:val="22"/>
          <w:szCs w:val="22"/>
        </w:rPr>
        <w:t xml:space="preserve"> naruszono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82b ust. 2 Prawa budowlanego, gdyż wnioski w sprawie pozwoleń na budowę były wprowadzane do rejestru wniosków i decyzji w systemie RWDZ dopiero po 23-573 dniach od daty ich wpływu, pomimo że przepis ten wymagał wprowadzania na bieżąco danych do prowadzonego w formie elektronicznej rejestru oraz przesyłania ich drogą elektroniczną do organu wyższego stopnia.</w:t>
      </w:r>
    </w:p>
    <w:p w14:paraId="0E5491F1" w14:textId="77777777" w:rsidR="00C8559D" w:rsidRPr="00E640A3" w:rsidRDefault="009F6E71" w:rsidP="00437391">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E640A3">
        <w:rPr>
          <w:rFonts w:asciiTheme="minorHAnsi" w:hAnsiTheme="minorHAnsi" w:cstheme="minorHAnsi"/>
          <w:sz w:val="22"/>
          <w:szCs w:val="22"/>
        </w:rPr>
        <w:t>Ponadto wyniki kontroli pokazały przypadki prowadzenia postępowań lub sporządzania dokumentów bez należytej staranności, w tym m.in.:</w:t>
      </w:r>
    </w:p>
    <w:p w14:paraId="0E5491F2" w14:textId="77777777" w:rsidR="00C8559D" w:rsidRPr="00E640A3" w:rsidRDefault="009F6E71" w:rsidP="00437391">
      <w:pPr>
        <w:pStyle w:val="Bodytext20"/>
        <w:numPr>
          <w:ilvl w:val="0"/>
          <w:numId w:val="2"/>
        </w:numPr>
        <w:shd w:val="clear" w:color="auto" w:fill="auto"/>
        <w:tabs>
          <w:tab w:val="left" w:pos="347"/>
        </w:tabs>
        <w:spacing w:before="120" w:after="240" w:line="300" w:lineRule="auto"/>
        <w:ind w:left="380" w:hanging="380"/>
        <w:jc w:val="left"/>
        <w:rPr>
          <w:rFonts w:asciiTheme="minorHAnsi" w:hAnsiTheme="minorHAnsi" w:cstheme="minorHAnsi"/>
          <w:sz w:val="22"/>
          <w:szCs w:val="22"/>
        </w:rPr>
      </w:pPr>
      <w:r w:rsidRPr="00E640A3">
        <w:rPr>
          <w:rFonts w:asciiTheme="minorHAnsi" w:hAnsiTheme="minorHAnsi" w:cstheme="minorHAnsi"/>
          <w:sz w:val="22"/>
          <w:szCs w:val="22"/>
        </w:rPr>
        <w:t>w 7 przypadkach</w:t>
      </w:r>
      <w:r w:rsidRPr="00E640A3">
        <w:rPr>
          <w:rFonts w:asciiTheme="minorHAnsi" w:hAnsiTheme="minorHAnsi" w:cstheme="minorHAnsi"/>
          <w:sz w:val="22"/>
          <w:szCs w:val="22"/>
          <w:vertAlign w:val="superscript"/>
        </w:rPr>
        <w:footnoteReference w:id="28"/>
      </w:r>
      <w:r w:rsidRPr="00E640A3">
        <w:rPr>
          <w:rFonts w:asciiTheme="minorHAnsi" w:hAnsiTheme="minorHAnsi" w:cstheme="minorHAnsi"/>
          <w:sz w:val="22"/>
          <w:szCs w:val="22"/>
        </w:rPr>
        <w:t xml:space="preserve"> wydano decyzje zatwierdzające „projekt budowlany", pomimo że zgodnie z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 xml:space="preserve">34 ust. 4 Prawa budowlanego zatwierdzeniu w decyzji o pozwoleniu na budowę podlegał projekt zagospodarowania działki lub terenu oraz projekt architektoniczno-budowlany, a więc </w:t>
      </w:r>
      <w:r w:rsidRPr="00E640A3">
        <w:rPr>
          <w:rFonts w:asciiTheme="minorHAnsi" w:hAnsiTheme="minorHAnsi" w:cstheme="minorHAnsi"/>
          <w:sz w:val="22"/>
          <w:szCs w:val="22"/>
        </w:rPr>
        <w:lastRenderedPageBreak/>
        <w:t>tylko część projektu budowlanego. Nie podlegał natomiast zatwierdzeniu przez organ projekt techniczny będący również częścią składową projektu budowlanego;</w:t>
      </w:r>
    </w:p>
    <w:p w14:paraId="0E5491F3" w14:textId="77777777" w:rsidR="00C8559D" w:rsidRPr="00E640A3" w:rsidRDefault="009F6E71" w:rsidP="00437391">
      <w:pPr>
        <w:pStyle w:val="Bodytext20"/>
        <w:numPr>
          <w:ilvl w:val="0"/>
          <w:numId w:val="2"/>
        </w:numPr>
        <w:shd w:val="clear" w:color="auto" w:fill="auto"/>
        <w:tabs>
          <w:tab w:val="left" w:pos="347"/>
        </w:tabs>
        <w:spacing w:before="120" w:after="240" w:line="300" w:lineRule="auto"/>
        <w:ind w:left="380" w:hanging="380"/>
        <w:jc w:val="left"/>
        <w:rPr>
          <w:rFonts w:asciiTheme="minorHAnsi" w:hAnsiTheme="minorHAnsi" w:cstheme="minorHAnsi"/>
          <w:sz w:val="22"/>
          <w:szCs w:val="22"/>
        </w:rPr>
      </w:pPr>
      <w:r w:rsidRPr="00E640A3">
        <w:rPr>
          <w:rFonts w:asciiTheme="minorHAnsi" w:hAnsiTheme="minorHAnsi" w:cstheme="minorHAnsi"/>
          <w:sz w:val="22"/>
          <w:szCs w:val="22"/>
        </w:rPr>
        <w:t>w 3 przypadkach</w:t>
      </w:r>
      <w:r w:rsidRPr="00E640A3">
        <w:rPr>
          <w:rFonts w:asciiTheme="minorHAnsi" w:hAnsiTheme="minorHAnsi" w:cstheme="minorHAnsi"/>
          <w:sz w:val="22"/>
          <w:szCs w:val="22"/>
          <w:vertAlign w:val="superscript"/>
        </w:rPr>
        <w:footnoteReference w:id="29"/>
      </w:r>
      <w:r w:rsidRPr="00E640A3">
        <w:rPr>
          <w:rFonts w:asciiTheme="minorHAnsi" w:hAnsiTheme="minorHAnsi" w:cstheme="minorHAnsi"/>
          <w:sz w:val="22"/>
          <w:szCs w:val="22"/>
        </w:rPr>
        <w:t xml:space="preserve"> zatwierdzono dokumentację projektową zawierającą elementy projektu technicznego, które co do zasady nie podlegały zatwierdzeniu w decyzji o pozwoleniu na budowę;</w:t>
      </w:r>
    </w:p>
    <w:p w14:paraId="0E5491F4" w14:textId="77777777" w:rsidR="00C8559D" w:rsidRPr="00E640A3" w:rsidRDefault="009F6E71" w:rsidP="00437391">
      <w:pPr>
        <w:pStyle w:val="Bodytext20"/>
        <w:numPr>
          <w:ilvl w:val="0"/>
          <w:numId w:val="2"/>
        </w:numPr>
        <w:shd w:val="clear" w:color="auto" w:fill="auto"/>
        <w:tabs>
          <w:tab w:val="left" w:pos="347"/>
        </w:tabs>
        <w:spacing w:before="120" w:after="240" w:line="300" w:lineRule="auto"/>
        <w:ind w:left="380" w:hanging="380"/>
        <w:jc w:val="left"/>
        <w:rPr>
          <w:rFonts w:asciiTheme="minorHAnsi" w:hAnsiTheme="minorHAnsi" w:cstheme="minorHAnsi"/>
          <w:sz w:val="22"/>
          <w:szCs w:val="22"/>
        </w:rPr>
      </w:pPr>
      <w:r w:rsidRPr="00E640A3">
        <w:rPr>
          <w:rFonts w:asciiTheme="minorHAnsi" w:hAnsiTheme="minorHAnsi" w:cstheme="minorHAnsi"/>
          <w:sz w:val="22"/>
          <w:szCs w:val="22"/>
        </w:rPr>
        <w:t xml:space="preserve">w postępowaniu zakończonym decyzją nr </w:t>
      </w:r>
      <w:r w:rsidRPr="00E640A3">
        <w:rPr>
          <w:rFonts w:asciiTheme="minorHAnsi" w:hAnsiTheme="minorHAnsi" w:cstheme="minorHAnsi"/>
          <w:sz w:val="22"/>
          <w:szCs w:val="22"/>
          <w:lang w:val="ru-RU" w:eastAsia="ru-RU" w:bidi="ru-RU"/>
        </w:rPr>
        <w:t xml:space="preserve">9/2022 </w:t>
      </w:r>
      <w:r w:rsidRPr="00E640A3">
        <w:rPr>
          <w:rFonts w:asciiTheme="minorHAnsi" w:hAnsiTheme="minorHAnsi" w:cstheme="minorHAnsi"/>
          <w:sz w:val="22"/>
          <w:szCs w:val="22"/>
        </w:rPr>
        <w:t xml:space="preserve">na wniosku inwestora o podjęcie zawieszonego postępowania brak było pieczęci organu dokumentującej fakt wpływu wniosku do organu oraz datę złożenia wniosku. Ponadto ww. decyzja zawierała nieprawidłową podstawę prawną, tj.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 xml:space="preserve">42 ust. 2 Prawa budowlanego, który został uchylony 19.09.2020 r. i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71 ust. 6 Prawa budowlanego dotyczący zmiany sposobu użytkowania obiektu, co nie było przedmiotem procedowanej sprawy;</w:t>
      </w:r>
    </w:p>
    <w:p w14:paraId="0E5491F5" w14:textId="77777777" w:rsidR="00C8559D" w:rsidRPr="00E640A3" w:rsidRDefault="009F6E71" w:rsidP="00437391">
      <w:pPr>
        <w:pStyle w:val="Bodytext20"/>
        <w:numPr>
          <w:ilvl w:val="0"/>
          <w:numId w:val="2"/>
        </w:numPr>
        <w:shd w:val="clear" w:color="auto" w:fill="auto"/>
        <w:tabs>
          <w:tab w:val="left" w:pos="347"/>
        </w:tabs>
        <w:spacing w:before="120" w:after="240" w:line="300" w:lineRule="auto"/>
        <w:ind w:left="380" w:hanging="380"/>
        <w:jc w:val="left"/>
        <w:rPr>
          <w:rFonts w:asciiTheme="minorHAnsi" w:hAnsiTheme="minorHAnsi" w:cstheme="minorHAnsi"/>
          <w:sz w:val="22"/>
          <w:szCs w:val="22"/>
        </w:rPr>
      </w:pPr>
      <w:r w:rsidRPr="00E640A3">
        <w:rPr>
          <w:rFonts w:asciiTheme="minorHAnsi" w:hAnsiTheme="minorHAnsi" w:cstheme="minorHAnsi"/>
          <w:sz w:val="22"/>
          <w:szCs w:val="22"/>
        </w:rPr>
        <w:t xml:space="preserve">w postępowaniu zakończonym decyzją nr </w:t>
      </w:r>
      <w:r w:rsidRPr="00E640A3">
        <w:rPr>
          <w:rFonts w:asciiTheme="minorHAnsi" w:hAnsiTheme="minorHAnsi" w:cstheme="minorHAnsi"/>
          <w:sz w:val="22"/>
          <w:szCs w:val="22"/>
          <w:lang w:val="ru-RU" w:eastAsia="ru-RU" w:bidi="ru-RU"/>
        </w:rPr>
        <w:t xml:space="preserve">51/2022 </w:t>
      </w:r>
      <w:r w:rsidRPr="00E640A3">
        <w:rPr>
          <w:rFonts w:asciiTheme="minorHAnsi" w:hAnsiTheme="minorHAnsi" w:cstheme="minorHAnsi"/>
          <w:sz w:val="22"/>
          <w:szCs w:val="22"/>
        </w:rPr>
        <w:t>nie zweryfikowano wniosku inwestora, który jako organ administracji architektoniczno-budowlanej wskazał Mazowiecki Urząd Wojewódzki;</w:t>
      </w:r>
    </w:p>
    <w:p w14:paraId="0E5491F6" w14:textId="77777777" w:rsidR="00C8559D" w:rsidRPr="00E640A3" w:rsidRDefault="009F6E71" w:rsidP="00437391">
      <w:pPr>
        <w:pStyle w:val="Bodytext20"/>
        <w:numPr>
          <w:ilvl w:val="0"/>
          <w:numId w:val="2"/>
        </w:numPr>
        <w:shd w:val="clear" w:color="auto" w:fill="auto"/>
        <w:tabs>
          <w:tab w:val="left" w:pos="347"/>
        </w:tabs>
        <w:spacing w:before="120" w:after="240" w:line="300" w:lineRule="auto"/>
        <w:ind w:left="380" w:hanging="380"/>
        <w:jc w:val="left"/>
        <w:rPr>
          <w:rFonts w:asciiTheme="minorHAnsi" w:hAnsiTheme="minorHAnsi" w:cstheme="minorHAnsi"/>
          <w:sz w:val="22"/>
          <w:szCs w:val="22"/>
        </w:rPr>
      </w:pPr>
      <w:r w:rsidRPr="00E640A3">
        <w:rPr>
          <w:rFonts w:asciiTheme="minorHAnsi" w:hAnsiTheme="minorHAnsi" w:cstheme="minorHAnsi"/>
          <w:sz w:val="22"/>
          <w:szCs w:val="22"/>
        </w:rPr>
        <w:t xml:space="preserve">w postępowaniu zakończonym decyzją nr </w:t>
      </w:r>
      <w:r w:rsidRPr="00E640A3">
        <w:rPr>
          <w:rFonts w:asciiTheme="minorHAnsi" w:hAnsiTheme="minorHAnsi" w:cstheme="minorHAnsi"/>
          <w:sz w:val="22"/>
          <w:szCs w:val="22"/>
          <w:lang w:val="ru-RU" w:eastAsia="ru-RU" w:bidi="ru-RU"/>
        </w:rPr>
        <w:t xml:space="preserve">37/2022 </w:t>
      </w:r>
      <w:r w:rsidRPr="00E640A3">
        <w:rPr>
          <w:rFonts w:asciiTheme="minorHAnsi" w:hAnsiTheme="minorHAnsi" w:cstheme="minorHAnsi"/>
          <w:sz w:val="22"/>
          <w:szCs w:val="22"/>
        </w:rPr>
        <w:t>organ skierował wezwanie na inny adres pełnomocnika niż wskazano we wniosku i oświadczeniu, co spowodowało zwrot korespondencji po 2 tygodniach z dopiskiem „adresat nieznany";</w:t>
      </w:r>
    </w:p>
    <w:p w14:paraId="0E5491F7" w14:textId="77777777" w:rsidR="00C8559D" w:rsidRPr="00E640A3" w:rsidRDefault="009F6E71" w:rsidP="00437391">
      <w:pPr>
        <w:pStyle w:val="Bodytext20"/>
        <w:numPr>
          <w:ilvl w:val="0"/>
          <w:numId w:val="2"/>
        </w:numPr>
        <w:shd w:val="clear" w:color="auto" w:fill="auto"/>
        <w:tabs>
          <w:tab w:val="left" w:pos="347"/>
        </w:tabs>
        <w:spacing w:before="120" w:after="240" w:line="300" w:lineRule="auto"/>
        <w:ind w:left="380" w:hanging="380"/>
        <w:jc w:val="left"/>
        <w:rPr>
          <w:rFonts w:asciiTheme="minorHAnsi" w:hAnsiTheme="minorHAnsi" w:cstheme="minorHAnsi"/>
          <w:sz w:val="22"/>
          <w:szCs w:val="22"/>
        </w:rPr>
      </w:pPr>
      <w:r w:rsidRPr="00E640A3">
        <w:rPr>
          <w:rFonts w:asciiTheme="minorHAnsi" w:hAnsiTheme="minorHAnsi" w:cstheme="minorHAnsi"/>
          <w:sz w:val="22"/>
          <w:szCs w:val="22"/>
        </w:rPr>
        <w:t>w 2 przypadkach</w:t>
      </w:r>
      <w:r w:rsidRPr="00E640A3">
        <w:rPr>
          <w:rFonts w:asciiTheme="minorHAnsi" w:hAnsiTheme="minorHAnsi" w:cstheme="minorHAnsi"/>
          <w:sz w:val="22"/>
          <w:szCs w:val="22"/>
          <w:vertAlign w:val="superscript"/>
        </w:rPr>
        <w:footnoteReference w:id="30"/>
      </w:r>
      <w:r w:rsidRPr="00E640A3">
        <w:rPr>
          <w:rFonts w:asciiTheme="minorHAnsi" w:hAnsiTheme="minorHAnsi" w:cstheme="minorHAnsi"/>
          <w:sz w:val="22"/>
          <w:szCs w:val="22"/>
        </w:rPr>
        <w:t xml:space="preserve"> w aktach sprawy brak było dokumentów, które zostały przedłożone dopiero w toku kontroli, tj.:</w:t>
      </w:r>
    </w:p>
    <w:p w14:paraId="0E5491F8" w14:textId="0554D7AC" w:rsidR="00C8559D" w:rsidRPr="00E640A3" w:rsidRDefault="00BF362E" w:rsidP="00437391">
      <w:pPr>
        <w:pStyle w:val="Bodytext20"/>
        <w:shd w:val="clear" w:color="auto" w:fill="auto"/>
        <w:spacing w:before="120" w:after="240" w:line="300" w:lineRule="auto"/>
        <w:ind w:left="640" w:hanging="260"/>
        <w:jc w:val="left"/>
        <w:rPr>
          <w:rFonts w:asciiTheme="minorHAnsi" w:hAnsiTheme="minorHAnsi" w:cstheme="minorHAnsi"/>
          <w:sz w:val="22"/>
          <w:szCs w:val="22"/>
        </w:rPr>
      </w:pPr>
      <w:r w:rsidRPr="00BF362E">
        <w:rPr>
          <w:rStyle w:val="Bodytext29ptBoldItalic"/>
          <w:rFonts w:asciiTheme="minorHAnsi" w:hAnsiTheme="minorHAnsi" w:cstheme="minorHAnsi"/>
          <w:b w:val="0"/>
          <w:sz w:val="22"/>
          <w:szCs w:val="22"/>
        </w:rPr>
        <w:t>v</w:t>
      </w:r>
      <w:r>
        <w:rPr>
          <w:rStyle w:val="Bodytext29ptBoldItalic"/>
          <w:rFonts w:asciiTheme="minorHAnsi" w:hAnsiTheme="minorHAnsi" w:cstheme="minorHAnsi"/>
          <w:sz w:val="22"/>
          <w:szCs w:val="22"/>
        </w:rPr>
        <w:t xml:space="preserve"> </w:t>
      </w:r>
      <w:r w:rsidR="009F6E71" w:rsidRPr="00E640A3">
        <w:rPr>
          <w:rFonts w:asciiTheme="minorHAnsi" w:hAnsiTheme="minorHAnsi" w:cstheme="minorHAnsi"/>
          <w:sz w:val="22"/>
          <w:szCs w:val="22"/>
        </w:rPr>
        <w:t xml:space="preserve">21 szt. zwrotnych potwierdzeń odbioru poszczególnych pism organu wysłanych w trakcie prowadzonego postępowania - </w:t>
      </w:r>
      <w:r w:rsidR="009F6E71" w:rsidRPr="00E640A3">
        <w:rPr>
          <w:rFonts w:asciiTheme="minorHAnsi" w:hAnsiTheme="minorHAnsi" w:cstheme="minorHAnsi"/>
          <w:sz w:val="22"/>
          <w:szCs w:val="22"/>
          <w:lang w:val="en-US" w:eastAsia="en-US" w:bidi="en-US"/>
        </w:rPr>
        <w:t xml:space="preserve">dot. </w:t>
      </w:r>
      <w:r w:rsidR="009F6E71" w:rsidRPr="00E640A3">
        <w:rPr>
          <w:rFonts w:asciiTheme="minorHAnsi" w:hAnsiTheme="minorHAnsi" w:cstheme="minorHAnsi"/>
          <w:sz w:val="22"/>
          <w:szCs w:val="22"/>
        </w:rPr>
        <w:t xml:space="preserve">decyzji nr </w:t>
      </w:r>
      <w:r w:rsidR="009F6E71" w:rsidRPr="00E640A3">
        <w:rPr>
          <w:rFonts w:asciiTheme="minorHAnsi" w:hAnsiTheme="minorHAnsi" w:cstheme="minorHAnsi"/>
          <w:sz w:val="22"/>
          <w:szCs w:val="22"/>
          <w:lang w:val="ru-RU" w:eastAsia="ru-RU" w:bidi="ru-RU"/>
        </w:rPr>
        <w:t>37/2022,</w:t>
      </w:r>
    </w:p>
    <w:p w14:paraId="0E5491F9" w14:textId="3B8BE22B" w:rsidR="00C8559D" w:rsidRPr="00E640A3" w:rsidRDefault="00BF362E" w:rsidP="00437391">
      <w:pPr>
        <w:pStyle w:val="Bodytext20"/>
        <w:shd w:val="clear" w:color="auto" w:fill="auto"/>
        <w:spacing w:before="120" w:after="240" w:line="300" w:lineRule="auto"/>
        <w:ind w:left="709" w:right="900" w:hanging="340"/>
        <w:jc w:val="left"/>
        <w:rPr>
          <w:rFonts w:asciiTheme="minorHAnsi" w:hAnsiTheme="minorHAnsi" w:cstheme="minorHAnsi"/>
          <w:sz w:val="22"/>
          <w:szCs w:val="22"/>
        </w:rPr>
      </w:pPr>
      <w:r>
        <w:rPr>
          <w:rFonts w:asciiTheme="minorHAnsi" w:hAnsiTheme="minorHAnsi" w:cstheme="minorHAnsi"/>
          <w:sz w:val="22"/>
          <w:szCs w:val="22"/>
        </w:rPr>
        <w:t>v</w:t>
      </w:r>
      <w:r w:rsidR="009F6E71" w:rsidRPr="00E640A3">
        <w:rPr>
          <w:rFonts w:asciiTheme="minorHAnsi" w:hAnsiTheme="minorHAnsi" w:cstheme="minorHAnsi"/>
          <w:sz w:val="22"/>
          <w:szCs w:val="22"/>
        </w:rPr>
        <w:t xml:space="preserve"> odpowiedniego pełnomocnictwa dla osoby reprezentującej inwestora - </w:t>
      </w:r>
      <w:r w:rsidR="009F6E71" w:rsidRPr="00E640A3">
        <w:rPr>
          <w:rFonts w:asciiTheme="minorHAnsi" w:hAnsiTheme="minorHAnsi" w:cstheme="minorHAnsi"/>
          <w:sz w:val="22"/>
          <w:szCs w:val="22"/>
          <w:lang w:val="en-US" w:eastAsia="en-US" w:bidi="en-US"/>
        </w:rPr>
        <w:t xml:space="preserve">dot. </w:t>
      </w:r>
      <w:r w:rsidR="009F6E71" w:rsidRPr="00E640A3">
        <w:rPr>
          <w:rFonts w:asciiTheme="minorHAnsi" w:hAnsiTheme="minorHAnsi" w:cstheme="minorHAnsi"/>
          <w:sz w:val="22"/>
          <w:szCs w:val="22"/>
        </w:rPr>
        <w:t xml:space="preserve">decyzji nr </w:t>
      </w:r>
      <w:r w:rsidR="009F6E71" w:rsidRPr="00E640A3">
        <w:rPr>
          <w:rFonts w:asciiTheme="minorHAnsi" w:hAnsiTheme="minorHAnsi" w:cstheme="minorHAnsi"/>
          <w:sz w:val="22"/>
          <w:szCs w:val="22"/>
          <w:lang w:val="ru-RU" w:eastAsia="ru-RU" w:bidi="ru-RU"/>
        </w:rPr>
        <w:t>18/2022.</w:t>
      </w:r>
    </w:p>
    <w:p w14:paraId="0E5491FA" w14:textId="77777777" w:rsidR="00C8559D" w:rsidRPr="00E640A3" w:rsidRDefault="009F6E71" w:rsidP="00437391">
      <w:pPr>
        <w:pStyle w:val="Bodytext20"/>
        <w:shd w:val="clear" w:color="auto" w:fill="auto"/>
        <w:spacing w:before="120" w:after="240" w:line="300" w:lineRule="auto"/>
        <w:ind w:firstLine="0"/>
        <w:jc w:val="left"/>
        <w:rPr>
          <w:rFonts w:asciiTheme="minorHAnsi" w:hAnsiTheme="minorHAnsi" w:cstheme="minorHAnsi"/>
          <w:sz w:val="22"/>
          <w:szCs w:val="22"/>
        </w:rPr>
      </w:pPr>
      <w:r w:rsidRPr="00E640A3">
        <w:rPr>
          <w:rFonts w:asciiTheme="minorHAnsi" w:hAnsiTheme="minorHAnsi" w:cstheme="minorHAnsi"/>
          <w:sz w:val="22"/>
          <w:szCs w:val="22"/>
        </w:rPr>
        <w:t>W badanym okresie bezpośredni nadzór nad WAB sprawował Zastępca Burmistrza Dzielnicy Ochota Pan Grzegorz Wysocki.</w:t>
      </w:r>
    </w:p>
    <w:p w14:paraId="0E5491FB" w14:textId="77777777" w:rsidR="00C8559D" w:rsidRPr="00E640A3" w:rsidRDefault="009F6E71" w:rsidP="00437391">
      <w:pPr>
        <w:pStyle w:val="Bodytext20"/>
        <w:shd w:val="clear" w:color="auto" w:fill="auto"/>
        <w:spacing w:before="120" w:after="240" w:line="300" w:lineRule="auto"/>
        <w:ind w:firstLine="0"/>
        <w:jc w:val="left"/>
        <w:rPr>
          <w:rFonts w:asciiTheme="minorHAnsi" w:hAnsiTheme="minorHAnsi" w:cstheme="minorHAnsi"/>
          <w:sz w:val="22"/>
          <w:szCs w:val="22"/>
        </w:rPr>
      </w:pPr>
      <w:r w:rsidRPr="00E640A3">
        <w:rPr>
          <w:rFonts w:asciiTheme="minorHAnsi" w:hAnsiTheme="minorHAnsi" w:cstheme="minorHAnsi"/>
          <w:sz w:val="22"/>
          <w:szCs w:val="22"/>
        </w:rPr>
        <w:t>7</w:t>
      </w:r>
      <w:r w:rsidRPr="00E640A3">
        <w:rPr>
          <w:rFonts w:asciiTheme="minorHAnsi" w:hAnsiTheme="minorHAnsi" w:cstheme="minorHAnsi"/>
          <w:sz w:val="22"/>
          <w:szCs w:val="22"/>
          <w:vertAlign w:val="superscript"/>
        </w:rPr>
        <w:footnoteReference w:id="31"/>
      </w:r>
      <w:r w:rsidRPr="00E640A3">
        <w:rPr>
          <w:rFonts w:asciiTheme="minorHAnsi" w:hAnsiTheme="minorHAnsi" w:cstheme="minorHAnsi"/>
          <w:sz w:val="22"/>
          <w:szCs w:val="22"/>
        </w:rPr>
        <w:t xml:space="preserve"> z 8 kontrolowanych decyzji podpisał p. Jerzy Ustupski Główny specjalista w WAB. I</w:t>
      </w:r>
      <w:r w:rsidRPr="00E640A3">
        <w:rPr>
          <w:rFonts w:asciiTheme="minorHAnsi" w:hAnsiTheme="minorHAnsi" w:cstheme="minorHAnsi"/>
          <w:sz w:val="22"/>
          <w:szCs w:val="22"/>
          <w:vertAlign w:val="superscript"/>
        </w:rPr>
        <w:footnoteReference w:id="32"/>
      </w:r>
      <w:r w:rsidRPr="00E640A3">
        <w:rPr>
          <w:rFonts w:asciiTheme="minorHAnsi" w:hAnsiTheme="minorHAnsi" w:cstheme="minorHAnsi"/>
          <w:sz w:val="22"/>
          <w:szCs w:val="22"/>
        </w:rPr>
        <w:t xml:space="preserve"> decyzję podpisał p. Marcin Zabłocki Naczelnik WAB.</w:t>
      </w:r>
    </w:p>
    <w:p w14:paraId="0E5491FC" w14:textId="77777777" w:rsidR="00C8559D" w:rsidRPr="00E640A3" w:rsidRDefault="009F6E71" w:rsidP="00437391">
      <w:pPr>
        <w:pStyle w:val="Bodytext20"/>
        <w:shd w:val="clear" w:color="auto" w:fill="auto"/>
        <w:spacing w:before="120" w:after="240" w:line="300" w:lineRule="auto"/>
        <w:ind w:firstLine="0"/>
        <w:jc w:val="left"/>
        <w:rPr>
          <w:rFonts w:asciiTheme="minorHAnsi" w:hAnsiTheme="minorHAnsi" w:cstheme="minorHAnsi"/>
          <w:sz w:val="22"/>
          <w:szCs w:val="22"/>
        </w:rPr>
      </w:pPr>
      <w:r w:rsidRPr="00E640A3">
        <w:rPr>
          <w:rFonts w:asciiTheme="minorHAnsi" w:hAnsiTheme="minorHAnsi" w:cstheme="minorHAnsi"/>
          <w:sz w:val="22"/>
          <w:szCs w:val="22"/>
        </w:rPr>
        <w:t xml:space="preserve">W związku ze skalą stwierdzonych nieprawidłowości działalność WAB dla Dzielnicy Ochota m.st. </w:t>
      </w:r>
      <w:r w:rsidRPr="00E640A3">
        <w:rPr>
          <w:rFonts w:asciiTheme="minorHAnsi" w:hAnsiTheme="minorHAnsi" w:cstheme="minorHAnsi"/>
          <w:sz w:val="22"/>
          <w:szCs w:val="22"/>
        </w:rPr>
        <w:lastRenderedPageBreak/>
        <w:t>Warszawy w zakresie poddanym kontroli należy ocenić negatywnie, gdyż na 8 sprawdzonych postępowań (3.00%):</w:t>
      </w:r>
    </w:p>
    <w:p w14:paraId="0E5491FD" w14:textId="1F73E24A" w:rsidR="00C8559D" w:rsidRDefault="00BF362E" w:rsidP="00437391">
      <w:pPr>
        <w:pStyle w:val="Bodytext20"/>
        <w:numPr>
          <w:ilvl w:val="0"/>
          <w:numId w:val="2"/>
        </w:numPr>
        <w:shd w:val="clear" w:color="auto" w:fill="auto"/>
        <w:tabs>
          <w:tab w:val="left" w:pos="567"/>
        </w:tabs>
        <w:spacing w:before="120" w:after="240" w:line="300" w:lineRule="auto"/>
        <w:ind w:left="480"/>
        <w:jc w:val="left"/>
        <w:rPr>
          <w:rFonts w:asciiTheme="minorHAnsi" w:hAnsiTheme="minorHAnsi" w:cstheme="minorHAnsi"/>
          <w:sz w:val="22"/>
          <w:szCs w:val="22"/>
        </w:rPr>
      </w:pPr>
      <w:r>
        <w:rPr>
          <w:rStyle w:val="Bodytext27pt"/>
          <w:rFonts w:asciiTheme="minorHAnsi" w:hAnsiTheme="minorHAnsi" w:cstheme="minorHAnsi"/>
          <w:sz w:val="22"/>
          <w:szCs w:val="22"/>
          <w:lang w:val="pl-PL"/>
        </w:rPr>
        <w:t xml:space="preserve">w </w:t>
      </w:r>
      <w:r w:rsidR="009F6E71" w:rsidRPr="00E640A3">
        <w:rPr>
          <w:rStyle w:val="Bodytext27pt"/>
          <w:rFonts w:asciiTheme="minorHAnsi" w:hAnsiTheme="minorHAnsi" w:cstheme="minorHAnsi"/>
          <w:sz w:val="22"/>
          <w:szCs w:val="22"/>
        </w:rPr>
        <w:t xml:space="preserve"> </w:t>
      </w:r>
      <w:r w:rsidR="009F6E71" w:rsidRPr="00E640A3">
        <w:rPr>
          <w:rFonts w:asciiTheme="minorHAnsi" w:hAnsiTheme="minorHAnsi" w:cstheme="minorHAnsi"/>
          <w:sz w:val="22"/>
          <w:szCs w:val="22"/>
        </w:rPr>
        <w:t xml:space="preserve">3 przypadkach (37%) doszło do naruszenia </w:t>
      </w:r>
      <w:r w:rsidR="009F6E71" w:rsidRPr="00E640A3">
        <w:rPr>
          <w:rFonts w:asciiTheme="minorHAnsi" w:hAnsiTheme="minorHAnsi" w:cstheme="minorHAnsi"/>
          <w:sz w:val="22"/>
          <w:szCs w:val="22"/>
          <w:lang w:val="en-US" w:eastAsia="en-US" w:bidi="en-US"/>
        </w:rPr>
        <w:t xml:space="preserve">art. </w:t>
      </w:r>
      <w:r w:rsidR="009F6E71" w:rsidRPr="00E640A3">
        <w:rPr>
          <w:rFonts w:asciiTheme="minorHAnsi" w:hAnsiTheme="minorHAnsi" w:cstheme="minorHAnsi"/>
          <w:sz w:val="22"/>
          <w:szCs w:val="22"/>
        </w:rPr>
        <w:t>35 ust. 1 Prawa budowlanego a w 2 przypadkach (25%) sprawdzenie zgodności z wymogami ww. przepisu nie było możliwe z uwagi na brak odpowiednich informacji w dokumentacji projektowej;</w:t>
      </w:r>
    </w:p>
    <w:p w14:paraId="0E5491FE" w14:textId="298CE836" w:rsidR="00C8559D" w:rsidRDefault="009F6E71" w:rsidP="00437391">
      <w:pPr>
        <w:pStyle w:val="Bodytext20"/>
        <w:numPr>
          <w:ilvl w:val="0"/>
          <w:numId w:val="2"/>
        </w:numPr>
        <w:shd w:val="clear" w:color="auto" w:fill="auto"/>
        <w:tabs>
          <w:tab w:val="left" w:pos="567"/>
        </w:tabs>
        <w:spacing w:before="120" w:after="240" w:line="300" w:lineRule="auto"/>
        <w:ind w:left="480"/>
        <w:jc w:val="left"/>
        <w:rPr>
          <w:rFonts w:asciiTheme="minorHAnsi" w:hAnsiTheme="minorHAnsi" w:cstheme="minorHAnsi"/>
          <w:sz w:val="22"/>
          <w:szCs w:val="22"/>
        </w:rPr>
      </w:pPr>
      <w:r w:rsidRPr="00BF362E">
        <w:rPr>
          <w:rFonts w:asciiTheme="minorHAnsi" w:hAnsiTheme="minorHAnsi" w:cstheme="minorHAnsi"/>
          <w:sz w:val="22"/>
          <w:szCs w:val="22"/>
        </w:rPr>
        <w:t>w 5 przypadkach (62%) błędnie ustalono datę ostateczności decyzji oraz nie wywiązano się z ustawowego obowiązku przesyłania w odpowiednim czasie kopii decyzji lub informacji o wydanych decyzjach do innych organów;</w:t>
      </w:r>
    </w:p>
    <w:p w14:paraId="0E5491FF" w14:textId="059EF64F" w:rsidR="00C8559D" w:rsidRPr="00BF362E" w:rsidRDefault="009F6E71" w:rsidP="00437391">
      <w:pPr>
        <w:pStyle w:val="Bodytext20"/>
        <w:numPr>
          <w:ilvl w:val="0"/>
          <w:numId w:val="2"/>
        </w:numPr>
        <w:shd w:val="clear" w:color="auto" w:fill="auto"/>
        <w:tabs>
          <w:tab w:val="left" w:pos="567"/>
        </w:tabs>
        <w:spacing w:before="120" w:after="240" w:line="300" w:lineRule="auto"/>
        <w:ind w:left="480"/>
        <w:jc w:val="left"/>
        <w:rPr>
          <w:rFonts w:asciiTheme="minorHAnsi" w:hAnsiTheme="minorHAnsi" w:cstheme="minorHAnsi"/>
          <w:sz w:val="22"/>
          <w:szCs w:val="22"/>
        </w:rPr>
      </w:pPr>
      <w:r w:rsidRPr="00BF362E">
        <w:rPr>
          <w:rFonts w:asciiTheme="minorHAnsi" w:hAnsiTheme="minorHAnsi" w:cstheme="minorHAnsi"/>
          <w:sz w:val="22"/>
          <w:szCs w:val="22"/>
        </w:rPr>
        <w:t>w 4 przypadkach (50%) naruszono zasadę czynnego udziału strony w postępowaniu;</w:t>
      </w:r>
    </w:p>
    <w:p w14:paraId="0E549200" w14:textId="77777777" w:rsidR="00C8559D" w:rsidRPr="00E640A3" w:rsidRDefault="009F6E71" w:rsidP="00437391">
      <w:pPr>
        <w:pStyle w:val="Bodytext20"/>
        <w:numPr>
          <w:ilvl w:val="0"/>
          <w:numId w:val="2"/>
        </w:numPr>
        <w:shd w:val="clear" w:color="auto" w:fill="auto"/>
        <w:tabs>
          <w:tab w:val="left" w:pos="567"/>
        </w:tabs>
        <w:spacing w:before="120" w:after="240" w:line="300" w:lineRule="auto"/>
        <w:ind w:left="480"/>
        <w:jc w:val="left"/>
        <w:rPr>
          <w:rFonts w:asciiTheme="minorHAnsi" w:hAnsiTheme="minorHAnsi" w:cstheme="minorHAnsi"/>
          <w:sz w:val="22"/>
          <w:szCs w:val="22"/>
        </w:rPr>
      </w:pPr>
      <w:r w:rsidRPr="00E640A3">
        <w:rPr>
          <w:rFonts w:asciiTheme="minorHAnsi" w:hAnsiTheme="minorHAnsi" w:cstheme="minorHAnsi"/>
          <w:sz w:val="22"/>
          <w:szCs w:val="22"/>
        </w:rPr>
        <w:t xml:space="preserve">w 3 przypadkach (37%) nie wezwano inwestora do złożenia prawidłowo wypełnionego druku oświadczenia o posiadanym prawie do dysponowania nieruchomością na cele budowlane, zawieszono postępowanie z naruszeniem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98 § 1 k.p.a., nie dochowano zasady szybkości postępowania oraz zatwierdzono projekt zagospodarowania z naruszeniem przepisów rozporządzenia w sprawie zakresu i formy projektu budowlanego;</w:t>
      </w:r>
    </w:p>
    <w:p w14:paraId="0E549201" w14:textId="77777777" w:rsidR="00C8559D" w:rsidRPr="00E640A3" w:rsidRDefault="009F6E71" w:rsidP="00437391">
      <w:pPr>
        <w:pStyle w:val="Bodytext20"/>
        <w:numPr>
          <w:ilvl w:val="0"/>
          <w:numId w:val="2"/>
        </w:numPr>
        <w:shd w:val="clear" w:color="auto" w:fill="auto"/>
        <w:tabs>
          <w:tab w:val="left" w:pos="342"/>
        </w:tabs>
        <w:spacing w:before="120" w:after="240" w:line="300" w:lineRule="auto"/>
        <w:ind w:firstLine="0"/>
        <w:jc w:val="left"/>
        <w:rPr>
          <w:rFonts w:asciiTheme="minorHAnsi" w:hAnsiTheme="minorHAnsi" w:cstheme="minorHAnsi"/>
          <w:sz w:val="22"/>
          <w:szCs w:val="22"/>
        </w:rPr>
      </w:pPr>
      <w:r w:rsidRPr="00E640A3">
        <w:rPr>
          <w:rFonts w:asciiTheme="minorHAnsi" w:hAnsiTheme="minorHAnsi" w:cstheme="minorHAnsi"/>
          <w:sz w:val="22"/>
          <w:szCs w:val="22"/>
        </w:rPr>
        <w:t>w 2 przypadkach (25%) nie złożono oświadczenia o bezstronności w rozpatrywaniu sprawy.</w:t>
      </w:r>
    </w:p>
    <w:p w14:paraId="0E549202" w14:textId="77777777" w:rsidR="00C8559D" w:rsidRPr="00E640A3" w:rsidRDefault="009F6E71" w:rsidP="00437391">
      <w:pPr>
        <w:pStyle w:val="Bodytext20"/>
        <w:shd w:val="clear" w:color="auto" w:fill="auto"/>
        <w:spacing w:before="120" w:after="240" w:line="300" w:lineRule="auto"/>
        <w:ind w:firstLine="0"/>
        <w:jc w:val="left"/>
        <w:rPr>
          <w:rFonts w:asciiTheme="minorHAnsi" w:hAnsiTheme="minorHAnsi" w:cstheme="minorHAnsi"/>
          <w:sz w:val="22"/>
          <w:szCs w:val="22"/>
        </w:rPr>
      </w:pPr>
      <w:r w:rsidRPr="00E640A3">
        <w:rPr>
          <w:rFonts w:asciiTheme="minorHAnsi" w:hAnsiTheme="minorHAnsi" w:cstheme="minorHAnsi"/>
          <w:sz w:val="22"/>
          <w:szCs w:val="22"/>
        </w:rPr>
        <w:t>Jednocześnie zwracam uwagę, że Biuro Kontroli pismem znak: KW-WIA-170.8.2021.LWi z dnia 26.04.2021 r. przekazało Państwu rozszerzony wykaz powtarzalnych nieprawidłowości i uchybień ujawnionych w trakcie kontroli przeprowadzonych w urzędach dzielnic w latach 2017-2.020 w zakresie prawidłowości wydawania decyzji o pozwoleniu na budowę, celem zapoznania z nim podległych pracowników. Pomimo tego, stwierdzono w przeprowadzonej kontroli powielenie ok. 50% nieprawidłowości lub uchybień. Świadczy to o braku poprawy jakości pracy w kontrolowanym obszarze.</w:t>
      </w:r>
    </w:p>
    <w:p w14:paraId="0E549203" w14:textId="77777777" w:rsidR="00C8559D" w:rsidRPr="00E640A3" w:rsidRDefault="009F6E71" w:rsidP="00437391">
      <w:pPr>
        <w:pStyle w:val="Bodytext20"/>
        <w:shd w:val="clear" w:color="auto" w:fill="auto"/>
        <w:spacing w:before="120" w:after="240" w:line="300" w:lineRule="auto"/>
        <w:ind w:firstLine="0"/>
        <w:jc w:val="left"/>
        <w:rPr>
          <w:rFonts w:asciiTheme="minorHAnsi" w:hAnsiTheme="minorHAnsi" w:cstheme="minorHAnsi"/>
          <w:sz w:val="22"/>
          <w:szCs w:val="22"/>
        </w:rPr>
      </w:pPr>
      <w:r w:rsidRPr="00E640A3">
        <w:rPr>
          <w:rFonts w:asciiTheme="minorHAnsi" w:hAnsiTheme="minorHAnsi" w:cstheme="minorHAnsi"/>
          <w:sz w:val="22"/>
          <w:szCs w:val="22"/>
        </w:rPr>
        <w:t>Przedstawiając powyższe ustalenia i oceny zalecam:</w:t>
      </w:r>
    </w:p>
    <w:p w14:paraId="0E549204" w14:textId="77777777" w:rsidR="00C8559D" w:rsidRPr="00E640A3" w:rsidRDefault="009F6E71" w:rsidP="00437391">
      <w:pPr>
        <w:pStyle w:val="Bodytext20"/>
        <w:numPr>
          <w:ilvl w:val="0"/>
          <w:numId w:val="3"/>
        </w:numPr>
        <w:shd w:val="clear" w:color="auto" w:fill="auto"/>
        <w:tabs>
          <w:tab w:val="left" w:pos="483"/>
        </w:tabs>
        <w:spacing w:before="120" w:after="240" w:line="300" w:lineRule="auto"/>
        <w:ind w:left="480" w:hanging="340"/>
        <w:jc w:val="left"/>
        <w:rPr>
          <w:rFonts w:asciiTheme="minorHAnsi" w:hAnsiTheme="minorHAnsi" w:cstheme="minorHAnsi"/>
          <w:sz w:val="22"/>
          <w:szCs w:val="22"/>
        </w:rPr>
      </w:pPr>
      <w:r w:rsidRPr="00E640A3">
        <w:rPr>
          <w:rFonts w:asciiTheme="minorHAnsi" w:hAnsiTheme="minorHAnsi" w:cstheme="minorHAnsi"/>
          <w:sz w:val="22"/>
          <w:szCs w:val="22"/>
        </w:rPr>
        <w:t xml:space="preserve">Każdorazowe rzetelne sprawdzenie zatwierdzanego projektu zagospodarowania działki lub terenu oraz projektu architektoniczno-budowlanego zgodnie z dyspozycją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35 ust. 1 Prawa budowlanego, w szczególności pod względem:</w:t>
      </w:r>
    </w:p>
    <w:p w14:paraId="0E549205" w14:textId="77777777" w:rsidR="00C8559D" w:rsidRPr="00E640A3" w:rsidRDefault="009F6E71" w:rsidP="00437391">
      <w:pPr>
        <w:pStyle w:val="Bodytext20"/>
        <w:numPr>
          <w:ilvl w:val="0"/>
          <w:numId w:val="2"/>
        </w:numPr>
        <w:shd w:val="clear" w:color="auto" w:fill="auto"/>
        <w:tabs>
          <w:tab w:val="left" w:pos="828"/>
        </w:tabs>
        <w:spacing w:before="120" w:after="240" w:line="300" w:lineRule="auto"/>
        <w:ind w:left="820" w:hanging="340"/>
        <w:jc w:val="left"/>
        <w:rPr>
          <w:rFonts w:asciiTheme="minorHAnsi" w:hAnsiTheme="minorHAnsi" w:cstheme="minorHAnsi"/>
          <w:sz w:val="22"/>
          <w:szCs w:val="22"/>
        </w:rPr>
      </w:pPr>
      <w:r w:rsidRPr="00E640A3">
        <w:rPr>
          <w:rFonts w:asciiTheme="minorHAnsi" w:hAnsiTheme="minorHAnsi" w:cstheme="minorHAnsi"/>
          <w:sz w:val="22"/>
          <w:szCs w:val="22"/>
        </w:rPr>
        <w:t>zgodności z przepisami techniczno-budowlanymi,</w:t>
      </w:r>
    </w:p>
    <w:p w14:paraId="0E549206" w14:textId="77777777" w:rsidR="00C8559D" w:rsidRPr="00E640A3" w:rsidRDefault="009F6E71" w:rsidP="00437391">
      <w:pPr>
        <w:pStyle w:val="Bodytext20"/>
        <w:numPr>
          <w:ilvl w:val="0"/>
          <w:numId w:val="2"/>
        </w:numPr>
        <w:shd w:val="clear" w:color="auto" w:fill="auto"/>
        <w:tabs>
          <w:tab w:val="left" w:pos="828"/>
        </w:tabs>
        <w:spacing w:before="120" w:after="240" w:line="300" w:lineRule="auto"/>
        <w:ind w:left="820" w:hanging="340"/>
        <w:jc w:val="left"/>
        <w:rPr>
          <w:rFonts w:asciiTheme="minorHAnsi" w:hAnsiTheme="minorHAnsi" w:cstheme="minorHAnsi"/>
          <w:sz w:val="22"/>
          <w:szCs w:val="22"/>
        </w:rPr>
      </w:pPr>
      <w:r w:rsidRPr="00E640A3">
        <w:rPr>
          <w:rFonts w:asciiTheme="minorHAnsi" w:hAnsiTheme="minorHAnsi" w:cstheme="minorHAnsi"/>
          <w:sz w:val="22"/>
          <w:szCs w:val="22"/>
        </w:rPr>
        <w:t>kompletności projektu zagospodarowania działki lub terenu oraz projektu architektoniczno- budowlanego,</w:t>
      </w:r>
    </w:p>
    <w:p w14:paraId="0E549207" w14:textId="77777777" w:rsidR="00C8559D" w:rsidRPr="00E640A3" w:rsidRDefault="009F6E71" w:rsidP="00437391">
      <w:pPr>
        <w:pStyle w:val="Bodytext20"/>
        <w:numPr>
          <w:ilvl w:val="0"/>
          <w:numId w:val="3"/>
        </w:numPr>
        <w:shd w:val="clear" w:color="auto" w:fill="auto"/>
        <w:tabs>
          <w:tab w:val="left" w:pos="483"/>
        </w:tabs>
        <w:spacing w:before="120" w:after="240" w:line="300" w:lineRule="auto"/>
        <w:ind w:left="480" w:hanging="340"/>
        <w:jc w:val="left"/>
        <w:rPr>
          <w:rFonts w:asciiTheme="minorHAnsi" w:hAnsiTheme="minorHAnsi" w:cstheme="minorHAnsi"/>
          <w:sz w:val="22"/>
          <w:szCs w:val="22"/>
        </w:rPr>
      </w:pPr>
      <w:r w:rsidRPr="00E640A3">
        <w:rPr>
          <w:rFonts w:asciiTheme="minorHAnsi" w:hAnsiTheme="minorHAnsi" w:cstheme="minorHAnsi"/>
          <w:sz w:val="22"/>
          <w:szCs w:val="22"/>
        </w:rPr>
        <w:t xml:space="preserve">Każdorazowe sprawdzenie, czy zatwierdzany projekt zagospodarowania działki lub terenu został sporządzony na mapie do celów projektowych, w tym, czy wykonawca prac geodezyjnych złożył na mapie podpis pod oświadczeniem o uzyskaniu pozytywnego wyniku </w:t>
      </w:r>
      <w:r w:rsidRPr="00E640A3">
        <w:rPr>
          <w:rFonts w:asciiTheme="minorHAnsi" w:hAnsiTheme="minorHAnsi" w:cstheme="minorHAnsi"/>
          <w:sz w:val="22"/>
          <w:szCs w:val="22"/>
        </w:rPr>
        <w:lastRenderedPageBreak/>
        <w:t xml:space="preserve">weryfikacji zgodnie z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34b Prawa budowlanego.</w:t>
      </w:r>
    </w:p>
    <w:p w14:paraId="0E549208" w14:textId="77777777" w:rsidR="00C8559D" w:rsidRPr="00E640A3" w:rsidRDefault="009F6E71" w:rsidP="00437391">
      <w:pPr>
        <w:pStyle w:val="Bodytext20"/>
        <w:numPr>
          <w:ilvl w:val="0"/>
          <w:numId w:val="3"/>
        </w:numPr>
        <w:shd w:val="clear" w:color="auto" w:fill="auto"/>
        <w:tabs>
          <w:tab w:val="left" w:pos="483"/>
        </w:tabs>
        <w:spacing w:before="120" w:after="240" w:line="300" w:lineRule="auto"/>
        <w:ind w:left="480" w:hanging="340"/>
        <w:jc w:val="left"/>
        <w:rPr>
          <w:rFonts w:asciiTheme="minorHAnsi" w:hAnsiTheme="minorHAnsi" w:cstheme="minorHAnsi"/>
          <w:sz w:val="22"/>
          <w:szCs w:val="22"/>
        </w:rPr>
      </w:pPr>
      <w:r w:rsidRPr="00E640A3">
        <w:rPr>
          <w:rFonts w:asciiTheme="minorHAnsi" w:hAnsiTheme="minorHAnsi" w:cstheme="minorHAnsi"/>
          <w:sz w:val="22"/>
          <w:szCs w:val="22"/>
        </w:rPr>
        <w:t>W przypadku złożenia przez wnioskodawcę nieprawidłowo wypełnionego druku oświadczenia o posiadanym prawie do dysponowania nieruchomością na cele budowlane, każdorazowe wezwanie go do przedłożenia oświadczenia zgodnego z wzorem określonym w Rozporządzenie Ministra Rozwoju, Pracy i Technologii z dnia 25 czerwca 2021 r. w sprawie wzoru oświadczenia o posiadanym prawie do dysponowania nieruchomością na cele budowlane (Dz. U. 2021 r., poz. 1170).</w:t>
      </w:r>
    </w:p>
    <w:p w14:paraId="0E549209" w14:textId="77777777" w:rsidR="00C8559D" w:rsidRPr="00E640A3" w:rsidRDefault="009F6E71" w:rsidP="00437391">
      <w:pPr>
        <w:pStyle w:val="Bodytext20"/>
        <w:numPr>
          <w:ilvl w:val="0"/>
          <w:numId w:val="3"/>
        </w:numPr>
        <w:shd w:val="clear" w:color="auto" w:fill="auto"/>
        <w:tabs>
          <w:tab w:val="left" w:pos="483"/>
        </w:tabs>
        <w:spacing w:before="120" w:after="240" w:line="300" w:lineRule="auto"/>
        <w:ind w:left="480" w:hanging="340"/>
        <w:jc w:val="left"/>
        <w:rPr>
          <w:rFonts w:asciiTheme="minorHAnsi" w:hAnsiTheme="minorHAnsi" w:cstheme="minorHAnsi"/>
          <w:sz w:val="22"/>
          <w:szCs w:val="22"/>
        </w:rPr>
      </w:pPr>
      <w:r w:rsidRPr="00E640A3">
        <w:rPr>
          <w:rFonts w:asciiTheme="minorHAnsi" w:hAnsiTheme="minorHAnsi" w:cstheme="minorHAnsi"/>
          <w:sz w:val="22"/>
          <w:szCs w:val="22"/>
        </w:rPr>
        <w:t>W przypadku załączenia do dokumentacji projektowej niepotwierdzonych kopii uprawnień budowlanych projektantów lub projektantów sprawdzających nie wpisanych do centralnego rejestru osób posiadających uprawnienia budowlane, każdorazowe nałożenie obowiązku potwierdzenia ich za zgodność z oryginałem przez osobę sporządzającą projekt.</w:t>
      </w:r>
    </w:p>
    <w:p w14:paraId="0E54920A" w14:textId="77777777" w:rsidR="00C8559D" w:rsidRPr="00E640A3" w:rsidRDefault="009F6E71" w:rsidP="00437391">
      <w:pPr>
        <w:pStyle w:val="Bodytext20"/>
        <w:numPr>
          <w:ilvl w:val="0"/>
          <w:numId w:val="3"/>
        </w:numPr>
        <w:shd w:val="clear" w:color="auto" w:fill="auto"/>
        <w:tabs>
          <w:tab w:val="left" w:pos="483"/>
        </w:tabs>
        <w:spacing w:before="120" w:after="240" w:line="300" w:lineRule="auto"/>
        <w:ind w:left="480" w:hanging="340"/>
        <w:jc w:val="left"/>
        <w:rPr>
          <w:rFonts w:asciiTheme="minorHAnsi" w:hAnsiTheme="minorHAnsi" w:cstheme="minorHAnsi"/>
          <w:sz w:val="22"/>
          <w:szCs w:val="22"/>
        </w:rPr>
      </w:pPr>
      <w:r w:rsidRPr="00E640A3">
        <w:rPr>
          <w:rFonts w:asciiTheme="minorHAnsi" w:hAnsiTheme="minorHAnsi" w:cstheme="minorHAnsi"/>
          <w:sz w:val="22"/>
          <w:szCs w:val="22"/>
        </w:rPr>
        <w:t xml:space="preserve">Zastosowanie w toku postępowania wezwania inwestora w trybie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64 § 2 k.p.a., wyłącznie w przypadku braków formalnych wniosku o pozwolenie na budowę.</w:t>
      </w:r>
    </w:p>
    <w:p w14:paraId="0E54920B" w14:textId="77777777" w:rsidR="00C8559D" w:rsidRPr="00E640A3" w:rsidRDefault="009F6E71" w:rsidP="00437391">
      <w:pPr>
        <w:pStyle w:val="Bodytext20"/>
        <w:numPr>
          <w:ilvl w:val="0"/>
          <w:numId w:val="3"/>
        </w:numPr>
        <w:shd w:val="clear" w:color="auto" w:fill="auto"/>
        <w:tabs>
          <w:tab w:val="left" w:pos="483"/>
        </w:tabs>
        <w:spacing w:before="120" w:after="240" w:line="300" w:lineRule="auto"/>
        <w:ind w:left="480" w:hanging="340"/>
        <w:jc w:val="left"/>
        <w:rPr>
          <w:rFonts w:asciiTheme="minorHAnsi" w:hAnsiTheme="minorHAnsi" w:cstheme="minorHAnsi"/>
          <w:sz w:val="22"/>
          <w:szCs w:val="22"/>
        </w:rPr>
      </w:pPr>
      <w:r w:rsidRPr="00E640A3">
        <w:rPr>
          <w:rFonts w:asciiTheme="minorHAnsi" w:hAnsiTheme="minorHAnsi" w:cstheme="minorHAnsi"/>
          <w:sz w:val="22"/>
          <w:szCs w:val="22"/>
        </w:rPr>
        <w:t xml:space="preserve">Każdorazowe prowadzenie postępowań administracyjnych z zachowaniem zasady szybkości postępowania zawartej w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 xml:space="preserve">12 § 1 k.p.a. oraz wypełnieniem obowiązku załatwienia sprawy bez zbędnej zwłoki ujętym w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35 § 1 k.p.a.</w:t>
      </w:r>
    </w:p>
    <w:p w14:paraId="0E54920C" w14:textId="77777777" w:rsidR="00C8559D" w:rsidRPr="00E640A3" w:rsidRDefault="009F6E71" w:rsidP="00437391">
      <w:pPr>
        <w:pStyle w:val="Bodytext20"/>
        <w:numPr>
          <w:ilvl w:val="0"/>
          <w:numId w:val="3"/>
        </w:numPr>
        <w:shd w:val="clear" w:color="auto" w:fill="auto"/>
        <w:tabs>
          <w:tab w:val="left" w:pos="483"/>
        </w:tabs>
        <w:spacing w:before="120" w:after="240" w:line="300" w:lineRule="auto"/>
        <w:ind w:left="480" w:hanging="340"/>
        <w:jc w:val="left"/>
        <w:rPr>
          <w:rFonts w:asciiTheme="minorHAnsi" w:hAnsiTheme="minorHAnsi" w:cstheme="minorHAnsi"/>
          <w:sz w:val="22"/>
          <w:szCs w:val="22"/>
        </w:rPr>
      </w:pPr>
      <w:r w:rsidRPr="00E640A3">
        <w:rPr>
          <w:rFonts w:asciiTheme="minorHAnsi" w:hAnsiTheme="minorHAnsi" w:cstheme="minorHAnsi"/>
          <w:sz w:val="22"/>
          <w:szCs w:val="22"/>
        </w:rPr>
        <w:t xml:space="preserve">Prowadzenie postępowań z zachowaniem zasady zapewniającej stronom czynny udział w każdym stadium postępowania zgodnie z dyspozycją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10 § 1 k.p.a., w tym umożliwienie im wypowiedzenia się, co do zebranych dowodów i materiałów oraz zgłoszonych żądań przed wydaniem decyzji.</w:t>
      </w:r>
    </w:p>
    <w:p w14:paraId="0E54920D" w14:textId="77777777" w:rsidR="00C8559D" w:rsidRPr="00E640A3" w:rsidRDefault="009F6E71" w:rsidP="00437391">
      <w:pPr>
        <w:pStyle w:val="Bodytext20"/>
        <w:numPr>
          <w:ilvl w:val="0"/>
          <w:numId w:val="3"/>
        </w:numPr>
        <w:shd w:val="clear" w:color="auto" w:fill="auto"/>
        <w:tabs>
          <w:tab w:val="left" w:pos="483"/>
        </w:tabs>
        <w:spacing w:before="120" w:after="240" w:line="300" w:lineRule="auto"/>
        <w:ind w:left="480" w:right="820" w:hanging="340"/>
        <w:jc w:val="left"/>
        <w:rPr>
          <w:rFonts w:asciiTheme="minorHAnsi" w:hAnsiTheme="minorHAnsi" w:cstheme="minorHAnsi"/>
          <w:sz w:val="22"/>
          <w:szCs w:val="22"/>
        </w:rPr>
      </w:pPr>
      <w:r w:rsidRPr="00E640A3">
        <w:rPr>
          <w:rFonts w:asciiTheme="minorHAnsi" w:hAnsiTheme="minorHAnsi" w:cstheme="minorHAnsi"/>
          <w:sz w:val="22"/>
          <w:szCs w:val="22"/>
        </w:rPr>
        <w:t xml:space="preserve">Każdorazowo, przed wydaniem postanowienia o zawieszeniu postępowania na wniosek inwestora, poinformowanie wszystkich stron postępowania, zgodnie </w:t>
      </w:r>
      <w:r w:rsidRPr="00E640A3">
        <w:rPr>
          <w:rFonts w:asciiTheme="minorHAnsi" w:hAnsiTheme="minorHAnsi" w:cstheme="minorHAnsi"/>
          <w:sz w:val="22"/>
          <w:szCs w:val="22"/>
          <w:lang w:val="de-DE" w:eastAsia="de-DE" w:bidi="de-DE"/>
        </w:rPr>
        <w:t xml:space="preserve">zart. </w:t>
      </w:r>
      <w:r w:rsidRPr="00E640A3">
        <w:rPr>
          <w:rFonts w:asciiTheme="minorHAnsi" w:hAnsiTheme="minorHAnsi" w:cstheme="minorHAnsi"/>
          <w:sz w:val="22"/>
          <w:szCs w:val="22"/>
        </w:rPr>
        <w:t>98 § 1 k.p.a., o możliwości złożenia ewentualnego sprzeciwu.</w:t>
      </w:r>
    </w:p>
    <w:p w14:paraId="0E54920E" w14:textId="77777777" w:rsidR="00C8559D" w:rsidRPr="00E640A3" w:rsidRDefault="009F6E71" w:rsidP="00437391">
      <w:pPr>
        <w:pStyle w:val="Bodytext20"/>
        <w:numPr>
          <w:ilvl w:val="0"/>
          <w:numId w:val="3"/>
        </w:numPr>
        <w:shd w:val="clear" w:color="auto" w:fill="auto"/>
        <w:tabs>
          <w:tab w:val="left" w:pos="483"/>
        </w:tabs>
        <w:spacing w:before="120" w:after="240" w:line="300" w:lineRule="auto"/>
        <w:ind w:left="480" w:hanging="340"/>
        <w:jc w:val="left"/>
        <w:rPr>
          <w:rFonts w:asciiTheme="minorHAnsi" w:hAnsiTheme="minorHAnsi" w:cstheme="minorHAnsi"/>
          <w:sz w:val="22"/>
          <w:szCs w:val="22"/>
        </w:rPr>
      </w:pPr>
      <w:r w:rsidRPr="00E640A3">
        <w:rPr>
          <w:rFonts w:asciiTheme="minorHAnsi" w:hAnsiTheme="minorHAnsi" w:cstheme="minorHAnsi"/>
          <w:sz w:val="22"/>
          <w:szCs w:val="22"/>
        </w:rPr>
        <w:t xml:space="preserve">Szczególną staranność w ustalaniu daty, w której decyzja o pozwoleniu na budowę stała się ostateczna, mając na uwadze ostatni dzień terminu do wniesienia odwołania określony w </w:t>
      </w:r>
      <w:r w:rsidRPr="00E640A3">
        <w:rPr>
          <w:rFonts w:asciiTheme="minorHAnsi" w:hAnsiTheme="minorHAnsi" w:cstheme="minorHAnsi"/>
          <w:sz w:val="22"/>
          <w:szCs w:val="22"/>
          <w:lang w:val="en-US" w:eastAsia="en-US" w:bidi="en-US"/>
        </w:rPr>
        <w:t>art.</w:t>
      </w:r>
    </w:p>
    <w:p w14:paraId="0E54920F" w14:textId="06345C7F" w:rsidR="00C8559D" w:rsidRPr="00E640A3" w:rsidRDefault="009F6E71" w:rsidP="00437391">
      <w:pPr>
        <w:pStyle w:val="Bodytext20"/>
        <w:shd w:val="clear" w:color="auto" w:fill="auto"/>
        <w:spacing w:before="120" w:after="240" w:line="300" w:lineRule="auto"/>
        <w:ind w:left="820" w:hanging="340"/>
        <w:jc w:val="left"/>
        <w:rPr>
          <w:rFonts w:asciiTheme="minorHAnsi" w:hAnsiTheme="minorHAnsi" w:cstheme="minorHAnsi"/>
          <w:sz w:val="22"/>
          <w:szCs w:val="22"/>
        </w:rPr>
      </w:pPr>
      <w:r w:rsidRPr="00E640A3">
        <w:rPr>
          <w:rFonts w:asciiTheme="minorHAnsi" w:hAnsiTheme="minorHAnsi" w:cstheme="minorHAnsi"/>
          <w:sz w:val="22"/>
          <w:szCs w:val="22"/>
        </w:rPr>
        <w:t>129 § 2 k.p.a.</w:t>
      </w:r>
    </w:p>
    <w:p w14:paraId="0E549210" w14:textId="77777777" w:rsidR="00C8559D" w:rsidRPr="00E640A3" w:rsidRDefault="009F6E71" w:rsidP="00437391">
      <w:pPr>
        <w:pStyle w:val="Bodytext20"/>
        <w:numPr>
          <w:ilvl w:val="0"/>
          <w:numId w:val="3"/>
        </w:numPr>
        <w:shd w:val="clear" w:color="auto" w:fill="auto"/>
        <w:tabs>
          <w:tab w:val="left" w:pos="370"/>
        </w:tabs>
        <w:spacing w:before="120" w:after="240" w:line="300" w:lineRule="auto"/>
        <w:ind w:left="440" w:hanging="440"/>
        <w:jc w:val="left"/>
        <w:rPr>
          <w:rFonts w:asciiTheme="minorHAnsi" w:hAnsiTheme="minorHAnsi" w:cstheme="minorHAnsi"/>
          <w:sz w:val="22"/>
          <w:szCs w:val="22"/>
        </w:rPr>
      </w:pPr>
      <w:r w:rsidRPr="00E640A3">
        <w:rPr>
          <w:rFonts w:asciiTheme="minorHAnsi" w:hAnsiTheme="minorHAnsi" w:cstheme="minorHAnsi"/>
          <w:sz w:val="22"/>
          <w:szCs w:val="22"/>
        </w:rPr>
        <w:t xml:space="preserve">Każdorazowe przestrzeganie </w:t>
      </w:r>
      <w:r w:rsidRPr="00E640A3">
        <w:rPr>
          <w:rFonts w:asciiTheme="minorHAnsi" w:hAnsiTheme="minorHAnsi" w:cstheme="minorHAnsi"/>
          <w:sz w:val="22"/>
          <w:szCs w:val="22"/>
          <w:lang w:val="en-US" w:eastAsia="en-US" w:bidi="en-US"/>
        </w:rPr>
        <w:t xml:space="preserve">art. 76a </w:t>
      </w:r>
      <w:r w:rsidRPr="00E640A3">
        <w:rPr>
          <w:rFonts w:asciiTheme="minorHAnsi" w:hAnsiTheme="minorHAnsi" w:cstheme="minorHAnsi"/>
          <w:sz w:val="22"/>
          <w:szCs w:val="22"/>
        </w:rPr>
        <w:t>§ 2 k.p.a. poprzez uznanie tylko takich kopii pełnomocnictw, które zostały odpowiednio poświadczone za zgodność z oryginałem.</w:t>
      </w:r>
    </w:p>
    <w:p w14:paraId="0E549211" w14:textId="77777777" w:rsidR="00C8559D" w:rsidRPr="00E640A3" w:rsidRDefault="009F6E71" w:rsidP="00437391">
      <w:pPr>
        <w:pStyle w:val="Bodytext20"/>
        <w:numPr>
          <w:ilvl w:val="0"/>
          <w:numId w:val="3"/>
        </w:numPr>
        <w:shd w:val="clear" w:color="auto" w:fill="auto"/>
        <w:tabs>
          <w:tab w:val="left" w:pos="385"/>
        </w:tabs>
        <w:spacing w:before="120" w:after="240" w:line="300" w:lineRule="auto"/>
        <w:ind w:left="440" w:hanging="440"/>
        <w:jc w:val="left"/>
        <w:rPr>
          <w:rFonts w:asciiTheme="minorHAnsi" w:hAnsiTheme="minorHAnsi" w:cstheme="minorHAnsi"/>
          <w:sz w:val="22"/>
          <w:szCs w:val="22"/>
        </w:rPr>
      </w:pPr>
      <w:r w:rsidRPr="00E640A3">
        <w:rPr>
          <w:rFonts w:asciiTheme="minorHAnsi" w:hAnsiTheme="minorHAnsi" w:cstheme="minorHAnsi"/>
          <w:sz w:val="22"/>
          <w:szCs w:val="22"/>
        </w:rPr>
        <w:t xml:space="preserve">Każdorazowe wypełnianie wymogów ustalonych w § 2 ust. 1 zarządzenia Nr </w:t>
      </w:r>
      <w:r w:rsidRPr="00E640A3">
        <w:rPr>
          <w:rFonts w:asciiTheme="minorHAnsi" w:hAnsiTheme="minorHAnsi" w:cstheme="minorHAnsi"/>
          <w:sz w:val="22"/>
          <w:szCs w:val="22"/>
          <w:lang w:val="ru-RU" w:eastAsia="ru-RU" w:bidi="ru-RU"/>
        </w:rPr>
        <w:t xml:space="preserve">1793/2016 </w:t>
      </w:r>
      <w:r w:rsidRPr="00E640A3">
        <w:rPr>
          <w:rFonts w:asciiTheme="minorHAnsi" w:hAnsiTheme="minorHAnsi" w:cstheme="minorHAnsi"/>
          <w:sz w:val="22"/>
          <w:szCs w:val="22"/>
        </w:rPr>
        <w:t>Prezydenta Miasta Stołecznego Warszawy z dnia 9 grudnia 2016 r., tj. złożenie oświadczenia o bezstronności w rozpatrywaniu sprawy.</w:t>
      </w:r>
    </w:p>
    <w:p w14:paraId="0E549212" w14:textId="77777777" w:rsidR="00C8559D" w:rsidRPr="00E640A3" w:rsidRDefault="009F6E71" w:rsidP="00437391">
      <w:pPr>
        <w:pStyle w:val="Bodytext20"/>
        <w:numPr>
          <w:ilvl w:val="0"/>
          <w:numId w:val="3"/>
        </w:numPr>
        <w:shd w:val="clear" w:color="auto" w:fill="auto"/>
        <w:tabs>
          <w:tab w:val="left" w:pos="385"/>
        </w:tabs>
        <w:spacing w:before="120" w:after="240" w:line="300" w:lineRule="auto"/>
        <w:ind w:left="440" w:hanging="440"/>
        <w:jc w:val="left"/>
        <w:rPr>
          <w:rFonts w:asciiTheme="minorHAnsi" w:hAnsiTheme="minorHAnsi" w:cstheme="minorHAnsi"/>
          <w:sz w:val="22"/>
          <w:szCs w:val="22"/>
        </w:rPr>
      </w:pPr>
      <w:r w:rsidRPr="00E640A3">
        <w:rPr>
          <w:rFonts w:asciiTheme="minorHAnsi" w:hAnsiTheme="minorHAnsi" w:cstheme="minorHAnsi"/>
          <w:sz w:val="22"/>
          <w:szCs w:val="22"/>
        </w:rPr>
        <w:t xml:space="preserve">Przekazywanie ostatecznych decyzji do Centrum Obsługi Podatnika w terminie wskazanym w § </w:t>
      </w:r>
      <w:r w:rsidRPr="00E640A3">
        <w:rPr>
          <w:rFonts w:asciiTheme="minorHAnsi" w:hAnsiTheme="minorHAnsi" w:cstheme="minorHAnsi"/>
          <w:sz w:val="22"/>
          <w:szCs w:val="22"/>
        </w:rPr>
        <w:lastRenderedPageBreak/>
        <w:t>6 ust. 1 rozporządzenia Ministra Finansów z dnia 24 grudnia 2002 r. w sprawie informacji podatkowych.</w:t>
      </w:r>
    </w:p>
    <w:p w14:paraId="0E549213" w14:textId="77777777" w:rsidR="00C8559D" w:rsidRPr="00E640A3" w:rsidRDefault="009F6E71" w:rsidP="00437391">
      <w:pPr>
        <w:pStyle w:val="Bodytext20"/>
        <w:numPr>
          <w:ilvl w:val="0"/>
          <w:numId w:val="3"/>
        </w:numPr>
        <w:shd w:val="clear" w:color="auto" w:fill="auto"/>
        <w:tabs>
          <w:tab w:val="left" w:pos="390"/>
        </w:tabs>
        <w:spacing w:before="120" w:after="240" w:line="300" w:lineRule="auto"/>
        <w:ind w:left="440" w:hanging="440"/>
        <w:jc w:val="left"/>
        <w:rPr>
          <w:rFonts w:asciiTheme="minorHAnsi" w:hAnsiTheme="minorHAnsi" w:cstheme="minorHAnsi"/>
          <w:sz w:val="22"/>
          <w:szCs w:val="22"/>
        </w:rPr>
      </w:pPr>
      <w:r w:rsidRPr="00E640A3">
        <w:rPr>
          <w:rFonts w:asciiTheme="minorHAnsi" w:hAnsiTheme="minorHAnsi" w:cstheme="minorHAnsi"/>
          <w:sz w:val="22"/>
          <w:szCs w:val="22"/>
        </w:rPr>
        <w:t xml:space="preserve">Bezzwłoczne przekazywanie ostatecznych decyzji do Powiatowego Inspektora Nadzoru Budowlanego, zgodnie z dyspozycją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82b ust. 1 pkt 2 Prawa budowlanego.</w:t>
      </w:r>
    </w:p>
    <w:p w14:paraId="0E549214" w14:textId="77777777" w:rsidR="00C8559D" w:rsidRPr="00E640A3" w:rsidRDefault="009F6E71" w:rsidP="00437391">
      <w:pPr>
        <w:pStyle w:val="Bodytext20"/>
        <w:numPr>
          <w:ilvl w:val="0"/>
          <w:numId w:val="3"/>
        </w:numPr>
        <w:shd w:val="clear" w:color="auto" w:fill="auto"/>
        <w:tabs>
          <w:tab w:val="left" w:pos="390"/>
        </w:tabs>
        <w:spacing w:before="120" w:after="240" w:line="300" w:lineRule="auto"/>
        <w:ind w:left="440" w:hanging="440"/>
        <w:jc w:val="left"/>
        <w:rPr>
          <w:rFonts w:asciiTheme="minorHAnsi" w:hAnsiTheme="minorHAnsi" w:cstheme="minorHAnsi"/>
          <w:sz w:val="22"/>
          <w:szCs w:val="22"/>
        </w:rPr>
      </w:pPr>
      <w:r w:rsidRPr="00E640A3">
        <w:rPr>
          <w:rFonts w:asciiTheme="minorHAnsi" w:hAnsiTheme="minorHAnsi" w:cstheme="minorHAnsi"/>
          <w:sz w:val="22"/>
          <w:szCs w:val="22"/>
        </w:rPr>
        <w:t xml:space="preserve">Każdorazowe wprowadzanie danych do RWDZ i przesyłanie ich drogą elektroniczną do organu wyższego stopnia na bieżąco - zgodnie z dyspozycją </w:t>
      </w:r>
      <w:r w:rsidRPr="00E640A3">
        <w:rPr>
          <w:rFonts w:asciiTheme="minorHAnsi" w:hAnsiTheme="minorHAnsi" w:cstheme="minorHAnsi"/>
          <w:sz w:val="22"/>
          <w:szCs w:val="22"/>
          <w:lang w:val="en-US" w:eastAsia="en-US" w:bidi="en-US"/>
        </w:rPr>
        <w:t xml:space="preserve">art. </w:t>
      </w:r>
      <w:r w:rsidRPr="00E640A3">
        <w:rPr>
          <w:rFonts w:asciiTheme="minorHAnsi" w:hAnsiTheme="minorHAnsi" w:cstheme="minorHAnsi"/>
          <w:sz w:val="22"/>
          <w:szCs w:val="22"/>
        </w:rPr>
        <w:t>82b ust. 2 Prawa budowlanego.</w:t>
      </w:r>
    </w:p>
    <w:p w14:paraId="0E549215" w14:textId="77777777" w:rsidR="00C8559D" w:rsidRPr="00E640A3" w:rsidRDefault="009F6E71" w:rsidP="00437391">
      <w:pPr>
        <w:pStyle w:val="Bodytext20"/>
        <w:numPr>
          <w:ilvl w:val="0"/>
          <w:numId w:val="3"/>
        </w:numPr>
        <w:shd w:val="clear" w:color="auto" w:fill="auto"/>
        <w:tabs>
          <w:tab w:val="left" w:pos="390"/>
        </w:tabs>
        <w:spacing w:before="120" w:after="240" w:line="300" w:lineRule="auto"/>
        <w:ind w:left="440" w:hanging="440"/>
        <w:jc w:val="left"/>
        <w:rPr>
          <w:rFonts w:asciiTheme="minorHAnsi" w:hAnsiTheme="minorHAnsi" w:cstheme="minorHAnsi"/>
          <w:sz w:val="22"/>
          <w:szCs w:val="22"/>
        </w:rPr>
      </w:pPr>
      <w:r w:rsidRPr="00E640A3">
        <w:rPr>
          <w:rFonts w:asciiTheme="minorHAnsi" w:hAnsiTheme="minorHAnsi" w:cstheme="minorHAnsi"/>
          <w:sz w:val="22"/>
          <w:szCs w:val="22"/>
        </w:rPr>
        <w:t>Prowadzenie postępowań administracyjnych oraz sporządzanie wszystkich dokumentów z należytą starannością.</w:t>
      </w:r>
    </w:p>
    <w:p w14:paraId="0E549216" w14:textId="77777777" w:rsidR="00C8559D" w:rsidRPr="00E640A3" w:rsidRDefault="009F6E71" w:rsidP="00437391">
      <w:pPr>
        <w:pStyle w:val="Bodytext20"/>
        <w:numPr>
          <w:ilvl w:val="0"/>
          <w:numId w:val="3"/>
        </w:numPr>
        <w:shd w:val="clear" w:color="auto" w:fill="auto"/>
        <w:tabs>
          <w:tab w:val="left" w:pos="390"/>
        </w:tabs>
        <w:spacing w:before="120" w:after="240" w:line="300" w:lineRule="auto"/>
        <w:ind w:left="440" w:hanging="440"/>
        <w:jc w:val="left"/>
        <w:rPr>
          <w:rFonts w:asciiTheme="minorHAnsi" w:hAnsiTheme="minorHAnsi" w:cstheme="minorHAnsi"/>
          <w:sz w:val="22"/>
          <w:szCs w:val="22"/>
        </w:rPr>
      </w:pPr>
      <w:r w:rsidRPr="00E640A3">
        <w:rPr>
          <w:rFonts w:asciiTheme="minorHAnsi" w:hAnsiTheme="minorHAnsi" w:cstheme="minorHAnsi"/>
          <w:sz w:val="22"/>
          <w:szCs w:val="22"/>
        </w:rPr>
        <w:t>Zorganizowanie cyklicznych szkoleń dotyczących obowiązującego prawa materialnego oraz proceduralnego w zakresie realizowanych zadań.</w:t>
      </w:r>
    </w:p>
    <w:p w14:paraId="0E549217" w14:textId="77777777" w:rsidR="00C8559D" w:rsidRPr="00E640A3" w:rsidRDefault="009F6E71" w:rsidP="00437391">
      <w:pPr>
        <w:pStyle w:val="Bodytext20"/>
        <w:numPr>
          <w:ilvl w:val="0"/>
          <w:numId w:val="3"/>
        </w:numPr>
        <w:shd w:val="clear" w:color="auto" w:fill="auto"/>
        <w:tabs>
          <w:tab w:val="left" w:pos="394"/>
        </w:tabs>
        <w:spacing w:before="120" w:after="240" w:line="300" w:lineRule="auto"/>
        <w:ind w:firstLine="0"/>
        <w:jc w:val="left"/>
        <w:rPr>
          <w:rFonts w:asciiTheme="minorHAnsi" w:hAnsiTheme="minorHAnsi" w:cstheme="minorHAnsi"/>
          <w:sz w:val="22"/>
          <w:szCs w:val="22"/>
        </w:rPr>
      </w:pPr>
      <w:r w:rsidRPr="00E640A3">
        <w:rPr>
          <w:rFonts w:asciiTheme="minorHAnsi" w:hAnsiTheme="minorHAnsi" w:cstheme="minorHAnsi"/>
          <w:sz w:val="22"/>
          <w:szCs w:val="22"/>
        </w:rPr>
        <w:t>Zwiększenie nadzoru nad wykonywaniem obowiązków przez podległych pracowników.</w:t>
      </w:r>
    </w:p>
    <w:p w14:paraId="0E549218" w14:textId="77777777" w:rsidR="00C8559D" w:rsidRPr="00E640A3" w:rsidRDefault="009F6E71" w:rsidP="00437391">
      <w:pPr>
        <w:pStyle w:val="Bodytext20"/>
        <w:shd w:val="clear" w:color="auto" w:fill="auto"/>
        <w:spacing w:before="120" w:after="240" w:line="300" w:lineRule="auto"/>
        <w:ind w:firstLine="0"/>
        <w:jc w:val="left"/>
        <w:rPr>
          <w:rFonts w:asciiTheme="minorHAnsi" w:hAnsiTheme="minorHAnsi" w:cstheme="minorHAnsi"/>
          <w:sz w:val="22"/>
          <w:szCs w:val="22"/>
        </w:rPr>
      </w:pPr>
      <w:r w:rsidRPr="00E640A3">
        <w:rPr>
          <w:rFonts w:asciiTheme="minorHAnsi" w:hAnsiTheme="minorHAnsi" w:cstheme="minorHAnsi"/>
          <w:sz w:val="22"/>
          <w:szCs w:val="22"/>
        </w:rPr>
        <w:t>Na podstawie § 22 ust. 10 Regulaminu organizacyjnego oraz § 41 ust. 1 Zarządzenia oczekuję od Pani w terminie nie dłuższym niż 30 dni od daty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0E549219" w14:textId="3D5AFF4A" w:rsidR="00C8559D" w:rsidRDefault="009F6E71" w:rsidP="00437391">
      <w:pPr>
        <w:pStyle w:val="Bodytext20"/>
        <w:shd w:val="clear" w:color="auto" w:fill="auto"/>
        <w:spacing w:before="120" w:after="240" w:line="300" w:lineRule="auto"/>
        <w:ind w:firstLine="0"/>
        <w:jc w:val="left"/>
        <w:rPr>
          <w:rFonts w:asciiTheme="minorHAnsi" w:hAnsiTheme="minorHAnsi" w:cstheme="minorHAnsi"/>
          <w:sz w:val="22"/>
          <w:szCs w:val="22"/>
        </w:rPr>
      </w:pPr>
      <w:r w:rsidRPr="00E640A3">
        <w:rPr>
          <w:rFonts w:asciiTheme="minorHAnsi" w:hAnsiTheme="minorHAnsi" w:cstheme="minorHAnsi"/>
          <w:sz w:val="22"/>
          <w:szCs w:val="22"/>
        </w:rPr>
        <w:t>Na podstawie § 41 ust. 1 Zarządzenia zobowiązuję Panią do przekazania kopii ww. informacji Dyrektorowi BAiPP oraz Dyrektorowi Biura Kontroli.</w:t>
      </w:r>
    </w:p>
    <w:p w14:paraId="409B353C" w14:textId="6DC60A89" w:rsidR="006F0BD4" w:rsidRDefault="006F0BD4" w:rsidP="006F0BD4">
      <w:pPr>
        <w:pStyle w:val="Bodytext20"/>
        <w:shd w:val="clear" w:color="auto" w:fill="auto"/>
        <w:spacing w:before="120" w:after="240" w:line="300" w:lineRule="auto"/>
        <w:ind w:left="5387" w:firstLine="0"/>
        <w:jc w:val="left"/>
        <w:rPr>
          <w:rFonts w:asciiTheme="minorHAnsi" w:hAnsiTheme="minorHAnsi" w:cstheme="minorHAnsi"/>
          <w:sz w:val="22"/>
          <w:szCs w:val="22"/>
        </w:rPr>
      </w:pPr>
      <w:r>
        <w:rPr>
          <w:rFonts w:asciiTheme="minorHAnsi" w:hAnsiTheme="minorHAnsi" w:cstheme="minorHAnsi"/>
          <w:sz w:val="22"/>
          <w:szCs w:val="22"/>
        </w:rPr>
        <w:t>PREZYDENT MIASTA STOŁECZNEGO WARSZAWY /-/ Rafał Trzaskowski</w:t>
      </w:r>
    </w:p>
    <w:sectPr w:rsidR="006F0BD4" w:rsidSect="006F0BD4">
      <w:footerReference w:type="default" r:id="rId7"/>
      <w:headerReference w:type="first" r:id="rId8"/>
      <w:footerReference w:type="first" r:id="rId9"/>
      <w:type w:val="continuous"/>
      <w:pgSz w:w="11900" w:h="16840"/>
      <w:pgMar w:top="1638" w:right="1457" w:bottom="1638" w:left="158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49254" w14:textId="77777777" w:rsidR="00150DB1" w:rsidRDefault="009F6E71">
      <w:r>
        <w:separator/>
      </w:r>
    </w:p>
  </w:endnote>
  <w:endnote w:type="continuationSeparator" w:id="0">
    <w:p w14:paraId="0E549256" w14:textId="77777777" w:rsidR="00150DB1" w:rsidRDefault="009F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180258"/>
      <w:docPartObj>
        <w:docPartGallery w:val="Page Numbers (Bottom of Page)"/>
        <w:docPartUnique/>
      </w:docPartObj>
    </w:sdtPr>
    <w:sdtEndPr/>
    <w:sdtContent>
      <w:sdt>
        <w:sdtPr>
          <w:id w:val="543256247"/>
          <w:docPartObj>
            <w:docPartGallery w:val="Page Numbers (Top of Page)"/>
            <w:docPartUnique/>
          </w:docPartObj>
        </w:sdtPr>
        <w:sdtEndPr/>
        <w:sdtContent>
          <w:p w14:paraId="5B766BEA" w14:textId="610C1D22" w:rsidR="006F0BD4" w:rsidRDefault="006F0BD4">
            <w:pPr>
              <w:pStyle w:val="Stopka"/>
              <w:jc w:val="right"/>
            </w:pPr>
            <w:r w:rsidRPr="006F0BD4">
              <w:rPr>
                <w:rFonts w:asciiTheme="minorHAnsi" w:hAnsiTheme="minorHAnsi" w:cstheme="minorHAnsi"/>
                <w:sz w:val="22"/>
                <w:szCs w:val="22"/>
              </w:rPr>
              <w:t xml:space="preserve">Strona </w:t>
            </w:r>
            <w:r w:rsidRPr="006F0BD4">
              <w:rPr>
                <w:rFonts w:asciiTheme="minorHAnsi" w:hAnsiTheme="minorHAnsi" w:cstheme="minorHAnsi"/>
                <w:sz w:val="22"/>
                <w:szCs w:val="22"/>
              </w:rPr>
              <w:fldChar w:fldCharType="begin"/>
            </w:r>
            <w:r w:rsidRPr="006F0BD4">
              <w:rPr>
                <w:rFonts w:asciiTheme="minorHAnsi" w:hAnsiTheme="minorHAnsi" w:cstheme="minorHAnsi"/>
                <w:sz w:val="22"/>
                <w:szCs w:val="22"/>
              </w:rPr>
              <w:instrText>PAGE</w:instrText>
            </w:r>
            <w:r w:rsidRPr="006F0BD4">
              <w:rPr>
                <w:rFonts w:asciiTheme="minorHAnsi" w:hAnsiTheme="minorHAnsi" w:cstheme="minorHAnsi"/>
                <w:sz w:val="22"/>
                <w:szCs w:val="22"/>
              </w:rPr>
              <w:fldChar w:fldCharType="separate"/>
            </w:r>
            <w:r w:rsidRPr="006F0BD4">
              <w:rPr>
                <w:rFonts w:asciiTheme="minorHAnsi" w:hAnsiTheme="minorHAnsi" w:cstheme="minorHAnsi"/>
                <w:sz w:val="22"/>
                <w:szCs w:val="22"/>
              </w:rPr>
              <w:t>2</w:t>
            </w:r>
            <w:r w:rsidRPr="006F0BD4">
              <w:rPr>
                <w:rFonts w:asciiTheme="minorHAnsi" w:hAnsiTheme="minorHAnsi" w:cstheme="minorHAnsi"/>
                <w:sz w:val="22"/>
                <w:szCs w:val="22"/>
              </w:rPr>
              <w:fldChar w:fldCharType="end"/>
            </w:r>
            <w:r w:rsidRPr="006F0BD4">
              <w:rPr>
                <w:rFonts w:asciiTheme="minorHAnsi" w:hAnsiTheme="minorHAnsi" w:cstheme="minorHAnsi"/>
                <w:sz w:val="22"/>
                <w:szCs w:val="22"/>
              </w:rPr>
              <w:t xml:space="preserve"> z </w:t>
            </w:r>
            <w:r w:rsidRPr="006F0BD4">
              <w:rPr>
                <w:rFonts w:asciiTheme="minorHAnsi" w:hAnsiTheme="minorHAnsi" w:cstheme="minorHAnsi"/>
                <w:sz w:val="22"/>
                <w:szCs w:val="22"/>
              </w:rPr>
              <w:fldChar w:fldCharType="begin"/>
            </w:r>
            <w:r w:rsidRPr="006F0BD4">
              <w:rPr>
                <w:rFonts w:asciiTheme="minorHAnsi" w:hAnsiTheme="minorHAnsi" w:cstheme="minorHAnsi"/>
                <w:sz w:val="22"/>
                <w:szCs w:val="22"/>
              </w:rPr>
              <w:instrText>NUMPAGES</w:instrText>
            </w:r>
            <w:r w:rsidRPr="006F0BD4">
              <w:rPr>
                <w:rFonts w:asciiTheme="minorHAnsi" w:hAnsiTheme="minorHAnsi" w:cstheme="minorHAnsi"/>
                <w:sz w:val="22"/>
                <w:szCs w:val="22"/>
              </w:rPr>
              <w:fldChar w:fldCharType="separate"/>
            </w:r>
            <w:r w:rsidRPr="006F0BD4">
              <w:rPr>
                <w:rFonts w:asciiTheme="minorHAnsi" w:hAnsiTheme="minorHAnsi" w:cstheme="minorHAnsi"/>
                <w:sz w:val="22"/>
                <w:szCs w:val="22"/>
              </w:rPr>
              <w:t>2</w:t>
            </w:r>
            <w:r w:rsidRPr="006F0BD4">
              <w:rPr>
                <w:rFonts w:asciiTheme="minorHAnsi" w:hAnsiTheme="minorHAnsi" w:cstheme="minorHAnsi"/>
                <w:sz w:val="22"/>
                <w:szCs w:val="22"/>
              </w:rPr>
              <w:fldChar w:fldCharType="end"/>
            </w:r>
          </w:p>
        </w:sdtContent>
      </w:sdt>
    </w:sdtContent>
  </w:sdt>
  <w:p w14:paraId="5B4F6709" w14:textId="77777777" w:rsidR="006F0BD4" w:rsidRDefault="006F0B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784053"/>
      <w:docPartObj>
        <w:docPartGallery w:val="Page Numbers (Bottom of Page)"/>
        <w:docPartUnique/>
      </w:docPartObj>
    </w:sdtPr>
    <w:sdtEndPr/>
    <w:sdtContent>
      <w:sdt>
        <w:sdtPr>
          <w:id w:val="-1769616900"/>
          <w:docPartObj>
            <w:docPartGallery w:val="Page Numbers (Top of Page)"/>
            <w:docPartUnique/>
          </w:docPartObj>
        </w:sdtPr>
        <w:sdtEndPr/>
        <w:sdtContent>
          <w:p w14:paraId="4FEA54D2" w14:textId="538D8945" w:rsidR="006F0BD4" w:rsidRDefault="006F0BD4">
            <w:pPr>
              <w:pStyle w:val="Stopka"/>
              <w:jc w:val="right"/>
            </w:pPr>
            <w:r w:rsidRPr="006F0BD4">
              <w:rPr>
                <w:rFonts w:asciiTheme="minorHAnsi" w:hAnsiTheme="minorHAnsi" w:cstheme="minorHAnsi"/>
                <w:sz w:val="22"/>
                <w:szCs w:val="22"/>
              </w:rPr>
              <w:t xml:space="preserve">Strona </w:t>
            </w:r>
            <w:r w:rsidRPr="006F0BD4">
              <w:rPr>
                <w:rFonts w:asciiTheme="minorHAnsi" w:hAnsiTheme="minorHAnsi" w:cstheme="minorHAnsi"/>
                <w:sz w:val="22"/>
                <w:szCs w:val="22"/>
              </w:rPr>
              <w:fldChar w:fldCharType="begin"/>
            </w:r>
            <w:r w:rsidRPr="006F0BD4">
              <w:rPr>
                <w:rFonts w:asciiTheme="minorHAnsi" w:hAnsiTheme="minorHAnsi" w:cstheme="minorHAnsi"/>
                <w:sz w:val="22"/>
                <w:szCs w:val="22"/>
              </w:rPr>
              <w:instrText>PAGE</w:instrText>
            </w:r>
            <w:r w:rsidRPr="006F0BD4">
              <w:rPr>
                <w:rFonts w:asciiTheme="minorHAnsi" w:hAnsiTheme="minorHAnsi" w:cstheme="minorHAnsi"/>
                <w:sz w:val="22"/>
                <w:szCs w:val="22"/>
              </w:rPr>
              <w:fldChar w:fldCharType="separate"/>
            </w:r>
            <w:r w:rsidRPr="006F0BD4">
              <w:rPr>
                <w:rFonts w:asciiTheme="minorHAnsi" w:hAnsiTheme="minorHAnsi" w:cstheme="minorHAnsi"/>
                <w:sz w:val="22"/>
                <w:szCs w:val="22"/>
              </w:rPr>
              <w:t>2</w:t>
            </w:r>
            <w:r w:rsidRPr="006F0BD4">
              <w:rPr>
                <w:rFonts w:asciiTheme="minorHAnsi" w:hAnsiTheme="minorHAnsi" w:cstheme="minorHAnsi"/>
                <w:sz w:val="22"/>
                <w:szCs w:val="22"/>
              </w:rPr>
              <w:fldChar w:fldCharType="end"/>
            </w:r>
            <w:r w:rsidRPr="006F0BD4">
              <w:rPr>
                <w:rFonts w:asciiTheme="minorHAnsi" w:hAnsiTheme="minorHAnsi" w:cstheme="minorHAnsi"/>
                <w:sz w:val="22"/>
                <w:szCs w:val="22"/>
              </w:rPr>
              <w:t xml:space="preserve"> z </w:t>
            </w:r>
            <w:r w:rsidRPr="006F0BD4">
              <w:rPr>
                <w:rFonts w:asciiTheme="minorHAnsi" w:hAnsiTheme="minorHAnsi" w:cstheme="minorHAnsi"/>
                <w:sz w:val="22"/>
                <w:szCs w:val="22"/>
              </w:rPr>
              <w:fldChar w:fldCharType="begin"/>
            </w:r>
            <w:r w:rsidRPr="006F0BD4">
              <w:rPr>
                <w:rFonts w:asciiTheme="minorHAnsi" w:hAnsiTheme="minorHAnsi" w:cstheme="minorHAnsi"/>
                <w:sz w:val="22"/>
                <w:szCs w:val="22"/>
              </w:rPr>
              <w:instrText>NUMPAGES</w:instrText>
            </w:r>
            <w:r w:rsidRPr="006F0BD4">
              <w:rPr>
                <w:rFonts w:asciiTheme="minorHAnsi" w:hAnsiTheme="minorHAnsi" w:cstheme="minorHAnsi"/>
                <w:sz w:val="22"/>
                <w:szCs w:val="22"/>
              </w:rPr>
              <w:fldChar w:fldCharType="separate"/>
            </w:r>
            <w:r w:rsidRPr="006F0BD4">
              <w:rPr>
                <w:rFonts w:asciiTheme="minorHAnsi" w:hAnsiTheme="minorHAnsi" w:cstheme="minorHAnsi"/>
                <w:sz w:val="22"/>
                <w:szCs w:val="22"/>
              </w:rPr>
              <w:t>2</w:t>
            </w:r>
            <w:r w:rsidRPr="006F0BD4">
              <w:rPr>
                <w:rFonts w:asciiTheme="minorHAnsi" w:hAnsiTheme="minorHAnsi" w:cstheme="minorHAnsi"/>
                <w:sz w:val="22"/>
                <w:szCs w:val="22"/>
              </w:rPr>
              <w:fldChar w:fldCharType="end"/>
            </w:r>
          </w:p>
        </w:sdtContent>
      </w:sdt>
    </w:sdtContent>
  </w:sdt>
  <w:p w14:paraId="6F920583" w14:textId="77777777" w:rsidR="006F0BD4" w:rsidRDefault="006F0B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924D" w14:textId="77777777" w:rsidR="00C8559D" w:rsidRDefault="009F6E71">
      <w:r>
        <w:separator/>
      </w:r>
    </w:p>
  </w:footnote>
  <w:footnote w:type="continuationSeparator" w:id="0">
    <w:p w14:paraId="0E54924E" w14:textId="77777777" w:rsidR="00C8559D" w:rsidRDefault="009F6E71">
      <w:r>
        <w:continuationSeparator/>
      </w:r>
    </w:p>
  </w:footnote>
  <w:footnote w:id="1">
    <w:p w14:paraId="0E549254" w14:textId="406AD6F1" w:rsidR="00C8559D" w:rsidRPr="009F6E71" w:rsidRDefault="009F6E71" w:rsidP="00B132FF">
      <w:pPr>
        <w:pStyle w:val="Footnote10"/>
        <w:shd w:val="clear" w:color="auto" w:fill="auto"/>
        <w:tabs>
          <w:tab w:val="left" w:pos="0"/>
        </w:tabs>
        <w:spacing w:before="20" w:after="20" w:line="240" w:lineRule="auto"/>
        <w:ind w:right="760" w:firstLine="0"/>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18/2022,43/2022,9/2022,</w:t>
      </w:r>
      <w:r w:rsidR="009652C0">
        <w:rPr>
          <w:rFonts w:asciiTheme="minorHAnsi" w:hAnsiTheme="minorHAnsi" w:cstheme="minorHAnsi"/>
          <w:sz w:val="22"/>
          <w:szCs w:val="22"/>
          <w:lang w:eastAsia="ru-RU" w:bidi="ru-RU"/>
        </w:rPr>
        <w:t xml:space="preserve"> </w:t>
      </w:r>
      <w:r w:rsidRPr="009F6E71">
        <w:rPr>
          <w:rFonts w:asciiTheme="minorHAnsi" w:hAnsiTheme="minorHAnsi" w:cstheme="minorHAnsi"/>
          <w:sz w:val="22"/>
          <w:szCs w:val="22"/>
          <w:lang w:val="ru-RU" w:eastAsia="ru-RU" w:bidi="ru-RU"/>
        </w:rPr>
        <w:t>51/2022, 37/2022, 35/2022, 22/2022, 60/2022;</w:t>
      </w:r>
    </w:p>
  </w:footnote>
  <w:footnote w:id="2">
    <w:p w14:paraId="0E549255" w14:textId="77777777" w:rsidR="00C8559D" w:rsidRPr="009F6E71" w:rsidRDefault="009F6E71" w:rsidP="00B132FF">
      <w:pPr>
        <w:pStyle w:val="Footnote10"/>
        <w:shd w:val="clear" w:color="auto" w:fill="auto"/>
        <w:tabs>
          <w:tab w:val="left" w:pos="168"/>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18/2022, 9/2022, 37/2022, 22/2022;</w:t>
      </w:r>
    </w:p>
  </w:footnote>
  <w:footnote w:id="3">
    <w:p w14:paraId="0E549256" w14:textId="77777777" w:rsidR="00C8559D" w:rsidRPr="009F6E71" w:rsidRDefault="009F6E71" w:rsidP="00B132FF">
      <w:pPr>
        <w:pStyle w:val="Footnote10"/>
        <w:shd w:val="clear" w:color="auto" w:fill="auto"/>
        <w:tabs>
          <w:tab w:val="left" w:pos="173"/>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37/2022, 9/2022,18/2022;</w:t>
      </w:r>
    </w:p>
  </w:footnote>
  <w:footnote w:id="4">
    <w:p w14:paraId="0E549257" w14:textId="77777777" w:rsidR="00C8559D" w:rsidRPr="009F6E71" w:rsidRDefault="009F6E71" w:rsidP="00B132FF">
      <w:pPr>
        <w:pStyle w:val="Footnote10"/>
        <w:shd w:val="clear" w:color="auto" w:fill="auto"/>
        <w:tabs>
          <w:tab w:val="left" w:pos="178"/>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t>Dz. U. z 2023 r., poz. 682 z późn. zm.;</w:t>
      </w:r>
    </w:p>
  </w:footnote>
  <w:footnote w:id="5">
    <w:p w14:paraId="0E549258" w14:textId="77777777" w:rsidR="00C8559D" w:rsidRPr="009F6E71" w:rsidRDefault="009F6E71" w:rsidP="00B132FF">
      <w:pPr>
        <w:pStyle w:val="Footnote10"/>
        <w:shd w:val="clear" w:color="auto" w:fill="auto"/>
        <w:tabs>
          <w:tab w:val="left" w:pos="149"/>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t>j.t. Dz. U. z 2022 r., poz. 1225;</w:t>
      </w:r>
    </w:p>
  </w:footnote>
  <w:footnote w:id="6">
    <w:p w14:paraId="0E549259" w14:textId="77777777" w:rsidR="00C8559D" w:rsidRPr="009F6E71" w:rsidRDefault="009F6E71" w:rsidP="00B132FF">
      <w:pPr>
        <w:pStyle w:val="Footnote10"/>
        <w:shd w:val="clear" w:color="auto" w:fill="auto"/>
        <w:tabs>
          <w:tab w:val="left" w:pos="144"/>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t>j.t. Dz. U. z 2022 r., poz. 1679;</w:t>
      </w:r>
    </w:p>
  </w:footnote>
  <w:footnote w:id="7">
    <w:p w14:paraId="0E54925A" w14:textId="24BCC928" w:rsidR="00C8559D" w:rsidRPr="009F6E71" w:rsidRDefault="006E1F86" w:rsidP="00B132FF">
      <w:pPr>
        <w:pStyle w:val="Footnote10"/>
        <w:shd w:val="clear" w:color="auto" w:fill="auto"/>
        <w:spacing w:before="20" w:after="20" w:line="240" w:lineRule="auto"/>
        <w:ind w:firstLine="0"/>
        <w:rPr>
          <w:rFonts w:asciiTheme="minorHAnsi" w:hAnsiTheme="minorHAnsi" w:cstheme="minorHAnsi"/>
          <w:sz w:val="22"/>
          <w:szCs w:val="22"/>
        </w:rPr>
      </w:pPr>
      <w:r w:rsidRPr="00E640A3">
        <w:rPr>
          <w:rFonts w:asciiTheme="minorHAnsi" w:hAnsiTheme="minorHAnsi" w:cstheme="minorHAnsi"/>
          <w:sz w:val="22"/>
          <w:szCs w:val="22"/>
          <w:vertAlign w:val="superscript"/>
        </w:rPr>
        <w:footnoteRef/>
      </w:r>
      <w:r w:rsidR="009F6E71" w:rsidRPr="009F6E71">
        <w:rPr>
          <w:rFonts w:asciiTheme="minorHAnsi" w:hAnsiTheme="minorHAnsi" w:cstheme="minorHAnsi"/>
          <w:sz w:val="22"/>
          <w:szCs w:val="22"/>
          <w:lang w:val="en-US" w:eastAsia="en-US" w:bidi="en-US"/>
        </w:rPr>
        <w:t xml:space="preserve">Dot. </w:t>
      </w:r>
      <w:r w:rsidR="009F6E71" w:rsidRPr="009F6E71">
        <w:rPr>
          <w:rFonts w:asciiTheme="minorHAnsi" w:hAnsiTheme="minorHAnsi" w:cstheme="minorHAnsi"/>
          <w:sz w:val="22"/>
          <w:szCs w:val="22"/>
        </w:rPr>
        <w:t xml:space="preserve">postępowań zakończonych wydaniem decyzji Nr: </w:t>
      </w:r>
      <w:r w:rsidR="009F6E71" w:rsidRPr="009F6E71">
        <w:rPr>
          <w:rFonts w:asciiTheme="minorHAnsi" w:hAnsiTheme="minorHAnsi" w:cstheme="minorHAnsi"/>
          <w:sz w:val="22"/>
          <w:szCs w:val="22"/>
          <w:lang w:val="ru-RU" w:eastAsia="ru-RU" w:bidi="ru-RU"/>
        </w:rPr>
        <w:t>18/2022, 9/2022;</w:t>
      </w:r>
    </w:p>
  </w:footnote>
  <w:footnote w:id="8">
    <w:p w14:paraId="0E54925B" w14:textId="7D81C5AB" w:rsidR="00C8559D" w:rsidRPr="009F6E71" w:rsidRDefault="009F6E71" w:rsidP="00B132FF">
      <w:pPr>
        <w:pStyle w:val="Footnote10"/>
        <w:shd w:val="clear" w:color="auto" w:fill="auto"/>
        <w:tabs>
          <w:tab w:val="left" w:pos="226"/>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00BF362E">
        <w:rPr>
          <w:rFonts w:asciiTheme="minorHAnsi" w:hAnsiTheme="minorHAnsi" w:cstheme="minorHAnsi"/>
          <w:sz w:val="22"/>
          <w:szCs w:val="22"/>
        </w:rPr>
        <w:t xml:space="preserve"> </w:t>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18/2022,9/2022, 60/2022;</w:t>
      </w:r>
    </w:p>
  </w:footnote>
  <w:footnote w:id="9">
    <w:p w14:paraId="0E54925C" w14:textId="77777777" w:rsidR="00C8559D" w:rsidRPr="009F6E71" w:rsidRDefault="009F6E71" w:rsidP="00B132FF">
      <w:pPr>
        <w:pStyle w:val="Footnote10"/>
        <w:shd w:val="clear" w:color="auto" w:fill="auto"/>
        <w:tabs>
          <w:tab w:val="left" w:pos="178"/>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18/2022, 9/2022, 60/2022;</w:t>
      </w:r>
    </w:p>
  </w:footnote>
  <w:footnote w:id="10">
    <w:p w14:paraId="0E54925D" w14:textId="77777777" w:rsidR="00C8559D" w:rsidRPr="009F6E71" w:rsidRDefault="009F6E71" w:rsidP="00B132FF">
      <w:pPr>
        <w:pStyle w:val="Footnote10"/>
        <w:shd w:val="clear" w:color="auto" w:fill="auto"/>
        <w:tabs>
          <w:tab w:val="left" w:pos="173"/>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60/2022;</w:t>
      </w:r>
    </w:p>
  </w:footnote>
  <w:footnote w:id="11">
    <w:p w14:paraId="0E54925E" w14:textId="77777777" w:rsidR="00C8559D" w:rsidRPr="009F6E71" w:rsidRDefault="009F6E71" w:rsidP="00B132FF">
      <w:pPr>
        <w:pStyle w:val="Footnote10"/>
        <w:shd w:val="clear" w:color="auto" w:fill="auto"/>
        <w:tabs>
          <w:tab w:val="left" w:pos="173"/>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18/2022;</w:t>
      </w:r>
    </w:p>
  </w:footnote>
  <w:footnote w:id="12">
    <w:p w14:paraId="0E54925F" w14:textId="77777777" w:rsidR="00C8559D" w:rsidRPr="009F6E71" w:rsidRDefault="009F6E71" w:rsidP="00B132FF">
      <w:pPr>
        <w:pStyle w:val="Footnote10"/>
        <w:shd w:val="clear" w:color="auto" w:fill="auto"/>
        <w:tabs>
          <w:tab w:val="left" w:pos="173"/>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18/2022, 9/2022;</w:t>
      </w:r>
    </w:p>
  </w:footnote>
  <w:footnote w:id="13">
    <w:p w14:paraId="0E549260" w14:textId="77777777" w:rsidR="00C8559D" w:rsidRPr="009F6E71" w:rsidRDefault="009F6E71" w:rsidP="00B132FF">
      <w:pPr>
        <w:pStyle w:val="Footnote10"/>
        <w:shd w:val="clear" w:color="auto" w:fill="auto"/>
        <w:tabs>
          <w:tab w:val="left" w:pos="182"/>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9/2022, 60/2022;</w:t>
      </w:r>
    </w:p>
  </w:footnote>
  <w:footnote w:id="14">
    <w:p w14:paraId="0E549261" w14:textId="77777777" w:rsidR="00C8559D" w:rsidRPr="009F6E71" w:rsidRDefault="009F6E71" w:rsidP="00B132FF">
      <w:pPr>
        <w:pStyle w:val="Footnote10"/>
        <w:shd w:val="clear" w:color="auto" w:fill="auto"/>
        <w:tabs>
          <w:tab w:val="left" w:pos="182"/>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22/2022, 51/2022, 37/2022;</w:t>
      </w:r>
    </w:p>
  </w:footnote>
  <w:footnote w:id="15">
    <w:p w14:paraId="0E549262" w14:textId="347E4243" w:rsidR="00C8559D" w:rsidRPr="009F6E71" w:rsidRDefault="009F6E71" w:rsidP="00B132FF">
      <w:pPr>
        <w:pStyle w:val="Footnote10"/>
        <w:shd w:val="clear" w:color="auto" w:fill="auto"/>
        <w:tabs>
          <w:tab w:val="left" w:pos="-78"/>
        </w:tabs>
        <w:spacing w:before="20" w:after="20" w:line="240" w:lineRule="auto"/>
        <w:ind w:right="280" w:firstLine="0"/>
        <w:jc w:val="both"/>
        <w:rPr>
          <w:rFonts w:asciiTheme="minorHAnsi" w:hAnsiTheme="minorHAnsi" w:cstheme="minorHAnsi"/>
          <w:sz w:val="22"/>
          <w:szCs w:val="22"/>
        </w:rPr>
      </w:pPr>
      <w:r w:rsidRPr="009F6E71">
        <w:rPr>
          <w:rStyle w:val="Footnote19ptBoldItalic"/>
          <w:rFonts w:asciiTheme="minorHAnsi" w:hAnsiTheme="minorHAnsi" w:cstheme="minorHAnsi"/>
          <w:sz w:val="22"/>
          <w:szCs w:val="22"/>
          <w:vertAlign w:val="superscript"/>
        </w:rPr>
        <w:footnoteRef/>
      </w:r>
      <w:r w:rsidRPr="009F6E71">
        <w:rPr>
          <w:rFonts w:asciiTheme="minorHAnsi" w:hAnsiTheme="minorHAnsi" w:cstheme="minorHAnsi"/>
          <w:sz w:val="22"/>
          <w:szCs w:val="22"/>
        </w:rPr>
        <w:t>Rozporządzenie Ministra Rozwoju, Pracy i Technologii z dnia 25 czerwca 2021 r. w sprawie wzoru oświadczenia o posiadanym prawie do dysponowania nieruchomością na cele budowlane (Dz. U. 2021 r., poz. 1170)</w:t>
      </w:r>
    </w:p>
  </w:footnote>
  <w:footnote w:id="16">
    <w:p w14:paraId="0E549263" w14:textId="77777777" w:rsidR="00C8559D" w:rsidRPr="009F6E71" w:rsidRDefault="009F6E71" w:rsidP="00B132FF">
      <w:pPr>
        <w:pStyle w:val="Footnote10"/>
        <w:shd w:val="clear" w:color="auto" w:fill="auto"/>
        <w:tabs>
          <w:tab w:val="left" w:pos="264"/>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35/2022,51/2022,37/2022;</w:t>
      </w:r>
    </w:p>
  </w:footnote>
  <w:footnote w:id="17">
    <w:p w14:paraId="0E549264" w14:textId="77777777" w:rsidR="00C8559D" w:rsidRPr="009F6E71" w:rsidRDefault="009F6E71" w:rsidP="00B132FF">
      <w:pPr>
        <w:pStyle w:val="Footnote10"/>
        <w:shd w:val="clear" w:color="auto" w:fill="auto"/>
        <w:tabs>
          <w:tab w:val="left" w:pos="264"/>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t>Dz. U. z 2023 r., poz. 775 z późn. zm.</w:t>
      </w:r>
    </w:p>
  </w:footnote>
  <w:footnote w:id="18">
    <w:p w14:paraId="0E549265" w14:textId="77777777" w:rsidR="00C8559D" w:rsidRPr="009F6E71" w:rsidRDefault="009F6E71" w:rsidP="00B132FF">
      <w:pPr>
        <w:pStyle w:val="Footnote10"/>
        <w:shd w:val="clear" w:color="auto" w:fill="auto"/>
        <w:tabs>
          <w:tab w:val="left" w:pos="250"/>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43/2022, 60/2022,37/2022;</w:t>
      </w:r>
    </w:p>
  </w:footnote>
  <w:footnote w:id="19">
    <w:p w14:paraId="0E549266" w14:textId="77777777" w:rsidR="00C8559D" w:rsidRPr="009F6E71" w:rsidRDefault="009F6E71" w:rsidP="00B132FF">
      <w:pPr>
        <w:pStyle w:val="Footnote10"/>
        <w:shd w:val="clear" w:color="auto" w:fill="auto"/>
        <w:tabs>
          <w:tab w:val="left" w:pos="264"/>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51/2022, 35/2022,22/2022, 60/2022,</w:t>
      </w:r>
    </w:p>
  </w:footnote>
  <w:footnote w:id="20">
    <w:p w14:paraId="6F00B579" w14:textId="2D65C12A" w:rsidR="002369B7" w:rsidRPr="002369B7" w:rsidRDefault="006E1F86" w:rsidP="00B132FF">
      <w:pPr>
        <w:pStyle w:val="Footnote10"/>
        <w:shd w:val="clear" w:color="auto" w:fill="auto"/>
        <w:tabs>
          <w:tab w:val="left" w:pos="259"/>
        </w:tabs>
        <w:spacing w:before="20" w:after="20" w:line="240" w:lineRule="auto"/>
        <w:ind w:firstLine="0"/>
        <w:jc w:val="both"/>
        <w:rPr>
          <w:rFonts w:asciiTheme="minorHAnsi" w:hAnsiTheme="minorHAnsi" w:cstheme="minorHAnsi"/>
          <w:sz w:val="22"/>
          <w:szCs w:val="22"/>
          <w:lang w:eastAsia="ru-RU" w:bidi="ru-RU"/>
        </w:rPr>
      </w:pPr>
      <w:r w:rsidRPr="009F6E71">
        <w:rPr>
          <w:rFonts w:asciiTheme="minorHAnsi" w:hAnsiTheme="minorHAnsi" w:cstheme="minorHAnsi"/>
          <w:sz w:val="22"/>
          <w:szCs w:val="22"/>
          <w:vertAlign w:val="superscript"/>
        </w:rPr>
        <w:footnoteRef/>
      </w:r>
      <w:r>
        <w:rPr>
          <w:rFonts w:asciiTheme="minorHAnsi" w:hAnsiTheme="minorHAnsi" w:cstheme="minorHAnsi"/>
          <w:sz w:val="22"/>
          <w:szCs w:val="22"/>
        </w:rPr>
        <w:t xml:space="preserve"> </w:t>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35/2022, 22/2022,</w:t>
      </w:r>
    </w:p>
  </w:footnote>
  <w:footnote w:id="21">
    <w:p w14:paraId="0ADF0540" w14:textId="4B673762" w:rsidR="002369B7" w:rsidRPr="002369B7" w:rsidRDefault="002369B7" w:rsidP="00B132FF">
      <w:pPr>
        <w:pStyle w:val="Tekstprzypisudolnego"/>
        <w:spacing w:before="20" w:after="20"/>
      </w:pPr>
      <w:r>
        <w:rPr>
          <w:rStyle w:val="Odwoanieprzypisudolnego"/>
        </w:rPr>
        <w:footnoteRef/>
      </w:r>
      <w:r>
        <w:t xml:space="preserve"> </w:t>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Pr>
          <w:rFonts w:asciiTheme="minorHAnsi" w:hAnsiTheme="minorHAnsi" w:cstheme="minorHAnsi"/>
          <w:sz w:val="22"/>
          <w:szCs w:val="22"/>
          <w:lang w:eastAsia="ru-RU" w:bidi="ru-RU"/>
        </w:rPr>
        <w:t>9</w:t>
      </w:r>
      <w:r w:rsidRPr="009F6E71">
        <w:rPr>
          <w:rFonts w:asciiTheme="minorHAnsi" w:hAnsiTheme="minorHAnsi" w:cstheme="minorHAnsi"/>
          <w:sz w:val="22"/>
          <w:szCs w:val="22"/>
          <w:lang w:val="ru-RU" w:eastAsia="ru-RU" w:bidi="ru-RU"/>
        </w:rPr>
        <w:t xml:space="preserve">/2022, </w:t>
      </w:r>
      <w:r>
        <w:rPr>
          <w:rFonts w:asciiTheme="minorHAnsi" w:hAnsiTheme="minorHAnsi" w:cstheme="minorHAnsi"/>
          <w:sz w:val="22"/>
          <w:szCs w:val="22"/>
          <w:lang w:eastAsia="ru-RU" w:bidi="ru-RU"/>
        </w:rPr>
        <w:t>51</w:t>
      </w:r>
      <w:r w:rsidRPr="009F6E71">
        <w:rPr>
          <w:rFonts w:asciiTheme="minorHAnsi" w:hAnsiTheme="minorHAnsi" w:cstheme="minorHAnsi"/>
          <w:sz w:val="22"/>
          <w:szCs w:val="22"/>
          <w:lang w:val="ru-RU" w:eastAsia="ru-RU" w:bidi="ru-RU"/>
        </w:rPr>
        <w:t>/2022,</w:t>
      </w:r>
      <w:r>
        <w:rPr>
          <w:rFonts w:asciiTheme="minorHAnsi" w:hAnsiTheme="minorHAnsi" w:cstheme="minorHAnsi"/>
          <w:sz w:val="22"/>
          <w:szCs w:val="22"/>
          <w:lang w:eastAsia="ru-RU" w:bidi="ru-RU"/>
        </w:rPr>
        <w:t>37</w:t>
      </w:r>
      <w:r w:rsidRPr="009F6E71">
        <w:rPr>
          <w:rFonts w:asciiTheme="minorHAnsi" w:hAnsiTheme="minorHAnsi" w:cstheme="minorHAnsi"/>
          <w:sz w:val="22"/>
          <w:szCs w:val="22"/>
          <w:lang w:val="ru-RU" w:eastAsia="ru-RU" w:bidi="ru-RU"/>
        </w:rPr>
        <w:t>/2022,</w:t>
      </w:r>
    </w:p>
  </w:footnote>
  <w:footnote w:id="22">
    <w:p w14:paraId="258ADE0B" w14:textId="0D7FE538" w:rsidR="002369B7" w:rsidRPr="002369B7" w:rsidRDefault="002369B7" w:rsidP="00B132FF">
      <w:pPr>
        <w:pStyle w:val="Tekstprzypisudolnego"/>
        <w:spacing w:before="20" w:after="20"/>
      </w:pPr>
      <w:r>
        <w:rPr>
          <w:rStyle w:val="Odwoanieprzypisudolnego"/>
        </w:rPr>
        <w:footnoteRef/>
      </w:r>
      <w:r>
        <w:t xml:space="preserve"> </w:t>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Pr>
          <w:rFonts w:asciiTheme="minorHAnsi" w:hAnsiTheme="minorHAnsi" w:cstheme="minorHAnsi"/>
          <w:sz w:val="22"/>
          <w:szCs w:val="22"/>
          <w:lang w:eastAsia="ru-RU" w:bidi="ru-RU"/>
        </w:rPr>
        <w:t>18</w:t>
      </w:r>
      <w:r w:rsidRPr="009F6E71">
        <w:rPr>
          <w:rFonts w:asciiTheme="minorHAnsi" w:hAnsiTheme="minorHAnsi" w:cstheme="minorHAnsi"/>
          <w:sz w:val="22"/>
          <w:szCs w:val="22"/>
          <w:lang w:val="ru-RU" w:eastAsia="ru-RU" w:bidi="ru-RU"/>
        </w:rPr>
        <w:t xml:space="preserve">/2022, </w:t>
      </w:r>
      <w:r>
        <w:rPr>
          <w:rFonts w:asciiTheme="minorHAnsi" w:hAnsiTheme="minorHAnsi" w:cstheme="minorHAnsi"/>
          <w:sz w:val="22"/>
          <w:szCs w:val="22"/>
          <w:lang w:eastAsia="ru-RU" w:bidi="ru-RU"/>
        </w:rPr>
        <w:t>43</w:t>
      </w:r>
      <w:r w:rsidRPr="009F6E71">
        <w:rPr>
          <w:rFonts w:asciiTheme="minorHAnsi" w:hAnsiTheme="minorHAnsi" w:cstheme="minorHAnsi"/>
          <w:sz w:val="22"/>
          <w:szCs w:val="22"/>
          <w:lang w:val="ru-RU" w:eastAsia="ru-RU" w:bidi="ru-RU"/>
        </w:rPr>
        <w:t>/2022,</w:t>
      </w:r>
      <w:r>
        <w:rPr>
          <w:rFonts w:asciiTheme="minorHAnsi" w:hAnsiTheme="minorHAnsi" w:cstheme="minorHAnsi"/>
          <w:sz w:val="22"/>
          <w:szCs w:val="22"/>
          <w:lang w:eastAsia="ru-RU" w:bidi="ru-RU"/>
        </w:rPr>
        <w:t>9</w:t>
      </w:r>
      <w:r w:rsidRPr="009F6E71">
        <w:rPr>
          <w:rFonts w:asciiTheme="minorHAnsi" w:hAnsiTheme="minorHAnsi" w:cstheme="minorHAnsi"/>
          <w:sz w:val="22"/>
          <w:szCs w:val="22"/>
          <w:lang w:val="ru-RU" w:eastAsia="ru-RU" w:bidi="ru-RU"/>
        </w:rPr>
        <w:t xml:space="preserve">/2022, </w:t>
      </w:r>
      <w:r>
        <w:rPr>
          <w:rFonts w:asciiTheme="minorHAnsi" w:hAnsiTheme="minorHAnsi" w:cstheme="minorHAnsi"/>
          <w:sz w:val="22"/>
          <w:szCs w:val="22"/>
          <w:lang w:eastAsia="ru-RU" w:bidi="ru-RU"/>
        </w:rPr>
        <w:t>22</w:t>
      </w:r>
      <w:r w:rsidRPr="009F6E71">
        <w:rPr>
          <w:rFonts w:asciiTheme="minorHAnsi" w:hAnsiTheme="minorHAnsi" w:cstheme="minorHAnsi"/>
          <w:sz w:val="22"/>
          <w:szCs w:val="22"/>
          <w:lang w:val="ru-RU" w:eastAsia="ru-RU" w:bidi="ru-RU"/>
        </w:rPr>
        <w:t>/2022,</w:t>
      </w:r>
      <w:r>
        <w:rPr>
          <w:rFonts w:asciiTheme="minorHAnsi" w:hAnsiTheme="minorHAnsi" w:cstheme="minorHAnsi"/>
          <w:sz w:val="22"/>
          <w:szCs w:val="22"/>
          <w:lang w:eastAsia="ru-RU" w:bidi="ru-RU"/>
        </w:rPr>
        <w:t>60/2022,</w:t>
      </w:r>
    </w:p>
  </w:footnote>
  <w:footnote w:id="23">
    <w:p w14:paraId="0E54926A" w14:textId="77777777" w:rsidR="00C8559D" w:rsidRPr="009F6E71" w:rsidRDefault="009F6E71" w:rsidP="00B132FF">
      <w:pPr>
        <w:pStyle w:val="Footnote10"/>
        <w:shd w:val="clear" w:color="auto" w:fill="auto"/>
        <w:tabs>
          <w:tab w:val="left" w:pos="192"/>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43/2022, 37/2.022;</w:t>
      </w:r>
    </w:p>
  </w:footnote>
  <w:footnote w:id="24">
    <w:p w14:paraId="0E54926B" w14:textId="77777777" w:rsidR="00C8559D" w:rsidRPr="009F6E71" w:rsidRDefault="009F6E71" w:rsidP="00B132FF">
      <w:pPr>
        <w:pStyle w:val="Footnote10"/>
        <w:shd w:val="clear" w:color="auto" w:fill="auto"/>
        <w:tabs>
          <w:tab w:val="left" w:pos="192"/>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postępowań zakończonych wydaniem decyzji Nr: </w:t>
      </w:r>
      <w:r w:rsidRPr="009F6E71">
        <w:rPr>
          <w:rFonts w:asciiTheme="minorHAnsi" w:hAnsiTheme="minorHAnsi" w:cstheme="minorHAnsi"/>
          <w:sz w:val="22"/>
          <w:szCs w:val="22"/>
          <w:lang w:val="ru-RU" w:eastAsia="ru-RU" w:bidi="ru-RU"/>
        </w:rPr>
        <w:t>18/2022, 9/2022, 37/2022;</w:t>
      </w:r>
    </w:p>
  </w:footnote>
  <w:footnote w:id="25">
    <w:p w14:paraId="0E54926C" w14:textId="77777777" w:rsidR="00C8559D" w:rsidRPr="009F6E71" w:rsidRDefault="009F6E71" w:rsidP="00B132FF">
      <w:pPr>
        <w:pStyle w:val="Footnote20"/>
        <w:shd w:val="clear" w:color="auto" w:fill="auto"/>
        <w:spacing w:before="20" w:after="20" w:line="240" w:lineRule="auto"/>
        <w:rPr>
          <w:rFonts w:asciiTheme="minorHAnsi" w:hAnsiTheme="minorHAnsi" w:cstheme="minorHAnsi"/>
          <w:sz w:val="22"/>
          <w:szCs w:val="22"/>
        </w:rPr>
      </w:pPr>
      <w:r w:rsidRPr="009F6E71">
        <w:rPr>
          <w:rStyle w:val="Footnote2SmallCaps"/>
          <w:rFonts w:asciiTheme="minorHAnsi" w:hAnsiTheme="minorHAnsi" w:cstheme="minorHAnsi"/>
          <w:sz w:val="22"/>
          <w:szCs w:val="22"/>
          <w:vertAlign w:val="superscript"/>
        </w:rPr>
        <w:footnoteRef/>
      </w:r>
      <w:r w:rsidRPr="009F6E71">
        <w:rPr>
          <w:rStyle w:val="Footnote2SmallCaps"/>
          <w:rFonts w:asciiTheme="minorHAnsi" w:hAnsiTheme="minorHAnsi" w:cstheme="minorHAnsi"/>
          <w:sz w:val="22"/>
          <w:szCs w:val="22"/>
        </w:rPr>
        <w:t xml:space="preserve">Dz. </w:t>
      </w:r>
      <w:r w:rsidRPr="009F6E71">
        <w:rPr>
          <w:rStyle w:val="Footnote295pt"/>
          <w:rFonts w:asciiTheme="minorHAnsi" w:hAnsiTheme="minorHAnsi" w:cstheme="minorHAnsi"/>
          <w:sz w:val="22"/>
          <w:szCs w:val="22"/>
        </w:rPr>
        <w:t xml:space="preserve">U. </w:t>
      </w:r>
      <w:r w:rsidRPr="009F6E71">
        <w:rPr>
          <w:rStyle w:val="Footnote2SmallCaps"/>
          <w:rFonts w:asciiTheme="minorHAnsi" w:hAnsiTheme="minorHAnsi" w:cstheme="minorHAnsi"/>
          <w:sz w:val="22"/>
          <w:szCs w:val="22"/>
        </w:rPr>
        <w:t xml:space="preserve">z 2017 </w:t>
      </w:r>
      <w:r w:rsidRPr="009F6E71">
        <w:rPr>
          <w:rStyle w:val="Footnote295pt"/>
          <w:rFonts w:asciiTheme="minorHAnsi" w:hAnsiTheme="minorHAnsi" w:cstheme="minorHAnsi"/>
          <w:sz w:val="22"/>
          <w:szCs w:val="22"/>
        </w:rPr>
        <w:t xml:space="preserve">r., </w:t>
      </w:r>
      <w:r w:rsidRPr="009F6E71">
        <w:rPr>
          <w:rFonts w:asciiTheme="minorHAnsi" w:hAnsiTheme="minorHAnsi" w:cstheme="minorHAnsi"/>
          <w:sz w:val="22"/>
          <w:szCs w:val="22"/>
        </w:rPr>
        <w:t>poz. 68, z późn. zm.;</w:t>
      </w:r>
    </w:p>
  </w:footnote>
  <w:footnote w:id="26">
    <w:p w14:paraId="0E54926D" w14:textId="76E04DBF" w:rsidR="00C8559D" w:rsidRPr="009F6E71" w:rsidRDefault="009F6E71" w:rsidP="00B132FF">
      <w:pPr>
        <w:pStyle w:val="Footnote10"/>
        <w:shd w:val="clear" w:color="auto" w:fill="auto"/>
        <w:spacing w:before="20" w:after="20" w:line="240" w:lineRule="auto"/>
        <w:ind w:right="820" w:firstLine="0"/>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Do</w:t>
      </w:r>
      <w:r w:rsidR="002369B7">
        <w:rPr>
          <w:rFonts w:asciiTheme="minorHAnsi" w:hAnsiTheme="minorHAnsi" w:cstheme="minorHAnsi"/>
          <w:sz w:val="22"/>
          <w:szCs w:val="22"/>
        </w:rPr>
        <w:t>t</w:t>
      </w:r>
      <w:r w:rsidRPr="009F6E71">
        <w:rPr>
          <w:rFonts w:asciiTheme="minorHAnsi" w:hAnsiTheme="minorHAnsi" w:cstheme="minorHAnsi"/>
          <w:sz w:val="22"/>
          <w:szCs w:val="22"/>
        </w:rPr>
        <w:t xml:space="preserve">. postępowań zakończonych wydaniem decyzji Nr: </w:t>
      </w:r>
      <w:r w:rsidRPr="009F6E71">
        <w:rPr>
          <w:rFonts w:asciiTheme="minorHAnsi" w:hAnsiTheme="minorHAnsi" w:cstheme="minorHAnsi"/>
          <w:sz w:val="22"/>
          <w:szCs w:val="22"/>
          <w:lang w:val="ru-RU" w:eastAsia="ru-RU" w:bidi="ru-RU"/>
        </w:rPr>
        <w:t>18/2022, 43/2022, 9/2022, 37/2022, 22/2022;</w:t>
      </w:r>
    </w:p>
  </w:footnote>
  <w:footnote w:id="27">
    <w:p w14:paraId="0E54926E" w14:textId="77777777" w:rsidR="00C8559D" w:rsidRPr="009F6E71" w:rsidRDefault="009F6E71" w:rsidP="00B132FF">
      <w:pPr>
        <w:pStyle w:val="Footnote10"/>
        <w:shd w:val="clear" w:color="auto" w:fill="auto"/>
        <w:tabs>
          <w:tab w:val="left" w:pos="197"/>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decyzji Nr: </w:t>
      </w:r>
      <w:r w:rsidRPr="009F6E71">
        <w:rPr>
          <w:rFonts w:asciiTheme="minorHAnsi" w:hAnsiTheme="minorHAnsi" w:cstheme="minorHAnsi"/>
          <w:sz w:val="22"/>
          <w:szCs w:val="22"/>
          <w:lang w:val="ru-RU" w:eastAsia="ru-RU" w:bidi="ru-RU"/>
        </w:rPr>
        <w:t>51/2022, 43/2022, 9/2022, 37/2022, 60/2022;</w:t>
      </w:r>
    </w:p>
  </w:footnote>
  <w:footnote w:id="28">
    <w:p w14:paraId="0E54926F" w14:textId="77777777" w:rsidR="00C8559D" w:rsidRPr="009F6E71" w:rsidRDefault="009F6E71" w:rsidP="00B132FF">
      <w:pPr>
        <w:pStyle w:val="Footnote10"/>
        <w:shd w:val="clear" w:color="auto" w:fill="auto"/>
        <w:tabs>
          <w:tab w:val="left" w:pos="192"/>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decyzji Nr: </w:t>
      </w:r>
      <w:r w:rsidRPr="009F6E71">
        <w:rPr>
          <w:rFonts w:asciiTheme="minorHAnsi" w:hAnsiTheme="minorHAnsi" w:cstheme="minorHAnsi"/>
          <w:sz w:val="22"/>
          <w:szCs w:val="22"/>
          <w:lang w:val="ru-RU" w:eastAsia="ru-RU" w:bidi="ru-RU"/>
        </w:rPr>
        <w:t>18/2022, 43/2022, 9/2022, 51/2022, 37/2022, 35/2022, 22/2022;</w:t>
      </w:r>
    </w:p>
  </w:footnote>
  <w:footnote w:id="29">
    <w:p w14:paraId="0E549270" w14:textId="77777777" w:rsidR="00C8559D" w:rsidRPr="009F6E71" w:rsidRDefault="009F6E71" w:rsidP="00B132FF">
      <w:pPr>
        <w:pStyle w:val="Footnote10"/>
        <w:shd w:val="clear" w:color="auto" w:fill="auto"/>
        <w:tabs>
          <w:tab w:val="left" w:pos="197"/>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decyzji Nr: </w:t>
      </w:r>
      <w:r w:rsidRPr="009F6E71">
        <w:rPr>
          <w:rFonts w:asciiTheme="minorHAnsi" w:hAnsiTheme="minorHAnsi" w:cstheme="minorHAnsi"/>
          <w:sz w:val="22"/>
          <w:szCs w:val="22"/>
          <w:lang w:val="ru-RU" w:eastAsia="ru-RU" w:bidi="ru-RU"/>
        </w:rPr>
        <w:t>9/2022, 37/2022, 35/2022;</w:t>
      </w:r>
    </w:p>
  </w:footnote>
  <w:footnote w:id="30">
    <w:p w14:paraId="0E549271" w14:textId="77777777" w:rsidR="00C8559D" w:rsidRPr="009F6E71" w:rsidRDefault="009F6E71" w:rsidP="00B132FF">
      <w:pPr>
        <w:pStyle w:val="Footnote10"/>
        <w:shd w:val="clear" w:color="auto" w:fill="auto"/>
        <w:tabs>
          <w:tab w:val="left" w:pos="202"/>
        </w:tabs>
        <w:spacing w:before="20" w:after="20" w:line="240" w:lineRule="auto"/>
        <w:ind w:firstLine="0"/>
        <w:jc w:val="both"/>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ab/>
      </w:r>
      <w:r w:rsidRPr="009F6E71">
        <w:rPr>
          <w:rFonts w:asciiTheme="minorHAnsi" w:hAnsiTheme="minorHAnsi" w:cstheme="minorHAnsi"/>
          <w:sz w:val="22"/>
          <w:szCs w:val="22"/>
          <w:lang w:val="en-US" w:eastAsia="en-US" w:bidi="en-US"/>
        </w:rPr>
        <w:t xml:space="preserve">Dot. </w:t>
      </w:r>
      <w:r w:rsidRPr="009F6E71">
        <w:rPr>
          <w:rFonts w:asciiTheme="minorHAnsi" w:hAnsiTheme="minorHAnsi" w:cstheme="minorHAnsi"/>
          <w:sz w:val="22"/>
          <w:szCs w:val="22"/>
        </w:rPr>
        <w:t xml:space="preserve">decyzji Nr: </w:t>
      </w:r>
      <w:r w:rsidRPr="009F6E71">
        <w:rPr>
          <w:rFonts w:asciiTheme="minorHAnsi" w:hAnsiTheme="minorHAnsi" w:cstheme="minorHAnsi"/>
          <w:sz w:val="22"/>
          <w:szCs w:val="22"/>
          <w:lang w:val="ru-RU" w:eastAsia="ru-RU" w:bidi="ru-RU"/>
        </w:rPr>
        <w:t>18/2022, 37/2022;</w:t>
      </w:r>
    </w:p>
  </w:footnote>
  <w:footnote w:id="31">
    <w:p w14:paraId="0E549272" w14:textId="43D2537C" w:rsidR="00C8559D" w:rsidRPr="009F6E71" w:rsidRDefault="002369B7" w:rsidP="00B132FF">
      <w:pPr>
        <w:pStyle w:val="Footnote10"/>
        <w:shd w:val="clear" w:color="auto" w:fill="auto"/>
        <w:spacing w:before="20" w:after="20" w:line="240" w:lineRule="auto"/>
        <w:ind w:firstLine="0"/>
        <w:rPr>
          <w:rFonts w:asciiTheme="minorHAnsi" w:hAnsiTheme="minorHAnsi" w:cstheme="minorHAnsi"/>
          <w:sz w:val="22"/>
          <w:szCs w:val="22"/>
        </w:rPr>
      </w:pPr>
      <w:r w:rsidRPr="00E640A3">
        <w:rPr>
          <w:rFonts w:asciiTheme="minorHAnsi" w:hAnsiTheme="minorHAnsi" w:cstheme="minorHAnsi"/>
          <w:sz w:val="22"/>
          <w:szCs w:val="22"/>
          <w:vertAlign w:val="superscript"/>
        </w:rPr>
        <w:footnoteRef/>
      </w:r>
      <w:r w:rsidRPr="00E640A3">
        <w:rPr>
          <w:rFonts w:asciiTheme="minorHAnsi" w:hAnsiTheme="minorHAnsi" w:cstheme="minorHAnsi"/>
          <w:sz w:val="22"/>
          <w:szCs w:val="22"/>
        </w:rPr>
        <w:t xml:space="preserve"> </w:t>
      </w:r>
      <w:r w:rsidR="009F6E71" w:rsidRPr="009F6E71">
        <w:rPr>
          <w:rFonts w:asciiTheme="minorHAnsi" w:hAnsiTheme="minorHAnsi" w:cstheme="minorHAnsi"/>
          <w:sz w:val="22"/>
          <w:szCs w:val="22"/>
        </w:rPr>
        <w:t xml:space="preserve"> Decyzje Nr: </w:t>
      </w:r>
      <w:r w:rsidR="009F6E71" w:rsidRPr="009F6E71">
        <w:rPr>
          <w:rFonts w:asciiTheme="minorHAnsi" w:hAnsiTheme="minorHAnsi" w:cstheme="minorHAnsi"/>
          <w:sz w:val="22"/>
          <w:szCs w:val="22"/>
          <w:lang w:val="ru-RU" w:eastAsia="ru-RU" w:bidi="ru-RU"/>
        </w:rPr>
        <w:t>18/2022, 43/2022, 9/2022, 51/2022, 35/2022, 22/2022, 60/2022;</w:t>
      </w:r>
    </w:p>
  </w:footnote>
  <w:footnote w:id="32">
    <w:p w14:paraId="0E549273" w14:textId="77777777" w:rsidR="00C8559D" w:rsidRPr="009F6E71" w:rsidRDefault="009F6E71" w:rsidP="00B132FF">
      <w:pPr>
        <w:pStyle w:val="Footnote10"/>
        <w:shd w:val="clear" w:color="auto" w:fill="auto"/>
        <w:spacing w:before="20" w:after="20" w:line="240" w:lineRule="auto"/>
        <w:ind w:firstLine="0"/>
        <w:rPr>
          <w:rFonts w:asciiTheme="minorHAnsi" w:hAnsiTheme="minorHAnsi" w:cstheme="minorHAnsi"/>
          <w:sz w:val="22"/>
          <w:szCs w:val="22"/>
        </w:rPr>
      </w:pPr>
      <w:r w:rsidRPr="009F6E71">
        <w:rPr>
          <w:rFonts w:asciiTheme="minorHAnsi" w:hAnsiTheme="minorHAnsi" w:cstheme="minorHAnsi"/>
          <w:sz w:val="22"/>
          <w:szCs w:val="22"/>
          <w:vertAlign w:val="superscript"/>
        </w:rPr>
        <w:footnoteRef/>
      </w:r>
      <w:r w:rsidRPr="009F6E71">
        <w:rPr>
          <w:rFonts w:asciiTheme="minorHAnsi" w:hAnsiTheme="minorHAnsi" w:cstheme="minorHAnsi"/>
          <w:sz w:val="22"/>
          <w:szCs w:val="22"/>
        </w:rPr>
        <w:t xml:space="preserve"> Decyzja Nr: </w:t>
      </w:r>
      <w:r w:rsidRPr="009F6E71">
        <w:rPr>
          <w:rFonts w:asciiTheme="minorHAnsi" w:hAnsiTheme="minorHAnsi" w:cstheme="minorHAnsi"/>
          <w:sz w:val="22"/>
          <w:szCs w:val="22"/>
          <w:lang w:val="ru-RU" w:eastAsia="ru-RU" w:bidi="ru-RU"/>
        </w:rPr>
        <w:t>37/2022;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04CB" w14:textId="48CCD36C" w:rsidR="006F0BD4" w:rsidRDefault="006F0BD4">
    <w:pPr>
      <w:pStyle w:val="Nagwek"/>
    </w:pPr>
    <w:r>
      <w:rPr>
        <w:noProof/>
      </w:rPr>
      <w:drawing>
        <wp:inline distT="0" distB="0" distL="0" distR="0" wp14:anchorId="74D7BE88" wp14:editId="1B572919">
          <wp:extent cx="5626100" cy="1056754"/>
          <wp:effectExtent l="0" t="0" r="0" b="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26100" cy="10567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1D7"/>
    <w:multiLevelType w:val="multilevel"/>
    <w:tmpl w:val="7522FE4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1E17A3"/>
    <w:multiLevelType w:val="multilevel"/>
    <w:tmpl w:val="E41CC1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D665EFE"/>
    <w:multiLevelType w:val="multilevel"/>
    <w:tmpl w:val="04E2C8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5732019">
    <w:abstractNumId w:val="2"/>
  </w:num>
  <w:num w:numId="2" w16cid:durableId="248731056">
    <w:abstractNumId w:val="0"/>
  </w:num>
  <w:num w:numId="3" w16cid:durableId="211157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59D"/>
    <w:rsid w:val="001468F1"/>
    <w:rsid w:val="00150DB1"/>
    <w:rsid w:val="002369B7"/>
    <w:rsid w:val="00355E8A"/>
    <w:rsid w:val="00437391"/>
    <w:rsid w:val="006E1F86"/>
    <w:rsid w:val="006F0BD4"/>
    <w:rsid w:val="00805E82"/>
    <w:rsid w:val="009652C0"/>
    <w:rsid w:val="009F6E71"/>
    <w:rsid w:val="00B132FF"/>
    <w:rsid w:val="00BF362E"/>
    <w:rsid w:val="00C8559D"/>
    <w:rsid w:val="00E640A3"/>
    <w:rsid w:val="00F744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491BA"/>
  <w15:docId w15:val="{5501BDAA-4B8A-4BD2-B207-FF6B8E2C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9F6E7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9"/>
      <w:szCs w:val="19"/>
      <w:u w:val="none"/>
    </w:rPr>
  </w:style>
  <w:style w:type="character" w:customStyle="1" w:styleId="Footnote19ptBoldItalic">
    <w:name w:val="Footnote|1 + 9 pt;Bold;Italic"/>
    <w:basedOn w:val="Footnote1"/>
    <w:semiHidden/>
    <w:unhideWhenUsed/>
    <w:rPr>
      <w:rFonts w:ascii="Arial" w:eastAsia="Arial" w:hAnsi="Arial" w:cs="Arial"/>
      <w:b/>
      <w:bCs/>
      <w:i/>
      <w:iCs/>
      <w:smallCaps w:val="0"/>
      <w:strike w:val="0"/>
      <w:color w:val="000000"/>
      <w:spacing w:val="0"/>
      <w:w w:val="100"/>
      <w:position w:val="0"/>
      <w:sz w:val="18"/>
      <w:szCs w:val="18"/>
      <w:u w:val="none"/>
      <w:lang w:val="pl-PL" w:eastAsia="pl-PL" w:bidi="pl-PL"/>
    </w:rPr>
  </w:style>
  <w:style w:type="character" w:customStyle="1" w:styleId="Footnote2">
    <w:name w:val="Footnote|2_"/>
    <w:basedOn w:val="Domylnaczcionkaakapitu"/>
    <w:link w:val="Footnote20"/>
    <w:rPr>
      <w:rFonts w:ascii="Arial" w:eastAsia="Arial" w:hAnsi="Arial" w:cs="Arial"/>
      <w:b w:val="0"/>
      <w:bCs w:val="0"/>
      <w:i w:val="0"/>
      <w:iCs w:val="0"/>
      <w:smallCaps w:val="0"/>
      <w:strike w:val="0"/>
      <w:sz w:val="18"/>
      <w:szCs w:val="18"/>
      <w:u w:val="none"/>
    </w:rPr>
  </w:style>
  <w:style w:type="character" w:customStyle="1" w:styleId="Footnote2SmallCaps">
    <w:name w:val="Footnote|2 + Small Caps"/>
    <w:basedOn w:val="Footnote2"/>
    <w:semiHidden/>
    <w:unhideWhenUsed/>
    <w:rPr>
      <w:rFonts w:ascii="Arial" w:eastAsia="Arial" w:hAnsi="Arial" w:cs="Arial"/>
      <w:b w:val="0"/>
      <w:bCs w:val="0"/>
      <w:i w:val="0"/>
      <w:iCs w:val="0"/>
      <w:smallCaps/>
      <w:strike w:val="0"/>
      <w:color w:val="000000"/>
      <w:spacing w:val="0"/>
      <w:w w:val="100"/>
      <w:position w:val="0"/>
      <w:sz w:val="18"/>
      <w:szCs w:val="18"/>
      <w:u w:val="none"/>
      <w:lang w:val="pl-PL" w:eastAsia="pl-PL" w:bidi="pl-PL"/>
    </w:rPr>
  </w:style>
  <w:style w:type="character" w:customStyle="1" w:styleId="Footnote295pt">
    <w:name w:val="Footnote|2 + 9.5 pt"/>
    <w:basedOn w:val="Footnote2"/>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ing11">
    <w:name w:val="Heading #1|1_"/>
    <w:basedOn w:val="Domylnaczcionkaakapitu"/>
    <w:link w:val="Heading110"/>
    <w:rPr>
      <w:rFonts w:ascii="Arial" w:eastAsia="Arial" w:hAnsi="Arial" w:cs="Arial"/>
      <w:b/>
      <w:bCs/>
      <w:i w:val="0"/>
      <w:iCs w:val="0"/>
      <w:smallCaps w:val="0"/>
      <w:strike w:val="0"/>
      <w:w w:val="75"/>
      <w:sz w:val="22"/>
      <w:szCs w:val="22"/>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15"/>
      <w:szCs w:val="15"/>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Headerorfooter1">
    <w:name w:val="Header or footer|1_"/>
    <w:basedOn w:val="Domylnaczcionkaakapitu"/>
    <w:link w:val="Headerorfooter10"/>
    <w:rPr>
      <w:b/>
      <w:bCs/>
      <w:i w:val="0"/>
      <w:iCs w:val="0"/>
      <w:smallCaps w:val="0"/>
      <w:strike w:val="0"/>
      <w:sz w:val="19"/>
      <w:szCs w:val="19"/>
      <w:u w:val="none"/>
      <w:lang w:val="ru-RU" w:eastAsia="ru-RU" w:bidi="ru-RU"/>
    </w:rPr>
  </w:style>
  <w:style w:type="character" w:customStyle="1" w:styleId="Headerorfooter11">
    <w:name w:val="Header or footer|1"/>
    <w:basedOn w:val="Headerorfooter1"/>
    <w:semiHidden/>
    <w:unhideWhenUse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9ptBoldItalic">
    <w:name w:val="Body text|2 + 9 pt;Bold;Italic"/>
    <w:basedOn w:val="Bodytext2"/>
    <w:semiHidden/>
    <w:unhideWhenUsed/>
    <w:rPr>
      <w:rFonts w:ascii="Arial" w:eastAsia="Arial" w:hAnsi="Arial" w:cs="Arial"/>
      <w:b/>
      <w:bCs/>
      <w:i/>
      <w:iCs/>
      <w:smallCaps w:val="0"/>
      <w:strike w:val="0"/>
      <w:color w:val="000000"/>
      <w:spacing w:val="0"/>
      <w:w w:val="100"/>
      <w:position w:val="0"/>
      <w:sz w:val="18"/>
      <w:szCs w:val="18"/>
      <w:u w:val="none"/>
      <w:lang w:val="pl-PL" w:eastAsia="pl-PL" w:bidi="pl-PL"/>
    </w:rPr>
  </w:style>
  <w:style w:type="character" w:customStyle="1" w:styleId="Bodytext27pt">
    <w:name w:val="Body text|2 + 7 pt"/>
    <w:basedOn w:val="Bodytext2"/>
    <w:semiHidden/>
    <w:unhideWhenUsed/>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Picturecaption1Exact">
    <w:name w:val="Picture caption|1 Exact"/>
    <w:basedOn w:val="Domylnaczcionkaakapitu"/>
    <w:link w:val="Picturecaption1"/>
    <w:rPr>
      <w:rFonts w:ascii="Arial" w:eastAsia="Arial" w:hAnsi="Arial" w:cs="Arial"/>
      <w:b/>
      <w:bCs/>
      <w:i w:val="0"/>
      <w:iCs w:val="0"/>
      <w:smallCaps w:val="0"/>
      <w:strike w:val="0"/>
      <w:sz w:val="15"/>
      <w:szCs w:val="15"/>
      <w:u w:val="none"/>
    </w:rPr>
  </w:style>
  <w:style w:type="character" w:customStyle="1" w:styleId="Bodytext4Exact">
    <w:name w:val="Body text|4 Exact"/>
    <w:basedOn w:val="Domylnaczcionkaakapitu"/>
    <w:link w:val="Bodytext4"/>
    <w:rPr>
      <w:b w:val="0"/>
      <w:bCs w:val="0"/>
      <w:i w:val="0"/>
      <w:iCs w:val="0"/>
      <w:smallCaps w:val="0"/>
      <w:strike w:val="0"/>
      <w:sz w:val="20"/>
      <w:szCs w:val="20"/>
      <w:u w:val="none"/>
    </w:rPr>
  </w:style>
  <w:style w:type="paragraph" w:customStyle="1" w:styleId="Footnote10">
    <w:name w:val="Footnote|1"/>
    <w:basedOn w:val="Normalny"/>
    <w:link w:val="Footnote1"/>
    <w:qFormat/>
    <w:pPr>
      <w:shd w:val="clear" w:color="auto" w:fill="FFFFFF"/>
      <w:spacing w:line="264" w:lineRule="exact"/>
      <w:ind w:hanging="320"/>
    </w:pPr>
    <w:rPr>
      <w:rFonts w:ascii="Arial" w:eastAsia="Arial" w:hAnsi="Arial" w:cs="Arial"/>
      <w:sz w:val="19"/>
      <w:szCs w:val="19"/>
    </w:rPr>
  </w:style>
  <w:style w:type="paragraph" w:customStyle="1" w:styleId="Footnote20">
    <w:name w:val="Footnote|2"/>
    <w:basedOn w:val="Normalny"/>
    <w:link w:val="Footnote2"/>
    <w:pPr>
      <w:shd w:val="clear" w:color="auto" w:fill="FFFFFF"/>
      <w:spacing w:line="259" w:lineRule="exact"/>
    </w:pPr>
    <w:rPr>
      <w:rFonts w:ascii="Arial" w:eastAsia="Arial" w:hAnsi="Arial" w:cs="Arial"/>
      <w:sz w:val="18"/>
      <w:szCs w:val="18"/>
    </w:rPr>
  </w:style>
  <w:style w:type="paragraph" w:customStyle="1" w:styleId="Heading110">
    <w:name w:val="Heading #1|1"/>
    <w:basedOn w:val="Normalny"/>
    <w:link w:val="Heading11"/>
    <w:qFormat/>
    <w:pPr>
      <w:shd w:val="clear" w:color="auto" w:fill="FFFFFF"/>
      <w:spacing w:line="246" w:lineRule="exact"/>
      <w:outlineLvl w:val="0"/>
    </w:pPr>
    <w:rPr>
      <w:rFonts w:ascii="Arial" w:eastAsia="Arial" w:hAnsi="Arial" w:cs="Arial"/>
      <w:b/>
      <w:bCs/>
      <w:w w:val="75"/>
      <w:sz w:val="22"/>
      <w:szCs w:val="22"/>
    </w:rPr>
  </w:style>
  <w:style w:type="paragraph" w:customStyle="1" w:styleId="Bodytext30">
    <w:name w:val="Body text|3"/>
    <w:basedOn w:val="Normalny"/>
    <w:link w:val="Bodytext3"/>
    <w:pPr>
      <w:shd w:val="clear" w:color="auto" w:fill="FFFFFF"/>
      <w:spacing w:after="420" w:line="206" w:lineRule="exact"/>
    </w:pPr>
    <w:rPr>
      <w:rFonts w:ascii="Arial" w:eastAsia="Arial" w:hAnsi="Arial" w:cs="Arial"/>
      <w:b/>
      <w:bCs/>
      <w:sz w:val="15"/>
      <w:szCs w:val="15"/>
    </w:rPr>
  </w:style>
  <w:style w:type="paragraph" w:customStyle="1" w:styleId="Bodytext20">
    <w:name w:val="Body text|2"/>
    <w:basedOn w:val="Normalny"/>
    <w:link w:val="Bodytext2"/>
    <w:qFormat/>
    <w:pPr>
      <w:shd w:val="clear" w:color="auto" w:fill="FFFFFF"/>
      <w:spacing w:before="420" w:after="320" w:line="212" w:lineRule="exact"/>
      <w:ind w:hanging="480"/>
      <w:jc w:val="right"/>
    </w:pPr>
    <w:rPr>
      <w:rFonts w:ascii="Arial" w:eastAsia="Arial" w:hAnsi="Arial" w:cs="Arial"/>
      <w:sz w:val="19"/>
      <w:szCs w:val="19"/>
    </w:rPr>
  </w:style>
  <w:style w:type="paragraph" w:customStyle="1" w:styleId="Headerorfooter10">
    <w:name w:val="Header or footer|1"/>
    <w:basedOn w:val="Normalny"/>
    <w:link w:val="Headerorfooter1"/>
    <w:qFormat/>
    <w:pPr>
      <w:shd w:val="clear" w:color="auto" w:fill="FFFFFF"/>
      <w:spacing w:line="210" w:lineRule="exact"/>
    </w:pPr>
    <w:rPr>
      <w:b/>
      <w:bCs/>
      <w:sz w:val="19"/>
      <w:szCs w:val="19"/>
      <w:lang w:val="ru-RU" w:eastAsia="ru-RU" w:bidi="ru-RU"/>
    </w:rPr>
  </w:style>
  <w:style w:type="paragraph" w:customStyle="1" w:styleId="Picturecaption1">
    <w:name w:val="Picture caption|1"/>
    <w:basedOn w:val="Normalny"/>
    <w:link w:val="Picturecaption1Exact"/>
    <w:qFormat/>
    <w:pPr>
      <w:shd w:val="clear" w:color="auto" w:fill="FFFFFF"/>
      <w:spacing w:line="168" w:lineRule="exact"/>
      <w:jc w:val="center"/>
    </w:pPr>
    <w:rPr>
      <w:rFonts w:ascii="Arial" w:eastAsia="Arial" w:hAnsi="Arial" w:cs="Arial"/>
      <w:b/>
      <w:bCs/>
      <w:sz w:val="15"/>
      <w:szCs w:val="15"/>
    </w:rPr>
  </w:style>
  <w:style w:type="paragraph" w:customStyle="1" w:styleId="Bodytext4">
    <w:name w:val="Body text|4"/>
    <w:basedOn w:val="Normalny"/>
    <w:link w:val="Bodytext4Exact"/>
    <w:pPr>
      <w:shd w:val="clear" w:color="auto" w:fill="FFFFFF"/>
      <w:spacing w:line="0" w:lineRule="atLeast"/>
    </w:pPr>
    <w:rPr>
      <w:sz w:val="20"/>
      <w:szCs w:val="20"/>
    </w:rPr>
  </w:style>
  <w:style w:type="character" w:customStyle="1" w:styleId="Nagwek1Znak">
    <w:name w:val="Nagłówek 1 Znak"/>
    <w:basedOn w:val="Domylnaczcionkaakapitu"/>
    <w:link w:val="Nagwek1"/>
    <w:uiPriority w:val="9"/>
    <w:rsid w:val="009F6E71"/>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9F6E71"/>
    <w:pPr>
      <w:tabs>
        <w:tab w:val="center" w:pos="4536"/>
        <w:tab w:val="right" w:pos="9072"/>
      </w:tabs>
    </w:pPr>
  </w:style>
  <w:style w:type="character" w:customStyle="1" w:styleId="NagwekZnak">
    <w:name w:val="Nagłówek Znak"/>
    <w:basedOn w:val="Domylnaczcionkaakapitu"/>
    <w:link w:val="Nagwek"/>
    <w:uiPriority w:val="99"/>
    <w:rsid w:val="009F6E71"/>
    <w:rPr>
      <w:color w:val="000000"/>
    </w:rPr>
  </w:style>
  <w:style w:type="paragraph" w:styleId="Stopka">
    <w:name w:val="footer"/>
    <w:basedOn w:val="Normalny"/>
    <w:link w:val="StopkaZnak"/>
    <w:uiPriority w:val="99"/>
    <w:unhideWhenUsed/>
    <w:rsid w:val="009F6E71"/>
    <w:pPr>
      <w:tabs>
        <w:tab w:val="center" w:pos="4536"/>
        <w:tab w:val="right" w:pos="9072"/>
      </w:tabs>
    </w:pPr>
  </w:style>
  <w:style w:type="character" w:customStyle="1" w:styleId="StopkaZnak">
    <w:name w:val="Stopka Znak"/>
    <w:basedOn w:val="Domylnaczcionkaakapitu"/>
    <w:link w:val="Stopka"/>
    <w:uiPriority w:val="99"/>
    <w:rsid w:val="009F6E71"/>
    <w:rPr>
      <w:color w:val="000000"/>
    </w:rPr>
  </w:style>
  <w:style w:type="paragraph" w:styleId="Tekstprzypisudolnego">
    <w:name w:val="footnote text"/>
    <w:basedOn w:val="Normalny"/>
    <w:link w:val="TekstprzypisudolnegoZnak"/>
    <w:uiPriority w:val="99"/>
    <w:semiHidden/>
    <w:unhideWhenUsed/>
    <w:rsid w:val="002369B7"/>
    <w:rPr>
      <w:sz w:val="20"/>
      <w:szCs w:val="20"/>
    </w:rPr>
  </w:style>
  <w:style w:type="character" w:customStyle="1" w:styleId="TekstprzypisudolnegoZnak">
    <w:name w:val="Tekst przypisu dolnego Znak"/>
    <w:basedOn w:val="Domylnaczcionkaakapitu"/>
    <w:link w:val="Tekstprzypisudolnego"/>
    <w:uiPriority w:val="99"/>
    <w:semiHidden/>
    <w:rsid w:val="002369B7"/>
    <w:rPr>
      <w:color w:val="000000"/>
      <w:sz w:val="20"/>
      <w:szCs w:val="20"/>
    </w:rPr>
  </w:style>
  <w:style w:type="character" w:styleId="Odwoanieprzypisudolnego">
    <w:name w:val="footnote reference"/>
    <w:basedOn w:val="Domylnaczcionkaakapitu"/>
    <w:uiPriority w:val="99"/>
    <w:semiHidden/>
    <w:unhideWhenUsed/>
    <w:rsid w:val="00236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12</Pages>
  <Words>3698</Words>
  <Characters>22189</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8</cp:revision>
  <dcterms:created xsi:type="dcterms:W3CDTF">2024-02-29T10:01:00Z</dcterms:created>
  <dcterms:modified xsi:type="dcterms:W3CDTF">2024-08-20T09:53:00Z</dcterms:modified>
</cp:coreProperties>
</file>