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72A4" w14:textId="36CEA46F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left="6379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Warszawa,</w:t>
      </w:r>
      <w:r w:rsidR="00AF2A28" w:rsidRPr="00EE254F">
        <w:rPr>
          <w:rFonts w:asciiTheme="minorHAnsi" w:hAnsiTheme="minorHAnsi" w:cstheme="minorHAnsi"/>
          <w:b w:val="0"/>
          <w:sz w:val="22"/>
          <w:szCs w:val="22"/>
        </w:rPr>
        <w:t xml:space="preserve"> 21.07.</w:t>
      </w:r>
      <w:r w:rsidR="00EE254F">
        <w:rPr>
          <w:rFonts w:asciiTheme="minorHAnsi" w:hAnsiTheme="minorHAnsi" w:cstheme="minorHAnsi"/>
          <w:b w:val="0"/>
          <w:sz w:val="22"/>
          <w:szCs w:val="22"/>
        </w:rPr>
        <w:t>2023</w:t>
      </w:r>
    </w:p>
    <w:p w14:paraId="6988B792" w14:textId="77777777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KW-WP.1712.20.2023JMA</w:t>
      </w:r>
    </w:p>
    <w:p w14:paraId="3CF74C82" w14:textId="77777777" w:rsidR="001F377D" w:rsidRPr="00EE254F" w:rsidRDefault="00B85FFF" w:rsidP="00FF68AC">
      <w:pPr>
        <w:pStyle w:val="Bodytext50"/>
        <w:shd w:val="clear" w:color="auto" w:fill="auto"/>
        <w:spacing w:before="240" w:after="680" w:line="300" w:lineRule="auto"/>
        <w:ind w:left="5387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sz w:val="22"/>
          <w:szCs w:val="22"/>
        </w:rPr>
        <w:t>Pan</w:t>
      </w:r>
    </w:p>
    <w:p w14:paraId="60333A03" w14:textId="77777777" w:rsidR="00EE254F" w:rsidRDefault="00B85FFF" w:rsidP="00FF68AC">
      <w:pPr>
        <w:pStyle w:val="Bodytext50"/>
        <w:shd w:val="clear" w:color="auto" w:fill="auto"/>
        <w:spacing w:before="240" w:after="680" w:line="300" w:lineRule="auto"/>
        <w:ind w:left="5387" w:right="337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sz w:val="22"/>
          <w:szCs w:val="22"/>
        </w:rPr>
        <w:t>Marian Mahor</w:t>
      </w:r>
    </w:p>
    <w:p w14:paraId="35DF4E9A" w14:textId="52D73F83" w:rsidR="00FF68AC" w:rsidRDefault="00B85FFF" w:rsidP="00FF68AC">
      <w:pPr>
        <w:pStyle w:val="Bodytext50"/>
        <w:shd w:val="clear" w:color="auto" w:fill="auto"/>
        <w:spacing w:before="240" w:after="680" w:line="300" w:lineRule="auto"/>
        <w:ind w:left="5387" w:right="337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sz w:val="22"/>
          <w:szCs w:val="22"/>
        </w:rPr>
        <w:t>Burmistrz</w:t>
      </w:r>
    </w:p>
    <w:p w14:paraId="69A7F780" w14:textId="3003BAF8" w:rsidR="00AF2A28" w:rsidRPr="00EE254F" w:rsidRDefault="00B85FFF" w:rsidP="00FF68AC">
      <w:pPr>
        <w:pStyle w:val="Bodytext50"/>
        <w:shd w:val="clear" w:color="auto" w:fill="auto"/>
        <w:spacing w:before="240" w:after="680" w:line="300" w:lineRule="auto"/>
        <w:ind w:left="5387" w:right="53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sz w:val="22"/>
          <w:szCs w:val="22"/>
        </w:rPr>
        <w:t>Dzielnicy Wesoła m.st.</w:t>
      </w:r>
      <w:r w:rsidR="00FF68AC">
        <w:rPr>
          <w:rFonts w:asciiTheme="minorHAnsi" w:hAnsiTheme="minorHAnsi" w:cstheme="minorHAnsi"/>
          <w:sz w:val="22"/>
          <w:szCs w:val="22"/>
        </w:rPr>
        <w:t xml:space="preserve"> </w:t>
      </w:r>
      <w:r w:rsidRPr="00EE254F">
        <w:rPr>
          <w:rFonts w:asciiTheme="minorHAnsi" w:hAnsiTheme="minorHAnsi" w:cstheme="minorHAnsi"/>
          <w:sz w:val="22"/>
          <w:szCs w:val="22"/>
        </w:rPr>
        <w:t xml:space="preserve">Warszawy </w:t>
      </w:r>
    </w:p>
    <w:p w14:paraId="6BCED2D9" w14:textId="77777777" w:rsidR="001F377D" w:rsidRPr="00EE254F" w:rsidRDefault="00B85FFF" w:rsidP="00FF68AC">
      <w:pPr>
        <w:pStyle w:val="Bodytext50"/>
        <w:shd w:val="clear" w:color="auto" w:fill="auto"/>
        <w:spacing w:before="240" w:after="680" w:line="300" w:lineRule="auto"/>
        <w:ind w:left="5387" w:right="198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sz w:val="22"/>
          <w:szCs w:val="22"/>
        </w:rPr>
        <w:t>ul. 1 Praskiego Pułku 33</w:t>
      </w:r>
    </w:p>
    <w:p w14:paraId="787BB781" w14:textId="77777777" w:rsidR="001F377D" w:rsidRPr="00EE254F" w:rsidRDefault="00B85FFF" w:rsidP="00FF68AC">
      <w:pPr>
        <w:pStyle w:val="Bodytext50"/>
        <w:shd w:val="clear" w:color="auto" w:fill="auto"/>
        <w:spacing w:before="240" w:after="680" w:line="300" w:lineRule="auto"/>
        <w:ind w:left="5387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sz w:val="22"/>
          <w:szCs w:val="22"/>
        </w:rPr>
        <w:t>05-075 Warszawa</w:t>
      </w:r>
    </w:p>
    <w:p w14:paraId="3D3BC6A0" w14:textId="77777777" w:rsidR="001F377D" w:rsidRPr="005651B4" w:rsidRDefault="00B85FFF" w:rsidP="005651B4">
      <w:pPr>
        <w:pStyle w:val="Nagwek1"/>
        <w:ind w:left="3261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651B4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14A26DE8" w14:textId="77777777" w:rsidR="00EE254F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EE254F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312/2007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Prezydenta miasta stołecznego Warszawy z dnia 4 kwietnia 2007 r. w sprawie nadania regulaminu organizacyjnego Urzędu miasta stołecznego Warszawy z późn. zm, (zwanego dalej: Regulaminem organizacyjnym), w związku z kontrolą przeprowadzoną przez Biuro Kontroli Urzędu m.st. Warszawy w Urzędzie Dzielnicy Wesoła m.st. Warszawy od &amp; kwietnia 2023 r. do 26 kwietnia </w:t>
      </w:r>
      <w:r w:rsidRPr="00EE254F">
        <w:rPr>
          <w:rFonts w:asciiTheme="minorHAnsi" w:hAnsiTheme="minorHAnsi" w:cstheme="minorHAnsi"/>
          <w:b w:val="0"/>
          <w:sz w:val="22"/>
          <w:szCs w:val="22"/>
          <w:lang w:val="de-DE" w:eastAsia="de-DE" w:bidi="de-DE"/>
        </w:rPr>
        <w:t xml:space="preserve">2Ö23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r., w zakresie prawidłowości wydawania zezwoleń na usunięcie drzew lub krzewów w 2022 r., której wyniki zostały przedstawione w protokole kontroli podpisanym 4 maja 2023 r., stosownie do § 39 ust. 1 i 2 Zarządzenia nr </w:t>
      </w:r>
      <w:r w:rsidRPr="00EE254F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1837/2019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Prezydenta miasta stołecznego Warszawy z dnia 12 grudnia 2019 r. w sprawie zasad i trybu postępowania kontrolnego (zwanego dalej: Zarządzeniem), przekazuję Panu niniejsze Wystąpienie pokontrolne.</w:t>
      </w:r>
    </w:p>
    <w:p w14:paraId="5D7138DE" w14:textId="365F0F09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W 2022 r. w Urzędzie Dzielnicy Wesoła m.st. Warszawy (dalej: UD Wesoła) wydano 24 zezwolenia na usunięcie drzew lub krzewów.</w:t>
      </w:r>
    </w:p>
    <w:p w14:paraId="5B9F8446" w14:textId="54817156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Zgodnie z wewnętrznym regulaminem organizacyjnym UD Wesoła</w:t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"/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zadania dotyczące m.</w:t>
      </w:r>
      <w:r w:rsidR="00EE254F" w:rsidRPr="00EE254F">
        <w:rPr>
          <w:rFonts w:asciiTheme="minorHAnsi" w:hAnsiTheme="minorHAnsi" w:cstheme="minorHAnsi"/>
          <w:b w:val="0"/>
          <w:sz w:val="22"/>
          <w:szCs w:val="22"/>
        </w:rPr>
        <w:t>i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n. wydawania zezwoleń na usunięcie drzew lub krzewów wykonuje Wydział Ochrony Środowiska dla Dzielnicy Wesoła (dalej: WOŚ).</w:t>
      </w:r>
    </w:p>
    <w:p w14:paraId="11A2534A" w14:textId="7777777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Kontrolą objęto 10 zezwoleń na usunięcie drzew lub krzewów.</w:t>
      </w:r>
    </w:p>
    <w:p w14:paraId="1B61F9E7" w14:textId="7777777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lastRenderedPageBreak/>
        <w:t>W obszarze kontrolowanym sformułowano następujące oceny i uwagi:</w:t>
      </w:r>
    </w:p>
    <w:p w14:paraId="18BCD95A" w14:textId="7777777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Wydanie wszystkich 10 decyzji zostało każdorazowo poprzedzone przeprowadzeniem oględzin, których wyniki dokumentowano w protokole, do którego załączano dokumentację fotograficzną.</w:t>
      </w:r>
    </w:p>
    <w:p w14:paraId="1FEB21A5" w14:textId="7777777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We Wszystkich sprawach weryfikowano - zgodnie z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83c ust. 1 ustawy z dnia 16.04.2004 r. o ochronie przyrody</w:t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2"/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(dalej: uoop)—występowanie gatunków chronionych</w:t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3"/>
      </w:r>
      <w:r w:rsidRPr="00EE254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A768984" w14:textId="6C646EA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Analiza zezwoleń pod kątem ich kompletności wykazała, że 8</w:t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4"/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5"/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z 10 analizowanych decyzji zawierało elementy wskazane w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83d ust. 1 uoop tj. m.in.: imię, nazwisko i adres albo siedzibę wnioskodawcy; miejsce i termin usunięcia drzewa; nazwę gatunku i obwód pnia drzewa; wysokość opłaty za usunięcie drzewa</w:t>
      </w:r>
      <w:r w:rsidR="00FF68A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t>s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08646DF" w14:textId="7777777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W przypadku uzależnienia wydania zezwolenia od wykonania nasadzeń zastępczych, zezwolenie - zgodnie z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83d ust. 2 uoop - określało także m.in.: miejsce nasadzeń, liczbę oraz gatunek lub odmianę drzew, termin wykonania nasadzeń.</w:t>
      </w:r>
    </w:p>
    <w:p w14:paraId="4A59C283" w14:textId="7777777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Kontrola wykazała, iż w zezwoleniach każdorazowo prawidłowo ustalano opłaty za usunięcie drzew w oparciu o stawki określone w rozporządzeniu Ministra Środowiska z dnia 3 lipca 2017 r. w sprawie wysokości stawek opłat za usunięcie drzew i krzewów</w:t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6"/>
      </w:r>
      <w:r w:rsidRPr="00EE254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87EBD6" w14:textId="0FACF60C" w:rsidR="001F377D" w:rsidRPr="00EE254F" w:rsidRDefault="00AF2A28" w:rsidP="00EE254F">
      <w:pPr>
        <w:pStyle w:val="Bodytext60"/>
        <w:shd w:val="clear" w:color="auto" w:fill="auto"/>
        <w:spacing w:before="120" w:line="300" w:lineRule="auto"/>
        <w:ind w:left="200"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sz w:val="22"/>
          <w:szCs w:val="22"/>
        </w:rPr>
        <w:t>Ponadt</w:t>
      </w:r>
      <w:r w:rsidR="00B85FFF" w:rsidRPr="00EE254F">
        <w:rPr>
          <w:rFonts w:asciiTheme="minorHAnsi" w:hAnsiTheme="minorHAnsi" w:cstheme="minorHAnsi"/>
          <w:sz w:val="22"/>
          <w:szCs w:val="22"/>
        </w:rPr>
        <w:t>o wszystkie objęte kontrolą decyzje</w:t>
      </w:r>
      <w:r w:rsidRPr="00EE254F">
        <w:rPr>
          <w:rFonts w:asciiTheme="minorHAnsi" w:hAnsiTheme="minorHAnsi" w:cstheme="minorHAnsi"/>
          <w:sz w:val="22"/>
          <w:szCs w:val="22"/>
        </w:rPr>
        <w:t xml:space="preserve"> zawierał</w:t>
      </w:r>
      <w:r w:rsidR="00B85FFF" w:rsidRPr="00EE254F">
        <w:rPr>
          <w:rFonts w:asciiTheme="minorHAnsi" w:hAnsiTheme="minorHAnsi" w:cstheme="minorHAnsi"/>
          <w:sz w:val="22"/>
          <w:szCs w:val="22"/>
        </w:rPr>
        <w:t xml:space="preserve">y elementy wskazane w </w:t>
      </w:r>
      <w:r w:rsidR="00B85FFF" w:rsidRPr="00EE254F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="00B85FFF" w:rsidRPr="00EE254F">
        <w:rPr>
          <w:rFonts w:asciiTheme="minorHAnsi" w:hAnsiTheme="minorHAnsi" w:cstheme="minorHAnsi"/>
          <w:sz w:val="22"/>
          <w:szCs w:val="22"/>
        </w:rPr>
        <w:t>107 § 3 ustawy z dnia 14 czerwca 1960 r. Kodeks postępowania administracyjnego</w:t>
      </w:r>
      <w:r w:rsidR="00B85FFF" w:rsidRPr="00EE254F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="00B85FFF" w:rsidRPr="00EE254F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B85FFF" w:rsidRPr="00EE254F">
        <w:rPr>
          <w:rFonts w:asciiTheme="minorHAnsi" w:hAnsiTheme="minorHAnsi" w:cstheme="minorHAnsi"/>
          <w:sz w:val="22"/>
          <w:szCs w:val="22"/>
        </w:rPr>
        <w:t xml:space="preserve"> (dalej: k.p.a.), w tym m.in.: rozstrzygnięcie, uzasadnienie faktyczne i prawne, pouczenie o środkach odwoławczych i podstawę prawną, za wyjątkiem pouczenia o prawie </w:t>
      </w:r>
      <w:r w:rsidR="00B85FFF" w:rsidRPr="00EE254F">
        <w:rPr>
          <w:rStyle w:val="Bodytext685ptBold"/>
          <w:rFonts w:asciiTheme="minorHAnsi" w:hAnsiTheme="minorHAnsi" w:cstheme="minorHAnsi"/>
          <w:b w:val="0"/>
          <w:sz w:val="22"/>
          <w:szCs w:val="22"/>
        </w:rPr>
        <w:t xml:space="preserve">do </w:t>
      </w:r>
      <w:r w:rsidR="00B85FFF" w:rsidRPr="00EE254F">
        <w:rPr>
          <w:rFonts w:asciiTheme="minorHAnsi" w:hAnsiTheme="minorHAnsi" w:cstheme="minorHAnsi"/>
          <w:sz w:val="22"/>
          <w:szCs w:val="22"/>
        </w:rPr>
        <w:t xml:space="preserve">zrzeczenia się odwołania i skutkach zrzeczenia się odwołania (patrz str. </w:t>
      </w:r>
      <w:r w:rsidR="00B85FFF" w:rsidRPr="00EE254F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В </w:t>
      </w:r>
      <w:r w:rsidR="00B85FFF" w:rsidRPr="00EE254F">
        <w:rPr>
          <w:rFonts w:asciiTheme="minorHAnsi" w:hAnsiTheme="minorHAnsi" w:cstheme="minorHAnsi"/>
          <w:sz w:val="22"/>
          <w:szCs w:val="22"/>
        </w:rPr>
        <w:t>pkt3 nin. dokumentu).</w:t>
      </w:r>
    </w:p>
    <w:p w14:paraId="296F5F30" w14:textId="77777777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left="20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Organ, zgodnie z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109 § 1 k.p.a., doręczał stronom decyzje na piśmie.</w:t>
      </w:r>
    </w:p>
    <w:p w14:paraId="30A38463" w14:textId="77777777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left="20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Jednocześnie wyniki kontroli wykazały, m.in. że:</w:t>
      </w:r>
    </w:p>
    <w:p w14:paraId="0C1A9C8A" w14:textId="2303935B" w:rsidR="001F377D" w:rsidRPr="00EE254F" w:rsidRDefault="00B85FFF" w:rsidP="00EE254F">
      <w:pPr>
        <w:pStyle w:val="Bodytext50"/>
        <w:numPr>
          <w:ilvl w:val="0"/>
          <w:numId w:val="1"/>
        </w:numPr>
        <w:shd w:val="clear" w:color="auto" w:fill="auto"/>
        <w:tabs>
          <w:tab w:val="left" w:pos="811"/>
        </w:tabs>
        <w:spacing w:before="120" w:after="240" w:line="300" w:lineRule="auto"/>
        <w:ind w:left="80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lastRenderedPageBreak/>
        <w:t>2</w:t>
      </w:r>
      <w:r w:rsidR="00284CA1"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8"/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z 10 objętych badaniem decyzji administracyjnych wydano z przekroczeniem terminu</w:t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9"/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określonego w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35 § 3 k.p.a. bez zawiadomienia wnioskodawcy o niezałatwieniu sprawy w terminie i prawie do wniesienia ponaglenia, co stanowiło naruszenie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36 k.p.a.</w:t>
      </w:r>
    </w:p>
    <w:p w14:paraId="73F4140D" w14:textId="31CE493A" w:rsidR="001F377D" w:rsidRPr="00EE254F" w:rsidRDefault="00B85FFF" w:rsidP="00EE254F">
      <w:pPr>
        <w:pStyle w:val="Bodytext50"/>
        <w:numPr>
          <w:ilvl w:val="0"/>
          <w:numId w:val="1"/>
        </w:numPr>
        <w:shd w:val="clear" w:color="auto" w:fill="auto"/>
        <w:tabs>
          <w:tab w:val="left" w:pos="811"/>
        </w:tabs>
        <w:spacing w:before="120" w:after="240" w:line="300" w:lineRule="auto"/>
        <w:ind w:left="80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W</w:t>
      </w:r>
      <w:r w:rsidR="00284CA1">
        <w:rPr>
          <w:rFonts w:asciiTheme="minorHAnsi" w:hAnsiTheme="minorHAnsi" w:cstheme="minorHAnsi"/>
          <w:b w:val="0"/>
          <w:sz w:val="22"/>
          <w:szCs w:val="22"/>
        </w:rPr>
        <w:t xml:space="preserve"> 2</w:t>
      </w:r>
      <w:r w:rsidR="00284CA1"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0"/>
      </w:r>
      <w:r w:rsidR="00284CA1"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10 zezwoleń na usunięcie drzew nie wskazano gatunku drzew, co było niezgodne z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83d ust. 1 pkt 3 uoop.</w:t>
      </w:r>
    </w:p>
    <w:p w14:paraId="75B22038" w14:textId="77777777" w:rsidR="001F377D" w:rsidRPr="00EE254F" w:rsidRDefault="00B85FFF" w:rsidP="00EE254F">
      <w:pPr>
        <w:pStyle w:val="Bodytext50"/>
        <w:numPr>
          <w:ilvl w:val="0"/>
          <w:numId w:val="1"/>
        </w:numPr>
        <w:shd w:val="clear" w:color="auto" w:fill="auto"/>
        <w:tabs>
          <w:tab w:val="left" w:pos="811"/>
        </w:tabs>
        <w:spacing w:before="120" w:after="240" w:line="300" w:lineRule="auto"/>
        <w:ind w:left="80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Wszystkie objęte kontrolą decyzje administracyjne nie zawierały pouczenia o prawie do zrzeczenia się odwołania i skutkach zrzeczenia się odwołania, co stanowiło naruszenie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107 § 1 pkt 7 k.p.a.</w:t>
      </w:r>
    </w:p>
    <w:p w14:paraId="4D8AFAF4" w14:textId="77777777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left="80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Co prawda, Burmistrz Pan Marian Mahor wyjaśnił, iż zgodnie z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112 k.p.a. błędne pouczenie w decyzji m.in. co do skutków zrzeczenia się odwołania nie może szkodzić stronie, która zastosowała się do tego pouczenia, a brak pouczenia albo błędne pouczenie nie wpływa na istnienie decyzji, czy też jej ważność, jednakże należy podkreślić, iż przedmiotowe pouczenie stanowi wymóg ustawowy i organ jest zobowiązany do jego zamieszczania w decyzji administracyjnej.</w:t>
      </w:r>
    </w:p>
    <w:p w14:paraId="67CA5128" w14:textId="77777777" w:rsidR="001F377D" w:rsidRPr="00EE254F" w:rsidRDefault="00B85FFF" w:rsidP="00EE254F">
      <w:pPr>
        <w:pStyle w:val="Bodytext50"/>
        <w:numPr>
          <w:ilvl w:val="0"/>
          <w:numId w:val="1"/>
        </w:numPr>
        <w:shd w:val="clear" w:color="auto" w:fill="auto"/>
        <w:tabs>
          <w:tab w:val="left" w:pos="811"/>
        </w:tabs>
        <w:spacing w:before="120" w:after="240" w:line="300" w:lineRule="auto"/>
        <w:ind w:left="80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W 6</w:t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1"/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postępowaniach naruszono zasadę, wyrażoną w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10 § 3 k.p.a., gdyż organ nie utrwalił w aktach sprawy, w drodze adnotacji, przyczyny odstąpienia od zasady zapewnienia stronom czynnego udziału w każdym stadium postępowania, a przed wydaniem decyzji umożliwienia im wypowiedzenie się co do zebranych dowodów i materiałów oraz zgłoszonych żądań.</w:t>
      </w:r>
    </w:p>
    <w:p w14:paraId="579868A9" w14:textId="77777777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left="80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Co prawda, Burmistrz Pan Marian Mahor wyjaśnił, iż odstąpienie od ww. zasady nastąpiło w oparciu o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10 § 2 k.p.a., gdyż przedmiotowe postępowania dotyczyły drzew </w:t>
      </w:r>
      <w:r w:rsidRPr="00EE254F">
        <w:rPr>
          <w:rStyle w:val="Bodytext2"/>
          <w:rFonts w:asciiTheme="minorHAnsi" w:hAnsiTheme="minorHAnsi" w:cstheme="minorHAnsi"/>
          <w:bCs/>
          <w:sz w:val="22"/>
          <w:szCs w:val="22"/>
        </w:rPr>
        <w:t>zagrażających, bądź znajdujących się w złym stanie, nie mniej jednak zaistniałe przyczyny winny być udokumentowane w aktach sprawy</w:t>
      </w:r>
      <w:r w:rsidRPr="00EE254F">
        <w:rPr>
          <w:rStyle w:val="Bodytext2"/>
          <w:rFonts w:asciiTheme="minorHAnsi" w:hAnsiTheme="minorHAnsi" w:cstheme="minorHAnsi"/>
          <w:b/>
          <w:bCs/>
          <w:sz w:val="22"/>
          <w:szCs w:val="22"/>
        </w:rPr>
        <w:t>.</w:t>
      </w:r>
    </w:p>
    <w:p w14:paraId="0CF40246" w14:textId="77777777" w:rsidR="001F377D" w:rsidRPr="00EE254F" w:rsidRDefault="00B85FFF" w:rsidP="00EE254F">
      <w:pPr>
        <w:pStyle w:val="Bodytext20"/>
        <w:numPr>
          <w:ilvl w:val="0"/>
          <w:numId w:val="1"/>
        </w:numPr>
        <w:shd w:val="clear" w:color="auto" w:fill="auto"/>
        <w:tabs>
          <w:tab w:val="left" w:pos="866"/>
        </w:tabs>
        <w:spacing w:before="120" w:after="240" w:line="300" w:lineRule="auto"/>
        <w:ind w:left="880" w:right="460" w:hanging="34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W 4 decyzjach administracyjnych naruszono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107 § 1 pkt 4 k.p.a. poprzez niewskazanie - jak wyjaśnił Burmistrz Pan Marian Mahor przez omyłkę pisarską - w podstawie prawnej:</w:t>
      </w:r>
    </w:p>
    <w:p w14:paraId="0807F9F8" w14:textId="4117CBC9" w:rsidR="001F377D" w:rsidRPr="00EE254F" w:rsidRDefault="00B85FFF" w:rsidP="00EE254F">
      <w:pPr>
        <w:pStyle w:val="Bodytext20"/>
        <w:numPr>
          <w:ilvl w:val="0"/>
          <w:numId w:val="2"/>
        </w:numPr>
        <w:shd w:val="clear" w:color="auto" w:fill="auto"/>
        <w:tabs>
          <w:tab w:val="left" w:pos="1501"/>
        </w:tabs>
        <w:spacing w:before="120" w:after="240" w:line="300" w:lineRule="auto"/>
        <w:ind w:left="1520" w:right="88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przepisów uoop na podstawie których nie naliczono opłaty za usunięcie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lastRenderedPageBreak/>
        <w:t>drzew - 3 decyzje administracyjne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2"/>
      </w:r>
      <w:r w:rsidRPr="00EE254F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350D5DF6" w14:textId="7A04274C" w:rsidR="001F377D" w:rsidRPr="00EE254F" w:rsidRDefault="00B85FFF" w:rsidP="00EE254F">
      <w:pPr>
        <w:pStyle w:val="Bodytext20"/>
        <w:numPr>
          <w:ilvl w:val="0"/>
          <w:numId w:val="2"/>
        </w:numPr>
        <w:shd w:val="clear" w:color="auto" w:fill="auto"/>
        <w:tabs>
          <w:tab w:val="left" w:pos="1501"/>
        </w:tabs>
        <w:spacing w:before="120" w:after="240" w:line="300" w:lineRule="auto"/>
        <w:ind w:left="1520" w:right="88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105 k.p.a. na podstawie którego umorzono postępowanie administracyjne -1 decyzja administracyjna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3"/>
      </w:r>
      <w:r w:rsidRPr="00EE254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CDA690D" w14:textId="0CB6F3C8" w:rsidR="001F377D" w:rsidRPr="00EE254F" w:rsidRDefault="00B85FFF" w:rsidP="00EE254F">
      <w:pPr>
        <w:pStyle w:val="Bodytext20"/>
        <w:numPr>
          <w:ilvl w:val="0"/>
          <w:numId w:val="1"/>
        </w:numPr>
        <w:shd w:val="clear" w:color="auto" w:fill="auto"/>
        <w:tabs>
          <w:tab w:val="left" w:pos="866"/>
        </w:tabs>
        <w:spacing w:before="120" w:after="240" w:line="300" w:lineRule="auto"/>
        <w:ind w:left="880" w:hanging="34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W 5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4"/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przypadkach naruszono aft 64 § 2 k.p.a. poprzez niewezwanie wnioskodawcy do uzupełnienia braków we wniosku wynikających z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83b ust 1 pkt 4 uoop tj. niewezwanie do uzupełnienia wniosku o nazwę gatunku drzew.</w:t>
      </w:r>
    </w:p>
    <w:p w14:paraId="41FD0AE3" w14:textId="3579FE50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left="88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Co prawda w 3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5"/>
      </w:r>
      <w:r w:rsidR="002C5C8B">
        <w:rPr>
          <w:rFonts w:asciiTheme="minorHAnsi" w:hAnsiTheme="minorHAnsi" w:cstheme="minorHAnsi"/>
          <w:b w:val="0"/>
          <w:sz w:val="22"/>
          <w:szCs w:val="22"/>
        </w:rPr>
        <w:t xml:space="preserve"> p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rzypadkach Burmistrz Pan Marian Mahor wyjaśnił, iż wnioskodawcy nie byli wzywani z uwagi na konieczność niezwłocznego załatwienia sprawy z powodu złego stanu biologicznego drzew bądź występowania zagrożenia bezpieczeństwa ludzi lub mienia, jednakże należy wskazać, iż w powyższych przypadkach organ dokonał pierwszej czynności w sprawie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6"/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dopiero po upływie 11,12 i 13 dni od dnia otrzymania wniosku.</w:t>
      </w:r>
    </w:p>
    <w:p w14:paraId="23978746" w14:textId="3EC31A63" w:rsidR="001F377D" w:rsidRPr="00EE254F" w:rsidRDefault="00B85FFF" w:rsidP="00EE254F">
      <w:pPr>
        <w:pStyle w:val="Bodytext20"/>
        <w:numPr>
          <w:ilvl w:val="0"/>
          <w:numId w:val="1"/>
        </w:numPr>
        <w:shd w:val="clear" w:color="auto" w:fill="auto"/>
        <w:tabs>
          <w:tab w:val="left" w:pos="866"/>
        </w:tabs>
        <w:spacing w:before="120" w:after="240" w:line="300" w:lineRule="auto"/>
        <w:ind w:left="880" w:hanging="34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="002C5C8B">
        <w:rPr>
          <w:rFonts w:asciiTheme="minorHAnsi" w:hAnsiTheme="minorHAnsi" w:cstheme="minorHAnsi"/>
          <w:b w:val="0"/>
          <w:sz w:val="22"/>
          <w:szCs w:val="22"/>
          <w:lang w:eastAsia="ru-RU" w:bidi="ru-RU"/>
        </w:rPr>
        <w:t>1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  <w:lang w:eastAsia="ru-RU" w:bidi="ru-RU"/>
        </w:rPr>
        <w:footnoteReference w:id="17"/>
      </w:r>
      <w:r w:rsidRPr="00EE254F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postępowaniu błędnie ustalono datę ostateczności decyzji wskazując termin o 2 dni późniejszy niż wynika to z dyspozycji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127a § 2 k.p.a. stanowiącego, iż decyzja staje się ostateczna i prawomocna z dniem doręczenia organowi administracji publicznej oświadczenia o zrzeczeniu się prawa do wniesienia odwołania przez ostatnią ze stron postępowania.</w:t>
      </w:r>
    </w:p>
    <w:p w14:paraId="072D55FC" w14:textId="77777777" w:rsidR="001F377D" w:rsidRPr="00EE254F" w:rsidRDefault="00B85FFF" w:rsidP="00EE254F">
      <w:pPr>
        <w:pStyle w:val="Bodytext20"/>
        <w:numPr>
          <w:ilvl w:val="0"/>
          <w:numId w:val="1"/>
        </w:numPr>
        <w:shd w:val="clear" w:color="auto" w:fill="auto"/>
        <w:tabs>
          <w:tab w:val="left" w:pos="866"/>
        </w:tabs>
        <w:spacing w:before="120" w:after="240" w:line="300" w:lineRule="auto"/>
        <w:ind w:left="880" w:hanging="34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Stwierdzono przypadki naruszenia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72 § 1 k.p.a., tj. niesporządzenia adnotacji dotyczących informacji istotnych dla sprawy lub toku postępowania, w tym:</w:t>
      </w:r>
    </w:p>
    <w:p w14:paraId="714857F2" w14:textId="3BD7A98D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left="1160" w:hanging="28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a</w:t>
      </w:r>
      <w:r w:rsidR="002C5C8B">
        <w:rPr>
          <w:rFonts w:asciiTheme="minorHAnsi" w:hAnsiTheme="minorHAnsi" w:cstheme="minorHAnsi"/>
          <w:b w:val="0"/>
          <w:sz w:val="22"/>
          <w:szCs w:val="22"/>
        </w:rPr>
        <w:t>)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w aktach 1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8"/>
      </w:r>
      <w:r w:rsidR="002C5C8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sprawy brak było adnotacji o zawiadomieniu wnioskodawcy o terminie przeprowadzenia oględzin;</w:t>
      </w:r>
    </w:p>
    <w:p w14:paraId="7F62CFFA" w14:textId="45800F5B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left="1160" w:right="460" w:hanging="28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b</w:t>
      </w:r>
      <w:r w:rsidR="002C5C8B">
        <w:rPr>
          <w:rFonts w:asciiTheme="minorHAnsi" w:hAnsiTheme="minorHAnsi" w:cstheme="minorHAnsi"/>
          <w:b w:val="0"/>
          <w:sz w:val="22"/>
          <w:szCs w:val="22"/>
        </w:rPr>
        <w:t>)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w aktach 2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19"/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spraw nie udokumentowano faktu wskazania przez wnioskodawców innych osób w celu udostępnienia nieruchomości na czas oględzin;</w:t>
      </w:r>
    </w:p>
    <w:p w14:paraId="36034D76" w14:textId="77777777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left="112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Style w:val="Bodytext59ptNotBold"/>
          <w:rFonts w:asciiTheme="minorHAnsi" w:hAnsiTheme="minorHAnsi" w:cstheme="minorHAnsi"/>
          <w:sz w:val="22"/>
          <w:szCs w:val="22"/>
        </w:rPr>
        <w:t xml:space="preserve">Wątpliwości budzi także faktyczna rola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Pr="00EE254F">
        <w:rPr>
          <w:rStyle w:val="Bodytext59ptNotBold"/>
          <w:rFonts w:asciiTheme="minorHAnsi" w:hAnsiTheme="minorHAnsi" w:cstheme="minorHAnsi"/>
          <w:sz w:val="22"/>
          <w:szCs w:val="22"/>
        </w:rPr>
        <w:t xml:space="preserve">postępowaniu osoby udostępniającej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nieruchomość, gdyż winna się ona ograniczyć jedynie do zapewnienia technicznego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dostępu do nieruchomości, w rzeczywistości natomiast </w:t>
      </w:r>
      <w:r w:rsidRPr="00EE254F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ѵлѵ.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osoba składała każdorazowo podpis pod protokołem oględzin, nie będąc stroną ani pełnomocnikiem strony,</w:t>
      </w:r>
    </w:p>
    <w:p w14:paraId="37BF8035" w14:textId="162EECE3" w:rsidR="001F377D" w:rsidRPr="00EE254F" w:rsidRDefault="00B85FFF" w:rsidP="00EE254F">
      <w:pPr>
        <w:pStyle w:val="Bodytext50"/>
        <w:numPr>
          <w:ilvl w:val="0"/>
          <w:numId w:val="2"/>
        </w:numPr>
        <w:shd w:val="clear" w:color="auto" w:fill="auto"/>
        <w:tabs>
          <w:tab w:val="left" w:pos="1094"/>
        </w:tabs>
        <w:spacing w:before="120" w:after="240" w:line="300" w:lineRule="auto"/>
        <w:ind w:left="1120" w:hanging="30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w aktach </w:t>
      </w:r>
      <w:r w:rsidR="002C5C8B">
        <w:rPr>
          <w:rFonts w:asciiTheme="minorHAnsi" w:hAnsiTheme="minorHAnsi" w:cstheme="minorHAnsi"/>
          <w:b w:val="0"/>
          <w:sz w:val="22"/>
          <w:szCs w:val="22"/>
        </w:rPr>
        <w:t>1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0"/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sprawy brak było adnotacji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dot.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weryfikacji uprawnień osób do reprezentowania właściciela nieruchomości;</w:t>
      </w:r>
    </w:p>
    <w:p w14:paraId="48A65103" w14:textId="0DF94FA1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left="1120" w:hanging="30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d</w:t>
      </w:r>
      <w:r w:rsidR="002C5C8B">
        <w:rPr>
          <w:rFonts w:asciiTheme="minorHAnsi" w:hAnsiTheme="minorHAnsi" w:cstheme="minorHAnsi"/>
          <w:b w:val="0"/>
          <w:sz w:val="22"/>
          <w:szCs w:val="22"/>
        </w:rPr>
        <w:t>)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w </w:t>
      </w:r>
      <w:r w:rsidR="002C5C8B">
        <w:rPr>
          <w:rFonts w:asciiTheme="minorHAnsi" w:hAnsiTheme="minorHAnsi" w:cstheme="minorHAnsi"/>
          <w:b w:val="0"/>
          <w:sz w:val="22"/>
          <w:szCs w:val="22"/>
        </w:rPr>
        <w:t>1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1"/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przypadku na złożonym przez wnioskodawcę pełnomocnictwie nie zamieszczono adnotacji określającej" podstawę prawną wyłączenia lub zwolnienia z opłaty skarbowej, do czego obliguje § 5 ust. 2 rozporządzenia Ministra Finansów z dnia 28 września 2007 r. w sprawie zapłaty opłaty skarbowej</w:t>
      </w: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22"/>
      </w:r>
      <w:r w:rsidRPr="00EE254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F7EBF2D" w14:textId="78575608" w:rsidR="001F377D" w:rsidRPr="00EE254F" w:rsidRDefault="00B85FFF" w:rsidP="00EE254F">
      <w:pPr>
        <w:pStyle w:val="Bodytext50"/>
        <w:numPr>
          <w:ilvl w:val="0"/>
          <w:numId w:val="1"/>
        </w:numPr>
        <w:shd w:val="clear" w:color="auto" w:fill="auto"/>
        <w:tabs>
          <w:tab w:val="left" w:pos="811"/>
        </w:tabs>
        <w:spacing w:before="120" w:after="240" w:line="300" w:lineRule="auto"/>
        <w:ind w:left="8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Stwierdzono przypadki sporządzania z błędami decyzji administracyjnych oraz protokołów oględzin m.i</w:t>
      </w:r>
      <w:r w:rsidR="002C5C8B">
        <w:rPr>
          <w:rFonts w:asciiTheme="minorHAnsi" w:hAnsiTheme="minorHAnsi" w:cstheme="minorHAnsi"/>
          <w:b w:val="0"/>
          <w:sz w:val="22"/>
          <w:szCs w:val="22"/>
        </w:rPr>
        <w:t>n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i.: błędnie wskazano obwód pnia drzew, nr obrębu działki, datę wniosku, nazwę gatunku drzewa oraz błędnie przywołano punkt z orzeczenia decyzji</w:t>
      </w:r>
      <w:r w:rsidR="002C5C8B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3"/>
      </w:r>
      <w:r w:rsidRPr="00EE254F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C78E815" w14:textId="726A675B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Ponadto ustalono, że we wszystkich sprawach objętych kontrolą w protokołach oględzin oraz w decyzjach administracyjnych nie wskazywano na jakiej wysokości dokonano pomiaru obwodu pnia drzewa, o którym mowa w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83d ust. 1 pkt 4 uoop. Co prawda, Burmistrz Pan Marian Mahor wyjaśnił, iż zapis ten pominięto omyłkowo </w:t>
      </w:r>
      <w:r w:rsidRPr="00EE254F">
        <w:rPr>
          <w:rStyle w:val="Bodytext58pt"/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uwagi na to, że wysokość na jakiej wykonuje się pomiar wynika z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83d ust. 1 pkt 4 uoop i dokonywano pomiaru w oparciu o ww. przepis, niemniej jednak d</w:t>
      </w:r>
      <w:r w:rsidR="00F77483">
        <w:rPr>
          <w:rFonts w:asciiTheme="minorHAnsi" w:hAnsiTheme="minorHAnsi" w:cstheme="minorHAnsi"/>
          <w:b w:val="0"/>
          <w:sz w:val="22"/>
          <w:szCs w:val="22"/>
        </w:rPr>
        <w:t>l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a przejrzystości postępowania zasadnym byłoby doprecyzowywanie ww. zapisu w protokołach oględzin i zezwoleniach na usunięcie drzew i</w:t>
      </w:r>
      <w:r w:rsidR="002C5C8B">
        <w:rPr>
          <w:rFonts w:asciiTheme="minorHAnsi" w:hAnsiTheme="minorHAnsi" w:cstheme="minorHAnsi"/>
          <w:b w:val="0"/>
          <w:sz w:val="22"/>
          <w:szCs w:val="22"/>
        </w:rPr>
        <w:t xml:space="preserve"> l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ub krzewów.</w:t>
      </w:r>
    </w:p>
    <w:p w14:paraId="356C3317" w14:textId="77777777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Skala oraz charakter powyższych ustaleń uzasadniają sformułowanie pozytywnej z zastrzeżeniami oceny działalności jednostki w zakresie objętym kontrolą. Wykazana powyżej powtarzalność niektórych z nich świadczy o braku staranności w działaniu i konieczności zwiększenia nadzoru nad ww. zadaniami.</w:t>
      </w:r>
    </w:p>
    <w:p w14:paraId="12F0BB72" w14:textId="77777777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W kontrolowanym okresie pracą WOŚ kierowała Pani Grażyna Garwacka, zaś nadzór nad WOŚ pełnił Pan Krzysztof Kacprzak Zastępca Burmistrza Dzielnicy Wesoła m.st. Warszawy.</w:t>
      </w:r>
    </w:p>
    <w:p w14:paraId="3853BFD5" w14:textId="7777777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Przedstawiając powyższe ustalenia i oceny zalecam:</w:t>
      </w:r>
    </w:p>
    <w:p w14:paraId="7FF329CA" w14:textId="77777777" w:rsidR="001F377D" w:rsidRPr="00EE254F" w:rsidRDefault="00B85FFF" w:rsidP="00EE254F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120" w:after="240" w:line="300" w:lineRule="auto"/>
        <w:ind w:left="82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Wydawanie zezwoleń na usunięcie drzew lub krzewów w terminach określonych</w:t>
      </w:r>
    </w:p>
    <w:p w14:paraId="2E971B4D" w14:textId="7777777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left="82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35 § 3 k.p.a., a w przypadku braku możliwości zachowania tych terminów -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pisemnego zawiadamiania stron o przyczynach zwłoki i nowym terminie załatwienia sprawy, zgodnie z wymogami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36 k.p.a.</w:t>
      </w:r>
    </w:p>
    <w:p w14:paraId="75FF289E" w14:textId="394A1241" w:rsidR="001F377D" w:rsidRPr="00EE254F" w:rsidRDefault="00B85FFF" w:rsidP="00EE254F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120" w:after="240" w:line="300" w:lineRule="auto"/>
        <w:ind w:left="82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Każdorazowe wskazywanie w zezwoleniach na usunięcie drzew lub krzewów gatunku drzewa</w:t>
      </w:r>
      <w:r w:rsidR="00F77483">
        <w:rPr>
          <w:rFonts w:asciiTheme="minorHAnsi" w:hAnsiTheme="minorHAnsi" w:cstheme="minorHAnsi"/>
          <w:b w:val="0"/>
          <w:sz w:val="22"/>
          <w:szCs w:val="22"/>
        </w:rPr>
        <w:t>/k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rzewu.</w:t>
      </w:r>
    </w:p>
    <w:p w14:paraId="58C638D2" w14:textId="77777777" w:rsidR="001F377D" w:rsidRPr="00EE254F" w:rsidRDefault="00B85FFF" w:rsidP="00EE254F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120" w:after="240" w:line="300" w:lineRule="auto"/>
        <w:ind w:left="82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Formułowanie decyzji administracyjnych z uwzględnieniem wszystkich elementów decyzji określonych w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107 ust. 1 k.p.a.</w:t>
      </w:r>
    </w:p>
    <w:p w14:paraId="477EC135" w14:textId="77777777" w:rsidR="001F377D" w:rsidRPr="00EE254F" w:rsidRDefault="00B85FFF" w:rsidP="00EE254F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120" w:after="240" w:line="300" w:lineRule="auto"/>
        <w:ind w:left="82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Utrwalanie - zgodnie z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10 § 3 k.p.a. - w aktach sprawy, w drodze adnotacji, przyczyny odstąpienia od zasady zapewnienia stronom czynnego udziału w każdym stadium postępowania, a przed wydaniem decyzji umożliwienia im wypowiedzenie się</w:t>
      </w:r>
    </w:p>
    <w:p w14:paraId="64C6DDD3" w14:textId="7777777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left="82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co do zebranych dowodów i materiałów oraz zgłoszonych żądań.</w:t>
      </w:r>
    </w:p>
    <w:p w14:paraId="3C38E41C" w14:textId="77777777" w:rsidR="001F377D" w:rsidRPr="00EE254F" w:rsidRDefault="00B85FFF" w:rsidP="00EE254F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120" w:after="240" w:line="300" w:lineRule="auto"/>
        <w:ind w:left="82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Formułowanie podstawy prawnej zezwoleń na usunięcie drzew lub krzewów z należytą starannością poprzez wskazanie, mających zastosowanie w danej sprawie, przepisów prawa materialnego i formalnego.</w:t>
      </w:r>
    </w:p>
    <w:p w14:paraId="6D93D4B2" w14:textId="77777777" w:rsidR="001F377D" w:rsidRPr="00EE254F" w:rsidRDefault="00B85FFF" w:rsidP="00EE254F">
      <w:pPr>
        <w:pStyle w:val="Bodytext20"/>
        <w:numPr>
          <w:ilvl w:val="0"/>
          <w:numId w:val="3"/>
        </w:numPr>
        <w:pBdr>
          <w:top w:val="single" w:sz="4" w:space="1" w:color="auto"/>
        </w:pBdr>
        <w:shd w:val="clear" w:color="auto" w:fill="auto"/>
        <w:tabs>
          <w:tab w:val="left" w:pos="827"/>
        </w:tabs>
        <w:spacing w:before="120" w:after="240" w:line="300" w:lineRule="auto"/>
        <w:ind w:left="82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Wydawanie zezwoleń dotyczących usunięcia drzew lub krzewów, po weryfikacji Kompletności</w:t>
      </w:r>
    </w:p>
    <w:p w14:paraId="5B53984A" w14:textId="77777777" w:rsidR="001F377D" w:rsidRPr="00EE254F" w:rsidRDefault="00B85FFF" w:rsidP="00EE254F">
      <w:pPr>
        <w:pStyle w:val="Bodytext20"/>
        <w:shd w:val="clear" w:color="auto" w:fill="auto"/>
        <w:spacing w:before="120" w:after="240" w:line="300" w:lineRule="auto"/>
        <w:ind w:left="820" w:right="42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wniosków, a w przypadku stwierdzenia braków formalnych wzywanie wnioskodawców do ich usunięcia w trybie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64 § 2 k.p.a.</w:t>
      </w:r>
    </w:p>
    <w:p w14:paraId="310630D1" w14:textId="77777777" w:rsidR="001F377D" w:rsidRPr="00EE254F" w:rsidRDefault="00B85FFF" w:rsidP="00EE254F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120" w:after="240" w:line="300" w:lineRule="auto"/>
        <w:ind w:left="82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Prawidłowe ustalanie daty ostateczności decyzji z uwzględnieniem dnia doręczenia organowi administracji publicznej oświadczenia o zrzeczeniu się prawa do wniesienia odwołania przez ostatnią ze stron postępowania, o którym mowa w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127a § 2 k.p.a.</w:t>
      </w:r>
    </w:p>
    <w:p w14:paraId="558B84E9" w14:textId="64E7540B" w:rsidR="001F377D" w:rsidRPr="00EE254F" w:rsidRDefault="00B85FFF" w:rsidP="00EE254F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120" w:after="240" w:line="300" w:lineRule="auto"/>
        <w:ind w:left="82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Utrwalanie - zgodnie z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72 § 1 k.p.a. - w aktach sprawy wszelkich czynności organu mających znaczenie dla sprawy lub toku postępowania, w szczególności zawiadomienia wnioskodawcy o terminie przeprowadzenia oględzin, faktu wskazania przez wnioskodawcę innych osób w ce</w:t>
      </w:r>
      <w:r w:rsidR="00F77483">
        <w:rPr>
          <w:rFonts w:asciiTheme="minorHAnsi" w:hAnsiTheme="minorHAnsi" w:cstheme="minorHAnsi"/>
          <w:b w:val="0"/>
          <w:sz w:val="22"/>
          <w:szCs w:val="22"/>
        </w:rPr>
        <w:t>l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u udostępnienia nieruchomości, weryfikacji uprawnień osób</w:t>
      </w:r>
      <w:r w:rsidR="00AF2A28" w:rsidRPr="00EE25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do reprezentowania właściciela nieruchomości, podstawy prawnej wyłączenia lub zwolnienia z opłaty skarbowej.</w:t>
      </w:r>
    </w:p>
    <w:p w14:paraId="6476C751" w14:textId="77777777" w:rsidR="001F377D" w:rsidRPr="00EE254F" w:rsidRDefault="00B85FFF" w:rsidP="00EE254F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120" w:after="240" w:line="300" w:lineRule="auto"/>
        <w:ind w:left="82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Staranne i rzetelne sporządzanie zezwoleń na usunięcia drzew lub krzewów oraz protokołów oględzin, w szczególności każdorazową weryfikację ich poprawności w celu wyeliminowania błędów i omyłek.</w:t>
      </w:r>
    </w:p>
    <w:p w14:paraId="4288ECCB" w14:textId="77777777" w:rsidR="00EE254F" w:rsidRPr="00EE254F" w:rsidRDefault="00B85FFF" w:rsidP="00EE254F">
      <w:pPr>
        <w:pStyle w:val="Bodytext20"/>
        <w:numPr>
          <w:ilvl w:val="0"/>
          <w:numId w:val="3"/>
        </w:numPr>
        <w:shd w:val="clear" w:color="auto" w:fill="auto"/>
        <w:tabs>
          <w:tab w:val="left" w:pos="876"/>
        </w:tabs>
        <w:spacing w:before="120" w:after="240" w:line="300" w:lineRule="auto"/>
        <w:ind w:left="820" w:hanging="32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Każdorazowe wskazywanie w protokołach oględzin i zezwoleniach na usunięcie drzew lub krzewów wysokości na jakiej dokonano pomiaru obwodu pnia drzewa.</w:t>
      </w:r>
    </w:p>
    <w:p w14:paraId="7F67F29E" w14:textId="54AD3B02" w:rsidR="00EE254F" w:rsidRDefault="00EE254F" w:rsidP="00EE254F">
      <w:pPr>
        <w:pStyle w:val="Bodytext20"/>
        <w:shd w:val="clear" w:color="auto" w:fill="auto"/>
        <w:tabs>
          <w:tab w:val="left" w:pos="876"/>
        </w:tabs>
        <w:spacing w:before="120" w:after="240" w:line="300" w:lineRule="auto"/>
        <w:ind w:left="50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 </w:t>
      </w:r>
      <w:r w:rsidR="00B85FFF" w:rsidRPr="00EE254F">
        <w:rPr>
          <w:rFonts w:asciiTheme="minorHAnsi" w:hAnsiTheme="minorHAnsi" w:cstheme="minorHAnsi"/>
          <w:b w:val="0"/>
          <w:sz w:val="22"/>
          <w:szCs w:val="22"/>
        </w:rPr>
        <w:t xml:space="preserve">Na podstawie § </w:t>
      </w:r>
      <w:r w:rsidR="00B85FFF" w:rsidRPr="00EE254F">
        <w:rPr>
          <w:rStyle w:val="Bodytext59ptItalic"/>
          <w:rFonts w:asciiTheme="minorHAnsi" w:hAnsiTheme="minorHAnsi" w:cstheme="minorHAnsi"/>
          <w:bCs/>
          <w:sz w:val="22"/>
          <w:szCs w:val="22"/>
        </w:rPr>
        <w:t>TL</w:t>
      </w:r>
      <w:r w:rsidR="00B85FFF" w:rsidRPr="00EE254F">
        <w:rPr>
          <w:rFonts w:asciiTheme="minorHAnsi" w:hAnsiTheme="minorHAnsi" w:cstheme="minorHAnsi"/>
          <w:b w:val="0"/>
          <w:sz w:val="22"/>
          <w:szCs w:val="22"/>
        </w:rPr>
        <w:t xml:space="preserve"> ust. 10 Regulaminu organizacyjnego oraz § 41 ust. 1 Zarządzenia oczekują od Pana w terminie nie dłuższym niż 30 dni od dnia doręczenia niniejszego Wystąpienia pokontrolnego, informacji o sposobie realizacji za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l</w:t>
      </w:r>
      <w:r w:rsidR="00B85FFF" w:rsidRPr="00EE254F">
        <w:rPr>
          <w:rFonts w:asciiTheme="minorHAnsi" w:hAnsiTheme="minorHAnsi" w:cstheme="minorHAnsi"/>
          <w:b w:val="0"/>
          <w:sz w:val="22"/>
          <w:szCs w:val="22"/>
        </w:rPr>
        <w:t xml:space="preserve">eceń/wniosków pokontrolnych i wykorzystaniu uwag zawartych w wystąpieniu pokontrolnym </w:t>
      </w:r>
      <w:r w:rsidR="00F77483">
        <w:rPr>
          <w:rFonts w:asciiTheme="minorHAnsi" w:hAnsiTheme="minorHAnsi" w:cstheme="minorHAnsi"/>
          <w:b w:val="0"/>
          <w:sz w:val="22"/>
          <w:szCs w:val="22"/>
        </w:rPr>
        <w:t>l</w:t>
      </w:r>
      <w:r w:rsidR="00B85FFF" w:rsidRPr="00EE254F">
        <w:rPr>
          <w:rFonts w:asciiTheme="minorHAnsi" w:hAnsiTheme="minorHAnsi" w:cstheme="minorHAnsi"/>
          <w:b w:val="0"/>
          <w:sz w:val="22"/>
          <w:szCs w:val="22"/>
        </w:rPr>
        <w:t>ub przyczynach braku realizacji zaleceń/wniosków pokontrolnych lub niewykorzystaniu uwag bądź o innym sposobie usunięcia stwierdzonych nieprawidłowości lub uchybień. Na podstawie § 41 ust. 1 Zarządzenia zobowiązuję Pana do przekazania kopii ww. informacji Pani Dorocie Jedynak Dyrektorowi Biura Ochrony Środowiska.</w:t>
      </w:r>
    </w:p>
    <w:p w14:paraId="48CFADCC" w14:textId="118CE125" w:rsidR="00F77483" w:rsidRPr="00EE254F" w:rsidRDefault="00F77483" w:rsidP="00F77483">
      <w:pPr>
        <w:pStyle w:val="Bodytext20"/>
        <w:shd w:val="clear" w:color="auto" w:fill="auto"/>
        <w:tabs>
          <w:tab w:val="left" w:pos="876"/>
        </w:tabs>
        <w:spacing w:before="120" w:after="240" w:line="300" w:lineRule="auto"/>
        <w:ind w:left="5529" w:firstLine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PREZYDENT MIASTA STOŁECZNEGO WARSZAWY /-/ Rafał Trzaskowski</w:t>
      </w:r>
    </w:p>
    <w:p w14:paraId="6E1F8F59" w14:textId="1E175015" w:rsidR="001F377D" w:rsidRPr="00EE254F" w:rsidRDefault="00B85FFF" w:rsidP="00EE254F">
      <w:pPr>
        <w:pStyle w:val="Bodytext50"/>
        <w:shd w:val="clear" w:color="auto" w:fill="auto"/>
        <w:spacing w:before="120" w:after="240" w:line="300" w:lineRule="auto"/>
        <w:ind w:left="160"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Do wiadomości;</w:t>
      </w:r>
    </w:p>
    <w:p w14:paraId="4BCB4AE2" w14:textId="77777777" w:rsidR="001F377D" w:rsidRPr="00EE254F" w:rsidRDefault="00B85FFF" w:rsidP="00EE254F">
      <w:pPr>
        <w:pStyle w:val="Bodytext50"/>
        <w:numPr>
          <w:ilvl w:val="0"/>
          <w:numId w:val="4"/>
        </w:numPr>
        <w:shd w:val="clear" w:color="auto" w:fill="auto"/>
        <w:tabs>
          <w:tab w:val="left" w:pos="272"/>
        </w:tabs>
        <w:spacing w:before="120" w:after="240" w:line="30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Pani </w:t>
      </w:r>
      <w:r w:rsidRPr="00EE254F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Magdalena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Młochowska - Dyrektor Koordynator ds. zielonej Warszawy;</w:t>
      </w:r>
    </w:p>
    <w:p w14:paraId="347F3086" w14:textId="3C970A43" w:rsidR="001F377D" w:rsidRPr="00EE254F" w:rsidRDefault="00B85FFF" w:rsidP="00EE254F">
      <w:pPr>
        <w:pStyle w:val="Bodytext50"/>
        <w:numPr>
          <w:ilvl w:val="0"/>
          <w:numId w:val="4"/>
        </w:numPr>
        <w:shd w:val="clear" w:color="auto" w:fill="auto"/>
        <w:tabs>
          <w:tab w:val="left" w:pos="272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</w:rPr>
        <w:t>Pani Dorota Jedynak—Dyrektor Biura Ochrony Środowiska Urzędu m.st. Warszawy,</w:t>
      </w:r>
    </w:p>
    <w:sectPr w:rsidR="001F377D" w:rsidRPr="00EE254F" w:rsidSect="00F77483">
      <w:footerReference w:type="default" r:id="rId7"/>
      <w:headerReference w:type="first" r:id="rId8"/>
      <w:footerReference w:type="first" r:id="rId9"/>
      <w:pgSz w:w="11900" w:h="16840"/>
      <w:pgMar w:top="1951" w:right="1423" w:bottom="1778" w:left="163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9D1E5" w14:textId="77777777" w:rsidR="00977D84" w:rsidRDefault="00977D84">
      <w:r>
        <w:separator/>
      </w:r>
    </w:p>
  </w:endnote>
  <w:endnote w:type="continuationSeparator" w:id="0">
    <w:p w14:paraId="134EB660" w14:textId="77777777" w:rsidR="00977D84" w:rsidRDefault="0097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9521792"/>
      <w:docPartObj>
        <w:docPartGallery w:val="Page Numbers (Bottom of Page)"/>
        <w:docPartUnique/>
      </w:docPartObj>
    </w:sdtPr>
    <w:sdtEndPr/>
    <w:sdtContent>
      <w:sdt>
        <w:sdtPr>
          <w:id w:val="947202202"/>
          <w:docPartObj>
            <w:docPartGallery w:val="Page Numbers (Top of Page)"/>
            <w:docPartUnique/>
          </w:docPartObj>
        </w:sdtPr>
        <w:sdtEndPr/>
        <w:sdtContent>
          <w:p w14:paraId="6E7D296B" w14:textId="4384B4D1" w:rsidR="00F77483" w:rsidRDefault="00F77483">
            <w:pPr>
              <w:pStyle w:val="Stopka"/>
              <w:jc w:val="right"/>
            </w:pPr>
            <w:r w:rsidRPr="00F7748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09055DC" w14:textId="77777777" w:rsidR="00F77483" w:rsidRDefault="00F774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9446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9E0FCF" w14:textId="72DCF1BE" w:rsidR="00F77483" w:rsidRDefault="00F77483">
            <w:pPr>
              <w:pStyle w:val="Stopka"/>
              <w:jc w:val="right"/>
            </w:pPr>
            <w:r w:rsidRPr="00F7748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F7748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180331BE" w14:textId="77777777" w:rsidR="00F77483" w:rsidRDefault="00F77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EDB4" w14:textId="77777777" w:rsidR="00977D84" w:rsidRDefault="00977D84"/>
  </w:footnote>
  <w:footnote w:type="continuationSeparator" w:id="0">
    <w:p w14:paraId="64AA4D32" w14:textId="77777777" w:rsidR="00977D84" w:rsidRDefault="00977D84"/>
  </w:footnote>
  <w:footnote w:id="1">
    <w:p w14:paraId="5F53DAC8" w14:textId="049A269B" w:rsidR="001F377D" w:rsidRPr="00EE254F" w:rsidRDefault="00B85FFF" w:rsidP="00C73C13">
      <w:pPr>
        <w:pStyle w:val="Footnote10"/>
        <w:shd w:val="clear" w:color="auto" w:fill="auto"/>
        <w:tabs>
          <w:tab w:val="left" w:pos="101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EE254F">
        <w:rPr>
          <w:rFonts w:asciiTheme="minorHAnsi" w:hAnsiTheme="minorHAnsi" w:cstheme="minorHAnsi"/>
          <w:b w:val="0"/>
          <w:sz w:val="22"/>
          <w:szCs w:val="22"/>
        </w:rPr>
        <w:tab/>
        <w:t xml:space="preserve">Zarządzenie nr </w:t>
      </w:r>
      <w:r w:rsidRPr="00EE254F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1067/2020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Prezydenta m.st. Warszawy z dn. 26.08.2020 r. w sprawie nadania wewnętrznego regulaminu organizacyjnego Urzędu Dzielnicy Wesoła Miasta Stołecznego Warszawy w Urzędzie Miasta Stołecznego Warszawy, zarządzenie nr </w:t>
      </w:r>
      <w:r w:rsidRPr="00EE254F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1434/2022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Prezydenta m.s</w:t>
      </w:r>
      <w:r w:rsidR="00EE254F" w:rsidRPr="00EE254F">
        <w:rPr>
          <w:rFonts w:asciiTheme="minorHAnsi" w:hAnsiTheme="minorHAnsi" w:cstheme="minorHAnsi"/>
          <w:b w:val="0"/>
          <w:sz w:val="22"/>
          <w:szCs w:val="22"/>
        </w:rPr>
        <w:t>t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 xml:space="preserve"> Warszawy</w:t>
      </w:r>
      <w:r w:rsidR="00FF68A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z dnia 5 września 2022 r. w sprawie nadania wewnętrznego regulaminu organizacyjnego Urzędu Dzielnicy Wesoła Miasta Stołecznego Warszawy w Urzędzie Miasta Stołecznego Warszawy.</w:t>
      </w:r>
    </w:p>
  </w:footnote>
  <w:footnote w:id="2">
    <w:p w14:paraId="2EFD13DB" w14:textId="24356C2F" w:rsidR="001F377D" w:rsidRPr="00EE254F" w:rsidRDefault="00B85FFF" w:rsidP="00C73C13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EE254F">
        <w:rPr>
          <w:rFonts w:asciiTheme="minorHAnsi" w:hAnsiTheme="minorHAnsi" w:cstheme="minorHAnsi"/>
          <w:b w:val="0"/>
          <w:sz w:val="22"/>
          <w:szCs w:val="22"/>
        </w:rPr>
        <w:t>Dz.U z 2022 r., poz. 916 t.j.</w:t>
      </w:r>
    </w:p>
  </w:footnote>
  <w:footnote w:id="3">
    <w:p w14:paraId="396AC3A6" w14:textId="30841274" w:rsidR="001F377D" w:rsidRPr="00EE254F" w:rsidRDefault="00B85FFF" w:rsidP="00C73C13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EE254F">
        <w:rPr>
          <w:rFonts w:asciiTheme="minorHAnsi" w:hAnsiTheme="minorHAnsi" w:cstheme="minorHAnsi"/>
          <w:b w:val="0"/>
          <w:sz w:val="22"/>
          <w:szCs w:val="22"/>
        </w:rPr>
        <w:t>W 9 z 10 przypadków weryfikacja została utrwalona w protokole oględzin. W przypadku sprawy</w:t>
      </w:r>
      <w:r w:rsidR="00FF68AC">
        <w:rPr>
          <w:rFonts w:asciiTheme="minorHAnsi" w:hAnsiTheme="minorHAnsi" w:cstheme="minorHAnsi"/>
          <w:b w:val="0"/>
          <w:sz w:val="22"/>
          <w:szCs w:val="22"/>
        </w:rPr>
        <w:t xml:space="preserve"> (dane zanonimizowane)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protokół oględzin nie zawierał przedmiotowej Informacji.</w:t>
      </w:r>
      <w:r w:rsidR="00FF68A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Jak wskazał Burmistrz Pan Marian Mahor ww. brak wynikał z omyłki - w protokole oględzin nie wpisano stanu faktycznego, ale uwzględniono go w treści decyzji.</w:t>
      </w:r>
    </w:p>
  </w:footnote>
  <w:footnote w:id="4">
    <w:p w14:paraId="4FE08A06" w14:textId="25F48F2F" w:rsidR="001F377D" w:rsidRPr="00EE254F" w:rsidRDefault="00B85FFF" w:rsidP="00C73C13">
      <w:pPr>
        <w:pStyle w:val="Footnote20"/>
        <w:shd w:val="clear" w:color="auto" w:fill="auto"/>
        <w:tabs>
          <w:tab w:val="left" w:pos="0"/>
        </w:tabs>
        <w:spacing w:before="20" w:after="20"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="00FF68A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F68AC" w:rsidRPr="00F77483">
        <w:rPr>
          <w:rFonts w:asciiTheme="minorHAnsi" w:hAnsiTheme="minorHAnsi" w:cstheme="minorHAnsi"/>
          <w:b w:val="0"/>
          <w:sz w:val="22"/>
          <w:szCs w:val="22"/>
        </w:rPr>
        <w:t>(dane zanonimizowane)</w:t>
      </w:r>
    </w:p>
  </w:footnote>
  <w:footnote w:id="5">
    <w:p w14:paraId="741BF665" w14:textId="55C4BBA3" w:rsidR="001F377D" w:rsidRPr="00EE254F" w:rsidRDefault="00B85FFF" w:rsidP="00C73C13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EE254F">
        <w:rPr>
          <w:rFonts w:asciiTheme="minorHAnsi" w:hAnsiTheme="minorHAnsi" w:cstheme="minorHAnsi"/>
          <w:b w:val="0"/>
          <w:sz w:val="22"/>
          <w:szCs w:val="22"/>
        </w:rPr>
        <w:t>W przypadku ustalenia opłaty za usunięcie drzewa.</w:t>
      </w:r>
    </w:p>
  </w:footnote>
  <w:footnote w:id="6">
    <w:p w14:paraId="6FC8884F" w14:textId="775F51B3" w:rsidR="001F377D" w:rsidRPr="00EE254F" w:rsidRDefault="00B85FFF" w:rsidP="00C73C13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EE254F">
        <w:rPr>
          <w:rFonts w:asciiTheme="minorHAnsi" w:hAnsiTheme="minorHAnsi" w:cstheme="minorHAnsi"/>
          <w:b w:val="0"/>
          <w:sz w:val="22"/>
          <w:szCs w:val="22"/>
        </w:rPr>
        <w:t>Dz.U. z 2017 r., poz. 1330.</w:t>
      </w:r>
    </w:p>
  </w:footnote>
  <w:footnote w:id="7">
    <w:p w14:paraId="7B223635" w14:textId="77777777" w:rsidR="001F377D" w:rsidRPr="00EE254F" w:rsidRDefault="00B85FFF" w:rsidP="00C73C13">
      <w:pPr>
        <w:pStyle w:val="Footnote30"/>
        <w:pBdr>
          <w:top w:val="single" w:sz="4" w:space="1" w:color="auto"/>
        </w:pBdr>
        <w:shd w:val="clear" w:color="auto" w:fill="auto"/>
        <w:tabs>
          <w:tab w:val="left" w:pos="120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E254F">
        <w:rPr>
          <w:rStyle w:val="Footnote39ptNotBold"/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E254F">
        <w:rPr>
          <w:rStyle w:val="Footnote39ptNotBold"/>
          <w:rFonts w:asciiTheme="minorHAnsi" w:hAnsiTheme="minorHAnsi" w:cstheme="minorHAnsi"/>
          <w:sz w:val="22"/>
          <w:szCs w:val="22"/>
        </w:rPr>
        <w:tab/>
        <w:t xml:space="preserve">Dz.U. </w:t>
      </w:r>
      <w:r w:rsidRPr="00EE254F">
        <w:rPr>
          <w:rFonts w:asciiTheme="minorHAnsi" w:hAnsiTheme="minorHAnsi" w:cstheme="minorHAnsi"/>
          <w:b w:val="0"/>
          <w:sz w:val="22"/>
          <w:szCs w:val="22"/>
        </w:rPr>
        <w:t>z 2023 r., poz. 775 t.j.</w:t>
      </w:r>
    </w:p>
  </w:footnote>
  <w:footnote w:id="8">
    <w:p w14:paraId="2402290D" w14:textId="67265BD0" w:rsidR="00284CA1" w:rsidRPr="00EE254F" w:rsidRDefault="00284CA1" w:rsidP="00C73C13">
      <w:pPr>
        <w:pStyle w:val="Footnote50"/>
        <w:shd w:val="clear" w:color="auto" w:fill="auto"/>
        <w:tabs>
          <w:tab w:val="left" w:pos="0"/>
        </w:tabs>
        <w:spacing w:before="20" w:after="20" w:line="240" w:lineRule="auto"/>
        <w:ind w:right="1440" w:firstLine="0"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>
        <w:rPr>
          <w:rFonts w:asciiTheme="minorHAnsi" w:hAnsiTheme="minorHAnsi" w:cstheme="minorHAnsi"/>
          <w:sz w:val="22"/>
          <w:szCs w:val="22"/>
        </w:rPr>
        <w:t>(</w:t>
      </w:r>
      <w:r w:rsidRPr="00284CA1">
        <w:rPr>
          <w:rFonts w:asciiTheme="minorHAnsi" w:hAnsiTheme="minorHAnsi" w:cstheme="minorHAnsi"/>
          <w:bCs/>
          <w:sz w:val="22"/>
          <w:szCs w:val="22"/>
        </w:rPr>
        <w:t>dane zanonimizowane)</w:t>
      </w:r>
    </w:p>
  </w:footnote>
  <w:footnote w:id="9">
    <w:p w14:paraId="459C5FE0" w14:textId="07266611" w:rsidR="001F377D" w:rsidRPr="00EE254F" w:rsidRDefault="00B85FFF" w:rsidP="00C73C13">
      <w:pPr>
        <w:pStyle w:val="Footnote50"/>
        <w:shd w:val="clear" w:color="auto" w:fill="auto"/>
        <w:tabs>
          <w:tab w:val="left" w:pos="0"/>
        </w:tabs>
        <w:spacing w:before="20" w:after="20" w:line="240" w:lineRule="auto"/>
        <w:ind w:right="1440" w:firstLine="0"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EE254F">
        <w:rPr>
          <w:rFonts w:asciiTheme="minorHAnsi" w:hAnsiTheme="minorHAnsi" w:cstheme="minorHAnsi"/>
          <w:sz w:val="22"/>
          <w:szCs w:val="22"/>
        </w:rPr>
        <w:t>Decyzje administracyjne zostały wydane po upływie od 19 do 81 dni od daty wpływu wniosku/uzupełnienia wniosku.</w:t>
      </w:r>
    </w:p>
  </w:footnote>
  <w:footnote w:id="10">
    <w:p w14:paraId="51DC0126" w14:textId="6ED86BD1" w:rsidR="00284CA1" w:rsidRPr="00EE254F" w:rsidRDefault="00284CA1" w:rsidP="00C73C13">
      <w:pPr>
        <w:pStyle w:val="Footnote30"/>
        <w:shd w:val="clear" w:color="auto" w:fill="auto"/>
        <w:tabs>
          <w:tab w:val="left" w:pos="0"/>
          <w:tab w:val="left" w:pos="197"/>
        </w:tabs>
        <w:spacing w:before="20" w:after="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284CA1">
        <w:rPr>
          <w:rFonts w:asciiTheme="minorHAnsi" w:hAnsiTheme="minorHAnsi" w:cstheme="minorHAnsi"/>
          <w:b w:val="0"/>
          <w:bCs w:val="0"/>
          <w:sz w:val="22"/>
          <w:szCs w:val="22"/>
        </w:rPr>
        <w:t>(dane zanonimizowane)</w:t>
      </w:r>
    </w:p>
  </w:footnote>
  <w:footnote w:id="11">
    <w:p w14:paraId="57A9BD94" w14:textId="7FAD14F4" w:rsidR="001F377D" w:rsidRPr="00EE254F" w:rsidRDefault="00284CA1" w:rsidP="00C73C13">
      <w:pPr>
        <w:pStyle w:val="Footnote50"/>
        <w:shd w:val="clear" w:color="auto" w:fill="auto"/>
        <w:tabs>
          <w:tab w:val="left" w:pos="0"/>
          <w:tab w:val="left" w:pos="197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E254F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>
        <w:rPr>
          <w:rFonts w:asciiTheme="minorHAnsi" w:hAnsiTheme="minorHAnsi" w:cstheme="minorHAnsi"/>
          <w:sz w:val="22"/>
          <w:szCs w:val="22"/>
        </w:rPr>
        <w:t>(</w:t>
      </w:r>
      <w:r w:rsidRPr="00284CA1">
        <w:rPr>
          <w:rFonts w:asciiTheme="minorHAnsi" w:hAnsiTheme="minorHAnsi" w:cstheme="minorHAnsi"/>
          <w:bCs/>
          <w:sz w:val="22"/>
          <w:szCs w:val="22"/>
        </w:rPr>
        <w:t>dane zanonimizowane)</w:t>
      </w:r>
    </w:p>
  </w:footnote>
  <w:footnote w:id="12">
    <w:p w14:paraId="48F1C199" w14:textId="29C2B443" w:rsidR="002C5C8B" w:rsidRPr="00F77483" w:rsidRDefault="002C5C8B" w:rsidP="00C73C1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77483">
        <w:rPr>
          <w:rFonts w:asciiTheme="minorHAnsi" w:hAnsiTheme="minorHAnsi" w:cstheme="minorHAnsi"/>
          <w:sz w:val="22"/>
          <w:szCs w:val="22"/>
        </w:rPr>
        <w:t xml:space="preserve"> </w:t>
      </w:r>
      <w:r w:rsidR="00F77483" w:rsidRPr="00F77483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3">
    <w:p w14:paraId="0C648393" w14:textId="02C2C646" w:rsidR="002C5C8B" w:rsidRPr="00F77483" w:rsidRDefault="002C5C8B" w:rsidP="00C73C1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77483">
        <w:rPr>
          <w:rFonts w:asciiTheme="minorHAnsi" w:hAnsiTheme="minorHAnsi" w:cstheme="minorHAnsi"/>
          <w:sz w:val="22"/>
          <w:szCs w:val="22"/>
        </w:rPr>
        <w:t xml:space="preserve"> </w:t>
      </w:r>
      <w:r w:rsidR="00F77483" w:rsidRPr="00F77483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4">
    <w:p w14:paraId="61B2FAB3" w14:textId="172A8130" w:rsidR="002C5C8B" w:rsidRPr="00F77483" w:rsidRDefault="002C5C8B" w:rsidP="00C73C1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77483">
        <w:rPr>
          <w:rFonts w:asciiTheme="minorHAnsi" w:hAnsiTheme="minorHAnsi" w:cstheme="minorHAnsi"/>
          <w:sz w:val="22"/>
          <w:szCs w:val="22"/>
        </w:rPr>
        <w:t xml:space="preserve"> </w:t>
      </w:r>
      <w:r w:rsidR="00F77483" w:rsidRPr="00F77483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5">
    <w:p w14:paraId="79108804" w14:textId="37E30C6D" w:rsidR="002C5C8B" w:rsidRPr="00F77483" w:rsidRDefault="002C5C8B" w:rsidP="00C73C1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77483">
        <w:rPr>
          <w:rFonts w:asciiTheme="minorHAnsi" w:hAnsiTheme="minorHAnsi" w:cstheme="minorHAnsi"/>
          <w:sz w:val="22"/>
          <w:szCs w:val="22"/>
        </w:rPr>
        <w:t xml:space="preserve"> </w:t>
      </w:r>
      <w:r w:rsidR="00F77483" w:rsidRPr="00F77483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6">
    <w:p w14:paraId="241E054D" w14:textId="67FC86EE" w:rsidR="002C5C8B" w:rsidRPr="00F77483" w:rsidRDefault="002C5C8B" w:rsidP="00C73C1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77483">
        <w:rPr>
          <w:rFonts w:asciiTheme="minorHAnsi" w:hAnsiTheme="minorHAnsi" w:cstheme="minorHAnsi"/>
          <w:sz w:val="22"/>
          <w:szCs w:val="22"/>
        </w:rPr>
        <w:t xml:space="preserve"> </w:t>
      </w:r>
      <w:r w:rsidR="00F77483" w:rsidRPr="00F77483">
        <w:rPr>
          <w:rFonts w:asciiTheme="minorHAnsi" w:hAnsiTheme="minorHAnsi" w:cstheme="minorHAnsi"/>
          <w:sz w:val="22"/>
          <w:szCs w:val="22"/>
        </w:rPr>
        <w:t>Ustalenie terminu oględzin</w:t>
      </w:r>
    </w:p>
  </w:footnote>
  <w:footnote w:id="17">
    <w:p w14:paraId="5DD818D0" w14:textId="3F217306" w:rsidR="002C5C8B" w:rsidRDefault="002C5C8B" w:rsidP="00C73C13">
      <w:pPr>
        <w:pStyle w:val="Tekstprzypisudolnego"/>
        <w:spacing w:before="20" w:after="20"/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77483">
        <w:rPr>
          <w:rFonts w:asciiTheme="minorHAnsi" w:hAnsiTheme="minorHAnsi" w:cstheme="minorHAnsi"/>
          <w:sz w:val="22"/>
          <w:szCs w:val="22"/>
        </w:rPr>
        <w:t xml:space="preserve"> </w:t>
      </w:r>
      <w:r w:rsidR="00F77483" w:rsidRPr="00F77483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8">
    <w:p w14:paraId="5B904862" w14:textId="08B5332F" w:rsidR="002C5C8B" w:rsidRPr="00F77483" w:rsidRDefault="002C5C8B" w:rsidP="00C73C1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77483">
        <w:rPr>
          <w:rFonts w:asciiTheme="minorHAnsi" w:hAnsiTheme="minorHAnsi" w:cstheme="minorHAnsi"/>
          <w:sz w:val="22"/>
          <w:szCs w:val="22"/>
        </w:rPr>
        <w:t xml:space="preserve"> </w:t>
      </w:r>
      <w:r w:rsidR="00F77483" w:rsidRPr="00F77483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19">
    <w:p w14:paraId="16065643" w14:textId="08FB0912" w:rsidR="002C5C8B" w:rsidRPr="00F77483" w:rsidRDefault="002C5C8B" w:rsidP="00C73C1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77483">
        <w:rPr>
          <w:rFonts w:asciiTheme="minorHAnsi" w:hAnsiTheme="minorHAnsi" w:cstheme="minorHAnsi"/>
          <w:sz w:val="22"/>
          <w:szCs w:val="22"/>
        </w:rPr>
        <w:t xml:space="preserve"> </w:t>
      </w:r>
      <w:r w:rsidR="00F77483" w:rsidRPr="00F77483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20">
    <w:p w14:paraId="415A1CE4" w14:textId="542C373E" w:rsidR="002C5C8B" w:rsidRPr="00F77483" w:rsidRDefault="002C5C8B" w:rsidP="00C73C1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77483">
        <w:rPr>
          <w:rFonts w:asciiTheme="minorHAnsi" w:hAnsiTheme="minorHAnsi" w:cstheme="minorHAnsi"/>
          <w:sz w:val="22"/>
          <w:szCs w:val="22"/>
        </w:rPr>
        <w:t xml:space="preserve"> </w:t>
      </w:r>
      <w:r w:rsidR="00F77483" w:rsidRPr="00F77483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21">
    <w:p w14:paraId="1B3FDC49" w14:textId="01907049" w:rsidR="002C5C8B" w:rsidRPr="00F77483" w:rsidRDefault="002C5C8B" w:rsidP="00C73C13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77483">
        <w:rPr>
          <w:rFonts w:asciiTheme="minorHAnsi" w:hAnsiTheme="minorHAnsi" w:cstheme="minorHAnsi"/>
          <w:sz w:val="22"/>
          <w:szCs w:val="22"/>
        </w:rPr>
        <w:t xml:space="preserve"> </w:t>
      </w:r>
      <w:r w:rsidR="00F77483" w:rsidRPr="00F77483">
        <w:rPr>
          <w:rFonts w:asciiTheme="minorHAnsi" w:hAnsiTheme="minorHAnsi" w:cstheme="minorHAnsi"/>
          <w:sz w:val="22"/>
          <w:szCs w:val="22"/>
        </w:rPr>
        <w:t>(dane zanonimizowane)</w:t>
      </w:r>
    </w:p>
  </w:footnote>
  <w:footnote w:id="22">
    <w:p w14:paraId="38094756" w14:textId="4972DE16" w:rsidR="001F377D" w:rsidRPr="00F77483" w:rsidRDefault="00B85FFF" w:rsidP="00C73C13">
      <w:pPr>
        <w:pStyle w:val="Footnote30"/>
        <w:shd w:val="clear" w:color="auto" w:fill="auto"/>
        <w:spacing w:before="20" w:after="20" w:line="240" w:lineRule="auto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7483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774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Dz.U. z 2007 r., nr 187, poz</w:t>
      </w:r>
      <w:r w:rsidR="00F77483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Pr="00F7748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1330.</w:t>
      </w:r>
    </w:p>
  </w:footnote>
  <w:footnote w:id="23">
    <w:p w14:paraId="498C6F16" w14:textId="6366600C" w:rsidR="002C5C8B" w:rsidRDefault="002C5C8B" w:rsidP="00C73C13">
      <w:pPr>
        <w:pStyle w:val="Tekstprzypisudolnego"/>
        <w:spacing w:before="20" w:after="20"/>
      </w:pPr>
      <w:r w:rsidRPr="00F7748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F77483" w:rsidRPr="00F77483">
        <w:rPr>
          <w:rFonts w:asciiTheme="minorHAnsi" w:hAnsiTheme="minorHAnsi" w:cstheme="minorHAnsi"/>
          <w:sz w:val="22"/>
          <w:szCs w:val="22"/>
        </w:rPr>
        <w:t>(dane zanonimizowane)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99F59" w14:textId="1B3FEBEB" w:rsidR="00F77483" w:rsidRDefault="00F77483">
    <w:pPr>
      <w:pStyle w:val="Nagwek"/>
    </w:pPr>
    <w:r>
      <w:rPr>
        <w:noProof/>
      </w:rPr>
      <w:drawing>
        <wp:inline distT="0" distB="0" distL="0" distR="0" wp14:anchorId="7E4A4B1E" wp14:editId="4A1E1A9D">
          <wp:extent cx="5614670" cy="1054607"/>
          <wp:effectExtent l="0" t="0" r="508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4670" cy="10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F44CB"/>
    <w:multiLevelType w:val="multilevel"/>
    <w:tmpl w:val="DFDE034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C5565C"/>
    <w:multiLevelType w:val="multilevel"/>
    <w:tmpl w:val="A58A3C0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571488"/>
    <w:multiLevelType w:val="multilevel"/>
    <w:tmpl w:val="C504D6A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734440"/>
    <w:multiLevelType w:val="multilevel"/>
    <w:tmpl w:val="2CC2547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9861006">
    <w:abstractNumId w:val="1"/>
  </w:num>
  <w:num w:numId="2" w16cid:durableId="1145320413">
    <w:abstractNumId w:val="2"/>
  </w:num>
  <w:num w:numId="3" w16cid:durableId="1575967107">
    <w:abstractNumId w:val="0"/>
  </w:num>
  <w:num w:numId="4" w16cid:durableId="890190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7D"/>
    <w:rsid w:val="00004C9B"/>
    <w:rsid w:val="001F377D"/>
    <w:rsid w:val="00284CA1"/>
    <w:rsid w:val="002C5C8B"/>
    <w:rsid w:val="005651B4"/>
    <w:rsid w:val="00977D84"/>
    <w:rsid w:val="00991302"/>
    <w:rsid w:val="00AF2A28"/>
    <w:rsid w:val="00B85FFF"/>
    <w:rsid w:val="00C73C13"/>
    <w:rsid w:val="00CE35D9"/>
    <w:rsid w:val="00EE254F"/>
    <w:rsid w:val="00F77483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C5A57B"/>
  <w15:docId w15:val="{907B5453-CA60-40EA-BDA3-8155B3BB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5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Footnote2">
    <w:name w:val="Footnote|2_"/>
    <w:basedOn w:val="Domylnaczcionkaakapitu"/>
    <w:link w:val="Footnote2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Footnote3">
    <w:name w:val="Footnote|3_"/>
    <w:basedOn w:val="Domylnaczcionkaakapitu"/>
    <w:link w:val="Footnote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39ptNotBold">
    <w:name w:val="Footnote|3 + 9 pt;Not Bold"/>
    <w:basedOn w:val="Footnote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Footnote4">
    <w:name w:val="Footnote|4_"/>
    <w:basedOn w:val="Domylnaczcionkaakapitu"/>
    <w:link w:val="Footnote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Footnote5">
    <w:name w:val="Footnote|5_"/>
    <w:basedOn w:val="Domylnaczcionkaakapitu"/>
    <w:link w:val="Footnote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6">
    <w:name w:val="Footnote|6_"/>
    <w:basedOn w:val="Domylnaczcionkaakapitu"/>
    <w:link w:val="Footnote6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Footnote7">
    <w:name w:val="Footnote|7_"/>
    <w:basedOn w:val="Domylnaczcionkaakapitu"/>
    <w:link w:val="Footnote7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5Exact">
    <w:name w:val="Body text|5 Exact"/>
    <w:basedOn w:val="Domylnaczcionkaakapitu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85ptBold">
    <w:name w:val="Body text|6 + 8.5 pt;Bold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59ptItalic">
    <w:name w:val="Body text|5 + 9 pt;Italic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7">
    <w:name w:val="Body text|7_"/>
    <w:basedOn w:val="Domylnaczcionkaakapitu"/>
    <w:link w:val="Bodytext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7Arial9ptBold">
    <w:name w:val="Body text|7 + Arial;9 pt;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8">
    <w:name w:val="Body text|8_"/>
    <w:basedOn w:val="Domylnaczcionkaakapitu"/>
    <w:link w:val="Bodytext8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59ptNotBold">
    <w:name w:val="Body text|5 + 9 pt;Not Bold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58pt">
    <w:name w:val="Body text|5 + 8 pt"/>
    <w:basedOn w:val="Bodytext5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85pt">
    <w:name w:val="Body text|2 + 8.5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icturecaption1">
    <w:name w:val="Picture caption|1_"/>
    <w:basedOn w:val="Domylnaczcionkaakapitu"/>
    <w:link w:val="Picturecaption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307" w:lineRule="exact"/>
      <w:ind w:hanging="200"/>
    </w:pPr>
    <w:rPr>
      <w:rFonts w:ascii="Arial" w:eastAsia="Arial" w:hAnsi="Arial" w:cs="Arial"/>
      <w:b/>
      <w:bCs/>
      <w:sz w:val="16"/>
      <w:szCs w:val="16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226" w:lineRule="exact"/>
    </w:pPr>
    <w:rPr>
      <w:rFonts w:ascii="Courier New" w:eastAsia="Courier New" w:hAnsi="Courier New" w:cs="Courier New"/>
      <w:b/>
      <w:bCs/>
      <w:spacing w:val="20"/>
      <w:sz w:val="20"/>
      <w:szCs w:val="20"/>
    </w:rPr>
  </w:style>
  <w:style w:type="paragraph" w:customStyle="1" w:styleId="Footnote30">
    <w:name w:val="Footnote|3"/>
    <w:basedOn w:val="Normalny"/>
    <w:link w:val="Footnote3"/>
    <w:pPr>
      <w:shd w:val="clear" w:color="auto" w:fill="FFFFFF"/>
      <w:spacing w:line="20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Footnote40">
    <w:name w:val="Footnote|4"/>
    <w:basedOn w:val="Normalny"/>
    <w:link w:val="Footnote4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Footnote50">
    <w:name w:val="Footnote|5"/>
    <w:basedOn w:val="Normalny"/>
    <w:link w:val="Footnote5"/>
    <w:pPr>
      <w:shd w:val="clear" w:color="auto" w:fill="FFFFFF"/>
      <w:spacing w:line="307" w:lineRule="exact"/>
      <w:ind w:hanging="180"/>
    </w:pPr>
    <w:rPr>
      <w:rFonts w:ascii="Arial" w:eastAsia="Arial" w:hAnsi="Arial" w:cs="Arial"/>
      <w:sz w:val="18"/>
      <w:szCs w:val="18"/>
    </w:rPr>
  </w:style>
  <w:style w:type="paragraph" w:customStyle="1" w:styleId="Footnote60">
    <w:name w:val="Footnote|6"/>
    <w:basedOn w:val="Normalny"/>
    <w:link w:val="Footnote6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Footnote70">
    <w:name w:val="Footnote|7"/>
    <w:basedOn w:val="Normalny"/>
    <w:link w:val="Footnote7"/>
    <w:pPr>
      <w:shd w:val="clear" w:color="auto" w:fill="FFFFFF"/>
      <w:spacing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660" w:after="340" w:line="190" w:lineRule="exact"/>
      <w:ind w:hanging="34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after="660" w:line="15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322" w:lineRule="exact"/>
      <w:ind w:hanging="360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after="240" w:line="312" w:lineRule="exact"/>
    </w:pPr>
    <w:rPr>
      <w:rFonts w:ascii="Arial" w:eastAsia="Arial" w:hAnsi="Arial" w:cs="Arial"/>
      <w:sz w:val="18"/>
      <w:szCs w:val="18"/>
    </w:rPr>
  </w:style>
  <w:style w:type="paragraph" w:customStyle="1" w:styleId="Bodytext70">
    <w:name w:val="Body text|7"/>
    <w:basedOn w:val="Normalny"/>
    <w:link w:val="Bodytext7"/>
    <w:pPr>
      <w:shd w:val="clear" w:color="auto" w:fill="FFFFFF"/>
      <w:spacing w:before="880" w:after="360" w:line="245" w:lineRule="exact"/>
    </w:pPr>
    <w:rPr>
      <w:rFonts w:ascii="Courier New" w:eastAsia="Courier New" w:hAnsi="Courier New" w:cs="Courier New"/>
      <w:sz w:val="12"/>
      <w:szCs w:val="12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after="60" w:line="235" w:lineRule="exact"/>
      <w:outlineLvl w:val="0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80">
    <w:name w:val="Body text|8"/>
    <w:basedOn w:val="Normalny"/>
    <w:link w:val="Bodytext8"/>
    <w:pPr>
      <w:shd w:val="clear" w:color="auto" w:fill="FFFFFF"/>
      <w:spacing w:before="60" w:after="220" w:line="158" w:lineRule="exact"/>
    </w:pPr>
    <w:rPr>
      <w:rFonts w:ascii="Courier New" w:eastAsia="Courier New" w:hAnsi="Courier New" w:cs="Courier New"/>
      <w:sz w:val="14"/>
      <w:szCs w:val="14"/>
    </w:rPr>
  </w:style>
  <w:style w:type="paragraph" w:customStyle="1" w:styleId="Picturecaption10">
    <w:name w:val="Picture caption|1"/>
    <w:basedOn w:val="Normalny"/>
    <w:link w:val="Picturecaption1"/>
    <w:qFormat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F2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2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8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E25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5C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5C8B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5C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Urban Marzanna (KW)</dc:creator>
  <cp:lastModifiedBy>Kowalczyk Monika (KW)</cp:lastModifiedBy>
  <cp:revision>4</cp:revision>
  <dcterms:created xsi:type="dcterms:W3CDTF">2023-08-24T09:23:00Z</dcterms:created>
  <dcterms:modified xsi:type="dcterms:W3CDTF">2024-08-20T09:48:00Z</dcterms:modified>
</cp:coreProperties>
</file>