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7842" w14:textId="77777777" w:rsidR="004E4877" w:rsidRPr="004E4877" w:rsidRDefault="004E4877" w:rsidP="004E4877">
      <w:pPr>
        <w:pStyle w:val="Bodytext20"/>
        <w:shd w:val="clear" w:color="auto" w:fill="auto"/>
        <w:spacing w:before="0" w:after="415"/>
        <w:ind w:left="6237"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 xml:space="preserve">Warszawa, 9 lutego 2024 r. </w:t>
      </w:r>
    </w:p>
    <w:p w14:paraId="73AB5211" w14:textId="77777777" w:rsidR="00F462DF" w:rsidRPr="004E4877" w:rsidRDefault="0073623E">
      <w:pPr>
        <w:pStyle w:val="Bodytext20"/>
        <w:shd w:val="clear" w:color="auto" w:fill="auto"/>
        <w:spacing w:before="0" w:after="415"/>
        <w:ind w:firstLine="0"/>
        <w:jc w:val="left"/>
        <w:rPr>
          <w:rFonts w:asciiTheme="minorHAnsi" w:hAnsiTheme="minorHAnsi" w:cstheme="minorHAnsi"/>
          <w:sz w:val="22"/>
          <w:szCs w:val="22"/>
        </w:rPr>
      </w:pPr>
      <w:r w:rsidRPr="004E4877">
        <w:rPr>
          <w:rFonts w:asciiTheme="minorHAnsi" w:hAnsiTheme="minorHAnsi" w:cstheme="minorHAnsi"/>
          <w:sz w:val="22"/>
          <w:szCs w:val="22"/>
        </w:rPr>
        <w:t>znak sprawy: KW-WGF.1712.76.2023.MWB</w:t>
      </w:r>
    </w:p>
    <w:p w14:paraId="0E784B11" w14:textId="77777777" w:rsidR="00F462DF" w:rsidRPr="004E4877" w:rsidRDefault="0073623E">
      <w:pPr>
        <w:pStyle w:val="Bodytext20"/>
        <w:shd w:val="clear" w:color="auto" w:fill="auto"/>
        <w:spacing w:before="0" w:after="0" w:line="259" w:lineRule="exact"/>
        <w:ind w:left="5500" w:firstLine="0"/>
        <w:jc w:val="left"/>
        <w:rPr>
          <w:rFonts w:asciiTheme="minorHAnsi" w:hAnsiTheme="minorHAnsi" w:cstheme="minorHAnsi"/>
          <w:sz w:val="22"/>
          <w:szCs w:val="22"/>
        </w:rPr>
      </w:pPr>
      <w:r w:rsidRPr="004E4877">
        <w:rPr>
          <w:rFonts w:asciiTheme="minorHAnsi" w:hAnsiTheme="minorHAnsi" w:cstheme="minorHAnsi"/>
          <w:sz w:val="22"/>
          <w:szCs w:val="22"/>
        </w:rPr>
        <w:t>Pan</w:t>
      </w:r>
    </w:p>
    <w:p w14:paraId="37E48C70" w14:textId="77777777" w:rsidR="00F462DF" w:rsidRPr="004E4877" w:rsidRDefault="004E4877" w:rsidP="004E4877">
      <w:pPr>
        <w:pStyle w:val="Bodytext20"/>
        <w:shd w:val="clear" w:color="auto" w:fill="auto"/>
        <w:spacing w:before="0" w:after="0" w:line="259" w:lineRule="exact"/>
        <w:ind w:left="5500" w:right="2007" w:firstLine="0"/>
        <w:jc w:val="left"/>
        <w:rPr>
          <w:rFonts w:asciiTheme="minorHAnsi" w:hAnsiTheme="minorHAnsi" w:cstheme="minorHAnsi"/>
          <w:sz w:val="22"/>
          <w:szCs w:val="22"/>
        </w:rPr>
      </w:pPr>
      <w:r>
        <w:rPr>
          <w:rFonts w:asciiTheme="minorHAnsi" w:hAnsiTheme="minorHAnsi" w:cstheme="minorHAnsi"/>
          <w:sz w:val="22"/>
          <w:szCs w:val="22"/>
        </w:rPr>
        <w:t xml:space="preserve">Bartosz </w:t>
      </w:r>
      <w:r w:rsidR="0073623E" w:rsidRPr="004E4877">
        <w:rPr>
          <w:rFonts w:asciiTheme="minorHAnsi" w:hAnsiTheme="minorHAnsi" w:cstheme="minorHAnsi"/>
          <w:sz w:val="22"/>
          <w:szCs w:val="22"/>
        </w:rPr>
        <w:t>Kusior Dyrektor</w:t>
      </w:r>
    </w:p>
    <w:p w14:paraId="55EC868B" w14:textId="77777777" w:rsidR="00F462DF" w:rsidRPr="004E4877" w:rsidRDefault="0073623E">
      <w:pPr>
        <w:pStyle w:val="Bodytext20"/>
        <w:shd w:val="clear" w:color="auto" w:fill="auto"/>
        <w:spacing w:before="0" w:after="545" w:line="259" w:lineRule="exact"/>
        <w:ind w:left="5500" w:right="80" w:firstLine="0"/>
        <w:jc w:val="left"/>
        <w:rPr>
          <w:rFonts w:asciiTheme="minorHAnsi" w:hAnsiTheme="minorHAnsi" w:cstheme="minorHAnsi"/>
          <w:sz w:val="22"/>
          <w:szCs w:val="22"/>
        </w:rPr>
      </w:pPr>
      <w:r w:rsidRPr="004E4877">
        <w:rPr>
          <w:rFonts w:asciiTheme="minorHAnsi" w:hAnsiTheme="minorHAnsi" w:cstheme="minorHAnsi"/>
          <w:sz w:val="22"/>
          <w:szCs w:val="22"/>
        </w:rPr>
        <w:t>Stołecznego Centrum Sportu AKTYWNA WARSZAWA</w:t>
      </w:r>
    </w:p>
    <w:p w14:paraId="6DF264E0" w14:textId="77777777" w:rsidR="00F462DF" w:rsidRPr="00AE35A8" w:rsidRDefault="0073623E" w:rsidP="00AE35A8">
      <w:pPr>
        <w:pStyle w:val="Nagwek1"/>
        <w:ind w:left="3402"/>
        <w:rPr>
          <w:rFonts w:asciiTheme="minorHAnsi" w:hAnsiTheme="minorHAnsi" w:cstheme="minorHAnsi"/>
          <w:b/>
          <w:color w:val="000000" w:themeColor="text1"/>
          <w:sz w:val="22"/>
          <w:szCs w:val="22"/>
        </w:rPr>
      </w:pPr>
      <w:r w:rsidRPr="00AE35A8">
        <w:rPr>
          <w:rFonts w:asciiTheme="minorHAnsi" w:hAnsiTheme="minorHAnsi" w:cstheme="minorHAnsi"/>
          <w:b/>
          <w:color w:val="000000" w:themeColor="text1"/>
          <w:sz w:val="22"/>
          <w:szCs w:val="22"/>
        </w:rPr>
        <w:t>Wystąpienie pokontrolne</w:t>
      </w:r>
    </w:p>
    <w:p w14:paraId="0714D22D" w14:textId="77777777" w:rsidR="00F462DF" w:rsidRPr="004E4877" w:rsidRDefault="0073623E">
      <w:pPr>
        <w:pStyle w:val="Bodytext20"/>
        <w:shd w:val="clear" w:color="auto" w:fill="auto"/>
        <w:spacing w:before="0" w:after="36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 xml:space="preserve">Na podstawie § 22 ust. 10 Regulaminu organizacyjnego Urzędu m.st. Warszawy, stanowiącego załącznik do zarządzenia nr </w:t>
      </w:r>
      <w:r w:rsidRPr="004E4877">
        <w:rPr>
          <w:rFonts w:asciiTheme="minorHAnsi" w:hAnsiTheme="minorHAnsi" w:cstheme="minorHAnsi"/>
          <w:b w:val="0"/>
          <w:sz w:val="22"/>
          <w:szCs w:val="22"/>
          <w:lang w:val="ru-RU" w:eastAsia="ru-RU" w:bidi="ru-RU"/>
        </w:rPr>
        <w:t xml:space="preserve">312/2007 </w:t>
      </w:r>
      <w:r w:rsidRPr="004E4877">
        <w:rPr>
          <w:rFonts w:asciiTheme="minorHAnsi" w:hAnsiTheme="minorHAnsi" w:cstheme="minorHAnsi"/>
          <w:b w:val="0"/>
          <w:sz w:val="22"/>
          <w:szCs w:val="22"/>
        </w:rPr>
        <w:t>Prezydenta m.st. Warszawy z 4 kwietnia 2007 r. w sprawie nadania regulaminu organizacyjnego Urzędu m.st. Warszawy (ze zm.), w związku kontrolą</w:t>
      </w:r>
      <w:r w:rsidRPr="004E4877">
        <w:rPr>
          <w:rFonts w:asciiTheme="minorHAnsi" w:hAnsiTheme="minorHAnsi" w:cstheme="minorHAnsi"/>
          <w:b w:val="0"/>
          <w:sz w:val="22"/>
          <w:szCs w:val="22"/>
          <w:vertAlign w:val="superscript"/>
        </w:rPr>
        <w:footnoteReference w:id="1"/>
      </w:r>
      <w:r w:rsidRPr="004E4877">
        <w:rPr>
          <w:rFonts w:asciiTheme="minorHAnsi" w:hAnsiTheme="minorHAnsi" w:cstheme="minorHAnsi"/>
          <w:b w:val="0"/>
          <w:sz w:val="22"/>
          <w:szCs w:val="22"/>
          <w:vertAlign w:val="superscript"/>
        </w:rPr>
        <w:t xml:space="preserve"> </w:t>
      </w:r>
      <w:r w:rsidRPr="004E4877">
        <w:rPr>
          <w:rFonts w:asciiTheme="minorHAnsi" w:hAnsiTheme="minorHAnsi" w:cstheme="minorHAnsi"/>
          <w:b w:val="0"/>
          <w:sz w:val="22"/>
          <w:szCs w:val="22"/>
        </w:rPr>
        <w:t xml:space="preserve">przeprowadzoną od 21 września 2023 r. do 17 listopada 2023 r. przez Biuro Kontroli Urzędu m.st. Warszawy w Stołecznym Centrum Sportu AKTYWNA WARSZAWA (dalej: SCSAW lub Centrum), której wyniki zostały przedstawione w protokole kontroli podpisanym 1 grudnia </w:t>
      </w:r>
      <w:r w:rsidR="004E4877" w:rsidRPr="004E4877">
        <w:rPr>
          <w:rFonts w:asciiTheme="minorHAnsi" w:hAnsiTheme="minorHAnsi" w:cstheme="minorHAnsi"/>
          <w:b w:val="0"/>
          <w:sz w:val="22"/>
          <w:szCs w:val="22"/>
        </w:rPr>
        <w:t>2023 r., stosownie do § 39 ust.1</w:t>
      </w:r>
      <w:r w:rsidRPr="004E4877">
        <w:rPr>
          <w:rFonts w:asciiTheme="minorHAnsi" w:hAnsiTheme="minorHAnsi" w:cstheme="minorHAnsi"/>
          <w:b w:val="0"/>
          <w:sz w:val="22"/>
          <w:szCs w:val="22"/>
        </w:rPr>
        <w:t xml:space="preserve"> i ust.4 zarządzenia nr </w:t>
      </w:r>
      <w:r w:rsidRPr="004E4877">
        <w:rPr>
          <w:rFonts w:asciiTheme="minorHAnsi" w:hAnsiTheme="minorHAnsi" w:cstheme="minorHAnsi"/>
          <w:b w:val="0"/>
          <w:sz w:val="22"/>
          <w:szCs w:val="22"/>
          <w:lang w:val="ru-RU" w:eastAsia="ru-RU" w:bidi="ru-RU"/>
        </w:rPr>
        <w:t xml:space="preserve">1837/2019 </w:t>
      </w:r>
      <w:r w:rsidRPr="004E4877">
        <w:rPr>
          <w:rFonts w:asciiTheme="minorHAnsi" w:hAnsiTheme="minorHAnsi" w:cstheme="minorHAnsi"/>
          <w:b w:val="0"/>
          <w:sz w:val="22"/>
          <w:szCs w:val="22"/>
        </w:rPr>
        <w:t>Prezydenta m.st. Warszawy z 12 grudnia 2019 r. w sprawie zasad i trybu postępowania kontrolnego (dalej: Zarządzenie) przekazuję Panu wystąpienie pokontrolne.</w:t>
      </w:r>
    </w:p>
    <w:p w14:paraId="44CFB1EF" w14:textId="77777777" w:rsidR="00F462DF" w:rsidRPr="004E4877" w:rsidRDefault="0073623E">
      <w:pPr>
        <w:pStyle w:val="Bodytext20"/>
        <w:shd w:val="clear" w:color="auto" w:fill="auto"/>
        <w:spacing w:before="0" w:after="24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Podstawy organizacji i funkcjonowania SCSAW określa statut stanowiący załącznik do uchwały nr XI</w:t>
      </w:r>
      <w:r w:rsidRPr="004E4877">
        <w:rPr>
          <w:rFonts w:asciiTheme="minorHAnsi" w:hAnsiTheme="minorHAnsi" w:cstheme="minorHAnsi"/>
          <w:b w:val="0"/>
          <w:sz w:val="22"/>
          <w:szCs w:val="22"/>
          <w:lang w:val="en-US" w:eastAsia="en-US" w:bidi="en-US"/>
        </w:rPr>
        <w:t xml:space="preserve">VII/1453/2021 </w:t>
      </w:r>
      <w:r w:rsidRPr="004E4877">
        <w:rPr>
          <w:rFonts w:asciiTheme="minorHAnsi" w:hAnsiTheme="minorHAnsi" w:cstheme="minorHAnsi"/>
          <w:b w:val="0"/>
          <w:sz w:val="22"/>
          <w:szCs w:val="22"/>
        </w:rPr>
        <w:t>Rady m.st. Warszawy z 15 kwietnia 2021 r.</w:t>
      </w:r>
      <w:r w:rsidRPr="004E4877">
        <w:rPr>
          <w:rFonts w:asciiTheme="minorHAnsi" w:hAnsiTheme="minorHAnsi" w:cstheme="minorHAnsi"/>
          <w:b w:val="0"/>
          <w:sz w:val="22"/>
          <w:szCs w:val="22"/>
          <w:vertAlign w:val="superscript"/>
        </w:rPr>
        <w:footnoteReference w:id="2"/>
      </w:r>
      <w:r w:rsidRPr="004E4877">
        <w:rPr>
          <w:rFonts w:asciiTheme="minorHAnsi" w:hAnsiTheme="minorHAnsi" w:cstheme="minorHAnsi"/>
          <w:b w:val="0"/>
          <w:sz w:val="22"/>
          <w:szCs w:val="22"/>
        </w:rPr>
        <w:t xml:space="preserve"> oraz Regulamin organizacyjny</w:t>
      </w:r>
      <w:r w:rsidRPr="004E4877">
        <w:rPr>
          <w:rFonts w:asciiTheme="minorHAnsi" w:hAnsiTheme="minorHAnsi" w:cstheme="minorHAnsi"/>
          <w:b w:val="0"/>
          <w:sz w:val="22"/>
          <w:szCs w:val="22"/>
          <w:vertAlign w:val="superscript"/>
        </w:rPr>
        <w:footnoteReference w:id="3"/>
      </w:r>
      <w:r w:rsidRPr="004E4877">
        <w:rPr>
          <w:rFonts w:asciiTheme="minorHAnsi" w:hAnsiTheme="minorHAnsi" w:cstheme="minorHAnsi"/>
          <w:b w:val="0"/>
          <w:sz w:val="22"/>
          <w:szCs w:val="22"/>
        </w:rPr>
        <w:t>. SCSAW jest jednostką organizacyjną m.st. Warszawy o znaczeniu ponaddzielnicowym, której przedmiotem działalności jest realizacja zadań własnych m.st. Warszawy w zakresie zaspokajania zbiorowych potrzeb mieszkańców m.st. Warszawy obejmującym sprawy kultury fizycznej, w tym terenów rekreacyjnych i urządzeń sportowych. SCSAW realizuje zadania statutowe w oparciu o działalność 15 ośrodków sportowych.</w:t>
      </w:r>
    </w:p>
    <w:p w14:paraId="6EE9F065" w14:textId="77777777" w:rsidR="00F462DF" w:rsidRPr="004E4877" w:rsidRDefault="0073623E">
      <w:pPr>
        <w:pStyle w:val="Bodytext20"/>
        <w:shd w:val="clear" w:color="auto" w:fill="auto"/>
        <w:spacing w:before="0" w:after="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Pozytywnie należy ocenić funkcjonowanie SCSAW w obszarze objętym kontrolą, z zastrzeżeniem uchybień wskazanych w niniejszym wystąpieniu pokontrolnym.</w:t>
      </w:r>
    </w:p>
    <w:p w14:paraId="1FB832FA" w14:textId="77777777" w:rsidR="00F462DF" w:rsidRPr="004E4877" w:rsidRDefault="0073623E" w:rsidP="00DA7D21">
      <w:pPr>
        <w:pStyle w:val="Bodytext20"/>
        <w:shd w:val="clear" w:color="auto" w:fill="auto"/>
        <w:spacing w:before="0" w:after="22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 xml:space="preserve">Zgodnie z § 6 Statutu oraz § 4 ust. 1 Regulaminu organizacyjnego Dyrektor Centrum kieruje działalnością SCSAW przy pomocy trzech zastępców. Ustalono, że w okresie objętym kontrolą występował wakat na stanowisku zastępcy dyrektora ds. Ośrodków (ZDO), uwzględnionym w schemacie organizacyjnym stanowiącym załącznik do Regulaminu organizacyjnego. W sprawie Dyrektor SCSAW wyjaśnił: „(..) Obowiązki zastępcy dyrektora przejąłem osobiście jako Dyrektor </w:t>
      </w:r>
      <w:r w:rsidRPr="004E4877">
        <w:rPr>
          <w:rFonts w:asciiTheme="minorHAnsi" w:hAnsiTheme="minorHAnsi" w:cstheme="minorHAnsi"/>
          <w:b w:val="0"/>
          <w:sz w:val="22"/>
          <w:szCs w:val="22"/>
        </w:rPr>
        <w:lastRenderedPageBreak/>
        <w:t>jednostki, czyniąc tym samym oszczędności budżetowe. W najbliższym czasie planuję przeprowadzenie analizy obowiązującego regulaminu pod kątem jego optymalizacji i pełnego wykorzystania zasobów ludzkich".</w:t>
      </w:r>
    </w:p>
    <w:p w14:paraId="78886407" w14:textId="77777777" w:rsidR="00F462DF" w:rsidRPr="004E4877" w:rsidRDefault="0073623E" w:rsidP="00DA7D21">
      <w:pPr>
        <w:pStyle w:val="Bodytext20"/>
        <w:shd w:val="clear" w:color="auto" w:fill="auto"/>
        <w:spacing w:before="0" w:after="22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Wewnętrzna dokumentacja opisująca zasady (politykę) rachunkowości</w:t>
      </w:r>
      <w:r w:rsidRPr="004E4877">
        <w:rPr>
          <w:rFonts w:asciiTheme="minorHAnsi" w:hAnsiTheme="minorHAnsi" w:cstheme="minorHAnsi"/>
          <w:b w:val="0"/>
          <w:sz w:val="22"/>
          <w:szCs w:val="22"/>
          <w:vertAlign w:val="superscript"/>
        </w:rPr>
        <w:footnoteReference w:id="4"/>
      </w:r>
      <w:r w:rsidRPr="004E4877">
        <w:rPr>
          <w:rFonts w:asciiTheme="minorHAnsi" w:hAnsiTheme="minorHAnsi" w:cstheme="minorHAnsi"/>
          <w:b w:val="0"/>
          <w:sz w:val="22"/>
          <w:szCs w:val="22"/>
        </w:rPr>
        <w:t>została opracowana zgodnie z przepisami obowiązującymi w tym zakresie. Procesy związane z funkcjonowaniem kontroli zarządczej w Centrum oraz procedury zarządzania ryzykiem określono w zarządzeniach Dyrektora SCSAW</w:t>
      </w:r>
      <w:r w:rsidRPr="004E4877">
        <w:rPr>
          <w:rFonts w:asciiTheme="minorHAnsi" w:hAnsiTheme="minorHAnsi" w:cstheme="minorHAnsi"/>
          <w:b w:val="0"/>
          <w:sz w:val="22"/>
          <w:szCs w:val="22"/>
          <w:vertAlign w:val="superscript"/>
        </w:rPr>
        <w:footnoteReference w:id="5"/>
      </w:r>
      <w:r w:rsidRPr="004E4877">
        <w:rPr>
          <w:rFonts w:asciiTheme="minorHAnsi" w:hAnsiTheme="minorHAnsi" w:cstheme="minorHAnsi"/>
          <w:b w:val="0"/>
          <w:sz w:val="22"/>
          <w:szCs w:val="22"/>
        </w:rPr>
        <w:t>. „Informacja o stanie kontroli zarządczej" została przekazana do właściwych biur Urzędu m.st. Warszawy.</w:t>
      </w:r>
    </w:p>
    <w:p w14:paraId="23725E20" w14:textId="77777777" w:rsidR="00F462DF" w:rsidRPr="004E4877" w:rsidRDefault="0073623E" w:rsidP="00DA7D21">
      <w:pPr>
        <w:pStyle w:val="Bodytext20"/>
        <w:shd w:val="clear" w:color="auto" w:fill="auto"/>
        <w:spacing w:before="0" w:after="224"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Komórka organizacyjna ds. systemu kontroli zarządczej realizuje kontrole wewnętrzne w oparciu o Regulaminu kontroli wewnętrznej</w:t>
      </w:r>
      <w:r w:rsidRPr="004E4877">
        <w:rPr>
          <w:rFonts w:asciiTheme="minorHAnsi" w:hAnsiTheme="minorHAnsi" w:cstheme="minorHAnsi"/>
          <w:b w:val="0"/>
          <w:sz w:val="22"/>
          <w:szCs w:val="22"/>
          <w:vertAlign w:val="superscript"/>
        </w:rPr>
        <w:footnoteReference w:id="6"/>
      </w:r>
      <w:r w:rsidRPr="004E4877">
        <w:rPr>
          <w:rFonts w:asciiTheme="minorHAnsi" w:hAnsiTheme="minorHAnsi" w:cstheme="minorHAnsi"/>
          <w:b w:val="0"/>
          <w:sz w:val="22"/>
          <w:szCs w:val="22"/>
        </w:rPr>
        <w:t>, na postawie rocznych planów kontroli zatwierdzanych przez Dyrektora SCSAW. W 2022 roku przeprowadzono 11 kontroli wewnętrznych w Ośrodkach Centrum. W sprawozdaniu z realizacji planu kontroli nie wykazano kontroli doraźnej przeprowadzonej w Ośrodku „Inflancka". Nie można podzielić stanowiska Dyrektora Centrum: „(..) Z uwagi na fakt, że kontrola doraźna w Ośrodku Inflancka nie została ujęta w Planie kontroli na rok 2022, nie ujęto jej również w sprawozdaniu z realizacji Planu kontroli", gdyż zgodnie z § 29 ust. 2 pkt 1 „Regulaminu kontroli wewnętrznej" w sprawozdaniu należy wskazać rodzaj przeprowadzonej kontroli, zatem należy również wykazywać kontrole przeprowadzone w trybie kontroli doraźnej, w zw. z § 7 pkt 3 ww. regulaminu.</w:t>
      </w:r>
    </w:p>
    <w:p w14:paraId="7591B595" w14:textId="77777777" w:rsidR="00F462DF" w:rsidRPr="004E4877" w:rsidRDefault="0073623E" w:rsidP="00DA7D21">
      <w:pPr>
        <w:pStyle w:val="Bodytext20"/>
        <w:shd w:val="clear" w:color="auto" w:fill="auto"/>
        <w:spacing w:before="0" w:after="116" w:line="317" w:lineRule="exact"/>
        <w:ind w:right="1180"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W planie finansowym SCSAW (po zmianach) na 2022 rok zaplanowano dochody w kwocie 26 797 000 zł, dochody uzyskano w kwocie 31833 297,03 zł (114% planu).</w:t>
      </w:r>
    </w:p>
    <w:p w14:paraId="71F00BAA" w14:textId="77777777" w:rsidR="00F462DF" w:rsidRPr="004E4877" w:rsidRDefault="0073623E" w:rsidP="00DA7D21">
      <w:pPr>
        <w:pStyle w:val="Bodytext20"/>
        <w:shd w:val="clear" w:color="auto" w:fill="auto"/>
        <w:spacing w:before="0" w:after="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W 2022 roku SCSAW uzyskał dochody z tytułu najmu i dzierżawy w łącznej kwocie 9 826 271,14 zł (101% planu). Zgodnie z „Rejestrem umów i dzierżawy" w 2022 roku SCSAW obowiązywało 227 umów najmu i dzierżawy. Na podstawie dokumentacji 26 umów zawartych z najemcami/ dzierżawcami (próba 11% umów) ustalono, że rozliczenia z najemcami i dzierżawcami odbywały się na warunkach określonych w umowach. Faktury/noty obciążeniowe były wystawiane przez Centrum zgodnie z postanowieniami umów/porozumień, zaś przychody były prawidłowo ujmowane w księgach rachunkowych, zgodnie z treścią operacji gospodarczych. Na podstawie dokumentacji</w:t>
      </w:r>
    </w:p>
    <w:p w14:paraId="20FC6063" w14:textId="77777777" w:rsidR="00F462DF" w:rsidRPr="004E4877" w:rsidRDefault="0073623E">
      <w:pPr>
        <w:pStyle w:val="Bodytext20"/>
        <w:shd w:val="clear" w:color="auto" w:fill="auto"/>
        <w:spacing w:before="0" w:after="236" w:line="317"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z 2 postępowań o dzierżawę nieruchomości</w:t>
      </w:r>
      <w:r w:rsidRPr="004E4877">
        <w:rPr>
          <w:rFonts w:asciiTheme="minorHAnsi" w:hAnsiTheme="minorHAnsi" w:cstheme="minorHAnsi"/>
          <w:b w:val="0"/>
          <w:sz w:val="22"/>
          <w:szCs w:val="22"/>
          <w:vertAlign w:val="superscript"/>
        </w:rPr>
        <w:footnoteReference w:id="7"/>
      </w:r>
      <w:r w:rsidRPr="004E4877">
        <w:rPr>
          <w:rFonts w:asciiTheme="minorHAnsi" w:hAnsiTheme="minorHAnsi" w:cstheme="minorHAnsi"/>
          <w:b w:val="0"/>
          <w:sz w:val="22"/>
          <w:szCs w:val="22"/>
        </w:rPr>
        <w:t xml:space="preserve"> oraz 2 konkursów na wynajem pomieszczeń</w:t>
      </w:r>
      <w:r w:rsidRPr="004E4877">
        <w:rPr>
          <w:rFonts w:asciiTheme="minorHAnsi" w:hAnsiTheme="minorHAnsi" w:cstheme="minorHAnsi"/>
          <w:b w:val="0"/>
          <w:sz w:val="22"/>
          <w:szCs w:val="22"/>
          <w:vertAlign w:val="superscript"/>
        </w:rPr>
        <w:footnoteReference w:id="8"/>
      </w:r>
      <w:r w:rsidRPr="004E4877">
        <w:rPr>
          <w:rFonts w:asciiTheme="minorHAnsi" w:hAnsiTheme="minorHAnsi" w:cstheme="minorHAnsi"/>
          <w:b w:val="0"/>
          <w:sz w:val="22"/>
          <w:szCs w:val="22"/>
        </w:rPr>
        <w:t xml:space="preserve"> ustalono, że procedurę wyboru dzierżawcy / najemcy przeprowadzono zgodnie z zarządzeniami Prezydenta m.st. Warszawy</w:t>
      </w:r>
      <w:r w:rsidRPr="004E4877">
        <w:rPr>
          <w:rFonts w:asciiTheme="minorHAnsi" w:hAnsiTheme="minorHAnsi" w:cstheme="minorHAnsi"/>
          <w:b w:val="0"/>
          <w:sz w:val="22"/>
          <w:szCs w:val="22"/>
          <w:vertAlign w:val="superscript"/>
        </w:rPr>
        <w:footnoteReference w:id="9"/>
      </w:r>
      <w:r w:rsidRPr="004E4877">
        <w:rPr>
          <w:rFonts w:asciiTheme="minorHAnsi" w:hAnsiTheme="minorHAnsi" w:cstheme="minorHAnsi"/>
          <w:b w:val="0"/>
          <w:sz w:val="22"/>
          <w:szCs w:val="22"/>
        </w:rPr>
        <w:t>.</w:t>
      </w:r>
    </w:p>
    <w:p w14:paraId="0D0A7189" w14:textId="77777777" w:rsidR="00F462DF" w:rsidRPr="004E4877" w:rsidRDefault="0073623E">
      <w:pPr>
        <w:pStyle w:val="Bodytext20"/>
        <w:shd w:val="clear" w:color="auto" w:fill="auto"/>
        <w:spacing w:before="0" w:after="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lastRenderedPageBreak/>
        <w:t>Procedury dochodzenia należności od odbiorców ustalono w Regulaminie windykacji należności</w:t>
      </w:r>
      <w:r w:rsidRPr="004E4877">
        <w:rPr>
          <w:rFonts w:asciiTheme="minorHAnsi" w:hAnsiTheme="minorHAnsi" w:cstheme="minorHAnsi"/>
          <w:b w:val="0"/>
          <w:sz w:val="22"/>
          <w:szCs w:val="22"/>
          <w:vertAlign w:val="superscript"/>
        </w:rPr>
        <w:footnoteReference w:id="10"/>
      </w:r>
      <w:r w:rsidRPr="004E4877">
        <w:rPr>
          <w:rFonts w:asciiTheme="minorHAnsi" w:hAnsiTheme="minorHAnsi" w:cstheme="minorHAnsi"/>
          <w:b w:val="0"/>
          <w:sz w:val="22"/>
          <w:szCs w:val="22"/>
        </w:rPr>
        <w:t>.</w:t>
      </w:r>
    </w:p>
    <w:p w14:paraId="64B257C1" w14:textId="77777777" w:rsidR="00F462DF" w:rsidRPr="004E4877" w:rsidRDefault="0073623E">
      <w:pPr>
        <w:pStyle w:val="Bodytext20"/>
        <w:shd w:val="clear" w:color="auto" w:fill="auto"/>
        <w:spacing w:before="0" w:after="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W Centrum prowadzono zestawienie, na podstawie którego bieżąco monitorowano terminy zbliżających się płatności oraz rejestry w zakresie prowadzonych postępowań windykacyjnych.</w:t>
      </w:r>
    </w:p>
    <w:p w14:paraId="28DD6FCA" w14:textId="77777777" w:rsidR="00F462DF" w:rsidRPr="004E4877" w:rsidRDefault="0073623E">
      <w:pPr>
        <w:pStyle w:val="Bodytext20"/>
        <w:shd w:val="clear" w:color="auto" w:fill="auto"/>
        <w:spacing w:before="0" w:after="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W 2022 roku do dłużników skierowano 278 wezwań do zapłaty na łączną kwotę 4 784 999,20 zł.</w:t>
      </w:r>
    </w:p>
    <w:p w14:paraId="521668B5" w14:textId="77777777" w:rsidR="00F462DF" w:rsidRPr="004E4877" w:rsidRDefault="0073623E">
      <w:pPr>
        <w:pStyle w:val="Bodytext20"/>
        <w:shd w:val="clear" w:color="auto" w:fill="auto"/>
        <w:spacing w:before="0" w:after="24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 xml:space="preserve">Na podstawie 14 wystawionych wezwań do zapłaty (próba </w:t>
      </w:r>
      <w:r w:rsidRPr="004E4877">
        <w:rPr>
          <w:rStyle w:val="Bodytext295ptItalic"/>
          <w:rFonts w:asciiTheme="minorHAnsi" w:hAnsiTheme="minorHAnsi" w:cstheme="minorHAnsi"/>
          <w:bCs/>
          <w:sz w:val="22"/>
          <w:szCs w:val="22"/>
        </w:rPr>
        <w:t>5</w:t>
      </w:r>
      <w:r w:rsidRPr="004E4877">
        <w:rPr>
          <w:rStyle w:val="Bodytext2NotBoldItalic"/>
          <w:rFonts w:asciiTheme="minorHAnsi" w:hAnsiTheme="minorHAnsi" w:cstheme="minorHAnsi"/>
          <w:sz w:val="22"/>
          <w:szCs w:val="22"/>
        </w:rPr>
        <w:t>%</w:t>
      </w:r>
      <w:r w:rsidRPr="004E4877">
        <w:rPr>
          <w:rFonts w:asciiTheme="minorHAnsi" w:hAnsiTheme="minorHAnsi" w:cstheme="minorHAnsi"/>
          <w:b w:val="0"/>
          <w:sz w:val="22"/>
          <w:szCs w:val="22"/>
        </w:rPr>
        <w:t xml:space="preserve"> ogółu wystawionych wezwań) ustalono, że Centrum dochowało wewnętrznie ustalonych procedur w zakresie dochodzenia należności; wystawiano 72 przedsądowe wezwania do zapłaty na łączną kwotę 2 092 839,21 zł; wobec 13 dłużników (kwota zadłużenia 1 303 926,79 zł) skierowano sprawy na drogę postępowania sądowego.</w:t>
      </w:r>
    </w:p>
    <w:p w14:paraId="40BBB6CE" w14:textId="77777777" w:rsidR="00F462DF" w:rsidRPr="004E4877" w:rsidRDefault="0073623E">
      <w:pPr>
        <w:pStyle w:val="Bodytext20"/>
        <w:shd w:val="clear" w:color="auto" w:fill="auto"/>
        <w:spacing w:before="0" w:after="24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 xml:space="preserve">Dłużnikom naliczono odsetki z tytułu opóźnienia w płatnościach oraz rekompensaty za koszty odzyskiwania należności na podstawie </w:t>
      </w:r>
      <w:r w:rsidRPr="004E4877">
        <w:rPr>
          <w:rFonts w:asciiTheme="minorHAnsi" w:hAnsiTheme="minorHAnsi" w:cstheme="minorHAnsi"/>
          <w:b w:val="0"/>
          <w:sz w:val="22"/>
          <w:szCs w:val="22"/>
          <w:lang w:val="en-US" w:eastAsia="en-US" w:bidi="en-US"/>
        </w:rPr>
        <w:t xml:space="preserve">art. </w:t>
      </w:r>
      <w:r w:rsidRPr="004E4877">
        <w:rPr>
          <w:rFonts w:asciiTheme="minorHAnsi" w:hAnsiTheme="minorHAnsi" w:cstheme="minorHAnsi"/>
          <w:b w:val="0"/>
          <w:sz w:val="22"/>
          <w:szCs w:val="22"/>
        </w:rPr>
        <w:t>10 ust. 1 ustawy z dnia 8 marca 2013 r. o przeciwdziałaniu nadmiernym opóźnieniom w transakcjach handlowych</w:t>
      </w:r>
      <w:r w:rsidRPr="004E4877">
        <w:rPr>
          <w:rFonts w:asciiTheme="minorHAnsi" w:hAnsiTheme="minorHAnsi" w:cstheme="minorHAnsi"/>
          <w:b w:val="0"/>
          <w:sz w:val="22"/>
          <w:szCs w:val="22"/>
          <w:vertAlign w:val="superscript"/>
        </w:rPr>
        <w:footnoteReference w:id="11"/>
      </w:r>
      <w:r w:rsidRPr="004E4877">
        <w:rPr>
          <w:rFonts w:asciiTheme="minorHAnsi" w:hAnsiTheme="minorHAnsi" w:cstheme="minorHAnsi"/>
          <w:b w:val="0"/>
          <w:sz w:val="22"/>
          <w:szCs w:val="22"/>
        </w:rPr>
        <w:t>. Na podstawie wystawionych 5 not odsetkowych stwierdzono, że w przypadkach wystawiania kolejnej noty dla powstałej zaległości, wykazywano kwotę odsetek dla danego okresu (kwartału), natomiast nie uwzględniano informacji o łącznej kwocie odsetek od nieuregulowanych płatności. Przyjmując wyjaśnienie Dyrektora SCSAW „(..) obciążając kontrahenta odsetkami za kolejny kwartał (..) mogłoby [to] spowodować podwójną zapłatę odsetek uwzględnionych w pierwszej nocie odsetkowej", wskazać należy, że niezamieszczanie w notach odsetkowych informacji o całkowitej, narastającej kwocie należnych odsetek za cały okres zadłużenia oraz o łącznej kwocie należności na dzień naliczenia odsetek i wystawienia noty, może być niedostateczną informacją dla kontrahenta o rzeczywistym stanie zadłużenia względem Centrum, a przez to utrudniać egzekucję całego zadłużenia wraz z należnymi odsetkami. Wskazywanie w notach wysokości odsetek należnych tylko za dany kwartał, powoduje że taki dokument nie odzwierciedla rzeczywistego stanu należności i odsetek dłużnika.</w:t>
      </w:r>
    </w:p>
    <w:p w14:paraId="7C60C883" w14:textId="77777777" w:rsidR="00F462DF" w:rsidRPr="004E4877" w:rsidRDefault="0073623E">
      <w:pPr>
        <w:pStyle w:val="Bodytext20"/>
        <w:shd w:val="clear" w:color="auto" w:fill="auto"/>
        <w:spacing w:before="0" w:after="24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Wydatki Centrum na 2022 roku zaplanowano w kwocie 61 224 91,00 zł, natomiast wydatki poniesiono w kwocie 60 694 311,21 zł (99% planu).</w:t>
      </w:r>
    </w:p>
    <w:p w14:paraId="27F934F7" w14:textId="3A244E4E" w:rsidR="00F462DF" w:rsidRPr="004E4877" w:rsidRDefault="0073623E">
      <w:pPr>
        <w:pStyle w:val="Bodytext20"/>
        <w:shd w:val="clear" w:color="auto" w:fill="auto"/>
        <w:spacing w:before="0" w:after="22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 xml:space="preserve">Stan zatrudnienia w SCSAW na początku 2022 roku wynosił 213 osób (w wymiarze 204,5 etatu), wg stanu na 31 grudnia 2022 r. zatrudnionych było 227 osób (214 etatów). Wynagrodzenia osobowe wraz z pochodnymi od wynagrodzeń oraz świadczenia związane z zatrudnianiem pracowników, koszty wynagrodzeń bezosobowych wyniosły łącznie 21781487,47 zł, co stanowiło 35% ogółu poniesionych wydatków Centrum. Obowiązujący w 2022 roku Regulamin wynagradzania opracowano w oparciu o powszechnie obowiązujące przepisy prawa, w tym rozporządzenie Rady </w:t>
      </w:r>
      <w:r w:rsidRPr="004E4877">
        <w:rPr>
          <w:rFonts w:asciiTheme="minorHAnsi" w:hAnsiTheme="minorHAnsi" w:cstheme="minorHAnsi"/>
          <w:b w:val="0"/>
          <w:sz w:val="22"/>
          <w:szCs w:val="22"/>
        </w:rPr>
        <w:lastRenderedPageBreak/>
        <w:t>Ministrów z dnia 25 października 2021 r. w sprawie wynagradzania pracowników samorządowych“</w:t>
      </w:r>
      <w:r w:rsidR="00AD6C74" w:rsidRPr="004E4877">
        <w:rPr>
          <w:rFonts w:asciiTheme="minorHAnsi" w:hAnsiTheme="minorHAnsi" w:cstheme="minorHAnsi"/>
          <w:b w:val="0"/>
          <w:sz w:val="22"/>
          <w:szCs w:val="22"/>
          <w:vertAlign w:val="superscript"/>
        </w:rPr>
        <w:footnoteReference w:id="12"/>
      </w:r>
      <w:r w:rsidRPr="004E4877">
        <w:rPr>
          <w:rFonts w:asciiTheme="minorHAnsi" w:hAnsiTheme="minorHAnsi" w:cstheme="minorHAnsi"/>
          <w:b w:val="0"/>
          <w:sz w:val="22"/>
          <w:szCs w:val="22"/>
        </w:rPr>
        <w:t xml:space="preserve"> Na podstawie 21 losowo wybranych akt osobowych (próba 10% ogółu zatrudnionych) ustalono, że kategorie zaszeregowania określone w umowach o pracę były zgodne z Regulaminem wynagradzania, składniki wynagrodzenia określone w umowach o pracę były zgodne z postanowieniami ww. Regulaminu. Na podstawie list płac za październik, listopad i grudzień 2022 r. ustalono, że wynagrodzenia naliczono i wypłacono zgodnie z warunkami określonymi w indywidualnych umowach o pracę bądź aneksach do umów.</w:t>
      </w:r>
    </w:p>
    <w:p w14:paraId="1E71A673" w14:textId="0C2CEA6C" w:rsidR="00F462DF" w:rsidRPr="004E4877" w:rsidRDefault="0073623E">
      <w:pPr>
        <w:pStyle w:val="Bodytext20"/>
        <w:shd w:val="clear" w:color="auto" w:fill="auto"/>
        <w:spacing w:before="0" w:after="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Zgodnie z § 14 ust. 1 i ust. 5 Regulaminu wynagradzania, pracownikom Centrum przysługuje miesięczna premia regulaminowa w wysokości od 10% do 30% wynagrodzenia zasadniczego ustalonego wg osobistej stawki zaszeregowania, natomiast w szczególnie uzasadnionych przypadkach</w:t>
      </w:r>
      <w:r w:rsidRPr="004E4877">
        <w:rPr>
          <w:rFonts w:asciiTheme="minorHAnsi" w:hAnsiTheme="minorHAnsi" w:cstheme="minorHAnsi"/>
          <w:b w:val="0"/>
          <w:sz w:val="22"/>
          <w:szCs w:val="22"/>
          <w:vertAlign w:val="superscript"/>
        </w:rPr>
        <w:footnoteReference w:id="13"/>
      </w:r>
      <w:r w:rsidRPr="004E4877">
        <w:rPr>
          <w:rFonts w:asciiTheme="minorHAnsi" w:hAnsiTheme="minorHAnsi" w:cstheme="minorHAnsi"/>
          <w:b w:val="0"/>
          <w:sz w:val="22"/>
          <w:szCs w:val="22"/>
          <w:vertAlign w:val="superscript"/>
        </w:rPr>
        <w:t xml:space="preserve"> </w:t>
      </w:r>
      <w:r w:rsidRPr="004E4877">
        <w:rPr>
          <w:rFonts w:asciiTheme="minorHAnsi" w:hAnsiTheme="minorHAnsi" w:cstheme="minorHAnsi"/>
          <w:b w:val="0"/>
          <w:sz w:val="22"/>
          <w:szCs w:val="22"/>
        </w:rPr>
        <w:t xml:space="preserve"> pracodawca może przyznać premię w wysokości do 50%. Na podstawie losowo wybranych wniosków sporządzonych przez przełożonych o przyznanie miesięcznej premii za październik, listopad i grudzień 2022 roku ustalono:</w:t>
      </w:r>
    </w:p>
    <w:p w14:paraId="090B3E88" w14:textId="77777777" w:rsidR="00F462DF" w:rsidRPr="004E4877" w:rsidRDefault="0073623E">
      <w:pPr>
        <w:pStyle w:val="Bodytext20"/>
        <w:numPr>
          <w:ilvl w:val="0"/>
          <w:numId w:val="1"/>
        </w:numPr>
        <w:shd w:val="clear" w:color="auto" w:fill="auto"/>
        <w:tabs>
          <w:tab w:val="left" w:pos="737"/>
        </w:tabs>
        <w:spacing w:before="0" w:after="0" w:line="322" w:lineRule="exact"/>
        <w:ind w:left="740"/>
        <w:jc w:val="left"/>
        <w:rPr>
          <w:rFonts w:asciiTheme="minorHAnsi" w:hAnsiTheme="minorHAnsi" w:cstheme="minorHAnsi"/>
          <w:b w:val="0"/>
          <w:sz w:val="22"/>
          <w:szCs w:val="22"/>
        </w:rPr>
      </w:pPr>
      <w:r w:rsidRPr="004E4877">
        <w:rPr>
          <w:rFonts w:asciiTheme="minorHAnsi" w:hAnsiTheme="minorHAnsi" w:cstheme="minorHAnsi"/>
          <w:b w:val="0"/>
          <w:sz w:val="22"/>
          <w:szCs w:val="22"/>
        </w:rPr>
        <w:t>Ośrodek „Inflancka" -&gt; premię regulaminową powyżej 30% za październik przyznano 25% pracowników uprawnionych do otrzymania premii, za listopad 87% uprawnionych i za grudzień 100% uprawnionych;</w:t>
      </w:r>
    </w:p>
    <w:p w14:paraId="0F6A9617" w14:textId="77777777" w:rsidR="00F462DF" w:rsidRPr="004E4877" w:rsidRDefault="0073623E">
      <w:pPr>
        <w:pStyle w:val="Bodytext20"/>
        <w:numPr>
          <w:ilvl w:val="0"/>
          <w:numId w:val="1"/>
        </w:numPr>
        <w:shd w:val="clear" w:color="auto" w:fill="auto"/>
        <w:tabs>
          <w:tab w:val="left" w:pos="737"/>
        </w:tabs>
        <w:spacing w:before="0" w:after="0" w:line="322" w:lineRule="exact"/>
        <w:ind w:left="740"/>
        <w:jc w:val="left"/>
        <w:rPr>
          <w:rFonts w:asciiTheme="minorHAnsi" w:hAnsiTheme="minorHAnsi" w:cstheme="minorHAnsi"/>
          <w:b w:val="0"/>
          <w:sz w:val="22"/>
          <w:szCs w:val="22"/>
        </w:rPr>
      </w:pPr>
      <w:r w:rsidRPr="004E4877">
        <w:rPr>
          <w:rFonts w:asciiTheme="minorHAnsi" w:hAnsiTheme="minorHAnsi" w:cstheme="minorHAnsi"/>
          <w:b w:val="0"/>
          <w:sz w:val="22"/>
          <w:szCs w:val="22"/>
        </w:rPr>
        <w:t>Ośrodek „Grzybowska" -&gt; premię regulaminową powyżej 30% za październik przyznano 20% pracowników uprawnionych do otrzymania premii, za listopad i grudzień 100% uprawnionych;</w:t>
      </w:r>
    </w:p>
    <w:p w14:paraId="070CAA0E" w14:textId="77777777" w:rsidR="00F462DF" w:rsidRPr="004E4877" w:rsidRDefault="0073623E">
      <w:pPr>
        <w:pStyle w:val="Bodytext20"/>
        <w:numPr>
          <w:ilvl w:val="0"/>
          <w:numId w:val="1"/>
        </w:numPr>
        <w:shd w:val="clear" w:color="auto" w:fill="auto"/>
        <w:tabs>
          <w:tab w:val="left" w:pos="737"/>
        </w:tabs>
        <w:spacing w:before="0" w:after="0" w:line="322" w:lineRule="exact"/>
        <w:ind w:left="740"/>
        <w:jc w:val="left"/>
        <w:rPr>
          <w:rFonts w:asciiTheme="minorHAnsi" w:hAnsiTheme="minorHAnsi" w:cstheme="minorHAnsi"/>
          <w:b w:val="0"/>
          <w:sz w:val="22"/>
          <w:szCs w:val="22"/>
        </w:rPr>
      </w:pPr>
      <w:r w:rsidRPr="004E4877">
        <w:rPr>
          <w:rFonts w:asciiTheme="minorHAnsi" w:hAnsiTheme="minorHAnsi" w:cstheme="minorHAnsi"/>
          <w:b w:val="0"/>
          <w:sz w:val="22"/>
          <w:szCs w:val="22"/>
        </w:rPr>
        <w:t>Ośrodek „Hutnik" premię regulaminową powyżej 30% za październik przyznano 60% pracowników uprawnionych do otrzymania premii, za listopad i grudzień 80% uprawnionych;</w:t>
      </w:r>
    </w:p>
    <w:p w14:paraId="0BE48952" w14:textId="77777777" w:rsidR="00F462DF" w:rsidRPr="004E4877" w:rsidRDefault="0073623E">
      <w:pPr>
        <w:pStyle w:val="Bodytext20"/>
        <w:numPr>
          <w:ilvl w:val="0"/>
          <w:numId w:val="1"/>
        </w:numPr>
        <w:shd w:val="clear" w:color="auto" w:fill="auto"/>
        <w:tabs>
          <w:tab w:val="left" w:pos="737"/>
        </w:tabs>
        <w:spacing w:before="0" w:after="0" w:line="322" w:lineRule="exact"/>
        <w:ind w:left="740"/>
        <w:jc w:val="left"/>
        <w:rPr>
          <w:rFonts w:asciiTheme="minorHAnsi" w:hAnsiTheme="minorHAnsi" w:cstheme="minorHAnsi"/>
          <w:b w:val="0"/>
          <w:sz w:val="22"/>
          <w:szCs w:val="22"/>
        </w:rPr>
      </w:pPr>
      <w:r w:rsidRPr="004E4877">
        <w:rPr>
          <w:rFonts w:asciiTheme="minorHAnsi" w:hAnsiTheme="minorHAnsi" w:cstheme="minorHAnsi"/>
          <w:b w:val="0"/>
          <w:sz w:val="22"/>
          <w:szCs w:val="22"/>
        </w:rPr>
        <w:t>Dział Kadr i Płac -&gt; premię regulaminową powyżej 30% za październik przyznano 50% pracowników uprawnionych do otrzymania premii, za listopad 75% uprawnionych i za grudzień 60% uprawnionych;</w:t>
      </w:r>
    </w:p>
    <w:p w14:paraId="5974C509" w14:textId="77777777" w:rsidR="00F462DF" w:rsidRPr="004E4877" w:rsidRDefault="0073623E">
      <w:pPr>
        <w:pStyle w:val="Bodytext20"/>
        <w:numPr>
          <w:ilvl w:val="0"/>
          <w:numId w:val="1"/>
        </w:numPr>
        <w:shd w:val="clear" w:color="auto" w:fill="auto"/>
        <w:tabs>
          <w:tab w:val="left" w:pos="737"/>
        </w:tabs>
        <w:spacing w:before="0" w:after="0" w:line="322" w:lineRule="exact"/>
        <w:ind w:left="740"/>
        <w:jc w:val="left"/>
        <w:rPr>
          <w:rFonts w:asciiTheme="minorHAnsi" w:hAnsiTheme="minorHAnsi" w:cstheme="minorHAnsi"/>
          <w:b w:val="0"/>
          <w:sz w:val="22"/>
          <w:szCs w:val="22"/>
        </w:rPr>
      </w:pPr>
      <w:r w:rsidRPr="004E4877">
        <w:rPr>
          <w:rFonts w:asciiTheme="minorHAnsi" w:hAnsiTheme="minorHAnsi" w:cstheme="minorHAnsi"/>
          <w:b w:val="0"/>
          <w:sz w:val="22"/>
          <w:szCs w:val="22"/>
        </w:rPr>
        <w:t>Dział Marketingu, Strategii i Rozwoju -&gt; premię regulaminową powyżej 30% za październik przyznano 29% pracowników uprawnionych do otrzymania premii, za listopad i grudzień 66% uprawnionych;</w:t>
      </w:r>
    </w:p>
    <w:p w14:paraId="197B6FA0" w14:textId="77777777" w:rsidR="00AD6C74" w:rsidRDefault="0073623E" w:rsidP="00AD6C74">
      <w:pPr>
        <w:pStyle w:val="Bodytext20"/>
        <w:numPr>
          <w:ilvl w:val="0"/>
          <w:numId w:val="1"/>
        </w:numPr>
        <w:shd w:val="clear" w:color="auto" w:fill="auto"/>
        <w:tabs>
          <w:tab w:val="left" w:pos="737"/>
        </w:tabs>
        <w:spacing w:before="0" w:after="0" w:line="322" w:lineRule="exact"/>
        <w:ind w:left="740"/>
        <w:jc w:val="left"/>
        <w:rPr>
          <w:rFonts w:asciiTheme="minorHAnsi" w:hAnsiTheme="minorHAnsi" w:cstheme="minorHAnsi"/>
          <w:b w:val="0"/>
          <w:sz w:val="22"/>
          <w:szCs w:val="22"/>
        </w:rPr>
      </w:pPr>
      <w:r w:rsidRPr="004E4877">
        <w:rPr>
          <w:rFonts w:asciiTheme="minorHAnsi" w:hAnsiTheme="minorHAnsi" w:cstheme="minorHAnsi"/>
          <w:b w:val="0"/>
          <w:sz w:val="22"/>
          <w:szCs w:val="22"/>
        </w:rPr>
        <w:t>Dział Administracji i Zamówień publicznych premię regulaminową powyżej 30% za październik przyznano 82% pracowników uprawnionych do otrzymania premii, za listopad i grudzień 100% uprawnionych;</w:t>
      </w:r>
    </w:p>
    <w:p w14:paraId="7AD69637" w14:textId="69CA85C9" w:rsidR="00F462DF" w:rsidRDefault="00AD6C74" w:rsidP="00AD6C74">
      <w:pPr>
        <w:pStyle w:val="Bodytext20"/>
        <w:numPr>
          <w:ilvl w:val="0"/>
          <w:numId w:val="1"/>
        </w:numPr>
        <w:shd w:val="clear" w:color="auto" w:fill="auto"/>
        <w:tabs>
          <w:tab w:val="left" w:pos="737"/>
        </w:tabs>
        <w:spacing w:before="0" w:after="0" w:line="322" w:lineRule="exact"/>
        <w:ind w:left="740"/>
        <w:jc w:val="left"/>
        <w:rPr>
          <w:rFonts w:asciiTheme="minorHAnsi" w:hAnsiTheme="minorHAnsi" w:cstheme="minorHAnsi"/>
          <w:b w:val="0"/>
          <w:sz w:val="22"/>
          <w:szCs w:val="22"/>
        </w:rPr>
      </w:pPr>
      <w:r w:rsidRPr="004E4877">
        <w:rPr>
          <w:rFonts w:asciiTheme="minorHAnsi" w:hAnsiTheme="minorHAnsi" w:cstheme="minorHAnsi"/>
          <w:b w:val="0"/>
          <w:sz w:val="22"/>
          <w:szCs w:val="22"/>
        </w:rPr>
        <w:t xml:space="preserve"> </w:t>
      </w:r>
      <w:r w:rsidR="0073623E" w:rsidRPr="004E4877">
        <w:rPr>
          <w:rFonts w:asciiTheme="minorHAnsi" w:hAnsiTheme="minorHAnsi" w:cstheme="minorHAnsi"/>
          <w:b w:val="0"/>
          <w:sz w:val="22"/>
          <w:szCs w:val="22"/>
        </w:rPr>
        <w:t>Dział Finansowo-Księgowy -&gt; premię regulaminową powyżej 30% za październik przyznano 55% pracowników uprawnionych do otrzymania premii, za listopad 60% uprawnionych i za grudzień 70% uprawnionych;</w:t>
      </w:r>
    </w:p>
    <w:p w14:paraId="154DBE95" w14:textId="77777777" w:rsidR="00F462DF" w:rsidRPr="00AD6C74" w:rsidRDefault="004E4877" w:rsidP="00AD6C74">
      <w:pPr>
        <w:pStyle w:val="Bodytext20"/>
        <w:numPr>
          <w:ilvl w:val="0"/>
          <w:numId w:val="1"/>
        </w:numPr>
        <w:shd w:val="clear" w:color="auto" w:fill="auto"/>
        <w:tabs>
          <w:tab w:val="left" w:pos="737"/>
        </w:tabs>
        <w:spacing w:before="0" w:after="0" w:line="322" w:lineRule="exact"/>
        <w:ind w:left="740"/>
        <w:jc w:val="left"/>
        <w:rPr>
          <w:rFonts w:asciiTheme="minorHAnsi" w:hAnsiTheme="minorHAnsi" w:cstheme="minorHAnsi"/>
          <w:b w:val="0"/>
          <w:sz w:val="22"/>
          <w:szCs w:val="22"/>
        </w:rPr>
      </w:pPr>
      <w:r w:rsidRPr="00AD6C74">
        <w:rPr>
          <w:rFonts w:asciiTheme="minorHAnsi" w:hAnsiTheme="minorHAnsi" w:cstheme="minorHAnsi"/>
          <w:b w:val="0"/>
          <w:sz w:val="22"/>
          <w:szCs w:val="22"/>
        </w:rPr>
        <w:lastRenderedPageBreak/>
        <w:t>pracownicy bezpośrednio podle</w:t>
      </w:r>
      <w:r w:rsidR="0073623E" w:rsidRPr="00AD6C74">
        <w:rPr>
          <w:rFonts w:asciiTheme="minorHAnsi" w:hAnsiTheme="minorHAnsi" w:cstheme="minorHAnsi"/>
          <w:b w:val="0"/>
          <w:sz w:val="22"/>
          <w:szCs w:val="22"/>
        </w:rPr>
        <w:t>gający Dyrektorowi SCSAW (stanowiska kierownicze, samodzielne) -5&gt; premię regulaminową powyżej 30% za październik, listopad i grudzień przyznano 95% pracowników uprawnionych do otrzymania premii.</w:t>
      </w:r>
    </w:p>
    <w:p w14:paraId="629524AE" w14:textId="77777777" w:rsidR="00F462DF" w:rsidRPr="004E4877" w:rsidRDefault="0073623E">
      <w:pPr>
        <w:pStyle w:val="Bodytext20"/>
        <w:shd w:val="clear" w:color="auto" w:fill="auto"/>
        <w:spacing w:before="0" w:after="24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 xml:space="preserve">We wnioskach o przyznanie miesięcznej premii zawierano ocenę każdego pracownika, w tym oceny cząstkowe wg ustalonych kryteriów, procentową wartość przyznania premii dodatkowej (powyżej 30%) oraz uzasadnienie przyznania premii. Wnioski były podpisane przez bezpośredniego przełożonego oraz Dyrektora Centrum. W sprawie przyznawania premii powyżej 30% proporcjonalnie dużej liczbie pracowników, Dyrektor SCSAW wyjaśnił: „Przyznawane premie regulaminowe tracą swój szczególny charakter z uwagi na drastycznie rosnące wynagrodzenie minimalne za pracę, które niwelowane jest wielkością przyznawanej premii (..) trwają prace nad zmianą zapisów regulaminu wynagradzania (.,)". Wskazać należy, że przyznawanie premii - mającej charakter szczególny - powyżej 30% wynagrodzenia zasadniczego, w sposób powszechny i ciągły pozbawia kadrę zarządzającą narzędzia motywującego pracowników do zwiększania jakości i efektywności pracy. Kierownik jednostki sektora finansów publicznych </w:t>
      </w:r>
      <w:r w:rsidR="004E4877" w:rsidRPr="004E4877">
        <w:rPr>
          <w:rFonts w:asciiTheme="minorHAnsi" w:hAnsiTheme="minorHAnsi" w:cstheme="minorHAnsi"/>
          <w:b w:val="0"/>
          <w:sz w:val="22"/>
          <w:szCs w:val="22"/>
        </w:rPr>
        <w:t>powinien również kierować się kr</w:t>
      </w:r>
      <w:r w:rsidRPr="004E4877">
        <w:rPr>
          <w:rFonts w:asciiTheme="minorHAnsi" w:hAnsiTheme="minorHAnsi" w:cstheme="minorHAnsi"/>
          <w:b w:val="0"/>
          <w:sz w:val="22"/>
          <w:szCs w:val="22"/>
        </w:rPr>
        <w:t xml:space="preserve">yteriami wynikającymi z </w:t>
      </w:r>
      <w:r w:rsidRPr="004E4877">
        <w:rPr>
          <w:rFonts w:asciiTheme="minorHAnsi" w:hAnsiTheme="minorHAnsi" w:cstheme="minorHAnsi"/>
          <w:b w:val="0"/>
          <w:sz w:val="22"/>
          <w:szCs w:val="22"/>
          <w:lang w:val="en-US" w:eastAsia="en-US" w:bidi="en-US"/>
        </w:rPr>
        <w:t xml:space="preserve">art. </w:t>
      </w:r>
      <w:r w:rsidRPr="004E4877">
        <w:rPr>
          <w:rFonts w:asciiTheme="minorHAnsi" w:hAnsiTheme="minorHAnsi" w:cstheme="minorHAnsi"/>
          <w:b w:val="0"/>
          <w:sz w:val="22"/>
          <w:szCs w:val="22"/>
        </w:rPr>
        <w:t>44 ust. 3 pkt 1 ustawy z dnia 27 sierpnia 2009 r. o finansach publicznych</w:t>
      </w:r>
      <w:r w:rsidRPr="004E4877">
        <w:rPr>
          <w:rFonts w:asciiTheme="minorHAnsi" w:hAnsiTheme="minorHAnsi" w:cstheme="minorHAnsi"/>
          <w:b w:val="0"/>
          <w:sz w:val="22"/>
          <w:szCs w:val="22"/>
          <w:vertAlign w:val="superscript"/>
        </w:rPr>
        <w:footnoteReference w:id="14"/>
      </w:r>
      <w:r w:rsidRPr="004E4877">
        <w:rPr>
          <w:rFonts w:asciiTheme="minorHAnsi" w:hAnsiTheme="minorHAnsi" w:cstheme="minorHAnsi"/>
          <w:b w:val="0"/>
          <w:sz w:val="22"/>
          <w:szCs w:val="22"/>
        </w:rPr>
        <w:t>.</w:t>
      </w:r>
    </w:p>
    <w:p w14:paraId="0EAD1D27" w14:textId="6FD6E9CB" w:rsidR="00F462DF" w:rsidRPr="004E4877" w:rsidRDefault="0073623E">
      <w:pPr>
        <w:pStyle w:val="Bodytext20"/>
        <w:shd w:val="clear" w:color="auto" w:fill="auto"/>
        <w:spacing w:before="0" w:after="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 xml:space="preserve">Centrum zawarło 50 umów cywilnoprawnych z osobami nieprowadzącymi działalności gospodarczej. Na podstawie dokumentacji z realizacji i rozliczenia 17 umów, na łączną kwotę 40179,56 zł (10% wartości ogółu wydatków na wynagrodzenia bezosobowe) nie stwierdzono nieprawidłowości w zakresie poprawności i celowości ich zawierania; rozliczeń dokonywano zgodnie z procedurą określoną w zarządzeniu nr </w:t>
      </w:r>
      <w:r w:rsidRPr="004E4877">
        <w:rPr>
          <w:rFonts w:asciiTheme="minorHAnsi" w:hAnsiTheme="minorHAnsi" w:cstheme="minorHAnsi"/>
          <w:b w:val="0"/>
          <w:sz w:val="22"/>
          <w:szCs w:val="22"/>
          <w:lang w:val="ru-RU" w:eastAsia="ru-RU" w:bidi="ru-RU"/>
        </w:rPr>
        <w:t xml:space="preserve">1899/2016 </w:t>
      </w:r>
      <w:r w:rsidRPr="004E4877">
        <w:rPr>
          <w:rFonts w:asciiTheme="minorHAnsi" w:hAnsiTheme="minorHAnsi" w:cstheme="minorHAnsi"/>
          <w:b w:val="0"/>
          <w:sz w:val="22"/>
          <w:szCs w:val="22"/>
        </w:rPr>
        <w:t>Prezydenta m.st. Warszawy z dnia 30 grudnia 2016 r.</w:t>
      </w:r>
      <w:r w:rsidRPr="004E4877">
        <w:rPr>
          <w:rFonts w:asciiTheme="minorHAnsi" w:hAnsiTheme="minorHAnsi" w:cstheme="minorHAnsi"/>
          <w:b w:val="0"/>
          <w:sz w:val="22"/>
          <w:szCs w:val="22"/>
          <w:vertAlign w:val="superscript"/>
        </w:rPr>
        <w:footnoteReference w:id="15"/>
      </w:r>
      <w:r w:rsidRPr="004E4877">
        <w:rPr>
          <w:rFonts w:asciiTheme="minorHAnsi" w:hAnsiTheme="minorHAnsi" w:cstheme="minorHAnsi"/>
          <w:b w:val="0"/>
          <w:sz w:val="22"/>
          <w:szCs w:val="22"/>
        </w:rPr>
        <w:t>.</w:t>
      </w:r>
    </w:p>
    <w:p w14:paraId="224410E6" w14:textId="77777777" w:rsidR="00F462DF" w:rsidRPr="004E4877" w:rsidRDefault="0073623E">
      <w:pPr>
        <w:pStyle w:val="Bodytext20"/>
        <w:shd w:val="clear" w:color="auto" w:fill="auto"/>
        <w:spacing w:before="0" w:after="24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Nie stwierdzono zawierania umów cywilnoprawnych z pracownikami SCSAW.</w:t>
      </w:r>
    </w:p>
    <w:p w14:paraId="28491615" w14:textId="77777777" w:rsidR="00F462DF" w:rsidRPr="004E4877" w:rsidRDefault="0073623E">
      <w:pPr>
        <w:pStyle w:val="Bodytext20"/>
        <w:shd w:val="clear" w:color="auto" w:fill="auto"/>
        <w:spacing w:before="0" w:after="24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Na podstawie zapisów ewidencji księgowej oraz dowodów źródłowych (deklaracje, wyciągi bankowe) stwierdzono, że składki za IV kwartał 2022 roku na ubezpieczenie społeczne, zdrowotne. Fundusz Pracy, zaliczki na podatek dochodowy od osób fizycznych, wpłaty na Państwowy Fundusz Rehabilitacji Osób Niepełnosprawnych odprowadzano terminowo w kwotach wynikających z deklaracji.</w:t>
      </w:r>
    </w:p>
    <w:p w14:paraId="16E0E4E5" w14:textId="385F5CDB" w:rsidR="00F462DF" w:rsidRPr="004E4877" w:rsidRDefault="0073623E">
      <w:pPr>
        <w:pStyle w:val="Bodytext20"/>
        <w:shd w:val="clear" w:color="auto" w:fill="auto"/>
        <w:spacing w:before="0" w:after="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W 2022 roku dokonano odpisu na zakładowy fundusz świadczeń socjalnych w łącznej kwocie 360 254,62 zł. Kwoty odpisu przekazano na wyodrębniony rachunek bankowy w tet minach określonych ustawą</w:t>
      </w:r>
      <w:r w:rsidR="00AD6C74" w:rsidRPr="004E4877">
        <w:rPr>
          <w:rFonts w:asciiTheme="minorHAnsi" w:hAnsiTheme="minorHAnsi" w:cstheme="minorHAnsi"/>
          <w:b w:val="0"/>
          <w:sz w:val="22"/>
          <w:szCs w:val="22"/>
          <w:vertAlign w:val="superscript"/>
        </w:rPr>
        <w:footnoteReference w:id="16"/>
      </w:r>
      <w:r w:rsidRPr="004E4877">
        <w:rPr>
          <w:rFonts w:asciiTheme="minorHAnsi" w:hAnsiTheme="minorHAnsi" w:cstheme="minorHAnsi"/>
          <w:b w:val="0"/>
          <w:sz w:val="22"/>
          <w:szCs w:val="22"/>
        </w:rPr>
        <w:t>.</w:t>
      </w:r>
    </w:p>
    <w:p w14:paraId="4CB9E0AF" w14:textId="77777777" w:rsidR="00F462DF" w:rsidRPr="004E4877" w:rsidRDefault="0073623E">
      <w:pPr>
        <w:pStyle w:val="Bodytext20"/>
        <w:shd w:val="clear" w:color="auto" w:fill="auto"/>
        <w:spacing w:before="0" w:after="22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 xml:space="preserve">Nie stwierdzono uchybień w zakresie prowadzenia rozliczeń z tytułu podróży służbowych </w:t>
      </w:r>
      <w:r w:rsidRPr="004E4877">
        <w:rPr>
          <w:rFonts w:asciiTheme="minorHAnsi" w:hAnsiTheme="minorHAnsi" w:cstheme="minorHAnsi"/>
          <w:b w:val="0"/>
          <w:sz w:val="22"/>
          <w:szCs w:val="22"/>
        </w:rPr>
        <w:lastRenderedPageBreak/>
        <w:t>krajowych</w:t>
      </w:r>
      <w:r w:rsidRPr="004E4877">
        <w:rPr>
          <w:rFonts w:asciiTheme="minorHAnsi" w:hAnsiTheme="minorHAnsi" w:cstheme="minorHAnsi"/>
          <w:b w:val="0"/>
          <w:sz w:val="22"/>
          <w:szCs w:val="22"/>
          <w:vertAlign w:val="superscript"/>
        </w:rPr>
        <w:footnoteReference w:id="17"/>
      </w:r>
      <w:r w:rsidRPr="004E4877">
        <w:rPr>
          <w:rFonts w:asciiTheme="minorHAnsi" w:hAnsiTheme="minorHAnsi" w:cstheme="minorHAnsi"/>
          <w:b w:val="0"/>
          <w:sz w:val="22"/>
          <w:szCs w:val="22"/>
        </w:rPr>
        <w:t>, wypłaty ryczałtów za używanie samochodów prywatnych do celów służbowych</w:t>
      </w:r>
      <w:r w:rsidRPr="004E4877">
        <w:rPr>
          <w:rFonts w:asciiTheme="minorHAnsi" w:hAnsiTheme="minorHAnsi" w:cstheme="minorHAnsi"/>
          <w:b w:val="0"/>
          <w:sz w:val="22"/>
          <w:szCs w:val="22"/>
          <w:vertAlign w:val="superscript"/>
        </w:rPr>
        <w:footnoteReference w:id="18"/>
      </w:r>
      <w:r w:rsidRPr="004E4877">
        <w:rPr>
          <w:rFonts w:asciiTheme="minorHAnsi" w:hAnsiTheme="minorHAnsi" w:cstheme="minorHAnsi"/>
          <w:b w:val="0"/>
          <w:sz w:val="22"/>
          <w:szCs w:val="22"/>
        </w:rPr>
        <w:t>, prowadzenia ewidencji przebiegu pojazdów służbowych</w:t>
      </w:r>
      <w:r w:rsidRPr="004E4877">
        <w:rPr>
          <w:rFonts w:asciiTheme="minorHAnsi" w:hAnsiTheme="minorHAnsi" w:cstheme="minorHAnsi"/>
          <w:b w:val="0"/>
          <w:sz w:val="22"/>
          <w:szCs w:val="22"/>
          <w:vertAlign w:val="superscript"/>
        </w:rPr>
        <w:footnoteReference w:id="19"/>
      </w:r>
      <w:r w:rsidRPr="004E4877">
        <w:rPr>
          <w:rFonts w:asciiTheme="minorHAnsi" w:hAnsiTheme="minorHAnsi" w:cstheme="minorHAnsi"/>
          <w:b w:val="0"/>
          <w:sz w:val="22"/>
          <w:szCs w:val="22"/>
        </w:rPr>
        <w:t>, a także w zakresie przestrzegania zasad korzystania ze służbowych kart płatniczych oraz rozliczania transakcji dokonanych przy ich użyciu.</w:t>
      </w:r>
    </w:p>
    <w:p w14:paraId="11ED7BF5" w14:textId="77777777" w:rsidR="00F462DF" w:rsidRPr="004E4877" w:rsidRDefault="0073623E">
      <w:pPr>
        <w:pStyle w:val="Bodytext20"/>
        <w:shd w:val="clear" w:color="auto" w:fill="auto"/>
        <w:spacing w:before="0" w:after="22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 xml:space="preserve">SCSAW sporządziło i aktualizowało plan zamówień publicznych na 2022 rok, zgodnie z </w:t>
      </w:r>
      <w:r w:rsidRPr="004E4877">
        <w:rPr>
          <w:rFonts w:asciiTheme="minorHAnsi" w:hAnsiTheme="minorHAnsi" w:cstheme="minorHAnsi"/>
          <w:b w:val="0"/>
          <w:sz w:val="22"/>
          <w:szCs w:val="22"/>
          <w:lang w:val="en-US" w:eastAsia="en-US" w:bidi="en-US"/>
        </w:rPr>
        <w:t xml:space="preserve">art. </w:t>
      </w:r>
      <w:r w:rsidRPr="004E4877">
        <w:rPr>
          <w:rFonts w:asciiTheme="minorHAnsi" w:hAnsiTheme="minorHAnsi" w:cstheme="minorHAnsi"/>
          <w:b w:val="0"/>
          <w:sz w:val="22"/>
          <w:szCs w:val="22"/>
        </w:rPr>
        <w:t>23 ustawy z dnia 11 września 2019 r. Prawo zamówień publicznych</w:t>
      </w:r>
      <w:r w:rsidRPr="004E4877">
        <w:rPr>
          <w:rFonts w:asciiTheme="minorHAnsi" w:hAnsiTheme="minorHAnsi" w:cstheme="minorHAnsi"/>
          <w:b w:val="0"/>
          <w:sz w:val="22"/>
          <w:szCs w:val="22"/>
          <w:vertAlign w:val="superscript"/>
        </w:rPr>
        <w:footnoteReference w:id="20"/>
      </w:r>
      <w:r w:rsidRPr="004E4877">
        <w:rPr>
          <w:rFonts w:asciiTheme="minorHAnsi" w:hAnsiTheme="minorHAnsi" w:cstheme="minorHAnsi"/>
          <w:b w:val="0"/>
          <w:sz w:val="22"/>
          <w:szCs w:val="22"/>
        </w:rPr>
        <w:t xml:space="preserve"> (dalej ustawa Pzp). W roku 2022 udzielono 33 zamówień z zastosowaniem trybów określonych w ustawie Pzp, w tym 7 zamówień o wartości przekraczającej progi unijne.</w:t>
      </w:r>
    </w:p>
    <w:p w14:paraId="5EB92C6F" w14:textId="77777777" w:rsidR="00F462DF" w:rsidRPr="004E4877" w:rsidRDefault="0073623E">
      <w:pPr>
        <w:pStyle w:val="Bodytext20"/>
        <w:shd w:val="clear" w:color="auto" w:fill="auto"/>
        <w:spacing w:before="0" w:after="220" w:line="322" w:lineRule="exact"/>
        <w:ind w:firstLine="0"/>
        <w:jc w:val="both"/>
        <w:rPr>
          <w:rFonts w:asciiTheme="minorHAnsi" w:hAnsiTheme="minorHAnsi" w:cstheme="minorHAnsi"/>
          <w:b w:val="0"/>
          <w:sz w:val="22"/>
          <w:szCs w:val="22"/>
        </w:rPr>
      </w:pPr>
      <w:r w:rsidRPr="004E4877">
        <w:rPr>
          <w:rFonts w:asciiTheme="minorHAnsi" w:hAnsiTheme="minorHAnsi" w:cstheme="minorHAnsi"/>
          <w:b w:val="0"/>
          <w:sz w:val="22"/>
          <w:szCs w:val="22"/>
        </w:rPr>
        <w:t>Na podstawie dokumentacji z 2 przeprowadzonych postępowań w celu wyboru wykonawcy zadania</w:t>
      </w:r>
      <w:r w:rsidRPr="004E4877">
        <w:rPr>
          <w:rFonts w:asciiTheme="minorHAnsi" w:hAnsiTheme="minorHAnsi" w:cstheme="minorHAnsi"/>
          <w:b w:val="0"/>
          <w:sz w:val="22"/>
          <w:szCs w:val="22"/>
          <w:vertAlign w:val="superscript"/>
        </w:rPr>
        <w:footnoteReference w:id="21"/>
      </w:r>
      <w:r w:rsidRPr="004E4877">
        <w:rPr>
          <w:rFonts w:asciiTheme="minorHAnsi" w:hAnsiTheme="minorHAnsi" w:cstheme="minorHAnsi"/>
          <w:b w:val="0"/>
          <w:sz w:val="22"/>
          <w:szCs w:val="22"/>
          <w:vertAlign w:val="superscript"/>
        </w:rPr>
        <w:t xml:space="preserve"> </w:t>
      </w:r>
      <w:r w:rsidRPr="004E4877">
        <w:rPr>
          <w:rFonts w:asciiTheme="minorHAnsi" w:hAnsiTheme="minorHAnsi" w:cstheme="minorHAnsi"/>
          <w:b w:val="0"/>
          <w:sz w:val="22"/>
          <w:szCs w:val="22"/>
        </w:rPr>
        <w:t>z zastosowaniem procedur określonych w ustawie Pzp, oraz 15 postępowań dla zamówień</w:t>
      </w:r>
      <w:r w:rsidRPr="004E4877">
        <w:rPr>
          <w:rFonts w:asciiTheme="minorHAnsi" w:hAnsiTheme="minorHAnsi" w:cstheme="minorHAnsi"/>
          <w:b w:val="0"/>
          <w:sz w:val="22"/>
          <w:szCs w:val="22"/>
          <w:vertAlign w:val="superscript"/>
        </w:rPr>
        <w:footnoteReference w:id="22"/>
      </w:r>
      <w:r w:rsidRPr="004E4877">
        <w:rPr>
          <w:rFonts w:asciiTheme="minorHAnsi" w:hAnsiTheme="minorHAnsi" w:cstheme="minorHAnsi"/>
          <w:b w:val="0"/>
          <w:sz w:val="22"/>
          <w:szCs w:val="22"/>
        </w:rPr>
        <w:t>, których wartość zamówienia nie przekracza kwoty 130 000,00 zł, przeprowadzonych w oparciu o wewnętrzne procedury</w:t>
      </w:r>
      <w:r w:rsidRPr="004E4877">
        <w:rPr>
          <w:rFonts w:asciiTheme="minorHAnsi" w:hAnsiTheme="minorHAnsi" w:cstheme="minorHAnsi"/>
          <w:b w:val="0"/>
          <w:sz w:val="22"/>
          <w:szCs w:val="22"/>
          <w:vertAlign w:val="superscript"/>
        </w:rPr>
        <w:footnoteReference w:id="23"/>
      </w:r>
      <w:r w:rsidRPr="004E4877">
        <w:rPr>
          <w:rFonts w:asciiTheme="minorHAnsi" w:hAnsiTheme="minorHAnsi" w:cstheme="minorHAnsi"/>
          <w:b w:val="0"/>
          <w:sz w:val="22"/>
          <w:szCs w:val="22"/>
        </w:rPr>
        <w:t>, nie stwierdzono nieprawidłowości w udzielaniu zamówień.</w:t>
      </w:r>
    </w:p>
    <w:p w14:paraId="00EA94A4" w14:textId="77777777" w:rsidR="00F462DF" w:rsidRPr="004E4877" w:rsidRDefault="0073623E">
      <w:pPr>
        <w:pStyle w:val="Bodytext20"/>
        <w:shd w:val="clear" w:color="auto" w:fill="auto"/>
        <w:spacing w:before="0" w:after="22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Na podstawie raportów kasowych sporządzonych w Ośrodku „Inflancka" w sierpniu, wrześniu i październiku 2022 r. nie stwierdzono nieprawidłowości w zakresie prowadzenia gospodarki kasowej. Kwoty wykazane na raportach kasowych są zgodne z dokumentami źródłowymi i zostały ujęte w księgach rachunkowych.</w:t>
      </w:r>
    </w:p>
    <w:p w14:paraId="425503C9" w14:textId="77777777" w:rsidR="00F462DF" w:rsidRPr="004E4877" w:rsidRDefault="0073623E">
      <w:pPr>
        <w:pStyle w:val="Bodytext20"/>
        <w:shd w:val="clear" w:color="auto" w:fill="auto"/>
        <w:spacing w:before="0" w:after="22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Wartość środków trwałych, pozostałych środków trwałych oraz wartości niematerialnych i prawnych ujęta w księdze głównej na koniec roku obrachunkowego, zgodna była z wartością majątku ujętą w ewidencji pomocniczej (księgi inwentarzowe).</w:t>
      </w:r>
    </w:p>
    <w:p w14:paraId="527F164E" w14:textId="77777777" w:rsidR="00F462DF" w:rsidRPr="004E4877" w:rsidRDefault="0073623E">
      <w:pPr>
        <w:pStyle w:val="Bodytext20"/>
        <w:shd w:val="clear" w:color="auto" w:fill="auto"/>
        <w:spacing w:before="0" w:after="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 xml:space="preserve">Inwentaryzację środków trwałych na podstawie zarządzenia Dyrektora nr </w:t>
      </w:r>
      <w:r w:rsidRPr="004E4877">
        <w:rPr>
          <w:rFonts w:asciiTheme="minorHAnsi" w:hAnsiTheme="minorHAnsi" w:cstheme="minorHAnsi"/>
          <w:b w:val="0"/>
          <w:sz w:val="22"/>
          <w:szCs w:val="22"/>
          <w:lang w:val="ru-RU" w:eastAsia="ru-RU" w:bidi="ru-RU"/>
        </w:rPr>
        <w:t xml:space="preserve">6/2022 </w:t>
      </w:r>
      <w:r w:rsidRPr="004E4877">
        <w:rPr>
          <w:rFonts w:asciiTheme="minorHAnsi" w:hAnsiTheme="minorHAnsi" w:cstheme="minorHAnsi"/>
          <w:b w:val="0"/>
          <w:sz w:val="22"/>
          <w:szCs w:val="22"/>
        </w:rPr>
        <w:t>z 6 października 2022 r.</w:t>
      </w:r>
      <w:r w:rsidRPr="004E4877">
        <w:rPr>
          <w:rFonts w:asciiTheme="minorHAnsi" w:hAnsiTheme="minorHAnsi" w:cstheme="minorHAnsi"/>
          <w:b w:val="0"/>
          <w:sz w:val="22"/>
          <w:szCs w:val="22"/>
          <w:vertAlign w:val="superscript"/>
        </w:rPr>
        <w:footnoteReference w:id="24"/>
      </w:r>
      <w:r w:rsidRPr="004E4877">
        <w:rPr>
          <w:rFonts w:asciiTheme="minorHAnsi" w:hAnsiTheme="minorHAnsi" w:cstheme="minorHAnsi"/>
          <w:b w:val="0"/>
          <w:sz w:val="22"/>
          <w:szCs w:val="22"/>
        </w:rPr>
        <w:t>, przeprowadziła Stała Komisja Inwentaryzacyjna powołana zarządzeniem Dyrektora SCSAW</w:t>
      </w:r>
      <w:r w:rsidRPr="004E4877">
        <w:rPr>
          <w:rFonts w:asciiTheme="minorHAnsi" w:hAnsiTheme="minorHAnsi" w:cstheme="minorHAnsi"/>
          <w:b w:val="0"/>
          <w:sz w:val="22"/>
          <w:szCs w:val="22"/>
          <w:vertAlign w:val="superscript"/>
        </w:rPr>
        <w:footnoteReference w:id="25"/>
      </w:r>
      <w:r w:rsidRPr="004E4877">
        <w:rPr>
          <w:rFonts w:asciiTheme="minorHAnsi" w:hAnsiTheme="minorHAnsi" w:cstheme="minorHAnsi"/>
          <w:b w:val="0"/>
          <w:sz w:val="22"/>
          <w:szCs w:val="22"/>
        </w:rPr>
        <w:t xml:space="preserve">. Inwentaryzację w drodze spisu z natury przeprowadzono wg stanu na 30 września 2022 r., </w:t>
      </w:r>
      <w:r w:rsidRPr="004E4877">
        <w:rPr>
          <w:rFonts w:asciiTheme="minorHAnsi" w:hAnsiTheme="minorHAnsi" w:cstheme="minorHAnsi"/>
          <w:b w:val="0"/>
          <w:sz w:val="22"/>
          <w:szCs w:val="22"/>
        </w:rPr>
        <w:lastRenderedPageBreak/>
        <w:t>w 10 polach spisowych. Kontrolą objęto dokumentację z przeprowadzonej inwentaryzacji 5 pól spisowych</w:t>
      </w:r>
      <w:r w:rsidRPr="004E4877">
        <w:rPr>
          <w:rFonts w:asciiTheme="minorHAnsi" w:hAnsiTheme="minorHAnsi" w:cstheme="minorHAnsi"/>
          <w:b w:val="0"/>
          <w:sz w:val="22"/>
          <w:szCs w:val="22"/>
          <w:vertAlign w:val="superscript"/>
        </w:rPr>
        <w:footnoteReference w:id="26"/>
      </w:r>
      <w:r w:rsidRPr="004E4877">
        <w:rPr>
          <w:rFonts w:asciiTheme="minorHAnsi" w:hAnsiTheme="minorHAnsi" w:cstheme="minorHAnsi"/>
          <w:b w:val="0"/>
          <w:sz w:val="22"/>
          <w:szCs w:val="22"/>
        </w:rPr>
        <w:t>, na podstawie której ustalono, że przeprowadze</w:t>
      </w:r>
      <w:r w:rsidR="004E4877" w:rsidRPr="004E4877">
        <w:rPr>
          <w:rFonts w:asciiTheme="minorHAnsi" w:hAnsiTheme="minorHAnsi" w:cstheme="minorHAnsi"/>
          <w:b w:val="0"/>
          <w:sz w:val="22"/>
          <w:szCs w:val="22"/>
        </w:rPr>
        <w:t>nie spisu z natury środków trwał</w:t>
      </w:r>
      <w:r w:rsidRPr="004E4877">
        <w:rPr>
          <w:rFonts w:asciiTheme="minorHAnsi" w:hAnsiTheme="minorHAnsi" w:cstheme="minorHAnsi"/>
          <w:b w:val="0"/>
          <w:sz w:val="22"/>
          <w:szCs w:val="22"/>
        </w:rPr>
        <w:t>ych</w:t>
      </w:r>
    </w:p>
    <w:p w14:paraId="70877CEF" w14:textId="77777777" w:rsidR="00F462DF" w:rsidRPr="004E4877" w:rsidRDefault="0073623E">
      <w:pPr>
        <w:pStyle w:val="Bodytext20"/>
        <w:shd w:val="clear" w:color="auto" w:fill="auto"/>
        <w:spacing w:before="0" w:after="24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 xml:space="preserve">udokumentowano właściwie, czynności spisowych dokonano zgodnie z procedurami. Ustalono, że w Sprawozdaniu zespołu spisowego </w:t>
      </w:r>
      <w:r w:rsidRPr="004E4877">
        <w:rPr>
          <w:rFonts w:asciiTheme="minorHAnsi" w:hAnsiTheme="minorHAnsi" w:cstheme="minorHAnsi"/>
          <w:b w:val="0"/>
          <w:sz w:val="22"/>
          <w:szCs w:val="22"/>
          <w:lang w:val="en-US" w:eastAsia="en-US" w:bidi="en-US"/>
        </w:rPr>
        <w:t xml:space="preserve">dot. </w:t>
      </w:r>
      <w:r w:rsidRPr="004E4877">
        <w:rPr>
          <w:rFonts w:asciiTheme="minorHAnsi" w:hAnsiTheme="minorHAnsi" w:cstheme="minorHAnsi"/>
          <w:b w:val="0"/>
          <w:sz w:val="22"/>
          <w:szCs w:val="22"/>
        </w:rPr>
        <w:t xml:space="preserve">Ośrodka „Hutnik" wykazano nadwyżkę 6 składników majątkowych, natomiast zgodnie ze sporządzonymi arkuszami „Zestawienie różnic inwentaryzacyjnych" liczba </w:t>
      </w:r>
      <w:r w:rsidRPr="004E4877">
        <w:rPr>
          <w:rFonts w:asciiTheme="minorHAnsi" w:hAnsiTheme="minorHAnsi" w:cstheme="minorHAnsi"/>
          <w:b w:val="0"/>
          <w:sz w:val="22"/>
          <w:szCs w:val="22"/>
          <w:lang w:val="en-US" w:eastAsia="en-US" w:bidi="en-US"/>
        </w:rPr>
        <w:t xml:space="preserve">dot. </w:t>
      </w:r>
      <w:r w:rsidRPr="004E4877">
        <w:rPr>
          <w:rFonts w:asciiTheme="minorHAnsi" w:hAnsiTheme="minorHAnsi" w:cstheme="minorHAnsi"/>
          <w:b w:val="0"/>
          <w:sz w:val="22"/>
          <w:szCs w:val="22"/>
        </w:rPr>
        <w:t xml:space="preserve">ujawnionych nadwyżek i niedoborów wynosiła 30 szt. Dyrektor SCSAW wyjaśnił: „(..) Podczas spisu zespół spisowy ujawnił 6 szt. składników majątkowych, które nie zostały sczytane, a wykazane w sprawozdaniu z inwentaryzacji. Dział Finansowo-Księgowy wykazał różnice inwentaryzacyjne ujawnionych 6 sztuk składników majątkowych w wykazie {..). Pozostałe różnice inwentaryzacyjne - 24 sztuki {..) w wykazach od nr (..) do nr {..). Łącznie różnice inwentaryzacyjne wynoszą 30 sztuk składników majątku, które powstały w czasie spisu tj. 16 sztuk niedoborów w tym 16 sztuk jako niedobory pozorne i 14 sztuk nadwyżek w tym jako nadwyżki pozorne 8 sztuk i jako nadwyżki 6 sztuk". Wskazać należy, że zgodnie z </w:t>
      </w:r>
      <w:r w:rsidRPr="004E4877">
        <w:rPr>
          <w:rFonts w:asciiTheme="minorHAnsi" w:hAnsiTheme="minorHAnsi" w:cstheme="minorHAnsi"/>
          <w:b w:val="0"/>
          <w:sz w:val="22"/>
          <w:szCs w:val="22"/>
          <w:lang w:val="en-US" w:eastAsia="en-US" w:bidi="en-US"/>
        </w:rPr>
        <w:t xml:space="preserve">art. </w:t>
      </w:r>
      <w:r w:rsidRPr="004E4877">
        <w:rPr>
          <w:rFonts w:asciiTheme="minorHAnsi" w:hAnsiTheme="minorHAnsi" w:cstheme="minorHAnsi"/>
          <w:b w:val="0"/>
          <w:sz w:val="22"/>
          <w:szCs w:val="22"/>
        </w:rPr>
        <w:t>27 ust. 2 ustawy z dnia 29 września 1994 r. o rachunkowości</w:t>
      </w:r>
      <w:r w:rsidRPr="004E4877">
        <w:rPr>
          <w:rFonts w:asciiTheme="minorHAnsi" w:hAnsiTheme="minorHAnsi" w:cstheme="minorHAnsi"/>
          <w:b w:val="0"/>
          <w:sz w:val="22"/>
          <w:szCs w:val="22"/>
          <w:vertAlign w:val="superscript"/>
        </w:rPr>
        <w:footnoteReference w:id="27"/>
      </w:r>
      <w:r w:rsidRPr="004E4877">
        <w:rPr>
          <w:rFonts w:asciiTheme="minorHAnsi" w:hAnsiTheme="minorHAnsi" w:cstheme="minorHAnsi"/>
          <w:b w:val="0"/>
          <w:sz w:val="22"/>
          <w:szCs w:val="22"/>
        </w:rPr>
        <w:t>, ujawnione różnice należy szczegółowo wyjaśnić, opisać w dokumentacji z przeprowadzonego spisu i właściwie udokumentować ich rozliczenie.</w:t>
      </w:r>
    </w:p>
    <w:p w14:paraId="18D0CB6C" w14:textId="77777777" w:rsidR="00F462DF" w:rsidRPr="004E4877" w:rsidRDefault="0073623E">
      <w:pPr>
        <w:pStyle w:val="Bodytext20"/>
        <w:shd w:val="clear" w:color="auto" w:fill="auto"/>
        <w:spacing w:before="0" w:after="240"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Protokoły z weryfikacji sald kont księgowych podpisali pracownicy będący jednocześnie członkami zespołów spisowych oraz odpowiedzialnymi za prowadzenie ewidencji księgowej. Dyrektor SCSAW wyjaśnił: „{..) Osoby weryfikujące nie prowadziły ewidencji księgowej weryfikowanych przez siebie kont, a jedynie swym podpisem potwierdzały jego poprawność zachowując przy tym rzetelność. Natomiast osoby prowadzące ewidencję jedynie potwierdzały stan faktyczny zapisów księgowych i prawidłowość wykazanych sald bez ich weryfikacji podczas przeprowadzania inwentaryzacji".</w:t>
      </w:r>
    </w:p>
    <w:p w14:paraId="1D18A59C" w14:textId="77777777" w:rsidR="00F462DF" w:rsidRPr="004E4877" w:rsidRDefault="0073623E">
      <w:pPr>
        <w:pStyle w:val="Bodytext20"/>
        <w:shd w:val="clear" w:color="auto" w:fill="auto"/>
        <w:spacing w:before="0" w:after="475"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W sprawozdaniu finansowym wg stanu na 31 grudnia 2022 r., sprawozdaniach z procesów gromadzenia środków publicznych i ich rozdysponowania za II i IV kwartał 2022 r. wykazano dane wynikające z zapisów ksiąg rachunkowych.</w:t>
      </w:r>
    </w:p>
    <w:p w14:paraId="55960E10" w14:textId="77777777" w:rsidR="00F462DF" w:rsidRPr="004E4877" w:rsidRDefault="0073623E">
      <w:pPr>
        <w:pStyle w:val="Bodytext20"/>
        <w:shd w:val="clear" w:color="auto" w:fill="auto"/>
        <w:spacing w:before="0" w:after="245"/>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Przedstawiając powyższe ustalenia i oceny zalecam:</w:t>
      </w:r>
    </w:p>
    <w:p w14:paraId="78A66515" w14:textId="77777777" w:rsidR="00F462DF" w:rsidRPr="004E4877" w:rsidRDefault="0073623E">
      <w:pPr>
        <w:pStyle w:val="Bodytext20"/>
        <w:numPr>
          <w:ilvl w:val="0"/>
          <w:numId w:val="2"/>
        </w:numPr>
        <w:shd w:val="clear" w:color="auto" w:fill="auto"/>
        <w:tabs>
          <w:tab w:val="left" w:pos="764"/>
        </w:tabs>
        <w:spacing w:before="0" w:after="120" w:line="322" w:lineRule="exact"/>
        <w:ind w:left="740" w:hanging="320"/>
        <w:jc w:val="left"/>
        <w:rPr>
          <w:rFonts w:asciiTheme="minorHAnsi" w:hAnsiTheme="minorHAnsi" w:cstheme="minorHAnsi"/>
          <w:b w:val="0"/>
          <w:sz w:val="22"/>
          <w:szCs w:val="22"/>
        </w:rPr>
      </w:pPr>
      <w:r w:rsidRPr="004E4877">
        <w:rPr>
          <w:rFonts w:asciiTheme="minorHAnsi" w:hAnsiTheme="minorHAnsi" w:cstheme="minorHAnsi"/>
          <w:b w:val="0"/>
          <w:sz w:val="22"/>
          <w:szCs w:val="22"/>
        </w:rPr>
        <w:t>W sprawozdaniu z realizacji planu kontroli wewnętrznej uwzględniać informacje o wszystkich przeprowadzonych kontrolach w danym roku sprawozdawczym.</w:t>
      </w:r>
    </w:p>
    <w:p w14:paraId="2280DEB3" w14:textId="77777777" w:rsidR="00F462DF" w:rsidRPr="004E4877" w:rsidRDefault="0073623E">
      <w:pPr>
        <w:pStyle w:val="Bodytext20"/>
        <w:numPr>
          <w:ilvl w:val="0"/>
          <w:numId w:val="2"/>
        </w:numPr>
        <w:shd w:val="clear" w:color="auto" w:fill="auto"/>
        <w:tabs>
          <w:tab w:val="left" w:pos="764"/>
        </w:tabs>
        <w:spacing w:before="0" w:after="120" w:line="322" w:lineRule="exact"/>
        <w:ind w:left="740" w:hanging="320"/>
        <w:jc w:val="left"/>
        <w:rPr>
          <w:rFonts w:asciiTheme="minorHAnsi" w:hAnsiTheme="minorHAnsi" w:cstheme="minorHAnsi"/>
          <w:b w:val="0"/>
          <w:sz w:val="22"/>
          <w:szCs w:val="22"/>
        </w:rPr>
      </w:pPr>
      <w:r w:rsidRPr="004E4877">
        <w:rPr>
          <w:rFonts w:asciiTheme="minorHAnsi" w:hAnsiTheme="minorHAnsi" w:cstheme="minorHAnsi"/>
          <w:b w:val="0"/>
          <w:sz w:val="22"/>
          <w:szCs w:val="22"/>
        </w:rPr>
        <w:t>Przyjąć rozwiązania umożliwiające zamieszczanie w notach odsetkowych informacji o kwocie głównej należności, całkowitej, narastającej kwocie należnych odsetek za cały okres zadłużenia oraz łącznej kwocie należności na dzień naliczenia odsetek i wystawienia noty.</w:t>
      </w:r>
    </w:p>
    <w:p w14:paraId="44EC4D79" w14:textId="77777777" w:rsidR="00F462DF" w:rsidRPr="004E4877" w:rsidRDefault="0073623E">
      <w:pPr>
        <w:pStyle w:val="Bodytext20"/>
        <w:numPr>
          <w:ilvl w:val="0"/>
          <w:numId w:val="2"/>
        </w:numPr>
        <w:shd w:val="clear" w:color="auto" w:fill="auto"/>
        <w:tabs>
          <w:tab w:val="left" w:pos="764"/>
        </w:tabs>
        <w:spacing w:before="0" w:after="0" w:line="322" w:lineRule="exact"/>
        <w:ind w:left="740" w:hanging="320"/>
        <w:jc w:val="left"/>
        <w:rPr>
          <w:rFonts w:asciiTheme="minorHAnsi" w:hAnsiTheme="minorHAnsi" w:cstheme="minorHAnsi"/>
          <w:b w:val="0"/>
          <w:sz w:val="22"/>
          <w:szCs w:val="22"/>
        </w:rPr>
      </w:pPr>
      <w:r w:rsidRPr="004E4877">
        <w:rPr>
          <w:rFonts w:asciiTheme="minorHAnsi" w:hAnsiTheme="minorHAnsi" w:cstheme="minorHAnsi"/>
          <w:b w:val="0"/>
          <w:sz w:val="22"/>
          <w:szCs w:val="22"/>
        </w:rPr>
        <w:t>Premie w wartości powyżej 30 % wynagrodzenia zasadniczego ustalonego według osobistej stawki zaszeregowania przyznawać zgodnie z kryteriami określonymi w Regulaminie wynagradzania, tj. ograniczyć uznaniowość pracodawcy w tym zakresie do oceny opartej wyłącznie na konkretnych i obiektywnych przesłankach określonych w § 14 ust. 5 Regulaminu wynagradzania.</w:t>
      </w:r>
    </w:p>
    <w:p w14:paraId="3864E9A2" w14:textId="77777777" w:rsidR="00F462DF" w:rsidRPr="004E4877" w:rsidRDefault="0073623E" w:rsidP="004E4877">
      <w:pPr>
        <w:pStyle w:val="Bodytext20"/>
        <w:numPr>
          <w:ilvl w:val="0"/>
          <w:numId w:val="2"/>
        </w:numPr>
        <w:shd w:val="clear" w:color="auto" w:fill="auto"/>
        <w:tabs>
          <w:tab w:val="left" w:pos="755"/>
        </w:tabs>
        <w:spacing w:before="240" w:after="680" w:line="300" w:lineRule="auto"/>
        <w:ind w:left="340" w:hanging="340"/>
        <w:contextualSpacing/>
        <w:jc w:val="left"/>
        <w:rPr>
          <w:rFonts w:asciiTheme="minorHAnsi" w:hAnsiTheme="minorHAnsi" w:cstheme="minorHAnsi"/>
          <w:b w:val="0"/>
          <w:sz w:val="22"/>
          <w:szCs w:val="22"/>
        </w:rPr>
      </w:pPr>
      <w:r w:rsidRPr="004E4877">
        <w:rPr>
          <w:rFonts w:asciiTheme="minorHAnsi" w:hAnsiTheme="minorHAnsi" w:cstheme="minorHAnsi"/>
          <w:b w:val="0"/>
          <w:sz w:val="22"/>
          <w:szCs w:val="22"/>
        </w:rPr>
        <w:lastRenderedPageBreak/>
        <w:t>Ujawnione w toku przeprowadzonego spisu różnice inwentaryzacyjne, zarówno po stronie nadwyżek i niedoborów, wyjaśniać oraz szczegółowo opisywać w dokumentacji z przeprowadzonego spisu.</w:t>
      </w:r>
    </w:p>
    <w:p w14:paraId="1263BB0E" w14:textId="77777777" w:rsidR="00F462DF" w:rsidRPr="004E4877" w:rsidRDefault="0073623E">
      <w:pPr>
        <w:pStyle w:val="Bodytext20"/>
        <w:shd w:val="clear" w:color="auto" w:fill="auto"/>
        <w:spacing w:before="0" w:after="96" w:line="322"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Na podstawie § 22 ust. 10 Regulaminu organizacyjnego oraz § 41 ust. 1 Zarządzenia oczekuję od Pana Dyrektora w terminie nie dłuższym niż 30 dni od dnia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170BBB57" w14:textId="77777777" w:rsidR="00F462DF" w:rsidRPr="004E4877" w:rsidRDefault="0073623E">
      <w:pPr>
        <w:pStyle w:val="Bodytext20"/>
        <w:shd w:val="clear" w:color="auto" w:fill="auto"/>
        <w:spacing w:before="0" w:after="595" w:line="326"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Na podstawie § 41 ust. 1 Zarządzenia zobowiązuję Pana do przekazania kopii ww. informacji Pani Renacie Kaznowskiej Zastępcy Prezydenta m.st. Warszawy oraz Panu Marcinowi Kraszewskiemu Dyrektorowi Biura Sportu i Rekreacji Urzędu m.st. Warszawy.</w:t>
      </w:r>
    </w:p>
    <w:p w14:paraId="381EB560" w14:textId="77777777" w:rsidR="00F462DF" w:rsidRPr="004E4877" w:rsidRDefault="00F462DF">
      <w:pPr>
        <w:framePr w:h="1435" w:wrap="notBeside" w:vAnchor="text" w:hAnchor="text" w:xAlign="right" w:y="1"/>
        <w:jc w:val="right"/>
        <w:rPr>
          <w:rFonts w:asciiTheme="minorHAnsi" w:hAnsiTheme="minorHAnsi" w:cstheme="minorHAnsi"/>
          <w:sz w:val="22"/>
          <w:szCs w:val="22"/>
        </w:rPr>
      </w:pPr>
    </w:p>
    <w:p w14:paraId="0D20E345" w14:textId="77777777" w:rsidR="00F462DF" w:rsidRPr="004E4877" w:rsidRDefault="00E936A9" w:rsidP="0033269F">
      <w:pPr>
        <w:spacing w:before="120" w:after="240" w:line="300" w:lineRule="auto"/>
        <w:ind w:left="6379"/>
        <w:rPr>
          <w:rFonts w:asciiTheme="minorHAnsi" w:hAnsiTheme="minorHAnsi" w:cstheme="minorHAnsi"/>
          <w:sz w:val="22"/>
          <w:szCs w:val="22"/>
        </w:rPr>
      </w:pPr>
      <w:r>
        <w:rPr>
          <w:rFonts w:asciiTheme="minorHAnsi" w:hAnsiTheme="minorHAnsi" w:cstheme="minorHAnsi"/>
          <w:sz w:val="22"/>
          <w:szCs w:val="22"/>
        </w:rPr>
        <w:t xml:space="preserve">DYREKTOR BIURA KONTROLI /-/ Ewa Graniewska </w:t>
      </w:r>
    </w:p>
    <w:p w14:paraId="41BB74CE" w14:textId="77777777" w:rsidR="00F462DF" w:rsidRPr="004E4877" w:rsidRDefault="0073623E">
      <w:pPr>
        <w:pStyle w:val="Bodytext20"/>
        <w:shd w:val="clear" w:color="auto" w:fill="auto"/>
        <w:spacing w:before="1281" w:after="47"/>
        <w:ind w:firstLine="0"/>
        <w:jc w:val="left"/>
        <w:rPr>
          <w:rFonts w:asciiTheme="minorHAnsi" w:hAnsiTheme="minorHAnsi" w:cstheme="minorHAnsi"/>
          <w:b w:val="0"/>
          <w:sz w:val="22"/>
          <w:szCs w:val="22"/>
        </w:rPr>
      </w:pPr>
      <w:r w:rsidRPr="004E4877">
        <w:rPr>
          <w:rStyle w:val="Bodytext21"/>
          <w:rFonts w:asciiTheme="minorHAnsi" w:hAnsiTheme="minorHAnsi" w:cstheme="minorHAnsi"/>
          <w:bCs/>
          <w:sz w:val="22"/>
          <w:szCs w:val="22"/>
        </w:rPr>
        <w:t>Do wiadomości</w:t>
      </w:r>
      <w:r w:rsidRPr="004E4877">
        <w:rPr>
          <w:rFonts w:asciiTheme="minorHAnsi" w:hAnsiTheme="minorHAnsi" w:cstheme="minorHAnsi"/>
          <w:b w:val="0"/>
          <w:sz w:val="22"/>
          <w:szCs w:val="22"/>
        </w:rPr>
        <w:t>:</w:t>
      </w:r>
    </w:p>
    <w:p w14:paraId="4F7CD927" w14:textId="77777777" w:rsidR="00F462DF" w:rsidRPr="004E4877" w:rsidRDefault="0073623E">
      <w:pPr>
        <w:pStyle w:val="Bodytext20"/>
        <w:numPr>
          <w:ilvl w:val="0"/>
          <w:numId w:val="3"/>
        </w:numPr>
        <w:shd w:val="clear" w:color="auto" w:fill="auto"/>
        <w:tabs>
          <w:tab w:val="left" w:pos="343"/>
        </w:tabs>
        <w:spacing w:before="0" w:after="0" w:line="370" w:lineRule="exact"/>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Pani Renata Kaznowska - Zastępca Prezydenta m.st. Warszawy.</w:t>
      </w:r>
    </w:p>
    <w:p w14:paraId="03A3909A" w14:textId="77777777" w:rsidR="00F462DF" w:rsidRPr="004E4877" w:rsidRDefault="0073623E" w:rsidP="004E4877">
      <w:pPr>
        <w:pStyle w:val="Bodytext20"/>
        <w:numPr>
          <w:ilvl w:val="0"/>
          <w:numId w:val="3"/>
        </w:numPr>
        <w:shd w:val="clear" w:color="auto" w:fill="auto"/>
        <w:tabs>
          <w:tab w:val="left" w:pos="343"/>
        </w:tabs>
        <w:spacing w:before="120" w:after="240" w:line="300" w:lineRule="auto"/>
        <w:ind w:firstLine="0"/>
        <w:jc w:val="left"/>
        <w:rPr>
          <w:rFonts w:asciiTheme="minorHAnsi" w:hAnsiTheme="minorHAnsi" w:cstheme="minorHAnsi"/>
          <w:b w:val="0"/>
          <w:sz w:val="22"/>
          <w:szCs w:val="22"/>
        </w:rPr>
      </w:pPr>
      <w:r w:rsidRPr="004E4877">
        <w:rPr>
          <w:rFonts w:asciiTheme="minorHAnsi" w:hAnsiTheme="minorHAnsi" w:cstheme="minorHAnsi"/>
          <w:b w:val="0"/>
          <w:sz w:val="22"/>
          <w:szCs w:val="22"/>
        </w:rPr>
        <w:t>Pan Marcin Kraszewski - Dyrektor Biura Sportu i Rekreacji Urzędu m.st. Warszawy.</w:t>
      </w:r>
    </w:p>
    <w:sectPr w:rsidR="00F462DF" w:rsidRPr="004E4877" w:rsidSect="00AD6C74">
      <w:footerReference w:type="default" r:id="rId7"/>
      <w:headerReference w:type="first" r:id="rId8"/>
      <w:footerReference w:type="first" r:id="rId9"/>
      <w:pgSz w:w="11900" w:h="16840"/>
      <w:pgMar w:top="1408" w:right="1431" w:bottom="1597" w:left="151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DDE1" w14:textId="77777777" w:rsidR="0043273C" w:rsidRDefault="0043273C">
      <w:r>
        <w:separator/>
      </w:r>
    </w:p>
  </w:endnote>
  <w:endnote w:type="continuationSeparator" w:id="0">
    <w:p w14:paraId="77DA54B9" w14:textId="77777777" w:rsidR="0043273C" w:rsidRDefault="0043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796131"/>
      <w:docPartObj>
        <w:docPartGallery w:val="Page Numbers (Bottom of Page)"/>
        <w:docPartUnique/>
      </w:docPartObj>
    </w:sdtPr>
    <w:sdtEndPr/>
    <w:sdtContent>
      <w:sdt>
        <w:sdtPr>
          <w:id w:val="-2145642204"/>
          <w:docPartObj>
            <w:docPartGallery w:val="Page Numbers (Top of Page)"/>
            <w:docPartUnique/>
          </w:docPartObj>
        </w:sdtPr>
        <w:sdtEndPr/>
        <w:sdtContent>
          <w:p w14:paraId="6102BC60" w14:textId="72E3BBA3" w:rsidR="00AD6C74" w:rsidRDefault="00AD6C74">
            <w:pPr>
              <w:pStyle w:val="Stopka"/>
              <w:jc w:val="right"/>
            </w:pPr>
            <w:r w:rsidRPr="00AD6C74">
              <w:rPr>
                <w:rFonts w:asciiTheme="minorHAnsi" w:hAnsiTheme="minorHAnsi" w:cstheme="minorHAnsi"/>
                <w:sz w:val="22"/>
                <w:szCs w:val="22"/>
              </w:rPr>
              <w:t xml:space="preserve">Strona </w:t>
            </w:r>
            <w:r w:rsidRPr="00AD6C74">
              <w:rPr>
                <w:rFonts w:asciiTheme="minorHAnsi" w:hAnsiTheme="minorHAnsi" w:cstheme="minorHAnsi"/>
                <w:sz w:val="22"/>
                <w:szCs w:val="22"/>
              </w:rPr>
              <w:fldChar w:fldCharType="begin"/>
            </w:r>
            <w:r w:rsidRPr="00AD6C74">
              <w:rPr>
                <w:rFonts w:asciiTheme="minorHAnsi" w:hAnsiTheme="minorHAnsi" w:cstheme="minorHAnsi"/>
                <w:sz w:val="22"/>
                <w:szCs w:val="22"/>
              </w:rPr>
              <w:instrText>PAGE</w:instrText>
            </w:r>
            <w:r w:rsidRPr="00AD6C74">
              <w:rPr>
                <w:rFonts w:asciiTheme="minorHAnsi" w:hAnsiTheme="minorHAnsi" w:cstheme="minorHAnsi"/>
                <w:sz w:val="22"/>
                <w:szCs w:val="22"/>
              </w:rPr>
              <w:fldChar w:fldCharType="separate"/>
            </w:r>
            <w:r w:rsidRPr="00AD6C74">
              <w:rPr>
                <w:rFonts w:asciiTheme="minorHAnsi" w:hAnsiTheme="minorHAnsi" w:cstheme="minorHAnsi"/>
                <w:sz w:val="22"/>
                <w:szCs w:val="22"/>
              </w:rPr>
              <w:t>2</w:t>
            </w:r>
            <w:r w:rsidRPr="00AD6C74">
              <w:rPr>
                <w:rFonts w:asciiTheme="minorHAnsi" w:hAnsiTheme="minorHAnsi" w:cstheme="minorHAnsi"/>
                <w:sz w:val="22"/>
                <w:szCs w:val="22"/>
              </w:rPr>
              <w:fldChar w:fldCharType="end"/>
            </w:r>
            <w:r w:rsidRPr="00AD6C74">
              <w:rPr>
                <w:rFonts w:asciiTheme="minorHAnsi" w:hAnsiTheme="minorHAnsi" w:cstheme="minorHAnsi"/>
                <w:sz w:val="22"/>
                <w:szCs w:val="22"/>
              </w:rPr>
              <w:t xml:space="preserve"> z </w:t>
            </w:r>
            <w:r w:rsidRPr="00AD6C74">
              <w:rPr>
                <w:rFonts w:asciiTheme="minorHAnsi" w:hAnsiTheme="minorHAnsi" w:cstheme="minorHAnsi"/>
                <w:sz w:val="22"/>
                <w:szCs w:val="22"/>
              </w:rPr>
              <w:fldChar w:fldCharType="begin"/>
            </w:r>
            <w:r w:rsidRPr="00AD6C74">
              <w:rPr>
                <w:rFonts w:asciiTheme="minorHAnsi" w:hAnsiTheme="minorHAnsi" w:cstheme="minorHAnsi"/>
                <w:sz w:val="22"/>
                <w:szCs w:val="22"/>
              </w:rPr>
              <w:instrText>NUMPAGES</w:instrText>
            </w:r>
            <w:r w:rsidRPr="00AD6C74">
              <w:rPr>
                <w:rFonts w:asciiTheme="minorHAnsi" w:hAnsiTheme="minorHAnsi" w:cstheme="minorHAnsi"/>
                <w:sz w:val="22"/>
                <w:szCs w:val="22"/>
              </w:rPr>
              <w:fldChar w:fldCharType="separate"/>
            </w:r>
            <w:r w:rsidRPr="00AD6C74">
              <w:rPr>
                <w:rFonts w:asciiTheme="minorHAnsi" w:hAnsiTheme="minorHAnsi" w:cstheme="minorHAnsi"/>
                <w:sz w:val="22"/>
                <w:szCs w:val="22"/>
              </w:rPr>
              <w:t>2</w:t>
            </w:r>
            <w:r w:rsidRPr="00AD6C74">
              <w:rPr>
                <w:rFonts w:asciiTheme="minorHAnsi" w:hAnsiTheme="minorHAnsi" w:cstheme="minorHAnsi"/>
                <w:sz w:val="22"/>
                <w:szCs w:val="22"/>
              </w:rPr>
              <w:fldChar w:fldCharType="end"/>
            </w:r>
          </w:p>
        </w:sdtContent>
      </w:sdt>
    </w:sdtContent>
  </w:sdt>
  <w:p w14:paraId="6870DA7A" w14:textId="77777777" w:rsidR="00F462DF" w:rsidRDefault="00F462DF">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90550"/>
      <w:docPartObj>
        <w:docPartGallery w:val="Page Numbers (Bottom of Page)"/>
        <w:docPartUnique/>
      </w:docPartObj>
    </w:sdtPr>
    <w:sdtEndPr/>
    <w:sdtContent>
      <w:sdt>
        <w:sdtPr>
          <w:id w:val="-1769616900"/>
          <w:docPartObj>
            <w:docPartGallery w:val="Page Numbers (Top of Page)"/>
            <w:docPartUnique/>
          </w:docPartObj>
        </w:sdtPr>
        <w:sdtEndPr/>
        <w:sdtContent>
          <w:p w14:paraId="5270841C" w14:textId="29ECCE59" w:rsidR="00AD6C74" w:rsidRDefault="00AD6C74">
            <w:pPr>
              <w:pStyle w:val="Stopka"/>
              <w:jc w:val="right"/>
            </w:pPr>
            <w:r w:rsidRPr="00AD6C74">
              <w:rPr>
                <w:rFonts w:asciiTheme="minorHAnsi" w:hAnsiTheme="minorHAnsi" w:cstheme="minorHAnsi"/>
                <w:sz w:val="22"/>
                <w:szCs w:val="22"/>
              </w:rPr>
              <w:t xml:space="preserve">Strona </w:t>
            </w:r>
            <w:r w:rsidRPr="00AD6C74">
              <w:rPr>
                <w:rFonts w:asciiTheme="minorHAnsi" w:hAnsiTheme="minorHAnsi" w:cstheme="minorHAnsi"/>
                <w:sz w:val="22"/>
                <w:szCs w:val="22"/>
              </w:rPr>
              <w:fldChar w:fldCharType="begin"/>
            </w:r>
            <w:r w:rsidRPr="00AD6C74">
              <w:rPr>
                <w:rFonts w:asciiTheme="minorHAnsi" w:hAnsiTheme="minorHAnsi" w:cstheme="minorHAnsi"/>
                <w:sz w:val="22"/>
                <w:szCs w:val="22"/>
              </w:rPr>
              <w:instrText>PAGE</w:instrText>
            </w:r>
            <w:r w:rsidRPr="00AD6C74">
              <w:rPr>
                <w:rFonts w:asciiTheme="minorHAnsi" w:hAnsiTheme="minorHAnsi" w:cstheme="minorHAnsi"/>
                <w:sz w:val="22"/>
                <w:szCs w:val="22"/>
              </w:rPr>
              <w:fldChar w:fldCharType="separate"/>
            </w:r>
            <w:r w:rsidRPr="00AD6C74">
              <w:rPr>
                <w:rFonts w:asciiTheme="minorHAnsi" w:hAnsiTheme="minorHAnsi" w:cstheme="minorHAnsi"/>
                <w:sz w:val="22"/>
                <w:szCs w:val="22"/>
              </w:rPr>
              <w:t>2</w:t>
            </w:r>
            <w:r w:rsidRPr="00AD6C74">
              <w:rPr>
                <w:rFonts w:asciiTheme="minorHAnsi" w:hAnsiTheme="minorHAnsi" w:cstheme="minorHAnsi"/>
                <w:sz w:val="22"/>
                <w:szCs w:val="22"/>
              </w:rPr>
              <w:fldChar w:fldCharType="end"/>
            </w:r>
            <w:r w:rsidRPr="00AD6C74">
              <w:rPr>
                <w:rFonts w:asciiTheme="minorHAnsi" w:hAnsiTheme="minorHAnsi" w:cstheme="minorHAnsi"/>
                <w:sz w:val="22"/>
                <w:szCs w:val="22"/>
              </w:rPr>
              <w:t xml:space="preserve"> z </w:t>
            </w:r>
            <w:r w:rsidRPr="00AD6C74">
              <w:rPr>
                <w:rFonts w:asciiTheme="minorHAnsi" w:hAnsiTheme="minorHAnsi" w:cstheme="minorHAnsi"/>
                <w:sz w:val="22"/>
                <w:szCs w:val="22"/>
              </w:rPr>
              <w:fldChar w:fldCharType="begin"/>
            </w:r>
            <w:r w:rsidRPr="00AD6C74">
              <w:rPr>
                <w:rFonts w:asciiTheme="minorHAnsi" w:hAnsiTheme="minorHAnsi" w:cstheme="minorHAnsi"/>
                <w:sz w:val="22"/>
                <w:szCs w:val="22"/>
              </w:rPr>
              <w:instrText>NUMPAGES</w:instrText>
            </w:r>
            <w:r w:rsidRPr="00AD6C74">
              <w:rPr>
                <w:rFonts w:asciiTheme="minorHAnsi" w:hAnsiTheme="minorHAnsi" w:cstheme="minorHAnsi"/>
                <w:sz w:val="22"/>
                <w:szCs w:val="22"/>
              </w:rPr>
              <w:fldChar w:fldCharType="separate"/>
            </w:r>
            <w:r w:rsidRPr="00AD6C74">
              <w:rPr>
                <w:rFonts w:asciiTheme="minorHAnsi" w:hAnsiTheme="minorHAnsi" w:cstheme="minorHAnsi"/>
                <w:sz w:val="22"/>
                <w:szCs w:val="22"/>
              </w:rPr>
              <w:t>2</w:t>
            </w:r>
            <w:r w:rsidRPr="00AD6C74">
              <w:rPr>
                <w:rFonts w:asciiTheme="minorHAnsi" w:hAnsiTheme="minorHAnsi" w:cstheme="minorHAnsi"/>
                <w:sz w:val="22"/>
                <w:szCs w:val="22"/>
              </w:rPr>
              <w:fldChar w:fldCharType="end"/>
            </w:r>
          </w:p>
        </w:sdtContent>
      </w:sdt>
    </w:sdtContent>
  </w:sdt>
  <w:p w14:paraId="50B901E4" w14:textId="77777777" w:rsidR="00F462DF" w:rsidRDefault="00F462DF">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18D8" w14:textId="77777777" w:rsidR="0043273C" w:rsidRDefault="0043273C">
      <w:r>
        <w:separator/>
      </w:r>
    </w:p>
  </w:footnote>
  <w:footnote w:type="continuationSeparator" w:id="0">
    <w:p w14:paraId="2EA68898" w14:textId="77777777" w:rsidR="0043273C" w:rsidRDefault="0043273C">
      <w:r>
        <w:continuationSeparator/>
      </w:r>
    </w:p>
  </w:footnote>
  <w:footnote w:id="1">
    <w:p w14:paraId="7A2EA0B3" w14:textId="77777777" w:rsidR="00F462DF" w:rsidRPr="004E4877" w:rsidRDefault="0073623E" w:rsidP="0033269F">
      <w:pPr>
        <w:pStyle w:val="Footnote10"/>
        <w:shd w:val="clear" w:color="auto" w:fill="auto"/>
        <w:spacing w:before="20" w:after="20" w:line="240" w:lineRule="auto"/>
        <w:ind w:right="360"/>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W zakresie: „Zarządzanie finansami i majątkiem - prawidłowość gospodarowania mieniem oraz dysponowania przyznanymi środkami budżetowymi oraz dochodami z innych źródeł" w okresie od 1 stycznia 2022 r. do 31 grudnia 2022 r.</w:t>
      </w:r>
    </w:p>
  </w:footnote>
  <w:footnote w:id="2">
    <w:p w14:paraId="69D7F088" w14:textId="77777777" w:rsidR="00F462DF" w:rsidRPr="004E4877" w:rsidRDefault="0073623E" w:rsidP="0033269F">
      <w:pPr>
        <w:pStyle w:val="Footnote10"/>
        <w:shd w:val="clear" w:color="auto" w:fill="auto"/>
        <w:tabs>
          <w:tab w:val="left" w:pos="106"/>
        </w:tabs>
        <w:spacing w:before="20" w:after="20" w:line="240" w:lineRule="auto"/>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 xml:space="preserve">Uchwala nr </w:t>
      </w:r>
      <w:r w:rsidRPr="004E4877">
        <w:rPr>
          <w:rFonts w:asciiTheme="minorHAnsi" w:hAnsiTheme="minorHAnsi" w:cstheme="minorHAnsi"/>
          <w:b w:val="0"/>
          <w:sz w:val="22"/>
          <w:szCs w:val="22"/>
          <w:lang w:val="en-US" w:eastAsia="en-US" w:bidi="en-US"/>
        </w:rPr>
        <w:t xml:space="preserve">XLV1I/1453/2021 </w:t>
      </w:r>
      <w:r w:rsidRPr="004E4877">
        <w:rPr>
          <w:rFonts w:asciiTheme="minorHAnsi" w:hAnsiTheme="minorHAnsi" w:cstheme="minorHAnsi"/>
          <w:b w:val="0"/>
          <w:sz w:val="22"/>
          <w:szCs w:val="22"/>
        </w:rPr>
        <w:t>Rady m.st. Warszawy z 15 kwietnia 2021 r. w sprawie zmiany statutu jednostki budżetowej o nazwie Stołeczne Centrum Sportu Aktywna Warszawa.</w:t>
      </w:r>
    </w:p>
  </w:footnote>
  <w:footnote w:id="3">
    <w:p w14:paraId="1C3374D7" w14:textId="77777777" w:rsidR="00F462DF" w:rsidRPr="004E4877" w:rsidRDefault="0073623E" w:rsidP="0033269F">
      <w:pPr>
        <w:pStyle w:val="Footnote10"/>
        <w:shd w:val="clear" w:color="auto" w:fill="auto"/>
        <w:tabs>
          <w:tab w:val="left" w:pos="106"/>
        </w:tabs>
        <w:spacing w:before="20" w:after="20" w:line="240" w:lineRule="auto"/>
        <w:ind w:right="540"/>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 xml:space="preserve">Załącznik do zarządzenia nr </w:t>
      </w:r>
      <w:r w:rsidRPr="004E4877">
        <w:rPr>
          <w:rFonts w:asciiTheme="minorHAnsi" w:hAnsiTheme="minorHAnsi" w:cstheme="minorHAnsi"/>
          <w:b w:val="0"/>
          <w:sz w:val="22"/>
          <w:szCs w:val="22"/>
          <w:lang w:val="ru-RU" w:eastAsia="ru-RU" w:bidi="ru-RU"/>
        </w:rPr>
        <w:t xml:space="preserve">35/2023 </w:t>
      </w:r>
      <w:r w:rsidRPr="004E4877">
        <w:rPr>
          <w:rFonts w:asciiTheme="minorHAnsi" w:hAnsiTheme="minorHAnsi" w:cstheme="minorHAnsi"/>
          <w:b w:val="0"/>
          <w:sz w:val="22"/>
          <w:szCs w:val="22"/>
        </w:rPr>
        <w:t>Dyrektora SCSAW w sprawnie nadania Stołecznemu Centrum Sportu AKTYWNA WARSZAWA Regulaminu Organizacyjnego.</w:t>
      </w:r>
    </w:p>
  </w:footnote>
  <w:footnote w:id="4">
    <w:p w14:paraId="7D161100" w14:textId="77777777" w:rsidR="00F462DF" w:rsidRPr="004E4877" w:rsidRDefault="0073623E" w:rsidP="0033269F">
      <w:pPr>
        <w:pStyle w:val="Footnote20"/>
        <w:shd w:val="clear" w:color="auto" w:fill="auto"/>
        <w:tabs>
          <w:tab w:val="left" w:pos="286"/>
        </w:tabs>
        <w:spacing w:before="20" w:after="20" w:line="240" w:lineRule="auto"/>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 xml:space="preserve">Załącznik do zarządzenia nr </w:t>
      </w:r>
      <w:r w:rsidRPr="004E4877">
        <w:rPr>
          <w:rFonts w:asciiTheme="minorHAnsi" w:hAnsiTheme="minorHAnsi" w:cstheme="minorHAnsi"/>
          <w:b w:val="0"/>
          <w:sz w:val="22"/>
          <w:szCs w:val="22"/>
          <w:lang w:val="ru-RU" w:eastAsia="ru-RU" w:bidi="ru-RU"/>
        </w:rPr>
        <w:t xml:space="preserve">71/2021 </w:t>
      </w:r>
      <w:r w:rsidRPr="004E4877">
        <w:rPr>
          <w:rFonts w:asciiTheme="minorHAnsi" w:hAnsiTheme="minorHAnsi" w:cstheme="minorHAnsi"/>
          <w:b w:val="0"/>
          <w:sz w:val="22"/>
          <w:szCs w:val="22"/>
        </w:rPr>
        <w:t>Dyrektora SCSAW z 11 października 2021 r. w sprawie przyjętych zasad rachunkowości w SCSAW, z mocą obowiązywania od 1 stycznia 2021 r.</w:t>
      </w:r>
    </w:p>
  </w:footnote>
  <w:footnote w:id="5">
    <w:p w14:paraId="52973658" w14:textId="4E07827F" w:rsidR="00F462DF" w:rsidRPr="004E4877" w:rsidRDefault="00B07B14" w:rsidP="0033269F">
      <w:pPr>
        <w:pStyle w:val="Footnote20"/>
        <w:shd w:val="clear" w:color="auto" w:fill="auto"/>
        <w:spacing w:before="20" w:after="20" w:line="240" w:lineRule="auto"/>
        <w:ind w:right="740"/>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0073623E" w:rsidRPr="004E4877">
        <w:rPr>
          <w:rFonts w:asciiTheme="minorHAnsi" w:hAnsiTheme="minorHAnsi" w:cstheme="minorHAnsi"/>
          <w:b w:val="0"/>
          <w:sz w:val="22"/>
          <w:szCs w:val="22"/>
        </w:rPr>
        <w:t xml:space="preserve"> Zarządzenia: nr </w:t>
      </w:r>
      <w:r w:rsidR="0073623E" w:rsidRPr="004E4877">
        <w:rPr>
          <w:rFonts w:asciiTheme="minorHAnsi" w:hAnsiTheme="minorHAnsi" w:cstheme="minorHAnsi"/>
          <w:b w:val="0"/>
          <w:sz w:val="22"/>
          <w:szCs w:val="22"/>
          <w:lang w:val="ru-RU" w:eastAsia="ru-RU" w:bidi="ru-RU"/>
        </w:rPr>
        <w:t xml:space="preserve">102/2020 </w:t>
      </w:r>
      <w:r w:rsidR="0073623E" w:rsidRPr="004E4877">
        <w:rPr>
          <w:rFonts w:asciiTheme="minorHAnsi" w:hAnsiTheme="minorHAnsi" w:cstheme="minorHAnsi"/>
          <w:b w:val="0"/>
          <w:sz w:val="22"/>
          <w:szCs w:val="22"/>
        </w:rPr>
        <w:t xml:space="preserve">z 3 grudnia 2020 r. w sprawie wprowadzenia w SCSAW Regulaminu Kontroli Zarządczej; nr </w:t>
      </w:r>
      <w:r w:rsidR="0073623E" w:rsidRPr="004E4877">
        <w:rPr>
          <w:rFonts w:asciiTheme="minorHAnsi" w:hAnsiTheme="minorHAnsi" w:cstheme="minorHAnsi"/>
          <w:b w:val="0"/>
          <w:sz w:val="22"/>
          <w:szCs w:val="22"/>
          <w:lang w:val="ru-RU" w:eastAsia="ru-RU" w:bidi="ru-RU"/>
        </w:rPr>
        <w:t xml:space="preserve">101/2020 </w:t>
      </w:r>
      <w:r w:rsidR="0073623E" w:rsidRPr="004E4877">
        <w:rPr>
          <w:rFonts w:asciiTheme="minorHAnsi" w:hAnsiTheme="minorHAnsi" w:cstheme="minorHAnsi"/>
          <w:b w:val="0"/>
          <w:sz w:val="22"/>
          <w:szCs w:val="22"/>
        </w:rPr>
        <w:t>z 3 grudnia 2020 r. w sprawie wprowadzenia w SCSAW Procedury Zarządzania Ryzykiem.</w:t>
      </w:r>
    </w:p>
  </w:footnote>
  <w:footnote w:id="6">
    <w:p w14:paraId="0E0CA5DD" w14:textId="77777777" w:rsidR="00F462DF" w:rsidRPr="004E4877" w:rsidRDefault="0073623E" w:rsidP="0033269F">
      <w:pPr>
        <w:pStyle w:val="Footnote20"/>
        <w:shd w:val="clear" w:color="auto" w:fill="auto"/>
        <w:spacing w:before="20" w:after="20" w:line="240" w:lineRule="auto"/>
        <w:ind w:right="520"/>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 xml:space="preserve"> Załącznik do zarządzenia nr </w:t>
      </w:r>
      <w:r w:rsidRPr="004E4877">
        <w:rPr>
          <w:rFonts w:asciiTheme="minorHAnsi" w:hAnsiTheme="minorHAnsi" w:cstheme="minorHAnsi"/>
          <w:b w:val="0"/>
          <w:sz w:val="22"/>
          <w:szCs w:val="22"/>
          <w:lang w:val="ru-RU" w:eastAsia="ru-RU" w:bidi="ru-RU"/>
        </w:rPr>
        <w:t xml:space="preserve">96/2021 </w:t>
      </w:r>
      <w:r w:rsidRPr="004E4877">
        <w:rPr>
          <w:rFonts w:asciiTheme="minorHAnsi" w:hAnsiTheme="minorHAnsi" w:cstheme="minorHAnsi"/>
          <w:b w:val="0"/>
          <w:sz w:val="22"/>
          <w:szCs w:val="22"/>
        </w:rPr>
        <w:t>z 13 grudnia 2021 r. w sprawie wprowadzenia w SCSAW Regulaminu kontroli wewnętrznej.</w:t>
      </w:r>
    </w:p>
  </w:footnote>
  <w:footnote w:id="7">
    <w:p w14:paraId="1643C53D" w14:textId="77777777" w:rsidR="00F462DF" w:rsidRPr="004E4877" w:rsidRDefault="0073623E" w:rsidP="0033269F">
      <w:pPr>
        <w:pStyle w:val="Footnote10"/>
        <w:shd w:val="clear" w:color="auto" w:fill="auto"/>
        <w:spacing w:before="20" w:after="20" w:line="240" w:lineRule="auto"/>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 xml:space="preserve"> Nieruchomość położona w Ośrodku „Bitwy warszawskiej" oraz Ośrodku „Namysłowska".</w:t>
      </w:r>
    </w:p>
  </w:footnote>
  <w:footnote w:id="8">
    <w:p w14:paraId="40F2603F" w14:textId="37DCBFA9" w:rsidR="00F462DF" w:rsidRPr="004E4877" w:rsidRDefault="006F5B8A" w:rsidP="0033269F">
      <w:pPr>
        <w:pStyle w:val="Footnote10"/>
        <w:shd w:val="clear" w:color="auto" w:fill="auto"/>
        <w:spacing w:before="20" w:after="20" w:line="240" w:lineRule="auto"/>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0073623E" w:rsidRPr="004E4877">
        <w:rPr>
          <w:rFonts w:asciiTheme="minorHAnsi" w:hAnsiTheme="minorHAnsi" w:cstheme="minorHAnsi"/>
          <w:b w:val="0"/>
          <w:sz w:val="22"/>
          <w:szCs w:val="22"/>
        </w:rPr>
        <w:t xml:space="preserve"> Lokal w Ośrodku „Rozbrat-Jutrzenka" oraz Ośrodku „Inflancka".</w:t>
      </w:r>
    </w:p>
  </w:footnote>
  <w:footnote w:id="9">
    <w:p w14:paraId="2D63155F" w14:textId="77777777" w:rsidR="00F462DF" w:rsidRPr="004E4877" w:rsidRDefault="0073623E" w:rsidP="0033269F">
      <w:pPr>
        <w:pStyle w:val="Footnote10"/>
        <w:shd w:val="clear" w:color="auto" w:fill="auto"/>
        <w:tabs>
          <w:tab w:val="left" w:pos="110"/>
        </w:tabs>
        <w:spacing w:before="20" w:after="20" w:line="240" w:lineRule="auto"/>
        <w:ind w:right="460"/>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 xml:space="preserve">Zarządzenie nr </w:t>
      </w:r>
      <w:r w:rsidRPr="004E4877">
        <w:rPr>
          <w:rFonts w:asciiTheme="minorHAnsi" w:hAnsiTheme="minorHAnsi" w:cstheme="minorHAnsi"/>
          <w:b w:val="0"/>
          <w:sz w:val="22"/>
          <w:szCs w:val="22"/>
          <w:lang w:val="ru-RU" w:eastAsia="ru-RU" w:bidi="ru-RU"/>
        </w:rPr>
        <w:t xml:space="preserve">136/2020 </w:t>
      </w:r>
      <w:r w:rsidRPr="004E4877">
        <w:rPr>
          <w:rFonts w:asciiTheme="minorHAnsi" w:hAnsiTheme="minorHAnsi" w:cstheme="minorHAnsi"/>
          <w:b w:val="0"/>
          <w:sz w:val="22"/>
          <w:szCs w:val="22"/>
        </w:rPr>
        <w:t xml:space="preserve">Prezydenta m.st. Warszawy z dnia 5 lutego 2020 r. w sprawie zasad najmu lokali użytkowych (ze zm.); zarządzenie Prezydenta m.st. Warszawy nr </w:t>
      </w:r>
      <w:r w:rsidRPr="004E4877">
        <w:rPr>
          <w:rFonts w:asciiTheme="minorHAnsi" w:hAnsiTheme="minorHAnsi" w:cstheme="minorHAnsi"/>
          <w:b w:val="0"/>
          <w:sz w:val="22"/>
          <w:szCs w:val="22"/>
          <w:lang w:val="ru-RU" w:eastAsia="ru-RU" w:bidi="ru-RU"/>
        </w:rPr>
        <w:t xml:space="preserve">811/2017 </w:t>
      </w:r>
      <w:r w:rsidRPr="004E4877">
        <w:rPr>
          <w:rFonts w:asciiTheme="minorHAnsi" w:hAnsiTheme="minorHAnsi" w:cstheme="minorHAnsi"/>
          <w:b w:val="0"/>
          <w:sz w:val="22"/>
          <w:szCs w:val="22"/>
        </w:rPr>
        <w:t>z 5 maja 2017 r. w sprawie zasad wydzierżawiania na okres do trzech lat nieruchomości m.st. Warszawy i nieruchomości Skarbu Państwa, dla których organem reprezentującym właściciela jest Prezydent Miasta Stołecznego Warszawy (ze zm.).</w:t>
      </w:r>
    </w:p>
  </w:footnote>
  <w:footnote w:id="10">
    <w:p w14:paraId="4D37B819" w14:textId="77777777" w:rsidR="00F462DF" w:rsidRPr="004E4877" w:rsidRDefault="0073623E" w:rsidP="0033269F">
      <w:pPr>
        <w:pStyle w:val="Footnote10"/>
        <w:shd w:val="clear" w:color="auto" w:fill="auto"/>
        <w:tabs>
          <w:tab w:val="left" w:pos="168"/>
        </w:tabs>
        <w:spacing w:before="20" w:after="20" w:line="240" w:lineRule="auto"/>
        <w:ind w:right="200"/>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 xml:space="preserve">Załącznik do zarządzenia nr </w:t>
      </w:r>
      <w:r w:rsidRPr="004E4877">
        <w:rPr>
          <w:rFonts w:asciiTheme="minorHAnsi" w:hAnsiTheme="minorHAnsi" w:cstheme="minorHAnsi"/>
          <w:b w:val="0"/>
          <w:sz w:val="22"/>
          <w:szCs w:val="22"/>
          <w:lang w:val="ru-RU" w:eastAsia="ru-RU" w:bidi="ru-RU"/>
        </w:rPr>
        <w:t xml:space="preserve">52/2021 </w:t>
      </w:r>
      <w:r w:rsidR="004E4877" w:rsidRPr="004E4877">
        <w:rPr>
          <w:rFonts w:asciiTheme="minorHAnsi" w:hAnsiTheme="minorHAnsi" w:cstheme="minorHAnsi"/>
          <w:b w:val="0"/>
          <w:sz w:val="22"/>
          <w:szCs w:val="22"/>
        </w:rPr>
        <w:t>Dyrektora SCSAW z 6 li</w:t>
      </w:r>
      <w:r w:rsidRPr="004E4877">
        <w:rPr>
          <w:rFonts w:asciiTheme="minorHAnsi" w:hAnsiTheme="minorHAnsi" w:cstheme="minorHAnsi"/>
          <w:b w:val="0"/>
          <w:sz w:val="22"/>
          <w:szCs w:val="22"/>
        </w:rPr>
        <w:t>pca 2021 r. w sprawie wprowadzenia regulaminu windykacji należności w SCSAW.</w:t>
      </w:r>
    </w:p>
  </w:footnote>
  <w:footnote w:id="11">
    <w:p w14:paraId="6D9E8812" w14:textId="77777777" w:rsidR="00F462DF" w:rsidRPr="004E4877" w:rsidRDefault="0073623E" w:rsidP="0033269F">
      <w:pPr>
        <w:pStyle w:val="Footnote10"/>
        <w:shd w:val="clear" w:color="auto" w:fill="auto"/>
        <w:tabs>
          <w:tab w:val="left" w:pos="168"/>
        </w:tabs>
        <w:spacing w:before="20" w:after="20" w:line="240" w:lineRule="auto"/>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Dz. U. z 2023 r. poz. 1790 t.j.</w:t>
      </w:r>
    </w:p>
  </w:footnote>
  <w:footnote w:id="12">
    <w:p w14:paraId="295B99B4" w14:textId="77777777" w:rsidR="00AD6C74" w:rsidRPr="004E4877" w:rsidRDefault="00AD6C74" w:rsidP="0033269F">
      <w:pPr>
        <w:pStyle w:val="Footnote20"/>
        <w:pBdr>
          <w:top w:val="single" w:sz="4" w:space="1" w:color="auto"/>
        </w:pBdr>
        <w:shd w:val="clear" w:color="auto" w:fill="auto"/>
        <w:tabs>
          <w:tab w:val="left" w:pos="173"/>
        </w:tabs>
        <w:spacing w:before="20" w:after="20" w:line="240" w:lineRule="auto"/>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 xml:space="preserve">Dz. U. z 2021 r. poz. </w:t>
      </w:r>
      <w:r w:rsidRPr="004E4877">
        <w:rPr>
          <w:rFonts w:asciiTheme="minorHAnsi" w:hAnsiTheme="minorHAnsi" w:cstheme="minorHAnsi"/>
          <w:b w:val="0"/>
          <w:sz w:val="22"/>
          <w:szCs w:val="22"/>
          <w:lang w:val="ru-RU" w:eastAsia="ru-RU" w:bidi="ru-RU"/>
        </w:rPr>
        <w:t xml:space="preserve">I960 </w:t>
      </w:r>
      <w:r w:rsidRPr="004E4877">
        <w:rPr>
          <w:rFonts w:asciiTheme="minorHAnsi" w:hAnsiTheme="minorHAnsi" w:cstheme="minorHAnsi"/>
          <w:b w:val="0"/>
          <w:sz w:val="22"/>
          <w:szCs w:val="22"/>
        </w:rPr>
        <w:t>ze zm.</w:t>
      </w:r>
    </w:p>
  </w:footnote>
  <w:footnote w:id="13">
    <w:p w14:paraId="75D71771" w14:textId="6A738268" w:rsidR="00F462DF" w:rsidRPr="004E4877" w:rsidRDefault="0073623E" w:rsidP="0033269F">
      <w:pPr>
        <w:pStyle w:val="Footnote20"/>
        <w:pBdr>
          <w:top w:val="single" w:sz="4" w:space="1" w:color="auto"/>
        </w:pBdr>
        <w:shd w:val="clear" w:color="auto" w:fill="auto"/>
        <w:tabs>
          <w:tab w:val="left" w:pos="173"/>
        </w:tabs>
        <w:spacing w:before="20" w:after="20" w:line="240" w:lineRule="auto"/>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r>
      <w:r w:rsidR="00AD6C74" w:rsidRPr="004E4877">
        <w:rPr>
          <w:rFonts w:asciiTheme="minorHAnsi" w:hAnsiTheme="minorHAnsi" w:cstheme="minorHAnsi"/>
          <w:b w:val="0"/>
          <w:sz w:val="22"/>
          <w:szCs w:val="22"/>
        </w:rPr>
        <w:t>§ 14 ust. 5 Regulaminu wynagradzania „W szczególne uzasadnionych przypadkach tym za szczególne osiągnięcia w pracy zawodowej, wykonywanie zadań w sposób przekraczający wymaganą na danym stanowisku jakość świadczonej pracy, a także ze względu na okresowe zwiększenie obowiązków związanych</w:t>
      </w:r>
      <w:r w:rsidR="00AD6C74">
        <w:rPr>
          <w:rFonts w:asciiTheme="minorHAnsi" w:hAnsiTheme="minorHAnsi" w:cstheme="minorHAnsi"/>
          <w:b w:val="0"/>
          <w:sz w:val="22"/>
          <w:szCs w:val="22"/>
        </w:rPr>
        <w:t xml:space="preserve"> z </w:t>
      </w:r>
      <w:r w:rsidR="00AD6C74" w:rsidRPr="004E4877">
        <w:rPr>
          <w:rFonts w:asciiTheme="minorHAnsi" w:hAnsiTheme="minorHAnsi" w:cstheme="minorHAnsi"/>
          <w:b w:val="0"/>
          <w:sz w:val="22"/>
          <w:szCs w:val="22"/>
        </w:rPr>
        <w:t xml:space="preserve"> zastępowaniem nieobecnego pracownika lub powierzenie dodatkowych zadań wykraczających poza zakres obowiązków, na pisemny wniosek bezpośredniego przełożonego pracodawca może przyznać premię regulaminową w wysokości do 50% wynagrodzenia zasadniczego ustalonego wg osobistej stawki zaszeregowania".</w:t>
      </w:r>
    </w:p>
  </w:footnote>
  <w:footnote w:id="14">
    <w:p w14:paraId="000AB228" w14:textId="77777777" w:rsidR="00F462DF" w:rsidRPr="004E4877" w:rsidRDefault="0073623E" w:rsidP="0033269F">
      <w:pPr>
        <w:pStyle w:val="Footnote10"/>
        <w:pBdr>
          <w:top w:val="single" w:sz="4" w:space="1" w:color="auto"/>
        </w:pBdr>
        <w:shd w:val="clear" w:color="auto" w:fill="auto"/>
        <w:tabs>
          <w:tab w:val="left" w:pos="168"/>
        </w:tabs>
        <w:spacing w:before="20" w:after="20" w:line="240" w:lineRule="auto"/>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Dz. U. z 2023 r. poz. 1270 ze zm.</w:t>
      </w:r>
    </w:p>
  </w:footnote>
  <w:footnote w:id="15">
    <w:p w14:paraId="35614BAC" w14:textId="77777777" w:rsidR="00F462DF" w:rsidRPr="004E4877" w:rsidRDefault="0073623E" w:rsidP="0033269F">
      <w:pPr>
        <w:pStyle w:val="Footnote10"/>
        <w:shd w:val="clear" w:color="auto" w:fill="auto"/>
        <w:tabs>
          <w:tab w:val="left" w:pos="173"/>
        </w:tabs>
        <w:spacing w:before="20" w:after="20" w:line="240" w:lineRule="auto"/>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 xml:space="preserve">Zarządzenie nr </w:t>
      </w:r>
      <w:r w:rsidRPr="004E4877">
        <w:rPr>
          <w:rFonts w:asciiTheme="minorHAnsi" w:hAnsiTheme="minorHAnsi" w:cstheme="minorHAnsi"/>
          <w:b w:val="0"/>
          <w:sz w:val="22"/>
          <w:szCs w:val="22"/>
          <w:lang w:val="ru-RU" w:eastAsia="ru-RU" w:bidi="ru-RU"/>
        </w:rPr>
        <w:t xml:space="preserve">1899/2016 </w:t>
      </w:r>
      <w:r w:rsidRPr="004E4877">
        <w:rPr>
          <w:rFonts w:asciiTheme="minorHAnsi" w:hAnsiTheme="minorHAnsi" w:cstheme="minorHAnsi"/>
          <w:b w:val="0"/>
          <w:sz w:val="22"/>
          <w:szCs w:val="22"/>
        </w:rPr>
        <w:t>Prezydenta m.st. Warszawy z dnia 30 grudnia 2016 r. sprawie centralizacji rozliczeń zobowiązań z tytułu wypłat dla osób Fizycznych nieprowadzących działalności gospodarczej niebędących pracownikami nieposiadających osobowości prawnej jednostek organizacyjnych m.st. Warszawy (ze zm.).</w:t>
      </w:r>
    </w:p>
  </w:footnote>
  <w:footnote w:id="16">
    <w:p w14:paraId="3D7A11A1" w14:textId="2AB1A162" w:rsidR="00AD6C74" w:rsidRPr="004E4877" w:rsidRDefault="00AD6C74" w:rsidP="0033269F">
      <w:pPr>
        <w:pStyle w:val="Footnote10"/>
        <w:shd w:val="clear" w:color="auto" w:fill="auto"/>
        <w:spacing w:before="20" w:after="20" w:line="240" w:lineRule="auto"/>
        <w:ind w:right="480"/>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 Art. 6 ust. 2 ustawy z dnia 4 marca 1994 r. o zakładowym funduszu świadczeń socjalnych (Oz. U. z 2023 r. poz. 998 ze zm.).</w:t>
      </w:r>
    </w:p>
  </w:footnote>
  <w:footnote w:id="17">
    <w:p w14:paraId="67BB25EA" w14:textId="77777777" w:rsidR="00F462DF" w:rsidRPr="004E4877" w:rsidRDefault="0073623E" w:rsidP="0033269F">
      <w:pPr>
        <w:pStyle w:val="Footnote10"/>
        <w:shd w:val="clear" w:color="auto" w:fill="auto"/>
        <w:tabs>
          <w:tab w:val="left" w:pos="168"/>
        </w:tabs>
        <w:spacing w:before="20" w:after="20" w:line="240" w:lineRule="auto"/>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Próba kontrolna 50% odbytych w 2022 roku podroży służbowych.</w:t>
      </w:r>
    </w:p>
  </w:footnote>
  <w:footnote w:id="18">
    <w:p w14:paraId="11AA73FA" w14:textId="77777777" w:rsidR="00F462DF" w:rsidRPr="004E4877" w:rsidRDefault="0073623E" w:rsidP="0033269F">
      <w:pPr>
        <w:pStyle w:val="Footnote10"/>
        <w:shd w:val="clear" w:color="auto" w:fill="auto"/>
        <w:tabs>
          <w:tab w:val="left" w:pos="178"/>
        </w:tabs>
        <w:spacing w:before="20" w:after="20" w:line="240" w:lineRule="auto"/>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Próba kontrolna 10% zawartych umów o korzystaniu z samochodów prywatnych do celów służbowych.</w:t>
      </w:r>
    </w:p>
  </w:footnote>
  <w:footnote w:id="19">
    <w:p w14:paraId="532FFBDC" w14:textId="77777777" w:rsidR="00F462DF" w:rsidRPr="004E4877" w:rsidRDefault="0073623E" w:rsidP="0033269F">
      <w:pPr>
        <w:pStyle w:val="Footnote10"/>
        <w:shd w:val="clear" w:color="auto" w:fill="auto"/>
        <w:tabs>
          <w:tab w:val="left" w:pos="178"/>
        </w:tabs>
        <w:spacing w:before="20" w:after="20" w:line="240" w:lineRule="auto"/>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Próba kontrolna - 6 kart drogowych.</w:t>
      </w:r>
    </w:p>
  </w:footnote>
  <w:footnote w:id="20">
    <w:p w14:paraId="72DE100B" w14:textId="77777777" w:rsidR="00F462DF" w:rsidRPr="004E4877" w:rsidRDefault="0073623E" w:rsidP="0033269F">
      <w:pPr>
        <w:pStyle w:val="Footnote10"/>
        <w:shd w:val="clear" w:color="auto" w:fill="auto"/>
        <w:tabs>
          <w:tab w:val="left" w:pos="173"/>
        </w:tabs>
        <w:spacing w:before="20" w:after="20" w:line="240" w:lineRule="auto"/>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Dz. U. z 2023 r. poz. 1605 ze zm.</w:t>
      </w:r>
    </w:p>
  </w:footnote>
  <w:footnote w:id="21">
    <w:p w14:paraId="4C1A7021" w14:textId="4510E25A" w:rsidR="00F462DF" w:rsidRPr="004E4877" w:rsidRDefault="00AD6C74" w:rsidP="0033269F">
      <w:pPr>
        <w:pStyle w:val="Footnote10"/>
        <w:shd w:val="clear" w:color="auto" w:fill="auto"/>
        <w:spacing w:before="20" w:after="20" w:line="240" w:lineRule="auto"/>
        <w:ind w:right="400"/>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vertAlign w:val="superscript"/>
        </w:rPr>
        <w:t xml:space="preserve"> </w:t>
      </w:r>
      <w:r w:rsidR="0073623E" w:rsidRPr="004E4877">
        <w:rPr>
          <w:rFonts w:asciiTheme="minorHAnsi" w:hAnsiTheme="minorHAnsi" w:cstheme="minorHAnsi"/>
          <w:b w:val="0"/>
          <w:sz w:val="22"/>
          <w:szCs w:val="22"/>
        </w:rPr>
        <w:t xml:space="preserve"> Zadania pn.: „Zapewnienie ochrony i monitoring obiektów SCSAW w okresie od 1 lutego 2023 roku do 31 stycznia 2024 roku" z szacunkową wartością zamówienia na kwotę 3 952 790,83 zł; „Wykonanie prac naprawczych części ogrodzenia na terenie Ośrodka Moczydło" z szacunkowa wartością zamówienia 204 096,48 zł.</w:t>
      </w:r>
    </w:p>
  </w:footnote>
  <w:footnote w:id="22">
    <w:p w14:paraId="2D4C7ED3" w14:textId="77777777" w:rsidR="00F462DF" w:rsidRPr="004E4877" w:rsidRDefault="0073623E" w:rsidP="0033269F">
      <w:pPr>
        <w:pStyle w:val="Footnote10"/>
        <w:shd w:val="clear" w:color="auto" w:fill="auto"/>
        <w:tabs>
          <w:tab w:val="left" w:pos="173"/>
        </w:tabs>
        <w:spacing w:before="20" w:after="20" w:line="240" w:lineRule="auto"/>
        <w:ind w:right="400"/>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 xml:space="preserve">Postępowania nr: </w:t>
      </w:r>
      <w:r w:rsidRPr="004E4877">
        <w:rPr>
          <w:rFonts w:asciiTheme="minorHAnsi" w:hAnsiTheme="minorHAnsi" w:cstheme="minorHAnsi"/>
          <w:b w:val="0"/>
          <w:sz w:val="22"/>
          <w:szCs w:val="22"/>
          <w:lang w:val="ru-RU" w:eastAsia="ru-RU" w:bidi="ru-RU"/>
        </w:rPr>
        <w:t xml:space="preserve">521/10/2022, 254/05/2022,600/11/2022,332/107/2022,487/10/2022, 381/08/2022; </w:t>
      </w:r>
      <w:r w:rsidRPr="004E4877">
        <w:rPr>
          <w:rFonts w:asciiTheme="minorHAnsi" w:hAnsiTheme="minorHAnsi" w:cstheme="minorHAnsi"/>
          <w:b w:val="0"/>
          <w:sz w:val="22"/>
          <w:szCs w:val="22"/>
        </w:rPr>
        <w:t xml:space="preserve">nr wniosku o zawarciu umowy: </w:t>
      </w:r>
      <w:r w:rsidRPr="004E4877">
        <w:rPr>
          <w:rFonts w:asciiTheme="minorHAnsi" w:hAnsiTheme="minorHAnsi" w:cstheme="minorHAnsi"/>
          <w:b w:val="0"/>
          <w:sz w:val="22"/>
          <w:szCs w:val="22"/>
          <w:lang w:val="ru-RU" w:eastAsia="ru-RU" w:bidi="ru-RU"/>
        </w:rPr>
        <w:t>458/09/2022,463/09/2022,135/03/2022, 775/12/2022, 654/11/2022, 826/12/2022, 773/12/2022, 01/2022,257/05/2022.</w:t>
      </w:r>
    </w:p>
  </w:footnote>
  <w:footnote w:id="23">
    <w:p w14:paraId="6AAA4083" w14:textId="77777777" w:rsidR="00F462DF" w:rsidRPr="004E4877" w:rsidRDefault="0073623E" w:rsidP="0033269F">
      <w:pPr>
        <w:pStyle w:val="Footnote10"/>
        <w:shd w:val="clear" w:color="auto" w:fill="auto"/>
        <w:tabs>
          <w:tab w:val="left" w:pos="163"/>
        </w:tabs>
        <w:spacing w:before="20" w:after="20" w:line="240" w:lineRule="auto"/>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 xml:space="preserve">Zarządzenie nr </w:t>
      </w:r>
      <w:r w:rsidRPr="004E4877">
        <w:rPr>
          <w:rFonts w:asciiTheme="minorHAnsi" w:hAnsiTheme="minorHAnsi" w:cstheme="minorHAnsi"/>
          <w:b w:val="0"/>
          <w:sz w:val="22"/>
          <w:szCs w:val="22"/>
          <w:lang w:val="ru-RU" w:eastAsia="ru-RU" w:bidi="ru-RU"/>
        </w:rPr>
        <w:t xml:space="preserve">11/2021 </w:t>
      </w:r>
      <w:r w:rsidRPr="004E4877">
        <w:rPr>
          <w:rFonts w:asciiTheme="minorHAnsi" w:hAnsiTheme="minorHAnsi" w:cstheme="minorHAnsi"/>
          <w:b w:val="0"/>
          <w:sz w:val="22"/>
          <w:szCs w:val="22"/>
        </w:rPr>
        <w:t>Dyrektora SCSAW z 1 marca 2021 r. w sprawie wprowadzenia Regulaminu udzielania zamówień publicznych o wartości mniejszej niż 130 000 zł netto.</w:t>
      </w:r>
    </w:p>
  </w:footnote>
  <w:footnote w:id="24">
    <w:p w14:paraId="2079D5F5" w14:textId="77777777" w:rsidR="00F462DF" w:rsidRPr="004E4877" w:rsidRDefault="0073623E" w:rsidP="0033269F">
      <w:pPr>
        <w:pStyle w:val="Footnote10"/>
        <w:shd w:val="clear" w:color="auto" w:fill="auto"/>
        <w:tabs>
          <w:tab w:val="left" w:pos="158"/>
        </w:tabs>
        <w:spacing w:before="20" w:after="20" w:line="240" w:lineRule="auto"/>
        <w:ind w:right="500"/>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 xml:space="preserve">Zarządzenie nr </w:t>
      </w:r>
      <w:r w:rsidRPr="004E4877">
        <w:rPr>
          <w:rFonts w:asciiTheme="minorHAnsi" w:hAnsiTheme="minorHAnsi" w:cstheme="minorHAnsi"/>
          <w:b w:val="0"/>
          <w:sz w:val="22"/>
          <w:szCs w:val="22"/>
          <w:lang w:val="ru-RU" w:eastAsia="ru-RU" w:bidi="ru-RU"/>
        </w:rPr>
        <w:t xml:space="preserve">69/2022 </w:t>
      </w:r>
      <w:r w:rsidRPr="004E4877">
        <w:rPr>
          <w:rFonts w:asciiTheme="minorHAnsi" w:hAnsiTheme="minorHAnsi" w:cstheme="minorHAnsi"/>
          <w:b w:val="0"/>
          <w:sz w:val="22"/>
          <w:szCs w:val="22"/>
        </w:rPr>
        <w:t>z 6 października 2022 r. w sprawie przeprowadzenie i rozliczenia inwentaryzacji składników majątkowych będących w użytkowaniu SCSAW w sprawie przeprowadzenie i rozliczenia inwentaryzacji składników majątkowych będących w użytkowaniu SCSAW.</w:t>
      </w:r>
    </w:p>
  </w:footnote>
  <w:footnote w:id="25">
    <w:p w14:paraId="7D11CED9" w14:textId="77777777" w:rsidR="00F462DF" w:rsidRPr="004E4877" w:rsidRDefault="0073623E" w:rsidP="0033269F">
      <w:pPr>
        <w:pStyle w:val="Footnote10"/>
        <w:shd w:val="clear" w:color="auto" w:fill="auto"/>
        <w:tabs>
          <w:tab w:val="left" w:pos="163"/>
        </w:tabs>
        <w:spacing w:before="20" w:after="20" w:line="240" w:lineRule="auto"/>
        <w:ind w:right="800"/>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 xml:space="preserve">Zarządzenie nr </w:t>
      </w:r>
      <w:r w:rsidRPr="004E4877">
        <w:rPr>
          <w:rFonts w:asciiTheme="minorHAnsi" w:hAnsiTheme="minorHAnsi" w:cstheme="minorHAnsi"/>
          <w:b w:val="0"/>
          <w:sz w:val="22"/>
          <w:szCs w:val="22"/>
          <w:lang w:val="ru-RU" w:eastAsia="ru-RU" w:bidi="ru-RU"/>
        </w:rPr>
        <w:t xml:space="preserve">62/2021 </w:t>
      </w:r>
      <w:r w:rsidRPr="004E4877">
        <w:rPr>
          <w:rFonts w:asciiTheme="minorHAnsi" w:hAnsiTheme="minorHAnsi" w:cstheme="minorHAnsi"/>
          <w:b w:val="0"/>
          <w:sz w:val="22"/>
          <w:szCs w:val="22"/>
        </w:rPr>
        <w:t>z 14 września 2021 r. w sprawie powołania Stałej Komisji Inwentaryzacyjnej w SCSAW.</w:t>
      </w:r>
    </w:p>
  </w:footnote>
  <w:footnote w:id="26">
    <w:p w14:paraId="2F39598A" w14:textId="77777777" w:rsidR="00F462DF" w:rsidRPr="004E4877" w:rsidRDefault="0073623E" w:rsidP="0033269F">
      <w:pPr>
        <w:pStyle w:val="Footnote20"/>
        <w:shd w:val="clear" w:color="auto" w:fill="auto"/>
        <w:tabs>
          <w:tab w:val="left" w:pos="173"/>
        </w:tabs>
        <w:spacing w:before="20" w:after="20" w:line="240" w:lineRule="auto"/>
        <w:ind w:right="580"/>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Ośrodek „Stegny", Ośrodek „Skocznia", Ośrodek „Wawelska", Lodowisko Sezonowe RSM oraz Ośrodek „Hutnik".</w:t>
      </w:r>
    </w:p>
  </w:footnote>
  <w:footnote w:id="27">
    <w:p w14:paraId="462CBC9A" w14:textId="77777777" w:rsidR="00F462DF" w:rsidRPr="004E4877" w:rsidRDefault="0073623E" w:rsidP="0033269F">
      <w:pPr>
        <w:pStyle w:val="Footnote20"/>
        <w:shd w:val="clear" w:color="auto" w:fill="auto"/>
        <w:tabs>
          <w:tab w:val="left" w:pos="168"/>
        </w:tabs>
        <w:spacing w:before="20" w:after="20" w:line="240" w:lineRule="auto"/>
        <w:rPr>
          <w:rFonts w:asciiTheme="minorHAnsi" w:hAnsiTheme="minorHAnsi" w:cstheme="minorHAnsi"/>
          <w:b w:val="0"/>
          <w:sz w:val="22"/>
          <w:szCs w:val="22"/>
        </w:rPr>
      </w:pPr>
      <w:r w:rsidRPr="004E4877">
        <w:rPr>
          <w:rFonts w:asciiTheme="minorHAnsi" w:hAnsiTheme="minorHAnsi" w:cstheme="minorHAnsi"/>
          <w:b w:val="0"/>
          <w:sz w:val="22"/>
          <w:szCs w:val="22"/>
          <w:vertAlign w:val="superscript"/>
        </w:rPr>
        <w:footnoteRef/>
      </w:r>
      <w:r w:rsidRPr="004E4877">
        <w:rPr>
          <w:rFonts w:asciiTheme="minorHAnsi" w:hAnsiTheme="minorHAnsi" w:cstheme="minorHAnsi"/>
          <w:b w:val="0"/>
          <w:sz w:val="22"/>
          <w:szCs w:val="22"/>
        </w:rPr>
        <w:tab/>
        <w:t>Dz.U. z 2023 r. poz. 120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7BF3" w14:textId="5EB3AFA3" w:rsidR="00AD6C74" w:rsidRDefault="00AD6C74">
    <w:pPr>
      <w:pStyle w:val="Nagwek"/>
    </w:pPr>
    <w:r>
      <w:rPr>
        <w:noProof/>
      </w:rPr>
      <w:drawing>
        <wp:inline distT="0" distB="0" distL="0" distR="0" wp14:anchorId="2E65FBD9" wp14:editId="6300240A">
          <wp:extent cx="5685155" cy="1067847"/>
          <wp:effectExtent l="0" t="0" r="0" b="0"/>
          <wp:docPr id="1" name="Obraz 1" descr="Urząd Miasta Stołecznego Warszawy, Biuro Kontroli, ul. Niecała 2, 00-098 Warszawa, tel. 22 443 32 35, 22 443 32 36, faks 22 443 32 37, adres do korespondencji: Aleje Jerozolimskie 44, 00-024 Warszawa, Sekretariat.BKW@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Urząd Miasta Stołecznego Warszawy, Biuro Kontroli, ul. Niecała 2, 00-098 Warszawa, tel. 22 443 32 35, 22 443 32 36, faks 22 443 32 37, adres do korespondencji: Aleje Jerozolimskie 44, 00-024 Warszawa, Sekretariat.BKW@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5155" cy="10678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23E9F"/>
    <w:multiLevelType w:val="multilevel"/>
    <w:tmpl w:val="3D788AB2"/>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8814BB"/>
    <w:multiLevelType w:val="multilevel"/>
    <w:tmpl w:val="F0E06D58"/>
    <w:lvl w:ilvl="0">
      <w:start w:val="1"/>
      <w:numFmt w:val="decimal"/>
      <w:lvlText w:val="%1."/>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982F4B"/>
    <w:multiLevelType w:val="multilevel"/>
    <w:tmpl w:val="348418E0"/>
    <w:lvl w:ilvl="0">
      <w:start w:val="1"/>
      <w:numFmt w:val="bullet"/>
      <w:lvlText w:val="-"/>
      <w:lvlJc w:val="left"/>
      <w:rPr>
        <w:rFonts w:ascii="Arial" w:eastAsia="Arial" w:hAnsi="Arial" w:cs="Arial"/>
        <w:b/>
        <w:bCs/>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6271386">
    <w:abstractNumId w:val="2"/>
  </w:num>
  <w:num w:numId="2" w16cid:durableId="112329906">
    <w:abstractNumId w:val="1"/>
  </w:num>
  <w:num w:numId="3" w16cid:durableId="301741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2DF"/>
    <w:rsid w:val="003171B6"/>
    <w:rsid w:val="0033269F"/>
    <w:rsid w:val="0043273C"/>
    <w:rsid w:val="004E4877"/>
    <w:rsid w:val="006F5B8A"/>
    <w:rsid w:val="0073623E"/>
    <w:rsid w:val="00AD6C74"/>
    <w:rsid w:val="00AE35A8"/>
    <w:rsid w:val="00B07B14"/>
    <w:rsid w:val="00D02A6E"/>
    <w:rsid w:val="00DA7D21"/>
    <w:rsid w:val="00E936A9"/>
    <w:rsid w:val="00F462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23BCDD"/>
  <w15:docId w15:val="{3898625A-F40B-48E6-88BD-47A3C555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AE35A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bCs/>
      <w:i w:val="0"/>
      <w:iCs w:val="0"/>
      <w:smallCaps w:val="0"/>
      <w:strike w:val="0"/>
      <w:sz w:val="16"/>
      <w:szCs w:val="16"/>
      <w:u w:val="none"/>
    </w:rPr>
  </w:style>
  <w:style w:type="character" w:customStyle="1" w:styleId="Footnote2">
    <w:name w:val="Footnote|2_"/>
    <w:basedOn w:val="Domylnaczcionkaakapitu"/>
    <w:link w:val="Footnote20"/>
    <w:rPr>
      <w:rFonts w:ascii="Arial" w:eastAsia="Arial" w:hAnsi="Arial" w:cs="Arial"/>
      <w:b/>
      <w:bCs/>
      <w:i w:val="0"/>
      <w:iCs w:val="0"/>
      <w:smallCaps w:val="0"/>
      <w:strike w:val="0"/>
      <w:sz w:val="16"/>
      <w:szCs w:val="16"/>
      <w:u w:val="none"/>
    </w:rPr>
  </w:style>
  <w:style w:type="character" w:customStyle="1" w:styleId="Footnote1NotBoldItalic">
    <w:name w:val="Footnote|1 + Not Bold;Italic"/>
    <w:basedOn w:val="Footnote1"/>
    <w:semiHidden/>
    <w:unhideWhenUsed/>
    <w:rPr>
      <w:rFonts w:ascii="Arial" w:eastAsia="Arial" w:hAnsi="Arial" w:cs="Arial"/>
      <w:b/>
      <w:bCs/>
      <w:i/>
      <w:iCs/>
      <w:smallCaps w:val="0"/>
      <w:strike w:val="0"/>
      <w:color w:val="000000"/>
      <w:spacing w:val="0"/>
      <w:w w:val="100"/>
      <w:position w:val="0"/>
      <w:sz w:val="16"/>
      <w:szCs w:val="16"/>
      <w:u w:val="none"/>
      <w:lang w:val="pl-PL" w:eastAsia="pl-PL" w:bidi="pl-PL"/>
    </w:rPr>
  </w:style>
  <w:style w:type="character" w:customStyle="1" w:styleId="Heading11">
    <w:name w:val="Heading #1|1_"/>
    <w:basedOn w:val="Domylnaczcionkaakapitu"/>
    <w:link w:val="Heading110"/>
    <w:rPr>
      <w:rFonts w:ascii="Arial" w:eastAsia="Arial" w:hAnsi="Arial" w:cs="Arial"/>
      <w:b/>
      <w:bCs/>
      <w:i w:val="0"/>
      <w:iCs w:val="0"/>
      <w:smallCaps w:val="0"/>
      <w:strike w:val="0"/>
      <w:sz w:val="21"/>
      <w:szCs w:val="21"/>
      <w:u w:val="none"/>
    </w:rPr>
  </w:style>
  <w:style w:type="character" w:customStyle="1" w:styleId="Heading118pt">
    <w:name w:val="Heading #1|1 + 8 pt"/>
    <w:basedOn w:val="Heading11"/>
    <w:semiHidden/>
    <w:unhideWhenUsed/>
    <w:rPr>
      <w:rFonts w:ascii="Arial" w:eastAsia="Arial" w:hAnsi="Arial" w:cs="Arial"/>
      <w:b/>
      <w:bCs/>
      <w:i w:val="0"/>
      <w:iCs w:val="0"/>
      <w:smallCaps w:val="0"/>
      <w:strike w:val="0"/>
      <w:color w:val="000000"/>
      <w:spacing w:val="0"/>
      <w:w w:val="100"/>
      <w:position w:val="0"/>
      <w:sz w:val="16"/>
      <w:szCs w:val="16"/>
      <w:u w:val="none"/>
      <w:lang w:val="pl-PL" w:eastAsia="pl-PL" w:bidi="pl-PL"/>
    </w:rPr>
  </w:style>
  <w:style w:type="character" w:customStyle="1" w:styleId="Bodytext3">
    <w:name w:val="Body text|3_"/>
    <w:basedOn w:val="Domylnaczcionkaakapitu"/>
    <w:link w:val="Bodytext30"/>
    <w:rPr>
      <w:rFonts w:ascii="Arial" w:eastAsia="Arial" w:hAnsi="Arial" w:cs="Arial"/>
      <w:b/>
      <w:bCs/>
      <w:i w:val="0"/>
      <w:iCs w:val="0"/>
      <w:smallCaps w:val="0"/>
      <w:strike w:val="0"/>
      <w:sz w:val="15"/>
      <w:szCs w:val="15"/>
      <w:u w:val="none"/>
    </w:rPr>
  </w:style>
  <w:style w:type="character" w:customStyle="1" w:styleId="Bodytext2">
    <w:name w:val="Body text|2_"/>
    <w:basedOn w:val="Domylnaczcionkaakapitu"/>
    <w:link w:val="Bodytext20"/>
    <w:rPr>
      <w:rFonts w:ascii="Arial" w:eastAsia="Arial" w:hAnsi="Arial" w:cs="Arial"/>
      <w:b/>
      <w:bCs/>
      <w:i w:val="0"/>
      <w:iCs w:val="0"/>
      <w:smallCaps w:val="0"/>
      <w:strike w:val="0"/>
      <w:sz w:val="16"/>
      <w:szCs w:val="16"/>
      <w:u w:val="none"/>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lang w:val="de-DE" w:eastAsia="de-DE" w:bidi="de-D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Bodytext295ptItalic">
    <w:name w:val="Body text|2 + 9.5 pt;Italic"/>
    <w:basedOn w:val="Bodytext2"/>
    <w:semiHidden/>
    <w:unhideWhenUsed/>
    <w:rPr>
      <w:rFonts w:ascii="Arial" w:eastAsia="Arial" w:hAnsi="Arial" w:cs="Arial"/>
      <w:b/>
      <w:bCs/>
      <w:i/>
      <w:iCs/>
      <w:smallCaps w:val="0"/>
      <w:strike w:val="0"/>
      <w:color w:val="000000"/>
      <w:spacing w:val="0"/>
      <w:w w:val="100"/>
      <w:position w:val="0"/>
      <w:sz w:val="19"/>
      <w:szCs w:val="19"/>
      <w:u w:val="none"/>
      <w:lang w:val="pl-PL" w:eastAsia="pl-PL" w:bidi="pl-PL"/>
    </w:rPr>
  </w:style>
  <w:style w:type="character" w:customStyle="1" w:styleId="Bodytext2NotBoldItalic">
    <w:name w:val="Body text|2 + Not Bold;Italic"/>
    <w:basedOn w:val="Bodytext2"/>
    <w:semiHidden/>
    <w:unhideWhenUsed/>
    <w:rPr>
      <w:rFonts w:ascii="Arial" w:eastAsia="Arial" w:hAnsi="Arial" w:cs="Arial"/>
      <w:b/>
      <w:bCs/>
      <w:i/>
      <w:iCs/>
      <w:smallCaps w:val="0"/>
      <w:strike w:val="0"/>
      <w:color w:val="000000"/>
      <w:spacing w:val="0"/>
      <w:w w:val="100"/>
      <w:position w:val="0"/>
      <w:sz w:val="16"/>
      <w:szCs w:val="16"/>
      <w:u w:val="none"/>
      <w:lang w:val="pl-PL" w:eastAsia="pl-PL" w:bidi="pl-PL"/>
    </w:rPr>
  </w:style>
  <w:style w:type="character" w:customStyle="1" w:styleId="Headerorfooter1Bold">
    <w:name w:val="Header or footer|1 + Bold"/>
    <w:basedOn w:val="Headerorfooter1"/>
    <w:semiHidden/>
    <w:unhideWhenUsed/>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Bodytext21">
    <w:name w:val="Body text|2"/>
    <w:basedOn w:val="Bodytext2"/>
    <w:semiHidden/>
    <w:unhideWhenUsed/>
    <w:rPr>
      <w:rFonts w:ascii="Arial" w:eastAsia="Arial" w:hAnsi="Arial" w:cs="Arial"/>
      <w:b/>
      <w:bCs/>
      <w:i w:val="0"/>
      <w:iCs w:val="0"/>
      <w:smallCaps w:val="0"/>
      <w:strike w:val="0"/>
      <w:color w:val="000000"/>
      <w:spacing w:val="0"/>
      <w:w w:val="100"/>
      <w:position w:val="0"/>
      <w:sz w:val="16"/>
      <w:szCs w:val="16"/>
      <w:u w:val="single"/>
      <w:lang w:val="pl-PL" w:eastAsia="pl-PL" w:bidi="pl-PL"/>
    </w:rPr>
  </w:style>
  <w:style w:type="paragraph" w:customStyle="1" w:styleId="Footnote10">
    <w:name w:val="Footnote|1"/>
    <w:basedOn w:val="Normalny"/>
    <w:link w:val="Footnote1"/>
    <w:qFormat/>
    <w:pPr>
      <w:shd w:val="clear" w:color="auto" w:fill="FFFFFF"/>
      <w:spacing w:line="235" w:lineRule="exact"/>
    </w:pPr>
    <w:rPr>
      <w:rFonts w:ascii="Arial" w:eastAsia="Arial" w:hAnsi="Arial" w:cs="Arial"/>
      <w:b/>
      <w:bCs/>
      <w:sz w:val="16"/>
      <w:szCs w:val="16"/>
    </w:rPr>
  </w:style>
  <w:style w:type="paragraph" w:customStyle="1" w:styleId="Footnote20">
    <w:name w:val="Footnote|2"/>
    <w:basedOn w:val="Normalny"/>
    <w:link w:val="Footnote2"/>
    <w:pPr>
      <w:shd w:val="clear" w:color="auto" w:fill="FFFFFF"/>
      <w:spacing w:line="235" w:lineRule="exact"/>
    </w:pPr>
    <w:rPr>
      <w:rFonts w:ascii="Arial" w:eastAsia="Arial" w:hAnsi="Arial" w:cs="Arial"/>
      <w:b/>
      <w:bCs/>
      <w:sz w:val="16"/>
      <w:szCs w:val="16"/>
    </w:rPr>
  </w:style>
  <w:style w:type="paragraph" w:customStyle="1" w:styleId="Heading110">
    <w:name w:val="Heading #1|1"/>
    <w:basedOn w:val="Normalny"/>
    <w:link w:val="Heading11"/>
    <w:qFormat/>
    <w:pPr>
      <w:shd w:val="clear" w:color="auto" w:fill="FFFFFF"/>
      <w:spacing w:line="226" w:lineRule="exact"/>
      <w:outlineLvl w:val="0"/>
    </w:pPr>
    <w:rPr>
      <w:rFonts w:ascii="Arial" w:eastAsia="Arial" w:hAnsi="Arial" w:cs="Arial"/>
      <w:b/>
      <w:bCs/>
      <w:sz w:val="21"/>
      <w:szCs w:val="21"/>
    </w:rPr>
  </w:style>
  <w:style w:type="paragraph" w:customStyle="1" w:styleId="Bodytext30">
    <w:name w:val="Body text|3"/>
    <w:basedOn w:val="Normalny"/>
    <w:link w:val="Bodytext3"/>
    <w:pPr>
      <w:shd w:val="clear" w:color="auto" w:fill="FFFFFF"/>
      <w:spacing w:after="480" w:line="158" w:lineRule="exact"/>
    </w:pPr>
    <w:rPr>
      <w:rFonts w:ascii="Arial" w:eastAsia="Arial" w:hAnsi="Arial" w:cs="Arial"/>
      <w:b/>
      <w:bCs/>
      <w:sz w:val="15"/>
      <w:szCs w:val="15"/>
    </w:rPr>
  </w:style>
  <w:style w:type="paragraph" w:customStyle="1" w:styleId="Bodytext20">
    <w:name w:val="Body text|2"/>
    <w:basedOn w:val="Normalny"/>
    <w:link w:val="Bodytext2"/>
    <w:qFormat/>
    <w:pPr>
      <w:shd w:val="clear" w:color="auto" w:fill="FFFFFF"/>
      <w:spacing w:before="480" w:after="100" w:line="178" w:lineRule="exact"/>
      <w:ind w:hanging="360"/>
      <w:jc w:val="right"/>
    </w:pPr>
    <w:rPr>
      <w:rFonts w:ascii="Arial" w:eastAsia="Arial" w:hAnsi="Arial" w:cs="Arial"/>
      <w:b/>
      <w:bCs/>
      <w:sz w:val="16"/>
      <w:szCs w:val="16"/>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lang w:val="de-DE" w:eastAsia="de-DE" w:bidi="de-DE"/>
    </w:rPr>
  </w:style>
  <w:style w:type="paragraph" w:styleId="Nagwek">
    <w:name w:val="header"/>
    <w:basedOn w:val="Normalny"/>
    <w:link w:val="NagwekZnak"/>
    <w:uiPriority w:val="99"/>
    <w:unhideWhenUsed/>
    <w:rsid w:val="004E4877"/>
    <w:pPr>
      <w:tabs>
        <w:tab w:val="center" w:pos="4536"/>
        <w:tab w:val="right" w:pos="9072"/>
      </w:tabs>
    </w:pPr>
  </w:style>
  <w:style w:type="character" w:customStyle="1" w:styleId="NagwekZnak">
    <w:name w:val="Nagłówek Znak"/>
    <w:basedOn w:val="Domylnaczcionkaakapitu"/>
    <w:link w:val="Nagwek"/>
    <w:uiPriority w:val="99"/>
    <w:rsid w:val="004E4877"/>
    <w:rPr>
      <w:color w:val="000000"/>
    </w:rPr>
  </w:style>
  <w:style w:type="paragraph" w:styleId="Stopka">
    <w:name w:val="footer"/>
    <w:basedOn w:val="Normalny"/>
    <w:link w:val="StopkaZnak"/>
    <w:uiPriority w:val="99"/>
    <w:unhideWhenUsed/>
    <w:rsid w:val="004E4877"/>
    <w:pPr>
      <w:tabs>
        <w:tab w:val="center" w:pos="4536"/>
        <w:tab w:val="right" w:pos="9072"/>
      </w:tabs>
    </w:pPr>
  </w:style>
  <w:style w:type="character" w:customStyle="1" w:styleId="StopkaZnak">
    <w:name w:val="Stopka Znak"/>
    <w:basedOn w:val="Domylnaczcionkaakapitu"/>
    <w:link w:val="Stopka"/>
    <w:uiPriority w:val="99"/>
    <w:rsid w:val="004E4877"/>
    <w:rPr>
      <w:color w:val="000000"/>
    </w:rPr>
  </w:style>
  <w:style w:type="character" w:customStyle="1" w:styleId="Nagwek1Znak">
    <w:name w:val="Nagłówek 1 Znak"/>
    <w:basedOn w:val="Domylnaczcionkaakapitu"/>
    <w:link w:val="Nagwek1"/>
    <w:uiPriority w:val="9"/>
    <w:rsid w:val="00AE35A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2559</Words>
  <Characters>15354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7</cp:revision>
  <dcterms:created xsi:type="dcterms:W3CDTF">2024-04-04T08:35:00Z</dcterms:created>
  <dcterms:modified xsi:type="dcterms:W3CDTF">2024-08-20T08:30:00Z</dcterms:modified>
</cp:coreProperties>
</file>