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54F7" w14:textId="4E5890CC" w:rsidR="001C46F1" w:rsidRPr="001C46F1" w:rsidRDefault="001C46F1" w:rsidP="001C46F1">
      <w:pPr>
        <w:pStyle w:val="Bodytext20"/>
        <w:shd w:val="clear" w:color="auto" w:fill="auto"/>
        <w:spacing w:before="120" w:after="240" w:line="300" w:lineRule="auto"/>
        <w:ind w:left="6237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1C46F1">
        <w:rPr>
          <w:rFonts w:asciiTheme="minorHAnsi" w:hAnsiTheme="minorHAnsi" w:cstheme="minorHAnsi"/>
          <w:b w:val="0"/>
          <w:sz w:val="22"/>
          <w:szCs w:val="22"/>
        </w:rPr>
        <w:t>Warszawa 12 stycznia 2024</w:t>
      </w:r>
    </w:p>
    <w:p w14:paraId="70EE570F" w14:textId="592A931B" w:rsidR="00060275" w:rsidRPr="001C46F1" w:rsidRDefault="00590366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1C46F1">
        <w:rPr>
          <w:rFonts w:asciiTheme="minorHAnsi" w:hAnsiTheme="minorHAnsi" w:cstheme="minorHAnsi"/>
          <w:sz w:val="22"/>
          <w:szCs w:val="22"/>
        </w:rPr>
        <w:t xml:space="preserve">Znak </w:t>
      </w:r>
      <w:r w:rsidR="00744DEF" w:rsidRPr="001C46F1">
        <w:rPr>
          <w:rFonts w:asciiTheme="minorHAnsi" w:hAnsiTheme="minorHAnsi" w:cstheme="minorHAnsi"/>
          <w:sz w:val="22"/>
          <w:szCs w:val="22"/>
        </w:rPr>
        <w:t>sprawy: KW-WGF.1712.53.2023</w:t>
      </w:r>
      <w:r w:rsidR="00744DEF" w:rsidRPr="001C46F1">
        <w:rPr>
          <w:rFonts w:asciiTheme="minorHAnsi" w:hAnsiTheme="minorHAnsi" w:cstheme="minorHAnsi"/>
          <w:sz w:val="22"/>
          <w:szCs w:val="22"/>
          <w:lang w:val="en-US" w:eastAsia="en-US" w:bidi="en-US"/>
        </w:rPr>
        <w:t>JD0</w:t>
      </w:r>
    </w:p>
    <w:p w14:paraId="70EE5711" w14:textId="77777777" w:rsidR="00060275" w:rsidRPr="001C46F1" w:rsidRDefault="00744DEF" w:rsidP="001C46F1">
      <w:pPr>
        <w:pStyle w:val="Bodytext20"/>
        <w:shd w:val="clear" w:color="auto" w:fill="auto"/>
        <w:spacing w:before="240" w:after="680" w:line="300" w:lineRule="auto"/>
        <w:ind w:left="5400"/>
        <w:contextualSpacing/>
        <w:rPr>
          <w:rFonts w:asciiTheme="minorHAnsi" w:hAnsiTheme="minorHAnsi" w:cstheme="minorHAnsi"/>
          <w:sz w:val="22"/>
          <w:szCs w:val="22"/>
        </w:rPr>
      </w:pPr>
      <w:r w:rsidRPr="001C46F1">
        <w:rPr>
          <w:rFonts w:asciiTheme="minorHAnsi" w:hAnsiTheme="minorHAnsi" w:cstheme="minorHAnsi"/>
          <w:sz w:val="22"/>
          <w:szCs w:val="22"/>
        </w:rPr>
        <w:t>Pani</w:t>
      </w:r>
    </w:p>
    <w:p w14:paraId="61D72C3A" w14:textId="4518849F" w:rsidR="004F6062" w:rsidRPr="001C46F1" w:rsidRDefault="004F6062" w:rsidP="001C46F1">
      <w:pPr>
        <w:pStyle w:val="Bodytext20"/>
        <w:shd w:val="clear" w:color="auto" w:fill="auto"/>
        <w:spacing w:before="240" w:after="680" w:line="300" w:lineRule="auto"/>
        <w:ind w:left="5812" w:right="285" w:hanging="425"/>
        <w:contextualSpacing/>
        <w:rPr>
          <w:rFonts w:asciiTheme="minorHAnsi" w:hAnsiTheme="minorHAnsi" w:cstheme="minorHAnsi"/>
          <w:sz w:val="22"/>
          <w:szCs w:val="22"/>
        </w:rPr>
      </w:pPr>
      <w:r w:rsidRPr="001C46F1">
        <w:rPr>
          <w:rFonts w:asciiTheme="minorHAnsi" w:hAnsiTheme="minorHAnsi" w:cstheme="minorHAnsi"/>
          <w:sz w:val="22"/>
          <w:szCs w:val="22"/>
        </w:rPr>
        <w:t>Edyta Fedorowicz</w:t>
      </w:r>
    </w:p>
    <w:p w14:paraId="70EE5712" w14:textId="3BBE2AFC" w:rsidR="00060275" w:rsidRPr="001C46F1" w:rsidRDefault="00744DEF" w:rsidP="001C46F1">
      <w:pPr>
        <w:pStyle w:val="Bodytext20"/>
        <w:shd w:val="clear" w:color="auto" w:fill="auto"/>
        <w:spacing w:before="240" w:after="680" w:line="300" w:lineRule="auto"/>
        <w:ind w:left="5400" w:right="1980"/>
        <w:contextualSpacing/>
        <w:rPr>
          <w:rFonts w:asciiTheme="minorHAnsi" w:hAnsiTheme="minorHAnsi" w:cstheme="minorHAnsi"/>
          <w:sz w:val="22"/>
          <w:szCs w:val="22"/>
        </w:rPr>
      </w:pPr>
      <w:r w:rsidRPr="001C46F1">
        <w:rPr>
          <w:rFonts w:asciiTheme="minorHAnsi" w:hAnsiTheme="minorHAnsi" w:cstheme="minorHAnsi"/>
          <w:sz w:val="22"/>
          <w:szCs w:val="22"/>
        </w:rPr>
        <w:t>Dyrektor</w:t>
      </w:r>
    </w:p>
    <w:p w14:paraId="70EE5713" w14:textId="77777777" w:rsidR="00060275" w:rsidRPr="001C46F1" w:rsidRDefault="00744DEF" w:rsidP="001C46F1">
      <w:pPr>
        <w:pStyle w:val="Bodytext20"/>
        <w:shd w:val="clear" w:color="auto" w:fill="auto"/>
        <w:spacing w:before="240" w:after="680" w:line="300" w:lineRule="auto"/>
        <w:ind w:left="5400" w:right="-282"/>
        <w:contextualSpacing/>
        <w:rPr>
          <w:rFonts w:asciiTheme="minorHAnsi" w:hAnsiTheme="minorHAnsi" w:cstheme="minorHAnsi"/>
          <w:sz w:val="22"/>
          <w:szCs w:val="22"/>
        </w:rPr>
      </w:pPr>
      <w:r w:rsidRPr="001C46F1">
        <w:rPr>
          <w:rFonts w:asciiTheme="minorHAnsi" w:hAnsiTheme="minorHAnsi" w:cstheme="minorHAnsi"/>
          <w:sz w:val="22"/>
          <w:szCs w:val="22"/>
        </w:rPr>
        <w:t>Dzielnicowego Biura Finansów Oświaty Praga-Północ m.st. Warszawy</w:t>
      </w:r>
    </w:p>
    <w:p w14:paraId="70EE5714" w14:textId="77777777" w:rsidR="00060275" w:rsidRPr="001C46F1" w:rsidRDefault="00744DEF" w:rsidP="001C46F1">
      <w:pPr>
        <w:pStyle w:val="Bodytext20"/>
        <w:shd w:val="clear" w:color="auto" w:fill="auto"/>
        <w:spacing w:before="120" w:after="240" w:line="300" w:lineRule="auto"/>
        <w:ind w:left="3261" w:right="60"/>
        <w:contextualSpacing/>
        <w:rPr>
          <w:rFonts w:asciiTheme="minorHAnsi" w:hAnsiTheme="minorHAnsi" w:cstheme="minorHAnsi"/>
          <w:sz w:val="22"/>
          <w:szCs w:val="22"/>
        </w:rPr>
      </w:pPr>
      <w:r w:rsidRPr="001C46F1"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70EE5715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Na podstawie § 22 ust. 10 Regulaminu organizacyjnego Urzędu m.st. Warszawy, stanowiącego załącznik do zarządzenia nr </w:t>
      </w:r>
      <w:r w:rsidRPr="00590366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312/2007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>Prezydenta m.st. Warszawy z dnia 4 kwietnia 2007 r. w sprawie nadania regulaminu organizacyjnego Urzędu m.st. Warszawy (ze zm.), w związku z kontrolą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"/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t xml:space="preserve">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przeprowadzoną przez Biuro Kontroli Urzędu m.st. Warszawy w Dzielnicowym Biurze Finansów Oświaty Praga-Północ m.st. Warszawy (dalej: DBFO), której wyniki zostały przedstawione w protokole kontroli podpisanym 7 września 2023 r., stosownie do § 39 ust. 1 i ust. 2 oraz § 38 ust. 3 zarządzenia Nr </w:t>
      </w:r>
      <w:r w:rsidRPr="00590366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1837/2019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>Prezydenta Miasta Stołecznego Warszawy z dnia 12 grudnia 2019 r. w sprawie zasad i trybu postępowania kontrolnego (zwanego dalej: Zarządzeniem), przekazuję Pani Dyrektor wystąpienie pokontrolne.</w:t>
      </w:r>
    </w:p>
    <w:p w14:paraId="70EE5716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Jednocześnie informuję, że na podstawie wyników kontroli oraz dokumentacji pokontrolnej związanej z przeprowadzoną kontrolą nie znalazłem uzasadnienia do powołania Komisji Uzgodnieniowej celem rozpatrzenia złożonych przez Panią Dyrektor zastrzeżeń do projektu wystąpienia pokontrolnego, zatem w oparciu o § 38 ust. 2 Zarządzenia odmówiłem powołania Komisji.</w:t>
      </w:r>
    </w:p>
    <w:p w14:paraId="70EE5717" w14:textId="41AB9283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b w:val="0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DBFO prowadzi obsługę finansowo-księgową, administracyjną i prawną placówek oświatowych na mocy Uchwały Nr </w:t>
      </w:r>
      <w:r w:rsidRPr="00590366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XXIII/416/2003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>Rady Miasta Stołecznego Warszawy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2"/>
      </w:r>
      <w:r w:rsidRPr="00590366">
        <w:rPr>
          <w:rFonts w:asciiTheme="minorHAnsi" w:hAnsiTheme="minorHAnsi" w:cstheme="minorHAnsi"/>
          <w:b w:val="0"/>
          <w:sz w:val="22"/>
          <w:szCs w:val="22"/>
        </w:rPr>
        <w:t>. Zgodnie z § 5 statutu, stanowiącym załącznik nr 7 do ww. uchwały, DBFO realizuje zadania w porozumieniu z dyrektorami jednostek obsługiwanych, w oparciu o zasady współpracy określone w zawartych pomiędzy nimi porozumieniami.</w:t>
      </w:r>
    </w:p>
    <w:p w14:paraId="70EE5718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ind w:right="-424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W wyniku kontroli przeprowadzonej w DBFO w 2021 roku (znak sprawy KW-WGF.1712.2.2021.HLU) Prezydent m.st. Warszawy w wystąpieniu pokontrolnym z 16 czerwca 2021 r., skierowanym do Dyrektor DBFO, sformułował łącznie 9 zaleceń pokontrolnych, w tym 4 w sprawie niezwłocznego podjęcia czynności w związku z ujawnionymi nieuprawnionymi wypłatami.</w:t>
      </w:r>
    </w:p>
    <w:p w14:paraId="70EE5719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ind w:right="-282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Dyrektor DBFO zarządzeniem nr </w:t>
      </w:r>
      <w:r w:rsidRPr="00590366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23/2021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z 25 czerwca 2021 r. powołała komisję do przeprowadzenia weryfikacji pełnej dokumentacji związanej z przyznawaniem, naliczaniem i wypłatą wynagrodzeń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lastRenderedPageBreak/>
        <w:t>pracownikom jednostek obsługiwanych przez DBFO, za okres od 1 stycznia 2016 r. do 30 czerwca</w:t>
      </w:r>
    </w:p>
    <w:p w14:paraId="70EE571A" w14:textId="77777777" w:rsidR="00060275" w:rsidRPr="00590366" w:rsidRDefault="00744DEF" w:rsidP="001C46F1">
      <w:pPr>
        <w:pStyle w:val="Bodytext20"/>
        <w:numPr>
          <w:ilvl w:val="0"/>
          <w:numId w:val="2"/>
        </w:numPr>
        <w:shd w:val="clear" w:color="auto" w:fill="auto"/>
        <w:tabs>
          <w:tab w:val="left" w:pos="567"/>
        </w:tabs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r. Komisja złożona z 28 pracowników DBFO w okresie od 25 czerwca 2021 r. do 24 stycznia</w:t>
      </w:r>
    </w:p>
    <w:p w14:paraId="70EE571B" w14:textId="7E04931B" w:rsidR="00060275" w:rsidRPr="003366B3" w:rsidRDefault="00744DEF" w:rsidP="003366B3">
      <w:pPr>
        <w:pStyle w:val="Bodytext20"/>
        <w:numPr>
          <w:ilvl w:val="0"/>
          <w:numId w:val="2"/>
        </w:numPr>
        <w:shd w:val="clear" w:color="auto" w:fill="auto"/>
        <w:tabs>
          <w:tab w:val="left" w:pos="577"/>
        </w:tabs>
        <w:spacing w:before="120" w:after="240" w:line="300" w:lineRule="auto"/>
        <w:ind w:right="-424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r. dokonała kontroli łącznie 13 012 list płac z załącznikami, sporządzonych dla 29 placówek oświatowych obsługiwanych przez DBFO. W wyniku weryfikacji dokumentacji związanej z naliczaniem i wypłatą wynagrodzeń Komisja nie stwierdziła wystąpienia nieprawidłowości, przedstawiając wynik „sprawdzenia poprawności oraz kompletowości dokumentacji dotyczącej wypłat wynagrodzeń do list płac" w protokołach z przeprowadzonej weryfikacji dokumentacji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3"/>
      </w:r>
      <w:r w:rsidRPr="00590366">
        <w:rPr>
          <w:rFonts w:asciiTheme="minorHAnsi" w:hAnsiTheme="minorHAnsi" w:cstheme="minorHAnsi"/>
          <w:b w:val="0"/>
          <w:sz w:val="22"/>
          <w:szCs w:val="22"/>
        </w:rPr>
        <w:t>. O wynikach pracy komisji Dyrektor DBFO sukcesywnie informowała Prezydenta m.st. Warszawy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4"/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t xml:space="preserve"> </w:t>
      </w:r>
      <w:r w:rsidR="003366B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366B3">
        <w:rPr>
          <w:rFonts w:asciiTheme="minorHAnsi" w:hAnsiTheme="minorHAnsi" w:cstheme="minorHAnsi"/>
          <w:b w:val="0"/>
          <w:sz w:val="22"/>
          <w:szCs w:val="22"/>
        </w:rPr>
        <w:t xml:space="preserve">Należy ocenić, że zalecenie pokontrolne nr </w:t>
      </w:r>
      <w:r w:rsidR="003366B3" w:rsidRPr="003366B3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>1</w:t>
      </w:r>
      <w:r w:rsidR="003366B3"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5"/>
      </w:r>
      <w:r w:rsidRPr="003366B3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 </w:t>
      </w:r>
      <w:r w:rsidRPr="003366B3">
        <w:rPr>
          <w:rFonts w:asciiTheme="minorHAnsi" w:hAnsiTheme="minorHAnsi" w:cstheme="minorHAnsi"/>
          <w:b w:val="0"/>
          <w:sz w:val="22"/>
          <w:szCs w:val="22"/>
        </w:rPr>
        <w:t>zostało zrealizowane.</w:t>
      </w:r>
    </w:p>
    <w:p w14:paraId="70EE571C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ind w:right="-282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W wyniku przeprowadzonej w DBFO analizy dokumentacji </w:t>
      </w:r>
      <w:r w:rsidRPr="00590366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dot.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>nieuprawnionych wypłat w latach 2019-2021, wystawiono dokumenty korygujące zapisy księgowe oraz dokonano stosownych przeksięgowań w księgach rachunkowych. Łączna kwota podlegająca zapisom korygującym wyniosła 728 005,31 zł, w tym kwota 675174,33 zł wypłacona jako „wynagrodzenia", kwota 6 000,00 zł jako „świadczenia" oraz kwota 46 830,98 zł jako „potrącenia [komornicze]". Sporządzono 52 dokumenty korygujące zapisy księgowe, w tym w 49 korekt dotyczyło list płac sporządzanych dla Szkoły Podstawowej nr 30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6"/>
      </w:r>
      <w:r w:rsidRPr="00590366">
        <w:rPr>
          <w:rFonts w:asciiTheme="minorHAnsi" w:hAnsiTheme="minorHAnsi" w:cstheme="minorHAnsi"/>
          <w:b w:val="0"/>
          <w:sz w:val="22"/>
          <w:szCs w:val="22"/>
        </w:rPr>
        <w:t>, 1 korekta listy płac sporządzona dla Przedszkola nr 184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7"/>
      </w:r>
      <w:r w:rsidRPr="00590366">
        <w:rPr>
          <w:rFonts w:asciiTheme="minorHAnsi" w:hAnsiTheme="minorHAnsi" w:cstheme="minorHAnsi"/>
          <w:b w:val="0"/>
          <w:sz w:val="22"/>
          <w:szCs w:val="22"/>
        </w:rPr>
        <w:t>,2 korekty list płac dla Zespołu Szkół nr 14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8"/>
      </w:r>
      <w:r w:rsidRPr="00590366">
        <w:rPr>
          <w:rFonts w:asciiTheme="minorHAnsi" w:hAnsiTheme="minorHAnsi" w:cstheme="minorHAnsi"/>
          <w:b w:val="0"/>
          <w:sz w:val="22"/>
          <w:szCs w:val="22"/>
        </w:rPr>
        <w:t>. Należy ocenić, że zalecenie pokontrolne nr 2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9"/>
      </w: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 zostało zrealizowane.</w:t>
      </w:r>
    </w:p>
    <w:p w14:paraId="70EE571D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ind w:right="-282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W związku z dokonaniem ww. zapisów korygujących nieuprawnionych wypłat, DBFO ustaliło, że kwota naliczonych i przekazanych składek do Zakładu Ubezpieczeń Społecznych (ZUS) od tych wypłat wynosiła łącznie 27 602,81 zł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0"/>
      </w:r>
      <w:r w:rsidRPr="00590366">
        <w:rPr>
          <w:rFonts w:asciiTheme="minorHAnsi" w:hAnsiTheme="minorHAnsi" w:cstheme="minorHAnsi"/>
          <w:b w:val="0"/>
          <w:sz w:val="22"/>
          <w:szCs w:val="22"/>
        </w:rPr>
        <w:t>. W oparciu o sporządzoną deklarację ZUS DRA za czerwiec 2021 roku, przekazując do ZUS wpłatę pomniejszoną o tę kwotę.</w:t>
      </w:r>
    </w:p>
    <w:p w14:paraId="70EE571F" w14:textId="7C0BC6B5" w:rsidR="00060275" w:rsidRPr="00590366" w:rsidRDefault="003366B3" w:rsidP="001C46F1">
      <w:pPr>
        <w:pStyle w:val="Bodytext50"/>
        <w:shd w:val="clear" w:color="auto" w:fill="auto"/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744DEF" w:rsidRPr="00590366">
        <w:rPr>
          <w:rFonts w:asciiTheme="minorHAnsi" w:hAnsiTheme="minorHAnsi" w:cstheme="minorHAnsi"/>
          <w:sz w:val="22"/>
          <w:szCs w:val="22"/>
        </w:rPr>
        <w:t>BFO ustaliło, że kwota zaliczek na podatek dochodowy od osób fizycznych (pdof), odprowadzana 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44DEF" w:rsidRPr="00590366">
        <w:rPr>
          <w:rFonts w:asciiTheme="minorHAnsi" w:hAnsiTheme="minorHAnsi" w:cstheme="minorHAnsi"/>
          <w:sz w:val="22"/>
          <w:szCs w:val="22"/>
        </w:rPr>
        <w:t xml:space="preserve">Urzędu Skarbowego </w:t>
      </w:r>
      <w:r w:rsidR="00744DEF" w:rsidRPr="00590366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(US), </w:t>
      </w:r>
      <w:r w:rsidR="00744DEF" w:rsidRPr="00590366">
        <w:rPr>
          <w:rFonts w:asciiTheme="minorHAnsi" w:hAnsiTheme="minorHAnsi" w:cstheme="minorHAnsi"/>
          <w:sz w:val="22"/>
          <w:szCs w:val="22"/>
        </w:rPr>
        <w:t xml:space="preserve">od nienależnych wypłat wyniosła łącznie 32 193,00 zł. DBFO nie było uprawnione do bieżącego pomniejszenia kwoty (korekty) odprowadzenia do </w:t>
      </w:r>
      <w:r w:rsidR="00744DEF" w:rsidRPr="00590366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US </w:t>
      </w:r>
      <w:r w:rsidR="00744DEF" w:rsidRPr="00590366">
        <w:rPr>
          <w:rFonts w:asciiTheme="minorHAnsi" w:hAnsiTheme="minorHAnsi" w:cstheme="minorHAnsi"/>
          <w:sz w:val="22"/>
          <w:szCs w:val="22"/>
        </w:rPr>
        <w:t xml:space="preserve">zaliczek na pdof, gdyż jak wynika z uzyskanej interpretacji indywidualnej wydanej przez Dyrektora Krajowej </w:t>
      </w:r>
      <w:r w:rsidR="00744DEF" w:rsidRPr="00590366">
        <w:rPr>
          <w:rFonts w:asciiTheme="minorHAnsi" w:hAnsiTheme="minorHAnsi" w:cstheme="minorHAnsi"/>
          <w:sz w:val="22"/>
          <w:szCs w:val="22"/>
        </w:rPr>
        <w:lastRenderedPageBreak/>
        <w:t>Informacji Skarbowej</w:t>
      </w:r>
      <w:r w:rsidR="00744DEF"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11"/>
      </w:r>
      <w:r w:rsidR="00744DEF" w:rsidRPr="0059036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744DEF" w:rsidRPr="00590366">
        <w:rPr>
          <w:rFonts w:asciiTheme="minorHAnsi" w:hAnsiTheme="minorHAnsi" w:cstheme="minorHAnsi"/>
          <w:sz w:val="22"/>
          <w:szCs w:val="22"/>
        </w:rPr>
        <w:t xml:space="preserve"> były pracownik powinien zwrócić nienależne świadczenie w kwocie brutto, tj. w kwocie niepomniejszonej o pobraną przez płatnika zaliczkę na podatek dochodowy; płatnik (DBFO) nie jest upoważniony do dokonania korekt informacji i deklaracji, bowiem sporządzone były one prawidłowo, odzwierciedlały ówczesny stan faktyczny, a więc wysokość faktycznie wypłaconych dochodów i faktycznie pobranych zaliczek na podatek dochodowy. Wobec powyższego należy ocenić, że zalecenie pokontrolne nr </w:t>
      </w:r>
      <w:r w:rsidRPr="003366B3">
        <w:rPr>
          <w:rStyle w:val="Bodytext595ptBoldItalic"/>
          <w:rFonts w:asciiTheme="minorHAnsi" w:hAnsiTheme="minorHAnsi" w:cstheme="minorHAnsi"/>
          <w:b w:val="0"/>
          <w:i w:val="0"/>
          <w:iCs w:val="0"/>
          <w:sz w:val="22"/>
          <w:szCs w:val="22"/>
        </w:rPr>
        <w:t>3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12"/>
      </w:r>
      <w:r w:rsidR="00744DEF" w:rsidRPr="00590366">
        <w:rPr>
          <w:rFonts w:asciiTheme="minorHAnsi" w:hAnsiTheme="minorHAnsi" w:cstheme="minorHAnsi"/>
          <w:sz w:val="22"/>
          <w:szCs w:val="22"/>
        </w:rPr>
        <w:t xml:space="preserve"> zostało zrealizowane.</w:t>
      </w:r>
    </w:p>
    <w:p w14:paraId="70EE5720" w14:textId="77777777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Dyrektor DBFO w porozumieniu ze Skarbnikiem m.st. Warszawy oraz organem nadzorującym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13"/>
      </w:r>
      <w:r w:rsidRPr="00590366">
        <w:rPr>
          <w:rFonts w:asciiTheme="minorHAnsi" w:hAnsiTheme="minorHAnsi" w:cstheme="minorHAnsi"/>
          <w:sz w:val="22"/>
          <w:szCs w:val="22"/>
        </w:rPr>
        <w:t xml:space="preserve"> DBFO ustaliła, że zapisy korygujące list płac od nieuprawnionych wypłat w latach 2019-2021 ujęte zostaną w księgach rachunkowych z datą 31 grudnia 2021 r., w związku z tym nie wystąpiła konieczność złożenia korekty sprawozdania finansowego. Zgodnie z kolejnymi ustaleniami i interpretacjami, wymaganych przeksięgowań (tj. dotyczących rozliczenia z ZUS i pdof) dokonano w okresie sprawozdawczym za czerwiec i lipiec 2021 r. Salda konta rozrachunkowego z pracownikiem panem M.G., w związku z ujętymi przypisami za nienależne wynagrodzenie wynosi 713 159,94 zł, saldo rozliczeń z tytułu zaliczek na pdof wynosi 32 193 zł. Należy ocenić, że zalecenie pokontrolne nr 4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14"/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90366">
        <w:rPr>
          <w:rFonts w:asciiTheme="minorHAnsi" w:hAnsiTheme="minorHAnsi" w:cstheme="minorHAnsi"/>
          <w:sz w:val="22"/>
          <w:szCs w:val="22"/>
        </w:rPr>
        <w:t>zostało zrealizowane.</w:t>
      </w:r>
    </w:p>
    <w:p w14:paraId="70EE5721" w14:textId="77777777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 xml:space="preserve">Kolejnych 5 zaleceń pokontrolnych związanych było z oceną DBFO w zakresie organizacji funkcjonowania jednostki, w tym procesu sprawdzania </w:t>
      </w:r>
      <w:r w:rsidRPr="0059036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/ </w:t>
      </w:r>
      <w:r w:rsidRPr="00590366">
        <w:rPr>
          <w:rFonts w:asciiTheme="minorHAnsi" w:hAnsiTheme="minorHAnsi" w:cstheme="minorHAnsi"/>
          <w:sz w:val="22"/>
          <w:szCs w:val="22"/>
        </w:rPr>
        <w:t xml:space="preserve">akceptacji dokumentacji </w:t>
      </w:r>
      <w:r w:rsidRPr="0059036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590366">
        <w:rPr>
          <w:rFonts w:asciiTheme="minorHAnsi" w:hAnsiTheme="minorHAnsi" w:cstheme="minorHAnsi"/>
          <w:sz w:val="22"/>
          <w:szCs w:val="22"/>
        </w:rPr>
        <w:t>naliczania wynagrodzeń.</w:t>
      </w:r>
    </w:p>
    <w:p w14:paraId="70EE5722" w14:textId="77777777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DBFO na podstawie zakupionej licencji korzysta z platformy dedykowanej do obsługi naliczania wynagrodzeń, bez uprawnień do dokonywania zmian w jej oprogramowaniu. DBFO wystąpiło do producenta oprogramowania z żądaniem udostępnienia informacji nt. funkcjonalności oprogramowania, przy pomocy którego doszło do nadużyć finansowych oraz zgłosiło szereg uwag do działania oprogramowania określając szczegółowo, które funkcje i narzędzia mogą stanowić wadę w kontekście prawidłowego funkcjonowania systemu informatycznego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15"/>
      </w:r>
      <w:r w:rsidRPr="00590366">
        <w:rPr>
          <w:rFonts w:asciiTheme="minorHAnsi" w:hAnsiTheme="minorHAnsi" w:cstheme="minorHAnsi"/>
          <w:sz w:val="22"/>
          <w:szCs w:val="22"/>
        </w:rPr>
        <w:t>, w którym prowadzone są księgi rachunkowe DBFO. Na podstawie dokumentacji objętej kontrolą (bieżąco sporządzane listy płac), nie stwierdzono naruszeń w zakresie wiarygodności dokumentów, bądź dokumentów nie</w:t>
      </w:r>
    </w:p>
    <w:p w14:paraId="70EE5723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ind w:right="-14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spełniających wymaga ń określonych w </w:t>
      </w:r>
      <w:r w:rsidRPr="00590366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22 ust. 1 i </w:t>
      </w:r>
      <w:r w:rsidRPr="00590366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23 ust. 1 ustawy z dnia 29 września 1994 r.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lastRenderedPageBreak/>
        <w:t>o rachunkowości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6"/>
      </w:r>
      <w:r w:rsidRPr="00590366">
        <w:rPr>
          <w:rFonts w:asciiTheme="minorHAnsi" w:hAnsiTheme="minorHAnsi" w:cstheme="minorHAnsi"/>
          <w:b w:val="0"/>
          <w:sz w:val="22"/>
          <w:szCs w:val="22"/>
        </w:rPr>
        <w:t>, wobec powyższego należy uznać, że zalecenia pokontrolne nr 1 i nr 2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7"/>
      </w: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 zostały zrealizowane.</w:t>
      </w:r>
    </w:p>
    <w:p w14:paraId="70EE5724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Dyrektor DBFO zarządzeniem nr </w:t>
      </w:r>
      <w:r w:rsidRPr="00590366">
        <w:rPr>
          <w:rFonts w:asciiTheme="minorHAnsi" w:hAnsiTheme="minorHAnsi" w:cstheme="minorHAnsi"/>
          <w:b w:val="0"/>
          <w:sz w:val="22"/>
          <w:szCs w:val="22"/>
          <w:lang w:val="ru-RU" w:eastAsia="ru-RU" w:bidi="ru-RU"/>
        </w:rPr>
        <w:t xml:space="preserve">13/2021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>z dnia 31 marca 2021 r.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8"/>
      </w: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 wprowadziła zmiany w Instrukcji kontroli finansowej i obiegu dokumentów finansowo-księgowych (dalej: Instrukcja), określając zasady obiegu i kontroli dokumentów, w szczególności związanych z naliczaniem i wypłatą wynagrodzeń, procedur (proces) ich sporządzania, sprawdzania i zatwierdzania.</w:t>
      </w:r>
    </w:p>
    <w:p w14:paraId="70EE5725" w14:textId="5A50A14E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Określono, że listy płac podlegają sprawdzeniu pod względem merytorycznym odpowiednio przez Dyrektora DBFO/Zastępcę Dyrektora DBFO lub osoby upoważnione w DBFO, a w jednostce obsługiwanej przez Dyrektora tej jednostki lub osoby upoważnione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t>1</w:t>
      </w:r>
      <w:r w:rsidR="00132D4F">
        <w:rPr>
          <w:rFonts w:asciiTheme="minorHAnsi" w:hAnsiTheme="minorHAnsi" w:cstheme="minorHAnsi"/>
          <w:b w:val="0"/>
          <w:sz w:val="22"/>
          <w:szCs w:val="22"/>
          <w:vertAlign w:val="superscript"/>
        </w:rPr>
        <w:t>9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0EE5726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Kolejnym etapem jest sprawdzenie list płac pod względem formalno-rachunkowym, które przeprowadza pracownik i kierownik Wydziału Płac i Ubezpieczeń Społecznych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19"/>
      </w:r>
      <w:r w:rsidRPr="00590366">
        <w:rPr>
          <w:rFonts w:asciiTheme="minorHAnsi" w:hAnsiTheme="minorHAnsi" w:cstheme="minorHAnsi"/>
          <w:b w:val="0"/>
          <w:sz w:val="22"/>
          <w:szCs w:val="22"/>
        </w:rPr>
        <w:t>. Potwierdzenie zabezpieczenia środków na wydatki dokonuje Główny księgowy lub osoba upoważniona.</w:t>
      </w:r>
    </w:p>
    <w:p w14:paraId="70EE5727" w14:textId="77777777" w:rsidR="00060275" w:rsidRPr="00590366" w:rsidRDefault="00744DEF" w:rsidP="001C46F1">
      <w:pPr>
        <w:pStyle w:val="Bodytext20"/>
        <w:shd w:val="clear" w:color="auto" w:fill="auto"/>
        <w:tabs>
          <w:tab w:val="left" w:leader="dot" w:pos="7344"/>
        </w:tabs>
        <w:spacing w:before="120" w:after="240" w:line="300" w:lineRule="auto"/>
        <w:ind w:right="-14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Zatwierdzenie - uprzednio sprawdzanych list płac - pod względem merytorycznym należy do zadań Dyrektora DBFO/Zastępcy Dyrektora DBFO lub osoby upoważnionej w DBFO, a w jednostce obsługiwanej do Dyrektora tej jednostki lub osoby upoważnionej; pod względem formalno- rachunkowym listy zatwierdza pracownik i kierownik Wydziału Płac i Ubezpieczeń Społecznych; zatwierdzenia do wypłat - pod względem zabezpieczenia środków - dokonuje Główny księgowy lub zastępca głównego księgowego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20"/>
      </w:r>
      <w:r w:rsidRPr="00590366">
        <w:rPr>
          <w:rFonts w:asciiTheme="minorHAnsi" w:hAnsiTheme="minorHAnsi" w:cstheme="minorHAnsi"/>
          <w:b w:val="0"/>
          <w:sz w:val="22"/>
          <w:szCs w:val="22"/>
        </w:rPr>
        <w:t>. Zgodnie z załącznikiem nr 2 do Instrukcji</w:t>
      </w:r>
      <w:r w:rsidRPr="00590366">
        <w:rPr>
          <w:rFonts w:asciiTheme="minorHAnsi" w:hAnsiTheme="minorHAnsi" w:cstheme="minorHAnsi"/>
          <w:b w:val="0"/>
          <w:sz w:val="22"/>
          <w:szCs w:val="22"/>
          <w:vertAlign w:val="superscript"/>
        </w:rPr>
        <w:t>13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>, pod względem ostatecznego zatwierdzenia do realizacji, dowód (lista płac) podlega zatwierdzeniu przez Dyrektora DBFO, Zastępcę Dyrektora DBFO lub osobę upoważnioną. Zgodnie z § 12 ust. 3 ww. Instrukcji zatwierdzenie dowodu do wypłaty przez Dyrektora DBFO, Zastępcę Dyrektora DBFO lub osobę upoważnioną opatrzone powinno być klauzulą „Zatwierdzono do wypłaty na kwotę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ab/>
        <w:t>zł".</w:t>
      </w:r>
    </w:p>
    <w:p w14:paraId="70EE5728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Ustalano, że w ramach funkcjonowania Wydziału Płac i Ubezpieczeń Społecznych osobie, której powierzono pełnienie obowiązków kierownika nadano zakres obowiązków, który wyłączył bezpośrednią obsługę placówek oświatowych.</w:t>
      </w:r>
    </w:p>
    <w:p w14:paraId="70EE5729" w14:textId="77777777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W toku kontroli Dyrektor DBFO przedłożyła pismo z 17 sierpnia 2021 r.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21"/>
      </w:r>
      <w:r w:rsidRPr="00590366">
        <w:rPr>
          <w:rFonts w:asciiTheme="minorHAnsi" w:hAnsiTheme="minorHAnsi" w:cstheme="minorHAnsi"/>
          <w:sz w:val="22"/>
          <w:szCs w:val="22"/>
        </w:rPr>
        <w:t xml:space="preserve">, które było odpowiedzią na </w:t>
      </w:r>
      <w:r w:rsidRPr="00590366">
        <w:rPr>
          <w:rFonts w:asciiTheme="minorHAnsi" w:hAnsiTheme="minorHAnsi" w:cstheme="minorHAnsi"/>
          <w:sz w:val="22"/>
          <w:szCs w:val="22"/>
        </w:rPr>
        <w:lastRenderedPageBreak/>
        <w:t>wnioski postawione przez Zastępcę Burmistrza Dzielnicy Praga-Północ pana Dariusza Kacprzaka w piśmie z 27 lipca 2021 r. W piśmie Dyrektor DBFO szeroko opisała przyjęte w DBFO procedury, w celu wyeliminowania nieprawidłowości stwierdzonych podczas kontroli przeprowadzonej 2021 roku, w tym zawarto zapis „ Dodatkowo w ramach obiegu dokumentacji płacowej zaleciłam, aby wszystkie osoby uczestniczące w obiegu i kontroli dokumentów parafowały każdą stronę</w:t>
      </w:r>
    </w:p>
    <w:p w14:paraId="70EE572A" w14:textId="77777777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Próbą kontrolną w zakresie przestrzegania przyjętych procedur sporządzania, sprawdzania i zatwierdzania list płac, objęto 52 listy wynagrodzeń sporządzone dla 3 placówek oświatowych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22"/>
      </w:r>
      <w:r w:rsidRPr="00590366">
        <w:rPr>
          <w:rFonts w:asciiTheme="minorHAnsi" w:hAnsiTheme="minorHAnsi" w:cstheme="minorHAnsi"/>
          <w:sz w:val="22"/>
          <w:szCs w:val="22"/>
        </w:rPr>
        <w:t>, za okres styczeń, marzec i maj 2023 roku. Łączna kwota naliczonych wynagrodzeń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23"/>
      </w:r>
      <w:r w:rsidRPr="00590366">
        <w:rPr>
          <w:rFonts w:asciiTheme="minorHAnsi" w:hAnsiTheme="minorHAnsi" w:cstheme="minorHAnsi"/>
          <w:sz w:val="22"/>
          <w:szCs w:val="22"/>
        </w:rPr>
        <w:t xml:space="preserve"> wyniosła 4 689 654,09 zł. Objęte kontrolą listy płac zawierały imię i nazwisko pracownika z numerem PESEL, wskazanie zajmowanego stanowiska lub wykonywaną pracę w jednostce oświatowej.</w:t>
      </w:r>
    </w:p>
    <w:p w14:paraId="70EE572B" w14:textId="77777777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 xml:space="preserve">Ustalono, że listy płac sporządzane były przy użyciu programu komputerowego. Listy na ostatniej stronie wydruku opatrzone są informacją </w:t>
      </w:r>
      <w:r w:rsidRPr="0059036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dot. </w:t>
      </w:r>
      <w:r w:rsidRPr="00590366">
        <w:rPr>
          <w:rFonts w:asciiTheme="minorHAnsi" w:hAnsiTheme="minorHAnsi" w:cstheme="minorHAnsi"/>
          <w:sz w:val="22"/>
          <w:szCs w:val="22"/>
        </w:rPr>
        <w:t>złożenia podpisu elektronicznego, tj. wskazania imienia i nazwiska osoby składającej podpis oraz etap procesu:</w:t>
      </w:r>
    </w:p>
    <w:p w14:paraId="70EE572C" w14:textId="77777777" w:rsidR="00060275" w:rsidRPr="00590366" w:rsidRDefault="00744DEF" w:rsidP="001C46F1">
      <w:pPr>
        <w:pStyle w:val="Bodytext50"/>
        <w:numPr>
          <w:ilvl w:val="0"/>
          <w:numId w:val="3"/>
        </w:numPr>
        <w:shd w:val="clear" w:color="auto" w:fill="auto"/>
        <w:tabs>
          <w:tab w:val="left" w:pos="350"/>
        </w:tabs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sporządzenia przez pracownika Wydziału Płac i Ubezpieczeń Społecznych,</w:t>
      </w:r>
    </w:p>
    <w:p w14:paraId="70EE572D" w14:textId="77777777" w:rsidR="00060275" w:rsidRPr="00590366" w:rsidRDefault="00744DEF" w:rsidP="001C46F1">
      <w:pPr>
        <w:pStyle w:val="Bodytext50"/>
        <w:numPr>
          <w:ilvl w:val="0"/>
          <w:numId w:val="3"/>
        </w:numPr>
        <w:shd w:val="clear" w:color="auto" w:fill="auto"/>
        <w:tabs>
          <w:tab w:val="left" w:pos="350"/>
        </w:tabs>
        <w:spacing w:before="120" w:after="240" w:line="300" w:lineRule="auto"/>
        <w:ind w:left="46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sprawdzenia pod względem formalno- rachunkowym przez pracownika Wydziału Płac i Ubezpieczeń Społecznych,</w:t>
      </w:r>
    </w:p>
    <w:p w14:paraId="70EE572E" w14:textId="77777777" w:rsidR="00060275" w:rsidRPr="00590366" w:rsidRDefault="00744DEF" w:rsidP="001C46F1">
      <w:pPr>
        <w:pStyle w:val="Bodytext50"/>
        <w:numPr>
          <w:ilvl w:val="0"/>
          <w:numId w:val="3"/>
        </w:numPr>
        <w:shd w:val="clear" w:color="auto" w:fill="auto"/>
        <w:tabs>
          <w:tab w:val="left" w:pos="350"/>
        </w:tabs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podpis kierownika Wydziału Płac i Ubezpieczeń Społecznych bez wskazania etapu procesu,</w:t>
      </w:r>
    </w:p>
    <w:p w14:paraId="70EE572F" w14:textId="77777777" w:rsidR="00060275" w:rsidRPr="00590366" w:rsidRDefault="00744DEF" w:rsidP="001C46F1">
      <w:pPr>
        <w:pStyle w:val="Bodytext50"/>
        <w:numPr>
          <w:ilvl w:val="0"/>
          <w:numId w:val="3"/>
        </w:numPr>
        <w:shd w:val="clear" w:color="auto" w:fill="auto"/>
        <w:tabs>
          <w:tab w:val="left" w:pos="350"/>
        </w:tabs>
        <w:spacing w:before="120" w:after="240" w:line="300" w:lineRule="auto"/>
        <w:ind w:left="46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sprawdzenia pod względem merytorycznym przez dyrektora (osoby upoważnionej) jednostki obsługiwanej,</w:t>
      </w:r>
    </w:p>
    <w:p w14:paraId="70EE5730" w14:textId="77777777" w:rsidR="00060275" w:rsidRPr="00590366" w:rsidRDefault="00744DEF" w:rsidP="001C46F1">
      <w:pPr>
        <w:pStyle w:val="Bodytext50"/>
        <w:numPr>
          <w:ilvl w:val="0"/>
          <w:numId w:val="3"/>
        </w:numPr>
        <w:shd w:val="clear" w:color="auto" w:fill="auto"/>
        <w:tabs>
          <w:tab w:val="left" w:pos="350"/>
        </w:tabs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podpis dyrektora jednostki obsługiwanej (osoby upoważnionej) bez wskazania etapu procesu,</w:t>
      </w:r>
    </w:p>
    <w:p w14:paraId="70EE5731" w14:textId="77777777" w:rsidR="00060275" w:rsidRPr="00590366" w:rsidRDefault="00744DEF" w:rsidP="001C46F1">
      <w:pPr>
        <w:pStyle w:val="Bodytext50"/>
        <w:numPr>
          <w:ilvl w:val="0"/>
          <w:numId w:val="3"/>
        </w:numPr>
        <w:shd w:val="clear" w:color="auto" w:fill="auto"/>
        <w:tabs>
          <w:tab w:val="left" w:pos="350"/>
        </w:tabs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podpis Głównego księgowego DBFO bez wskazania etapu procesu.</w:t>
      </w:r>
    </w:p>
    <w:p w14:paraId="70EE5732" w14:textId="0C3D9F92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Listy płac na ostatnie stronie zawierały imienną pieczątkę oraz parafę prac</w:t>
      </w:r>
      <w:r w:rsidR="001C46F1">
        <w:rPr>
          <w:rFonts w:asciiTheme="minorHAnsi" w:hAnsiTheme="minorHAnsi" w:cstheme="minorHAnsi"/>
          <w:sz w:val="22"/>
          <w:szCs w:val="22"/>
        </w:rPr>
        <w:t>ownika Wydziału Księgowości i R</w:t>
      </w:r>
      <w:r w:rsidRPr="00590366">
        <w:rPr>
          <w:rFonts w:asciiTheme="minorHAnsi" w:hAnsiTheme="minorHAnsi" w:cstheme="minorHAnsi"/>
          <w:sz w:val="22"/>
          <w:szCs w:val="22"/>
        </w:rPr>
        <w:t xml:space="preserve">ozliczeń, którego rola w procesie sprawdzania </w:t>
      </w:r>
      <w:r w:rsidRPr="0059036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/ </w:t>
      </w:r>
      <w:r w:rsidRPr="00590366">
        <w:rPr>
          <w:rFonts w:asciiTheme="minorHAnsi" w:hAnsiTheme="minorHAnsi" w:cstheme="minorHAnsi"/>
          <w:sz w:val="22"/>
          <w:szCs w:val="22"/>
        </w:rPr>
        <w:t>zatwierdzania list płac nie została określona w Instrukcji. Listy płac nie zawierały na każdej stronie podpisów osób uczestniczących w obiegu i kontroli dokumentów.</w:t>
      </w:r>
    </w:p>
    <w:p w14:paraId="70EE5733" w14:textId="77777777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Faktycznie stosowana procedura sprawdzenia i zatwierdzenia listy płac nie była zgodna z zasadami określonymi w Instrukcji, listy płac nie były opatrzone ustaloną w Instrukcji klauzulą oraz zatwierdzone do wypłaty przez Dyrektora DBFO, Zastępcę Dyrektora DBFO lub osobę upoważnioną, brak informacji o ostatecznym zatwierdzeniu do realizacji przez Dyrektora DBFO, Zastępcę Dyrektora DBFO lub osobę upoważnioną.</w:t>
      </w:r>
    </w:p>
    <w:p w14:paraId="70EE5734" w14:textId="77777777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right="-140"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 xml:space="preserve">Wskazać należy, że dokumentacja określająca zasady (politykę) rachunkowości, powinna uwzględniać specyfikę działalności DBFO poprzez uwzględnienie szczególnych dla danej jednostki zdarzeń gospodarczych, zatem opisy zawarte w Instrukcji powinny odzwierciedlać stosowane procedury </w:t>
      </w:r>
      <w:r w:rsidRPr="00590366">
        <w:rPr>
          <w:rStyle w:val="Bodytext2"/>
          <w:rFonts w:asciiTheme="minorHAnsi" w:hAnsiTheme="minorHAnsi" w:cstheme="minorHAnsi"/>
          <w:b w:val="0"/>
          <w:sz w:val="22"/>
          <w:szCs w:val="22"/>
        </w:rPr>
        <w:t xml:space="preserve">(procesy). Opracowanie dokumentacji określające przyjęte do stosowania zasady ma kluczowe znaczenie dla jednostki z uwagi na fakt, że jest to pierwszy dokument poddawany weryfikacji przez sprawujących funkcję nadzorczą i kontrolną wobec DBFO, w celu sprawdzenia prawidłowości </w:t>
      </w:r>
      <w:r w:rsidRPr="00590366">
        <w:rPr>
          <w:rStyle w:val="Bodytext2"/>
          <w:rFonts w:asciiTheme="minorHAnsi" w:hAnsiTheme="minorHAnsi" w:cstheme="minorHAnsi"/>
          <w:b w:val="0"/>
          <w:sz w:val="22"/>
          <w:szCs w:val="22"/>
        </w:rPr>
        <w:lastRenderedPageBreak/>
        <w:t xml:space="preserve">funkcjonowania jednostki. Stosownie </w:t>
      </w:r>
      <w:r w:rsidRPr="00590366">
        <w:rPr>
          <w:rStyle w:val="Bodytext2"/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do art. </w:t>
      </w:r>
      <w:r w:rsidRPr="00590366">
        <w:rPr>
          <w:rStyle w:val="Bodytext2"/>
          <w:rFonts w:asciiTheme="minorHAnsi" w:hAnsiTheme="minorHAnsi" w:cstheme="minorHAnsi"/>
          <w:b w:val="0"/>
          <w:sz w:val="22"/>
          <w:szCs w:val="22"/>
        </w:rPr>
        <w:t>10 ust. 2 ustawy o rachunkowości kierownik jednostki jest odpowiedzialny za wprowadzenie zmian i dostosowanie do bieżących potrzeb jednostki bądź aktualnie obowiązujących przepisów prawa w tym zakresie, zatem Dyrektor DBFO była zobowiązana do aktualizacji zasad obiegu i kontroli dokumentacji płacowej, aby procedury w niej określone znalazły odzwierciedlenie w stosowanej w DBFO praktyce. Wobec powyższego należy ocenić, że zalecenia pokontrolne nr 3 i nr 4</w:t>
      </w:r>
      <w:r w:rsidRPr="00590366">
        <w:rPr>
          <w:rStyle w:val="Bodytext2"/>
          <w:rFonts w:asciiTheme="minorHAnsi" w:hAnsiTheme="minorHAnsi" w:cstheme="minorHAnsi"/>
          <w:b w:val="0"/>
          <w:sz w:val="22"/>
          <w:szCs w:val="22"/>
          <w:vertAlign w:val="superscript"/>
        </w:rPr>
        <w:footnoteReference w:id="24"/>
      </w:r>
      <w:r w:rsidRPr="00590366">
        <w:rPr>
          <w:rStyle w:val="Bodytext2"/>
          <w:rFonts w:asciiTheme="minorHAnsi" w:hAnsiTheme="minorHAnsi" w:cstheme="minorHAnsi"/>
          <w:b w:val="0"/>
          <w:sz w:val="22"/>
          <w:szCs w:val="22"/>
        </w:rPr>
        <w:t xml:space="preserve"> nie zostały w pełni zrealizowane.</w:t>
      </w:r>
    </w:p>
    <w:p w14:paraId="70EE5735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Dyrektor DBFO w ramach kontroli zarządczej dokonuje bieżącego identyfikowania i monitorowania ryzyk związanych z realizacją zadań i osiąganiem celów oraz ustala i podejmuje reakcje na ryzyka. Dyrektor przekazuje dwa razy w roku jednostce nadzorującej informacje o wyznaczonych celach działalności DBFO wraz z zidentyfikowanymi zagrożeniami dotyczącymi realizacji wyznaczonych celów oraz wyznaczonymi przeciwdziałaniami zagrożeniom.</w:t>
      </w:r>
    </w:p>
    <w:p w14:paraId="70EE5736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Ujawniony incydent w zw. z nieuprawnionymi wypłatami został uwzględniony w aktualizacji Rejestru Ryzyka na 2021 rok. Zgodnie z zaleceniem Burmistrz Dzielnicy Praga-Północ aktualizacja Rejestru Ryzyk objęła także rozszerzenie katalogu celów na bardziej szczegółowe zadania, a dla nich zostały szczegółowo określone ryzyka, które mogą wpłynąć na ich realizację. Aktualizacja Rejestru Ryzyka została przekazana w dniu 26 lipca 2021 r.</w:t>
      </w:r>
    </w:p>
    <w:p w14:paraId="70EE5737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Zgodnie z § 4 pkt 7 i 8 statutu do zakresu funkcjonowania DBFO należy przygotowanie danych i informacji niezbędnych do sporządzenia przez Dyrektorów jednostek obsługiwanych planów finansowych i przygotowanie materiałów niezbędnych do sporządzenia uchwały budżetowej m.st. Warszawy oraz uchwały w sprawie Wieloletniej Prognozy Finansowej m.st. Warszawy, a także materiałów niezbędnych do wprowadzenia zmian w tych dokumentach w trakcie roku budżetowego w zakresie zadań powierzonych do obsługi. W porozumieniach zawieranych z Dyrektorami jednostek obsługiwanych, w § 2 pkt 1 ustalono, że działania DBFO nie mogą naruszać kompetencji Dyrektora jednostki obsługiwanej do dysponowania środkami publicznymi oraz zaciągania zobowiązań, a także sporządzania i zatwierdzania planu finansowego oraz przeniesień wydatków w tym planie.</w:t>
      </w:r>
    </w:p>
    <w:p w14:paraId="70EE5738" w14:textId="77777777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Planowanie wydatków dla placówek oświatowych rozpoczynało sporządzenie arkusza organizacyjnego, w którym określono liczbę uczniów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25"/>
      </w:r>
      <w:r w:rsidRPr="00590366">
        <w:rPr>
          <w:rFonts w:asciiTheme="minorHAnsi" w:hAnsiTheme="minorHAnsi" w:cstheme="minorHAnsi"/>
          <w:sz w:val="22"/>
          <w:szCs w:val="22"/>
        </w:rPr>
        <w:t xml:space="preserve">, liczbę oddziałów, godziny pedagogiczne, etaty pracowników pedagogicznych, etaty administracji i obsługi, liczbę pracowników pedagogicznych liczbę pracowników administracji i obsługi, z podaniem kwot składników </w:t>
      </w:r>
      <w:r w:rsidRPr="00590366">
        <w:rPr>
          <w:rFonts w:asciiTheme="minorHAnsi" w:hAnsiTheme="minorHAnsi" w:cstheme="minorHAnsi"/>
          <w:sz w:val="22"/>
          <w:szCs w:val="22"/>
        </w:rPr>
        <w:lastRenderedPageBreak/>
        <w:t>planowanego wynagrodzenia. Dyrektor jednostki obsługiwanej opracowywał projekt planu finansowego jednostki w układzie dział, rozdział, zawierający planowane dochody na wydzielonym rachunku, oraz plan wydatków. Projekt planu został zaopiniowany przez Radę Pedagogiczną, Radę Rodziców oraz Radę Szkoły {jeżeli została powołana). Zmiany w planach finansowych dla jednostek, których dokumentacja płacowa była objęta kontrolą, były wprowadzane na podstawie uchwały Rady m.st. Warszawy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26"/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590366">
        <w:rPr>
          <w:rFonts w:asciiTheme="minorHAnsi" w:hAnsiTheme="minorHAnsi" w:cstheme="minorHAnsi"/>
          <w:sz w:val="22"/>
          <w:szCs w:val="22"/>
        </w:rPr>
        <w:t>i zarządzeń Prezydenta m.st. Warszawy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27"/>
      </w:r>
      <w:r w:rsidRPr="00590366">
        <w:rPr>
          <w:rFonts w:asciiTheme="minorHAnsi" w:hAnsiTheme="minorHAnsi" w:cstheme="minorHAnsi"/>
          <w:sz w:val="22"/>
          <w:szCs w:val="22"/>
        </w:rPr>
        <w:t>, w których dokonano zwiększenia i zmniejszenia wydatków.</w:t>
      </w:r>
    </w:p>
    <w:p w14:paraId="70EE5739" w14:textId="77777777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firstLine="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Ustalono, że sposób opracowania projektu planu finansowego dochodów i wydatków obsługiwanej przez DBFO jednostki oświatowej, planu finansowego oraz zmiany w planie dochodów i wydatków na 2023 rok dokonywano zgodnie z zasadami określonymi w załączniku nr 2 do Instrukcji kontroli finansowej i obiegu dowodów finansowo-księgowych.</w:t>
      </w:r>
    </w:p>
    <w:p w14:paraId="70EE573A" w14:textId="77777777" w:rsidR="00060275" w:rsidRPr="00590366" w:rsidRDefault="00744DEF" w:rsidP="001C46F1">
      <w:pPr>
        <w:pStyle w:val="Bodytext50"/>
        <w:shd w:val="clear" w:color="auto" w:fill="auto"/>
        <w:spacing w:before="120" w:after="240" w:line="300" w:lineRule="auto"/>
        <w:ind w:left="440" w:hanging="44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Przedstawiając powyższe ustalenia i oceny zalecam:</w:t>
      </w:r>
    </w:p>
    <w:p w14:paraId="70EE573B" w14:textId="77777777" w:rsidR="00060275" w:rsidRPr="00590366" w:rsidRDefault="00744DEF" w:rsidP="001C46F1">
      <w:pPr>
        <w:pStyle w:val="Bodytext50"/>
        <w:numPr>
          <w:ilvl w:val="0"/>
          <w:numId w:val="4"/>
        </w:numPr>
        <w:shd w:val="clear" w:color="auto" w:fill="auto"/>
        <w:tabs>
          <w:tab w:val="left" w:pos="347"/>
        </w:tabs>
        <w:spacing w:before="120" w:after="240" w:line="300" w:lineRule="auto"/>
        <w:ind w:left="440" w:hanging="44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 xml:space="preserve">stosownie </w:t>
      </w:r>
      <w:r w:rsidRPr="0059036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do art. </w:t>
      </w:r>
      <w:r w:rsidRPr="00590366">
        <w:rPr>
          <w:rFonts w:asciiTheme="minorHAnsi" w:hAnsiTheme="minorHAnsi" w:cstheme="minorHAnsi"/>
          <w:sz w:val="22"/>
          <w:szCs w:val="22"/>
        </w:rPr>
        <w:t xml:space="preserve">4 ust. 5, w zw. z </w:t>
      </w:r>
      <w:r w:rsidRPr="0059036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590366">
        <w:rPr>
          <w:rFonts w:asciiTheme="minorHAnsi" w:hAnsiTheme="minorHAnsi" w:cstheme="minorHAnsi"/>
          <w:sz w:val="22"/>
          <w:szCs w:val="22"/>
        </w:rPr>
        <w:t>10 ust. 2 ustawy o rachunkowości zaktualizować zapisy w dokumentacji określającej zasady (politykę) rachunkowości w zakresie:</w:t>
      </w:r>
    </w:p>
    <w:p w14:paraId="70EE573C" w14:textId="77777777" w:rsidR="00060275" w:rsidRPr="00590366" w:rsidRDefault="00744DEF" w:rsidP="001C46F1">
      <w:pPr>
        <w:pStyle w:val="Bodytext50"/>
        <w:numPr>
          <w:ilvl w:val="0"/>
          <w:numId w:val="5"/>
        </w:numPr>
        <w:shd w:val="clear" w:color="auto" w:fill="auto"/>
        <w:tabs>
          <w:tab w:val="left" w:pos="776"/>
        </w:tabs>
        <w:spacing w:before="120" w:after="240" w:line="300" w:lineRule="auto"/>
        <w:ind w:left="780" w:hanging="34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szczegółowego opisu zasad sporządzania i sprawdzania dowodów finansowo-księgowych, jakimi są listy płac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28"/>
      </w:r>
      <w:r w:rsidRPr="00590366">
        <w:rPr>
          <w:rFonts w:asciiTheme="minorHAnsi" w:hAnsiTheme="minorHAnsi" w:cstheme="minorHAnsi"/>
          <w:sz w:val="22"/>
          <w:szCs w:val="22"/>
        </w:rPr>
        <w:t>, oraz ich zatwierdzenia, w tym z wykorzystaniem kwalifikowanego podpisu elektronicznego</w:t>
      </w: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erence w:id="29"/>
      </w:r>
      <w:r w:rsidRPr="00590366">
        <w:rPr>
          <w:rFonts w:asciiTheme="minorHAnsi" w:hAnsiTheme="minorHAnsi" w:cstheme="minorHAnsi"/>
          <w:sz w:val="22"/>
          <w:szCs w:val="22"/>
        </w:rPr>
        <w:t>,</w:t>
      </w:r>
    </w:p>
    <w:p w14:paraId="70EE573D" w14:textId="77777777" w:rsidR="00060275" w:rsidRPr="00590366" w:rsidRDefault="00744DEF" w:rsidP="001C46F1">
      <w:pPr>
        <w:pStyle w:val="Bodytext50"/>
        <w:numPr>
          <w:ilvl w:val="0"/>
          <w:numId w:val="5"/>
        </w:numPr>
        <w:shd w:val="clear" w:color="auto" w:fill="auto"/>
        <w:tabs>
          <w:tab w:val="left" w:pos="776"/>
        </w:tabs>
        <w:spacing w:before="120" w:after="240" w:line="300" w:lineRule="auto"/>
        <w:ind w:left="780" w:hanging="34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określenia poszczególnych etapów procesu wraz z precyzyjnym wskazaniem osób/stanowisk odpowiedzialnych za dany etap procesu;</w:t>
      </w:r>
    </w:p>
    <w:p w14:paraId="70EE573E" w14:textId="77777777" w:rsidR="00060275" w:rsidRPr="00590366" w:rsidRDefault="00744DEF" w:rsidP="001C46F1">
      <w:pPr>
        <w:pStyle w:val="Bodytext50"/>
        <w:numPr>
          <w:ilvl w:val="0"/>
          <w:numId w:val="4"/>
        </w:numPr>
        <w:shd w:val="clear" w:color="auto" w:fill="auto"/>
        <w:tabs>
          <w:tab w:val="left" w:pos="347"/>
        </w:tabs>
        <w:spacing w:before="120" w:after="240" w:line="300" w:lineRule="auto"/>
        <w:ind w:left="440" w:hanging="440"/>
        <w:contextualSpacing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</w:rPr>
        <w:t>egzekwować od uczestników procesu sprawdzania i zatwierdzenia listy płac, aby poszczególne czynności z zakresu kontroli i zatwierdzania dowodów finansowo-księgowych przed ujęciem ich w księgach rachunkowych, były rzetelnie opisane ze wskazaniem obszaru za jaki odpowiadają, składając podpis;</w:t>
      </w:r>
    </w:p>
    <w:p w14:paraId="70EE573F" w14:textId="3A4AEF7D" w:rsidR="00060275" w:rsidRPr="00590366" w:rsidRDefault="00744DEF" w:rsidP="001C46F1">
      <w:pPr>
        <w:pStyle w:val="Bodytext50"/>
        <w:numPr>
          <w:ilvl w:val="0"/>
          <w:numId w:val="4"/>
        </w:numPr>
        <w:shd w:val="clear" w:color="auto" w:fill="auto"/>
        <w:tabs>
          <w:tab w:val="left" w:pos="347"/>
        </w:tabs>
        <w:spacing w:before="120" w:after="240" w:line="300" w:lineRule="auto"/>
        <w:ind w:left="440" w:hanging="156"/>
        <w:contextualSpacing/>
      </w:pPr>
      <w:r w:rsidRPr="00590366">
        <w:rPr>
          <w:rFonts w:asciiTheme="minorHAnsi" w:hAnsiTheme="minorHAnsi" w:cstheme="minorHAnsi"/>
          <w:sz w:val="22"/>
          <w:szCs w:val="22"/>
        </w:rPr>
        <w:t>stosować przyjęte w DBFO zasady sporządzania, sprawdzania oraz zatwierdzenia listy płac.</w:t>
      </w:r>
    </w:p>
    <w:p w14:paraId="70EE5740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 xml:space="preserve">Na podstawie § 22 ust. 12 Regulaminu organizacyjnego oraz § 41 ust. 1 Zarządzenia oczekuję od Pani w terminie nie dłuższym niż 30 dni od dnia doręczenia niniejszego wystąpienia pokontrolnego, informacji o sposobie realizacji wniosków pokontrolnych i wykorzystaniu uwag zawartych w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lastRenderedPageBreak/>
        <w:t>wystąpieniu pokontrolnym lub przyczynach braku realizacji wniosków pokontrolnych lub niewykorzystaniu uwag bądź o innym sposobie usunięcia stwierdzonych uchybień.</w:t>
      </w:r>
    </w:p>
    <w:p w14:paraId="70EE5741" w14:textId="3DEAC9C5" w:rsidR="00060275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Na podstawie § 41 ust. 1 Zarządzenia zobowiązuję Panią do przekazania kopii ww. informacji Panu Mirosławowi Czekajowi Skarbnikowi m.st. Warszawy oraz Panu Jackowi Jeżewskiemu Burmistrzowi Dzielnicy Praga-Północ m.st. Warszawy.</w:t>
      </w:r>
    </w:p>
    <w:p w14:paraId="734B684D" w14:textId="11F51ECD" w:rsidR="001C46F1" w:rsidRPr="00590366" w:rsidRDefault="001C46F1" w:rsidP="001C46F1">
      <w:pPr>
        <w:pStyle w:val="Bodytext20"/>
        <w:shd w:val="clear" w:color="auto" w:fill="auto"/>
        <w:spacing w:before="120" w:after="240" w:line="300" w:lineRule="auto"/>
        <w:ind w:left="4536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PREZYDENT MIASTA STOŁECZNEGO WARSZAWY /-/ Rafał Trzaskowski</w:t>
      </w:r>
    </w:p>
    <w:p w14:paraId="70EE5745" w14:textId="77777777" w:rsidR="00060275" w:rsidRPr="00590366" w:rsidRDefault="00744DEF" w:rsidP="001C46F1">
      <w:pPr>
        <w:pStyle w:val="Bodytext20"/>
        <w:shd w:val="clear" w:color="auto" w:fill="auto"/>
        <w:spacing w:before="120" w:after="240" w:line="300" w:lineRule="auto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Style w:val="Bodytext21"/>
          <w:rFonts w:asciiTheme="minorHAnsi" w:hAnsiTheme="minorHAnsi" w:cstheme="minorHAnsi"/>
          <w:bCs/>
          <w:sz w:val="22"/>
          <w:szCs w:val="22"/>
        </w:rPr>
        <w:t>Do wiadomości:</w:t>
      </w:r>
    </w:p>
    <w:p w14:paraId="70EE5746" w14:textId="77777777" w:rsidR="00060275" w:rsidRPr="00590366" w:rsidRDefault="00744DEF" w:rsidP="001C46F1">
      <w:pPr>
        <w:pStyle w:val="Bodytext20"/>
        <w:numPr>
          <w:ilvl w:val="0"/>
          <w:numId w:val="6"/>
        </w:numPr>
        <w:shd w:val="clear" w:color="auto" w:fill="auto"/>
        <w:tabs>
          <w:tab w:val="left" w:pos="723"/>
        </w:tabs>
        <w:spacing w:before="120" w:after="240" w:line="300" w:lineRule="auto"/>
        <w:ind w:left="38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590366">
        <w:rPr>
          <w:rFonts w:asciiTheme="minorHAnsi" w:hAnsiTheme="minorHAnsi" w:cstheme="minorHAnsi"/>
          <w:b w:val="0"/>
          <w:sz w:val="22"/>
          <w:szCs w:val="22"/>
        </w:rPr>
        <w:t>Pan Mirosław Czekaj - Skarbnik m.st. Warszawy</w:t>
      </w:r>
    </w:p>
    <w:p w14:paraId="3FBC9074" w14:textId="2066FDAD" w:rsidR="00132D4F" w:rsidRDefault="00132D4F" w:rsidP="00132D4F">
      <w:pPr>
        <w:pStyle w:val="Bodytext20"/>
        <w:numPr>
          <w:ilvl w:val="0"/>
          <w:numId w:val="6"/>
        </w:numPr>
        <w:shd w:val="clear" w:color="auto" w:fill="auto"/>
        <w:tabs>
          <w:tab w:val="left" w:pos="723"/>
        </w:tabs>
        <w:spacing w:before="120" w:after="240" w:line="300" w:lineRule="auto"/>
        <w:ind w:left="380"/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Pan Paweł Lisiecki </w:t>
      </w:r>
      <w:r w:rsidRPr="00590366">
        <w:rPr>
          <w:rFonts w:asciiTheme="minorHAnsi" w:hAnsiTheme="minorHAnsi" w:cstheme="minorHAnsi"/>
          <w:b w:val="0"/>
          <w:sz w:val="22"/>
          <w:szCs w:val="22"/>
        </w:rPr>
        <w:t>Burmistrz Dzielnicy Praga-Północ m.st. Warszawy</w:t>
      </w:r>
    </w:p>
    <w:sectPr w:rsidR="00132D4F" w:rsidSect="001C46F1">
      <w:footerReference w:type="default" r:id="rId7"/>
      <w:headerReference w:type="first" r:id="rId8"/>
      <w:footerReference w:type="first" r:id="rId9"/>
      <w:type w:val="continuous"/>
      <w:pgSz w:w="11900" w:h="16840"/>
      <w:pgMar w:top="1487" w:right="1409" w:bottom="1749" w:left="155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5753" w14:textId="77777777" w:rsidR="00A63352" w:rsidRDefault="00744DEF">
      <w:r>
        <w:separator/>
      </w:r>
    </w:p>
  </w:endnote>
  <w:endnote w:type="continuationSeparator" w:id="0">
    <w:p w14:paraId="70EE5755" w14:textId="77777777" w:rsidR="00A63352" w:rsidRDefault="0074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4168460"/>
      <w:docPartObj>
        <w:docPartGallery w:val="Page Numbers (Bottom of Page)"/>
        <w:docPartUnique/>
      </w:docPartObj>
    </w:sdtPr>
    <w:sdtEndPr/>
    <w:sdtContent>
      <w:sdt>
        <w:sdtPr>
          <w:id w:val="885909866"/>
          <w:docPartObj>
            <w:docPartGallery w:val="Page Numbers (Top of Page)"/>
            <w:docPartUnique/>
          </w:docPartObj>
        </w:sdtPr>
        <w:sdtEndPr/>
        <w:sdtContent>
          <w:p w14:paraId="00EF214F" w14:textId="2B20E17B" w:rsidR="008F7A6B" w:rsidRDefault="008F7A6B">
            <w:pPr>
              <w:pStyle w:val="Stopka"/>
              <w:jc w:val="right"/>
            </w:pPr>
            <w:r w:rsidRPr="008F7A6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582823E" w14:textId="77777777" w:rsidR="008F7A6B" w:rsidRDefault="008F7A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52986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964295" w14:textId="58F5B679" w:rsidR="008F7A6B" w:rsidRDefault="008F7A6B">
            <w:pPr>
              <w:pStyle w:val="Stopka"/>
              <w:jc w:val="right"/>
            </w:pPr>
            <w:r w:rsidRPr="008F7A6B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F7A6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82EF91A" w14:textId="77777777" w:rsidR="008F7A6B" w:rsidRDefault="008F7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574E" w14:textId="77777777" w:rsidR="00060275" w:rsidRDefault="00744DEF">
      <w:r>
        <w:separator/>
      </w:r>
    </w:p>
  </w:footnote>
  <w:footnote w:type="continuationSeparator" w:id="0">
    <w:p w14:paraId="70EE574F" w14:textId="77777777" w:rsidR="00060275" w:rsidRDefault="00744DEF">
      <w:r>
        <w:continuationSeparator/>
      </w:r>
    </w:p>
  </w:footnote>
  <w:footnote w:id="1">
    <w:p w14:paraId="70EE5752" w14:textId="77777777" w:rsidR="00060275" w:rsidRPr="00622956" w:rsidRDefault="00744DEF" w:rsidP="009E74A1">
      <w:pPr>
        <w:pStyle w:val="Footnote10"/>
        <w:shd w:val="clear" w:color="auto" w:fill="auto"/>
        <w:spacing w:before="20" w:after="20" w:line="240" w:lineRule="auto"/>
        <w:ind w:right="380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>W zakresie: „Realizacja zaleceń pokontrolnych sformułowanych w wystąpieniu pokontrolnym z 21 czerwca 2021 r. znak sprawy KW-WGF.1712.2.2021.HLU."</w:t>
      </w:r>
    </w:p>
  </w:footnote>
  <w:footnote w:id="2">
    <w:p w14:paraId="70EE5753" w14:textId="7797B2A7" w:rsidR="00060275" w:rsidRDefault="00744DEF" w:rsidP="009E74A1">
      <w:pPr>
        <w:pStyle w:val="Footnote10"/>
        <w:shd w:val="clear" w:color="auto" w:fill="auto"/>
        <w:tabs>
          <w:tab w:val="left" w:pos="0"/>
        </w:tabs>
        <w:spacing w:before="20" w:after="20" w:line="240" w:lineRule="auto"/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 xml:space="preserve">uchwały nr </w:t>
      </w:r>
      <w:r w:rsidRPr="0062295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XXXVII/416/2003 </w:t>
      </w:r>
      <w:r w:rsidRPr="00622956">
        <w:rPr>
          <w:rFonts w:asciiTheme="minorHAnsi" w:hAnsiTheme="minorHAnsi" w:cstheme="minorHAnsi"/>
          <w:sz w:val="22"/>
          <w:szCs w:val="22"/>
        </w:rPr>
        <w:t>Rady m.st. Warszawy z dnia 18 grudnia 2003 r. w sprawie utworzenia Miejskiego Biura Finansów Oświaty m.st. Warszawy oraz niektórych dzielnicowych biur finansów oświaty m.st. Warszawy, a także zmiany nazw i statutów niektórych jednostek obsługi ekonomiczno-administracyjnej szkół i placówek oświatowych (ze zm.).</w:t>
      </w:r>
    </w:p>
  </w:footnote>
  <w:footnote w:id="3">
    <w:p w14:paraId="70EE5754" w14:textId="77777777" w:rsidR="00060275" w:rsidRPr="00622956" w:rsidRDefault="00744DEF" w:rsidP="009E74A1">
      <w:pPr>
        <w:pStyle w:val="Footnote10"/>
        <w:shd w:val="clear" w:color="auto" w:fill="auto"/>
        <w:tabs>
          <w:tab w:val="left" w:pos="115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Protokoły z 8 września, 8 października, 8 listopada, 4 grudnia 2021 r. oraz 10 i 24 stycznia 2022 r.</w:t>
      </w:r>
    </w:p>
  </w:footnote>
  <w:footnote w:id="4">
    <w:p w14:paraId="70EE5755" w14:textId="77777777" w:rsidR="00060275" w:rsidRPr="00622956" w:rsidRDefault="00744DEF" w:rsidP="009E74A1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Pisma z 10 września, 11 października, 10 listopada, 10 grudnia 2021 r., 10 i 25 stycznia 2022 r.</w:t>
      </w:r>
    </w:p>
  </w:footnote>
  <w:footnote w:id="5">
    <w:p w14:paraId="0AE1B616" w14:textId="3788CD52" w:rsidR="003366B3" w:rsidRPr="00622956" w:rsidRDefault="003366B3" w:rsidP="009E74A1">
      <w:pPr>
        <w:pStyle w:val="Footnote10"/>
        <w:shd w:val="clear" w:color="auto" w:fill="auto"/>
        <w:spacing w:before="20" w:after="20" w:line="240" w:lineRule="auto"/>
        <w:ind w:right="420"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 xml:space="preserve"> Zalecenie nr 1: „Przeprowadzić proces weryfikacji pełnej dokumentacji związanej z przyznawaniem, naliczaniem i wypłatą wynagrodzeń pracownikom jednostek obsługiwanych przez DBFO, za okres ostatnich pięciu lat. O wynikach prowadzonej weryfikacji na bieżąco informować organ nadzorujący DBFO, w szczególności w przypadku ujawnienia kolejnych nieprawidłowości."</w:t>
      </w:r>
    </w:p>
  </w:footnote>
  <w:footnote w:id="6">
    <w:p w14:paraId="70EE5757" w14:textId="77777777" w:rsidR="00060275" w:rsidRPr="00622956" w:rsidRDefault="00744DEF" w:rsidP="009E74A1">
      <w:pPr>
        <w:pStyle w:val="Footnote1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 xml:space="preserve"> 714 894,60 zł (662 063,62 zł „wynagrodzenia", 6 000,00 zł „świadczenia", 46 830,98 zł „potrącenia").</w:t>
      </w:r>
    </w:p>
  </w:footnote>
  <w:footnote w:id="7">
    <w:p w14:paraId="70EE5758" w14:textId="77777777" w:rsidR="00060275" w:rsidRPr="00622956" w:rsidRDefault="00744DEF" w:rsidP="009E74A1">
      <w:pPr>
        <w:pStyle w:val="Footnote1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>1216,10 zł „wynagrodzenia".</w:t>
      </w:r>
    </w:p>
  </w:footnote>
  <w:footnote w:id="8">
    <w:p w14:paraId="70EE5759" w14:textId="454ACF47" w:rsidR="00060275" w:rsidRPr="00622956" w:rsidRDefault="003366B3" w:rsidP="009E74A1">
      <w:pPr>
        <w:pStyle w:val="Footnote1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="00744DEF" w:rsidRPr="00622956">
        <w:rPr>
          <w:rFonts w:asciiTheme="minorHAnsi" w:hAnsiTheme="minorHAnsi" w:cstheme="minorHAnsi"/>
          <w:sz w:val="22"/>
          <w:szCs w:val="22"/>
        </w:rPr>
        <w:t>11894,61 zł „wynagrodzenia".</w:t>
      </w:r>
    </w:p>
  </w:footnote>
  <w:footnote w:id="9">
    <w:p w14:paraId="70EE575A" w14:textId="77777777" w:rsidR="00060275" w:rsidRPr="00622956" w:rsidRDefault="00744DEF" w:rsidP="009E74A1">
      <w:pPr>
        <w:pStyle w:val="Footnote10"/>
        <w:shd w:val="clear" w:color="auto" w:fill="auto"/>
        <w:tabs>
          <w:tab w:val="left" w:pos="101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 xml:space="preserve">Zalecenie nr 2: „Doprowadzić do zgodności zapisy w księgach rachunkowych, w których należy ująć wyłącznie dowody stanowiące rzeczywiste koszty związane z naliczaniem 1 wypłatą wynagrodzeń zgodnie ze standardami rachunkowości, w związku z </w:t>
      </w:r>
      <w:r w:rsidRPr="0062295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22956">
        <w:rPr>
          <w:rFonts w:asciiTheme="minorHAnsi" w:hAnsiTheme="minorHAnsi" w:cstheme="minorHAnsi"/>
          <w:sz w:val="22"/>
          <w:szCs w:val="22"/>
        </w:rPr>
        <w:t xml:space="preserve">2 ust. 1 pkt 5 ustawy z dnia 29 września 1994 r. o rachunkowości, </w:t>
      </w:r>
      <w:r w:rsidRPr="0062295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22956">
        <w:rPr>
          <w:rFonts w:asciiTheme="minorHAnsi" w:hAnsiTheme="minorHAnsi" w:cstheme="minorHAnsi"/>
          <w:sz w:val="22"/>
          <w:szCs w:val="22"/>
        </w:rPr>
        <w:t>40 ust. 1 ustawy z dnia 27 sierpnia 2009 r. o finansach publicznych."</w:t>
      </w:r>
    </w:p>
  </w:footnote>
  <w:footnote w:id="10">
    <w:p w14:paraId="70EE575B" w14:textId="77777777" w:rsidR="00060275" w:rsidRDefault="00744DEF" w:rsidP="009E74A1">
      <w:pPr>
        <w:pStyle w:val="Footnote10"/>
        <w:shd w:val="clear" w:color="auto" w:fill="auto"/>
        <w:tabs>
          <w:tab w:val="left" w:pos="168"/>
        </w:tabs>
        <w:spacing w:before="20" w:after="20" w:line="240" w:lineRule="auto"/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W 2019 roku kwota 9 086,66 zł, w 2020 roku 18 516,15 zł.</w:t>
      </w:r>
    </w:p>
  </w:footnote>
  <w:footnote w:id="11">
    <w:p w14:paraId="70EE575C" w14:textId="77777777" w:rsidR="00060275" w:rsidRPr="00622956" w:rsidRDefault="00744DEF" w:rsidP="009E74A1">
      <w:pPr>
        <w:pStyle w:val="Footnote1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>0114-KD!P3-2.4011.593.2021.1.AK, UNP: 1461283 z dnia 12 października 2021 r.</w:t>
      </w:r>
    </w:p>
  </w:footnote>
  <w:footnote w:id="12">
    <w:p w14:paraId="47289C94" w14:textId="0C43CF23" w:rsidR="003366B3" w:rsidRPr="00622956" w:rsidRDefault="003366B3" w:rsidP="009E74A1">
      <w:pPr>
        <w:pStyle w:val="Footnote10"/>
        <w:shd w:val="clear" w:color="auto" w:fill="auto"/>
        <w:spacing w:before="20" w:after="20" w:line="240" w:lineRule="auto"/>
        <w:ind w:right="-849"/>
        <w:rPr>
          <w:rFonts w:asciiTheme="minorHAnsi" w:hAnsiTheme="minorHAnsi" w:cstheme="minorHAnsi"/>
          <w:sz w:val="22"/>
          <w:szCs w:val="22"/>
        </w:rPr>
      </w:pPr>
      <w:r w:rsidRPr="0059036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>Zalecenie nr 3: „Ustalić kwoty naliczonych i przekazanych składek do Zakładu Ubezpieczeń Społecznych oraz zaliczek na podatek dochodowy od osób fizycznych do urzędu skarbowego, od nieuprawnionych wypłat wynagrodzeń. Dokonać stosownych korekt deklaracji oraz doprowadzić do rozliczeń z tego tytułu z ww. organami."</w:t>
      </w:r>
    </w:p>
  </w:footnote>
  <w:footnote w:id="13">
    <w:p w14:paraId="70EE575E" w14:textId="77777777" w:rsidR="00060275" w:rsidRPr="00622956" w:rsidRDefault="00744DEF" w:rsidP="009E74A1">
      <w:pPr>
        <w:pStyle w:val="Footnote10"/>
        <w:shd w:val="clear" w:color="auto" w:fill="auto"/>
        <w:tabs>
          <w:tab w:val="left" w:pos="182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Zarząd Dzielnicy Praga-Północ m.st. Warszawy.</w:t>
      </w:r>
    </w:p>
  </w:footnote>
  <w:footnote w:id="14">
    <w:p w14:paraId="70EE575F" w14:textId="77777777" w:rsidR="00060275" w:rsidRPr="00622956" w:rsidRDefault="00744DEF" w:rsidP="009E74A1">
      <w:pPr>
        <w:pStyle w:val="Footnote10"/>
        <w:shd w:val="clear" w:color="auto" w:fill="auto"/>
        <w:tabs>
          <w:tab w:val="left" w:pos="163"/>
        </w:tabs>
        <w:spacing w:before="20" w:after="20" w:line="240" w:lineRule="auto"/>
        <w:ind w:right="-424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Zalecenie nr 4: „W porozumieniu ze Skarbnikiem m.st. Warszawy oraz organem nadzorującym DBFO, dokonać stosownych korekt sprawozdań finansowych oraz sprawozdań z wykonania procesów rozdysponowania środków publicznych".</w:t>
      </w:r>
    </w:p>
  </w:footnote>
  <w:footnote w:id="15">
    <w:p w14:paraId="70EE5760" w14:textId="77777777" w:rsidR="00060275" w:rsidRDefault="00744DEF" w:rsidP="009E74A1">
      <w:pPr>
        <w:pStyle w:val="Footnote10"/>
        <w:shd w:val="clear" w:color="auto" w:fill="auto"/>
        <w:tabs>
          <w:tab w:val="left" w:pos="163"/>
        </w:tabs>
        <w:spacing w:before="20" w:after="20" w:line="240" w:lineRule="auto"/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 xml:space="preserve">pisma z 20 kwietnia 2021 i 28 lipca 2021 r. kierowane do firmy </w:t>
      </w:r>
      <w:r w:rsidRPr="00622956">
        <w:rPr>
          <w:rFonts w:asciiTheme="minorHAnsi" w:hAnsiTheme="minorHAnsi" w:cstheme="minorHAnsi"/>
          <w:sz w:val="22"/>
          <w:szCs w:val="22"/>
          <w:lang w:val="en-US" w:eastAsia="en-US" w:bidi="en-US"/>
        </w:rPr>
        <w:t>Vulcan.</w:t>
      </w:r>
    </w:p>
  </w:footnote>
  <w:footnote w:id="16">
    <w:p w14:paraId="70EE5761" w14:textId="77777777" w:rsidR="00060275" w:rsidRPr="00622956" w:rsidRDefault="00744DEF" w:rsidP="009E74A1">
      <w:pPr>
        <w:pStyle w:val="Footnote10"/>
        <w:pBdr>
          <w:top w:val="single" w:sz="4" w:space="1" w:color="auto"/>
        </w:pBdr>
        <w:shd w:val="clear" w:color="auto" w:fill="auto"/>
        <w:tabs>
          <w:tab w:val="left" w:pos="197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Dz. U. z 2023 r., poz. 120 ze zm.</w:t>
      </w:r>
    </w:p>
  </w:footnote>
  <w:footnote w:id="17">
    <w:p w14:paraId="70EE5763" w14:textId="6747CB05" w:rsidR="00060275" w:rsidRPr="00622956" w:rsidRDefault="00744DEF" w:rsidP="009E74A1">
      <w:pPr>
        <w:pStyle w:val="Footnote10"/>
        <w:shd w:val="clear" w:color="auto" w:fill="auto"/>
        <w:tabs>
          <w:tab w:val="left" w:pos="192"/>
        </w:tabs>
        <w:spacing w:before="20" w:after="20" w:line="240" w:lineRule="auto"/>
        <w:ind w:right="-849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 xml:space="preserve">Zalecenie nr 1: „Zapewnić prawidłowe funkcjonowanie systemów informatycznych, w których prowadzone są księgi rachunkowe DBFO, zgodnie z wymogami określonymi w ustawie o rachunkowości, w szczególności w </w:t>
      </w:r>
      <w:r w:rsidRPr="0062295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22956">
        <w:rPr>
          <w:rFonts w:asciiTheme="minorHAnsi" w:hAnsiTheme="minorHAnsi" w:cstheme="minorHAnsi"/>
          <w:sz w:val="22"/>
          <w:szCs w:val="22"/>
        </w:rPr>
        <w:t xml:space="preserve">71 - </w:t>
      </w:r>
      <w:r w:rsidRPr="0062295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22956">
        <w:rPr>
          <w:rFonts w:asciiTheme="minorHAnsi" w:hAnsiTheme="minorHAnsi" w:cstheme="minorHAnsi"/>
          <w:sz w:val="22"/>
          <w:szCs w:val="22"/>
        </w:rPr>
        <w:t xml:space="preserve">73 ustawy". Zalecenie nr 2: „Wyeliminować możliwość tworzenia w systemach/programach dokumentów finansowych, które nie spełniają wymogów określonych w </w:t>
      </w:r>
      <w:r w:rsidRPr="0062295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22956">
        <w:rPr>
          <w:rFonts w:asciiTheme="minorHAnsi" w:hAnsiTheme="minorHAnsi" w:cstheme="minorHAnsi"/>
          <w:sz w:val="22"/>
          <w:szCs w:val="22"/>
        </w:rPr>
        <w:t xml:space="preserve">22 ust. 1 i </w:t>
      </w:r>
      <w:r w:rsidRPr="0062295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22956">
        <w:rPr>
          <w:rFonts w:asciiTheme="minorHAnsi" w:hAnsiTheme="minorHAnsi" w:cstheme="minorHAnsi"/>
          <w:sz w:val="22"/>
          <w:szCs w:val="22"/>
        </w:rPr>
        <w:t>23 ust. 1 ustawy</w:t>
      </w:r>
      <w:r w:rsidR="00D330F4">
        <w:rPr>
          <w:rFonts w:asciiTheme="minorHAnsi" w:hAnsiTheme="minorHAnsi" w:cstheme="minorHAnsi"/>
          <w:sz w:val="22"/>
          <w:szCs w:val="22"/>
        </w:rPr>
        <w:t xml:space="preserve"> </w:t>
      </w:r>
      <w:r w:rsidRPr="00622956">
        <w:rPr>
          <w:rFonts w:asciiTheme="minorHAnsi" w:hAnsiTheme="minorHAnsi" w:cstheme="minorHAnsi"/>
          <w:sz w:val="22"/>
          <w:szCs w:val="22"/>
        </w:rPr>
        <w:t>o rachunkowości."</w:t>
      </w:r>
    </w:p>
  </w:footnote>
  <w:footnote w:id="18">
    <w:p w14:paraId="70EE5765" w14:textId="39272F0E" w:rsidR="00060275" w:rsidRPr="00622956" w:rsidRDefault="00744DEF" w:rsidP="009E74A1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right="-849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 xml:space="preserve">zarządzenie nr </w:t>
      </w:r>
      <w:r w:rsidRPr="0062295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13/2021 </w:t>
      </w:r>
      <w:r w:rsidRPr="00622956">
        <w:rPr>
          <w:rFonts w:asciiTheme="minorHAnsi" w:hAnsiTheme="minorHAnsi" w:cstheme="minorHAnsi"/>
          <w:sz w:val="22"/>
          <w:szCs w:val="22"/>
        </w:rPr>
        <w:t xml:space="preserve">z dnia 31 marca 2021 r. w sprawie zmian w przyjętej polityce (zasadach) rachunkowości oraz wprowadzenia tekstu jednolitego polityki (zasad) rachunkowości w Dzielnicowym Biurze Finansów Oświaty Praga-Północ m.st. Warszawy - zmiana załącznika nr 6 do zarządzenia nr </w:t>
      </w:r>
      <w:r w:rsidRPr="0062295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13/2016 </w:t>
      </w:r>
      <w:r w:rsidRPr="00622956">
        <w:rPr>
          <w:rFonts w:asciiTheme="minorHAnsi" w:hAnsiTheme="minorHAnsi" w:cstheme="minorHAnsi"/>
          <w:sz w:val="22"/>
          <w:szCs w:val="22"/>
        </w:rPr>
        <w:t>z dnia</w:t>
      </w:r>
      <w:r w:rsidR="00D330F4">
        <w:rPr>
          <w:rFonts w:asciiTheme="minorHAnsi" w:hAnsiTheme="minorHAnsi" w:cstheme="minorHAnsi"/>
          <w:sz w:val="22"/>
          <w:szCs w:val="22"/>
        </w:rPr>
        <w:t xml:space="preserve"> 5 </w:t>
      </w:r>
      <w:r w:rsidRPr="00622956">
        <w:rPr>
          <w:rFonts w:asciiTheme="minorHAnsi" w:hAnsiTheme="minorHAnsi" w:cstheme="minorHAnsi"/>
          <w:sz w:val="22"/>
          <w:szCs w:val="22"/>
        </w:rPr>
        <w:t>września 2016 r. Instrukcja kontroli finansowej i obiegu dokumentów finansowo-księgowych.</w:t>
      </w:r>
    </w:p>
  </w:footnote>
  <w:footnote w:id="19">
    <w:p w14:paraId="70EE5766" w14:textId="77777777" w:rsidR="00060275" w:rsidRPr="00622956" w:rsidRDefault="00744DEF" w:rsidP="009E74A1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ind w:right="380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Zakres prac i osoby odpowiedzialne wskazano w załączniku nr 2 do Instrukcji kontroli finansowej i obiegu dokumentów finansowo-księgowych.</w:t>
      </w:r>
    </w:p>
  </w:footnote>
  <w:footnote w:id="20">
    <w:p w14:paraId="70EE5767" w14:textId="77777777" w:rsidR="00060275" w:rsidRPr="00622956" w:rsidRDefault="00744DEF" w:rsidP="009E74A1">
      <w:pPr>
        <w:pStyle w:val="Footnote10"/>
        <w:shd w:val="clear" w:color="auto" w:fill="auto"/>
        <w:tabs>
          <w:tab w:val="left" w:pos="202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§ 14 ust. 1 pkt 11 i pkt 12 instrukcja kontroli finansowej i obiegu dokumentów finansowo-księgowych.</w:t>
      </w:r>
    </w:p>
  </w:footnote>
  <w:footnote w:id="21">
    <w:p w14:paraId="70EE5768" w14:textId="77777777" w:rsidR="00060275" w:rsidRPr="00622956" w:rsidRDefault="00744DEF" w:rsidP="009E74A1">
      <w:pPr>
        <w:pStyle w:val="Footnote10"/>
        <w:shd w:val="clear" w:color="auto" w:fill="auto"/>
        <w:tabs>
          <w:tab w:val="left" w:pos="187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 xml:space="preserve">Znak </w:t>
      </w:r>
      <w:r w:rsidRPr="00622956">
        <w:rPr>
          <w:rFonts w:asciiTheme="minorHAnsi" w:hAnsiTheme="minorHAnsi" w:cstheme="minorHAnsi"/>
          <w:sz w:val="22"/>
          <w:szCs w:val="22"/>
          <w:lang w:val="en-US" w:eastAsia="en-US" w:bidi="en-US"/>
        </w:rPr>
        <w:t>UD-VII-DBF0.0911.2.2021.MZI (2.MZI.UD-VII-DBFO)</w:t>
      </w:r>
    </w:p>
  </w:footnote>
  <w:footnote w:id="22">
    <w:p w14:paraId="70EE5769" w14:textId="77777777" w:rsidR="00060275" w:rsidRPr="00622956" w:rsidRDefault="00744DEF" w:rsidP="009E74A1">
      <w:pPr>
        <w:pStyle w:val="Footnote10"/>
        <w:shd w:val="clear" w:color="auto" w:fill="auto"/>
        <w:tabs>
          <w:tab w:val="left" w:pos="158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Zespół Szkół nr 14, Szkoła Podstawowa nr 50 im. Królowej Jadwigi i Przedszkole nr 186.</w:t>
      </w:r>
    </w:p>
  </w:footnote>
  <w:footnote w:id="23">
    <w:p w14:paraId="70EE576A" w14:textId="77777777" w:rsidR="00060275" w:rsidRDefault="00744DEF" w:rsidP="009E74A1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right="880"/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wynagrodzenie zasadnicze nauczycieli i obsługi, wynagrodzenie za godziny ponadliczbowe, nagrody jubileuszowe, dodatki za wychowawstwo, zapomogi losowe, ekwiwalent urlopowy.</w:t>
      </w:r>
    </w:p>
  </w:footnote>
  <w:footnote w:id="24">
    <w:p w14:paraId="70EE576C" w14:textId="05323016" w:rsidR="00060275" w:rsidRPr="00622956" w:rsidRDefault="00744DEF" w:rsidP="009E74A1">
      <w:pPr>
        <w:pStyle w:val="Footnote10"/>
        <w:shd w:val="clear" w:color="auto" w:fill="auto"/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 xml:space="preserve"> Zalecenie nr 3: „Określić i wdrożyć zasady obiegu i kontroli dokumentów, w szczególności związane z naliczaniem i wypłatą wynagrodzeń, które ustalą ścieżkę sporządzania, zatwierdzania i kontroli dokumentów, zapewniając kontrolę następczą każdego zdarzenia gospodarczego i finansowego".</w:t>
      </w:r>
      <w:r w:rsidR="00D330F4">
        <w:rPr>
          <w:rFonts w:asciiTheme="minorHAnsi" w:hAnsiTheme="minorHAnsi" w:cstheme="minorHAnsi"/>
          <w:sz w:val="22"/>
          <w:szCs w:val="22"/>
        </w:rPr>
        <w:t xml:space="preserve"> </w:t>
      </w:r>
      <w:r w:rsidRPr="00622956">
        <w:rPr>
          <w:rFonts w:asciiTheme="minorHAnsi" w:hAnsiTheme="minorHAnsi" w:cstheme="minorHAnsi"/>
          <w:sz w:val="22"/>
          <w:szCs w:val="22"/>
        </w:rPr>
        <w:t xml:space="preserve">Zalecenie nr 4: „Przestrzegać wewnętrznie określonych zasad w Zarządzeniu nr </w:t>
      </w:r>
      <w:r w:rsidRPr="0062295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33/2020 </w:t>
      </w:r>
      <w:r w:rsidRPr="00622956">
        <w:rPr>
          <w:rFonts w:asciiTheme="minorHAnsi" w:hAnsiTheme="minorHAnsi" w:cstheme="minorHAnsi"/>
          <w:sz w:val="22"/>
          <w:szCs w:val="22"/>
        </w:rPr>
        <w:t>Dyrektora DBFO z dnia 31.12.2020 r. w sprawie wprowadzenia zmian w przyjętej polityce rachunkowości oraz wprowadzenia tekstu jednolitego dokumentów polityki (zasad) rachunkowości w Dzielnicowym Biurze Finansów Oświaty Praga Północ m.st. Warszawy".</w:t>
      </w:r>
    </w:p>
  </w:footnote>
  <w:footnote w:id="25">
    <w:p w14:paraId="70EE576D" w14:textId="77777777" w:rsidR="00060275" w:rsidRDefault="00744DEF" w:rsidP="009E74A1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Z określeniem liczby uczniów w oddziałach przedszkolnych, z orzeczeniem o potrzebie kształcenia specjalnego, z orzeczeniem o potrzebie kształcenia specjalnego w klasach integracyjnych oraz uczestniczących w zajęciach rewalidacyjno-wychowawczych.</w:t>
      </w:r>
    </w:p>
  </w:footnote>
  <w:footnote w:id="26">
    <w:p w14:paraId="70EE576E" w14:textId="77777777" w:rsidR="00060275" w:rsidRPr="00622956" w:rsidRDefault="00744DEF" w:rsidP="009E74A1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 xml:space="preserve">Uchwała nr </w:t>
      </w:r>
      <w:r w:rsidRPr="0062295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LXXIX/2554/2023 </w:t>
      </w:r>
      <w:r w:rsidRPr="00622956">
        <w:rPr>
          <w:rFonts w:asciiTheme="minorHAnsi" w:hAnsiTheme="minorHAnsi" w:cstheme="minorHAnsi"/>
          <w:sz w:val="22"/>
          <w:szCs w:val="22"/>
        </w:rPr>
        <w:t>Rady m.st. Warszawy z 9 marca 2023 r. w sprawie zamian w budżecie miasta stołecznego warszawy na 2023 rok.</w:t>
      </w:r>
    </w:p>
  </w:footnote>
  <w:footnote w:id="27">
    <w:p w14:paraId="70EE576F" w14:textId="77777777" w:rsidR="00060275" w:rsidRPr="00622956" w:rsidRDefault="00744DEF" w:rsidP="009E74A1">
      <w:pPr>
        <w:pStyle w:val="Footnote10"/>
        <w:shd w:val="clear" w:color="auto" w:fill="auto"/>
        <w:tabs>
          <w:tab w:val="left" w:pos="173"/>
        </w:tabs>
        <w:spacing w:before="20" w:after="20" w:line="240" w:lineRule="auto"/>
        <w:ind w:right="180"/>
        <w:rPr>
          <w:rFonts w:asciiTheme="minorHAnsi" w:hAnsiTheme="minorHAnsi" w:cstheme="minorHAnsi"/>
          <w:sz w:val="22"/>
          <w:szCs w:val="22"/>
        </w:rPr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 xml:space="preserve">Zarządzenia Prezydenta m.st. Warszawy w sprawie zmian w budżecie miasta stołecznego Warszawy na 2023 rok, zmian w planie finansowym zadań z zakresu administracji rządowej oraz innych zadań zleconych ustawami miastu stołecznemu Warszawie na 2023 rok i zmian w pianie wydatków Urzędu Miasta Stołecznego Warszawy na 2023 rok: nr </w:t>
      </w:r>
      <w:r w:rsidRPr="0062295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65/2023 </w:t>
      </w:r>
      <w:r w:rsidRPr="00622956">
        <w:rPr>
          <w:rFonts w:asciiTheme="minorHAnsi" w:hAnsiTheme="minorHAnsi" w:cstheme="minorHAnsi"/>
          <w:sz w:val="22"/>
          <w:szCs w:val="22"/>
        </w:rPr>
        <w:t xml:space="preserve">z 16 stycznia 2023 r., nr </w:t>
      </w:r>
      <w:r w:rsidRPr="0062295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623/2023 </w:t>
      </w:r>
      <w:r w:rsidRPr="00622956">
        <w:rPr>
          <w:rFonts w:asciiTheme="minorHAnsi" w:hAnsiTheme="minorHAnsi" w:cstheme="minorHAnsi"/>
          <w:sz w:val="22"/>
          <w:szCs w:val="22"/>
        </w:rPr>
        <w:t xml:space="preserve">z 30 marca 2023, nr </w:t>
      </w:r>
      <w:r w:rsidRPr="0062295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713/2023 </w:t>
      </w:r>
      <w:r w:rsidRPr="00622956">
        <w:rPr>
          <w:rFonts w:asciiTheme="minorHAnsi" w:hAnsiTheme="minorHAnsi" w:cstheme="minorHAnsi"/>
          <w:sz w:val="22"/>
          <w:szCs w:val="22"/>
        </w:rPr>
        <w:t xml:space="preserve">z 19 kwietnia 2023 r., nr </w:t>
      </w:r>
      <w:r w:rsidRPr="0062295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982/2023 </w:t>
      </w:r>
      <w:r w:rsidRPr="00622956">
        <w:rPr>
          <w:rFonts w:asciiTheme="minorHAnsi" w:hAnsiTheme="minorHAnsi" w:cstheme="minorHAnsi"/>
          <w:sz w:val="22"/>
          <w:szCs w:val="22"/>
        </w:rPr>
        <w:t xml:space="preserve">z 6 czerwca 2023, nr </w:t>
      </w:r>
      <w:r w:rsidRPr="00622956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1144/2023 </w:t>
      </w:r>
      <w:r w:rsidRPr="00622956">
        <w:rPr>
          <w:rFonts w:asciiTheme="minorHAnsi" w:hAnsiTheme="minorHAnsi" w:cstheme="minorHAnsi"/>
          <w:sz w:val="22"/>
          <w:szCs w:val="22"/>
        </w:rPr>
        <w:t>z 29 czerwca 2023 r.</w:t>
      </w:r>
    </w:p>
  </w:footnote>
  <w:footnote w:id="28">
    <w:p w14:paraId="70EE5770" w14:textId="77777777" w:rsidR="00060275" w:rsidRPr="0025421B" w:rsidRDefault="00744DEF" w:rsidP="009E74A1">
      <w:pPr>
        <w:pStyle w:val="Footnote20"/>
        <w:shd w:val="clear" w:color="auto" w:fill="auto"/>
        <w:tabs>
          <w:tab w:val="left" w:pos="192"/>
        </w:tabs>
        <w:spacing w:before="20" w:after="20"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5421B">
        <w:rPr>
          <w:rFonts w:asciiTheme="minorHAnsi" w:hAnsiTheme="minorHAnsi" w:cstheme="minorHAnsi"/>
          <w:b w:val="0"/>
          <w:sz w:val="22"/>
          <w:szCs w:val="22"/>
          <w:vertAlign w:val="superscript"/>
        </w:rPr>
        <w:footnoteRef/>
      </w:r>
      <w:r w:rsidRPr="0025421B">
        <w:rPr>
          <w:rFonts w:asciiTheme="minorHAnsi" w:hAnsiTheme="minorHAnsi" w:cstheme="minorHAnsi"/>
          <w:b w:val="0"/>
          <w:sz w:val="22"/>
          <w:szCs w:val="22"/>
        </w:rPr>
        <w:tab/>
      </w:r>
      <w:r w:rsidRPr="0025421B">
        <w:rPr>
          <w:rFonts w:asciiTheme="minorHAnsi" w:hAnsiTheme="minorHAnsi" w:cstheme="minorHAnsi"/>
          <w:b w:val="0"/>
          <w:sz w:val="22"/>
          <w:szCs w:val="22"/>
          <w:lang w:val="en-US" w:eastAsia="en-US" w:bidi="en-US"/>
        </w:rPr>
        <w:t xml:space="preserve">art. </w:t>
      </w:r>
      <w:r w:rsidRPr="0025421B">
        <w:rPr>
          <w:rFonts w:asciiTheme="minorHAnsi" w:hAnsiTheme="minorHAnsi" w:cstheme="minorHAnsi"/>
          <w:b w:val="0"/>
          <w:sz w:val="22"/>
          <w:szCs w:val="22"/>
        </w:rPr>
        <w:t>20 ust. 2 pkt 3 ustawy z dnia 29 września 1994 r. o rachunkowości.</w:t>
      </w:r>
    </w:p>
  </w:footnote>
  <w:footnote w:id="29">
    <w:p w14:paraId="70EE5771" w14:textId="38C39674" w:rsidR="00060275" w:rsidRDefault="00744DEF" w:rsidP="009E74A1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right="420"/>
      </w:pPr>
      <w:r w:rsidRPr="00622956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22956">
        <w:rPr>
          <w:rFonts w:asciiTheme="minorHAnsi" w:hAnsiTheme="minorHAnsi" w:cstheme="minorHAnsi"/>
          <w:sz w:val="22"/>
          <w:szCs w:val="22"/>
        </w:rPr>
        <w:tab/>
        <w:t>Użycie kwalifikowanego podpisu elektronicznego oznacza realizację wymogu "pisemności" - podpis elektroniczny lub pieczęć elektron</w:t>
      </w:r>
      <w:r w:rsidR="001C46F1">
        <w:rPr>
          <w:rFonts w:asciiTheme="minorHAnsi" w:hAnsiTheme="minorHAnsi" w:cstheme="minorHAnsi"/>
          <w:sz w:val="22"/>
          <w:szCs w:val="22"/>
        </w:rPr>
        <w:t>iczna weryfikowane za pomocą cer</w:t>
      </w:r>
      <w:r w:rsidRPr="00622956">
        <w:rPr>
          <w:rFonts w:asciiTheme="minorHAnsi" w:hAnsiTheme="minorHAnsi" w:cstheme="minorHAnsi"/>
          <w:sz w:val="22"/>
          <w:szCs w:val="22"/>
        </w:rPr>
        <w:t xml:space="preserve">tyfikatu wywołują skutki prawne, jeżeli zostały złożone w okresie ważności tego certyfikatu </w:t>
      </w:r>
      <w:r w:rsidRPr="00622956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[art. </w:t>
      </w:r>
      <w:r w:rsidRPr="00622956">
        <w:rPr>
          <w:rFonts w:asciiTheme="minorHAnsi" w:hAnsiTheme="minorHAnsi" w:cstheme="minorHAnsi"/>
          <w:sz w:val="22"/>
          <w:szCs w:val="22"/>
        </w:rPr>
        <w:t>18 ust. 1 ustawy z 5 września 2016 r. o usługach zaufania oraz identyfikacji elektronicznej (Dz.U. z 2021 r. poz. 1797 ze zm.}].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73A0" w14:textId="290DB052" w:rsidR="00744DEF" w:rsidRPr="001C46F1" w:rsidRDefault="001C46F1" w:rsidP="001C46F1">
    <w:pPr>
      <w:pStyle w:val="Nagwek"/>
    </w:pPr>
    <w:r>
      <w:rPr>
        <w:noProof/>
      </w:rPr>
      <w:drawing>
        <wp:inline distT="0" distB="0" distL="0" distR="0" wp14:anchorId="0D320E03" wp14:editId="5D9AC312">
          <wp:extent cx="5671820" cy="1065342"/>
          <wp:effectExtent l="0" t="0" r="5080" b="1905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1820" cy="1065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506"/>
    <w:multiLevelType w:val="multilevel"/>
    <w:tmpl w:val="5FDE477C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317A8C"/>
    <w:multiLevelType w:val="multilevel"/>
    <w:tmpl w:val="5B7AEFA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344C3"/>
    <w:multiLevelType w:val="multilevel"/>
    <w:tmpl w:val="704A3B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982844"/>
    <w:multiLevelType w:val="multilevel"/>
    <w:tmpl w:val="0B8416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BA714E"/>
    <w:multiLevelType w:val="multilevel"/>
    <w:tmpl w:val="FF3E8AD8"/>
    <w:lvl w:ilvl="0">
      <w:start w:val="202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AD6793"/>
    <w:multiLevelType w:val="multilevel"/>
    <w:tmpl w:val="98B497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5473739">
    <w:abstractNumId w:val="0"/>
  </w:num>
  <w:num w:numId="2" w16cid:durableId="1864124836">
    <w:abstractNumId w:val="4"/>
  </w:num>
  <w:num w:numId="3" w16cid:durableId="1788811946">
    <w:abstractNumId w:val="2"/>
  </w:num>
  <w:num w:numId="4" w16cid:durableId="612903392">
    <w:abstractNumId w:val="5"/>
  </w:num>
  <w:num w:numId="5" w16cid:durableId="702167629">
    <w:abstractNumId w:val="3"/>
  </w:num>
  <w:num w:numId="6" w16cid:durableId="1712612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75"/>
    <w:rsid w:val="00060275"/>
    <w:rsid w:val="00132D4F"/>
    <w:rsid w:val="001C46F1"/>
    <w:rsid w:val="0025421B"/>
    <w:rsid w:val="003366B3"/>
    <w:rsid w:val="003670F9"/>
    <w:rsid w:val="004F6062"/>
    <w:rsid w:val="00590366"/>
    <w:rsid w:val="00622956"/>
    <w:rsid w:val="00744DEF"/>
    <w:rsid w:val="008F7A6B"/>
    <w:rsid w:val="009E74A1"/>
    <w:rsid w:val="00A03761"/>
    <w:rsid w:val="00A63352"/>
    <w:rsid w:val="00D3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EE5708"/>
  <w15:docId w15:val="{15D82FED-BC9A-48DE-9489-68576ABB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Footnote195ptBoldItalic">
    <w:name w:val="Footnote|1 + 9.5 pt;Bold;Italic"/>
    <w:basedOn w:val="Footnote1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Footnote2">
    <w:name w:val="Footnote|2_"/>
    <w:basedOn w:val="Domylnaczcionkaakapitu"/>
    <w:link w:val="Footnote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485ptNotBold">
    <w:name w:val="Body text|4 + 8.5 pt;Not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Exact">
    <w:name w:val="Heading #1|1 Exact"/>
    <w:basedOn w:val="Domylnaczcionkaakapitu"/>
    <w:link w:val="Heading11"/>
    <w:rPr>
      <w:rFonts w:ascii="Arial" w:eastAsia="Arial" w:hAnsi="Arial" w:cs="Arial"/>
      <w:b/>
      <w:bCs/>
      <w:i w:val="0"/>
      <w:iCs w:val="0"/>
      <w:smallCaps w:val="0"/>
      <w:strike w:val="0"/>
      <w:w w:val="70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95ptBoldItalic">
    <w:name w:val="Body text|5 + 9.5 pt;Bold;Italic"/>
    <w:basedOn w:val="Bodytext5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1">
    <w:name w:val="Body text|4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B04D33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6">
    <w:name w:val="Body text|6_"/>
    <w:basedOn w:val="Domylnaczcionkaakapitu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1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B04D33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62">
    <w:name w:val="Body text|6"/>
    <w:basedOn w:val="Bodytext6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BD6A5E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 w:eastAsia="pl-PL" w:bidi="pl-PL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Heading12">
    <w:name w:val="Heading #1|2_"/>
    <w:basedOn w:val="Domylnaczcionkaakapitu"/>
    <w:link w:val="Heading1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Heading12105ptNotBoldItalicSpacing1pt">
    <w:name w:val="Heading #1|2 + 10.5 pt;Not Bold;Italic;Spacing 1 pt"/>
    <w:basedOn w:val="Heading12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30" w:lineRule="exact"/>
    </w:pPr>
    <w:rPr>
      <w:rFonts w:ascii="Arial" w:eastAsia="Arial" w:hAnsi="Arial" w:cs="Arial"/>
      <w:sz w:val="17"/>
      <w:szCs w:val="17"/>
    </w:rPr>
  </w:style>
  <w:style w:type="paragraph" w:customStyle="1" w:styleId="Footnote20">
    <w:name w:val="Footnote|2"/>
    <w:basedOn w:val="Normalny"/>
    <w:link w:val="Footnote2"/>
    <w:pPr>
      <w:shd w:val="clear" w:color="auto" w:fill="FFFFFF"/>
      <w:spacing w:line="235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1">
    <w:name w:val="Heading #1|1"/>
    <w:basedOn w:val="Normalny"/>
    <w:link w:val="Heading11Exact"/>
    <w:qFormat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  <w:w w:val="70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  <w:lang w:val="ru-RU" w:eastAsia="ru-RU" w:bidi="ru-RU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line="322" w:lineRule="exact"/>
      <w:ind w:hanging="460"/>
    </w:pPr>
    <w:rPr>
      <w:rFonts w:ascii="Arial" w:eastAsia="Arial" w:hAnsi="Arial" w:cs="Arial"/>
      <w:sz w:val="17"/>
      <w:szCs w:val="17"/>
    </w:rPr>
  </w:style>
  <w:style w:type="paragraph" w:customStyle="1" w:styleId="Bodytext60">
    <w:name w:val="Body text|6"/>
    <w:basedOn w:val="Normalny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120">
    <w:name w:val="Heading #1|2"/>
    <w:basedOn w:val="Normalny"/>
    <w:link w:val="Heading12"/>
    <w:pPr>
      <w:shd w:val="clear" w:color="auto" w:fill="FFFFFF"/>
      <w:spacing w:before="120" w:line="268" w:lineRule="exact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4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4DE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44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4D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2451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8</cp:revision>
  <dcterms:created xsi:type="dcterms:W3CDTF">2024-01-16T08:57:00Z</dcterms:created>
  <dcterms:modified xsi:type="dcterms:W3CDTF">2024-08-20T08:26:00Z</dcterms:modified>
</cp:coreProperties>
</file>