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9BF5" w14:textId="5783E5EB" w:rsidR="00B327B7" w:rsidRPr="00C15195" w:rsidRDefault="00390E70" w:rsidP="00C15195">
      <w:pPr>
        <w:spacing w:before="120" w:after="240" w:line="300" w:lineRule="auto"/>
        <w:ind w:left="5670"/>
        <w:rPr>
          <w:rFonts w:asciiTheme="minorHAnsi" w:hAnsiTheme="minorHAnsi" w:cstheme="minorHAnsi"/>
          <w:color w:val="000000"/>
          <w:sz w:val="22"/>
          <w:szCs w:val="22"/>
        </w:rPr>
      </w:pPr>
      <w:r w:rsidRPr="00C15195">
        <w:rPr>
          <w:rFonts w:asciiTheme="minorHAnsi" w:hAnsiTheme="minorHAnsi" w:cstheme="minorHAnsi"/>
          <w:color w:val="000000"/>
          <w:sz w:val="22"/>
          <w:szCs w:val="22"/>
        </w:rPr>
        <w:t>Warszawa,</w:t>
      </w:r>
      <w:r w:rsidR="00ED1907" w:rsidRPr="00C15195">
        <w:rPr>
          <w:rFonts w:asciiTheme="minorHAnsi" w:hAnsiTheme="minorHAnsi" w:cstheme="minorHAnsi"/>
          <w:color w:val="000000"/>
          <w:sz w:val="22"/>
          <w:szCs w:val="22"/>
        </w:rPr>
        <w:t xml:space="preserve"> 16 </w:t>
      </w:r>
      <w:r w:rsidR="00935050" w:rsidRPr="00C15195">
        <w:rPr>
          <w:rFonts w:asciiTheme="minorHAnsi" w:hAnsiTheme="minorHAnsi" w:cstheme="minorHAnsi"/>
          <w:color w:val="000000"/>
          <w:sz w:val="22"/>
          <w:szCs w:val="22"/>
        </w:rPr>
        <w:t>października</w:t>
      </w:r>
      <w:r w:rsidR="00A46C89" w:rsidRPr="00C15195">
        <w:rPr>
          <w:rFonts w:asciiTheme="minorHAnsi" w:hAnsiTheme="minorHAnsi" w:cstheme="minorHAnsi"/>
          <w:color w:val="000000"/>
          <w:sz w:val="22"/>
          <w:szCs w:val="22"/>
        </w:rPr>
        <w:t xml:space="preserve"> 2024</w:t>
      </w:r>
      <w:r w:rsidRPr="00C15195">
        <w:rPr>
          <w:rFonts w:asciiTheme="minorHAnsi" w:hAnsiTheme="minorHAnsi" w:cstheme="minorHAnsi"/>
          <w:color w:val="000000"/>
          <w:sz w:val="22"/>
          <w:szCs w:val="22"/>
        </w:rPr>
        <w:t xml:space="preserve"> r.</w:t>
      </w:r>
    </w:p>
    <w:p w14:paraId="58FAF293" w14:textId="77777777" w:rsidR="00390E70" w:rsidRPr="00C15195" w:rsidRDefault="003275FC" w:rsidP="00C15195">
      <w:pPr>
        <w:spacing w:before="120" w:after="240" w:line="300" w:lineRule="auto"/>
        <w:rPr>
          <w:rFonts w:asciiTheme="minorHAnsi" w:hAnsiTheme="minorHAnsi" w:cstheme="minorHAnsi"/>
          <w:b/>
          <w:color w:val="000000"/>
          <w:sz w:val="22"/>
          <w:szCs w:val="22"/>
        </w:rPr>
      </w:pPr>
      <w:r w:rsidRPr="00C15195">
        <w:rPr>
          <w:rFonts w:asciiTheme="minorHAnsi" w:hAnsiTheme="minorHAnsi" w:cstheme="minorHAnsi"/>
          <w:b/>
          <w:color w:val="000000"/>
          <w:sz w:val="22"/>
          <w:szCs w:val="22"/>
        </w:rPr>
        <w:t xml:space="preserve">znak sprawy: </w:t>
      </w:r>
      <w:r w:rsidR="00246F4A" w:rsidRPr="00C15195">
        <w:rPr>
          <w:rFonts w:asciiTheme="minorHAnsi" w:hAnsiTheme="minorHAnsi" w:cstheme="minorHAnsi"/>
          <w:b/>
          <w:color w:val="000000"/>
          <w:sz w:val="22"/>
          <w:szCs w:val="22"/>
        </w:rPr>
        <w:t>KW-WGF.1712.</w:t>
      </w:r>
      <w:r w:rsidR="00210632" w:rsidRPr="00C15195">
        <w:rPr>
          <w:rFonts w:asciiTheme="minorHAnsi" w:hAnsiTheme="minorHAnsi" w:cstheme="minorHAnsi"/>
          <w:b/>
          <w:color w:val="000000"/>
          <w:sz w:val="22"/>
          <w:szCs w:val="22"/>
        </w:rPr>
        <w:t>39</w:t>
      </w:r>
      <w:r w:rsidR="00284DAB" w:rsidRPr="00C15195">
        <w:rPr>
          <w:rFonts w:asciiTheme="minorHAnsi" w:hAnsiTheme="minorHAnsi" w:cstheme="minorHAnsi"/>
          <w:b/>
          <w:color w:val="000000"/>
          <w:sz w:val="22"/>
          <w:szCs w:val="22"/>
        </w:rPr>
        <w:t>.202</w:t>
      </w:r>
      <w:r w:rsidR="00CF1930" w:rsidRPr="00C15195">
        <w:rPr>
          <w:rFonts w:asciiTheme="minorHAnsi" w:hAnsiTheme="minorHAnsi" w:cstheme="minorHAnsi"/>
          <w:b/>
          <w:color w:val="000000"/>
          <w:sz w:val="22"/>
          <w:szCs w:val="22"/>
        </w:rPr>
        <w:t>4</w:t>
      </w:r>
      <w:r w:rsidR="00D21956" w:rsidRPr="00C15195">
        <w:rPr>
          <w:rFonts w:asciiTheme="minorHAnsi" w:hAnsiTheme="minorHAnsi" w:cstheme="minorHAnsi"/>
          <w:b/>
          <w:color w:val="000000"/>
          <w:sz w:val="22"/>
          <w:szCs w:val="22"/>
        </w:rPr>
        <w:t>.AML</w:t>
      </w:r>
    </w:p>
    <w:p w14:paraId="2E38D2CF" w14:textId="77777777" w:rsidR="00EC282B" w:rsidRPr="00C15195" w:rsidRDefault="00210632" w:rsidP="00C15195">
      <w:pPr>
        <w:pStyle w:val="Poleadresowe"/>
        <w:spacing w:after="680" w:line="300" w:lineRule="auto"/>
        <w:ind w:left="4961"/>
        <w:rPr>
          <w:rFonts w:cstheme="minorHAnsi"/>
          <w:b/>
          <w:szCs w:val="22"/>
        </w:rPr>
      </w:pPr>
      <w:r w:rsidRPr="00C15195">
        <w:rPr>
          <w:rFonts w:cstheme="minorHAnsi"/>
          <w:b/>
          <w:szCs w:val="22"/>
        </w:rPr>
        <w:t xml:space="preserve">Pan </w:t>
      </w:r>
    </w:p>
    <w:p w14:paraId="54FC2E22" w14:textId="77777777" w:rsidR="00210632" w:rsidRPr="00C15195" w:rsidRDefault="00210632" w:rsidP="00C15195">
      <w:pPr>
        <w:pStyle w:val="Poleadresowe"/>
        <w:spacing w:after="680" w:line="300" w:lineRule="auto"/>
        <w:ind w:left="4961"/>
        <w:rPr>
          <w:rFonts w:cstheme="minorHAnsi"/>
          <w:b/>
          <w:szCs w:val="22"/>
        </w:rPr>
      </w:pPr>
      <w:r w:rsidRPr="00C15195">
        <w:rPr>
          <w:rFonts w:cstheme="minorHAnsi"/>
          <w:b/>
          <w:szCs w:val="22"/>
        </w:rPr>
        <w:t>Aleksander Ferens</w:t>
      </w:r>
    </w:p>
    <w:p w14:paraId="6982AD82" w14:textId="77777777" w:rsidR="00210632" w:rsidRPr="00C15195" w:rsidRDefault="00210632" w:rsidP="00C15195">
      <w:pPr>
        <w:pStyle w:val="Poleadresowe"/>
        <w:spacing w:after="680" w:line="300" w:lineRule="auto"/>
        <w:ind w:left="4961"/>
        <w:rPr>
          <w:rFonts w:cstheme="minorHAnsi"/>
          <w:b/>
          <w:szCs w:val="22"/>
        </w:rPr>
      </w:pPr>
      <w:r w:rsidRPr="00C15195">
        <w:rPr>
          <w:rFonts w:cstheme="minorHAnsi"/>
          <w:b/>
          <w:szCs w:val="22"/>
        </w:rPr>
        <w:t>Burmistrz Dzielnicy Śródmieście</w:t>
      </w:r>
    </w:p>
    <w:p w14:paraId="5547484A" w14:textId="77777777" w:rsidR="00210632" w:rsidRPr="00C15195" w:rsidRDefault="00210632" w:rsidP="00C15195">
      <w:pPr>
        <w:pStyle w:val="Poleadresowe"/>
        <w:spacing w:after="680" w:line="300" w:lineRule="auto"/>
        <w:ind w:left="4961"/>
        <w:rPr>
          <w:rFonts w:cstheme="minorHAnsi"/>
          <w:b/>
          <w:szCs w:val="22"/>
        </w:rPr>
      </w:pPr>
      <w:r w:rsidRPr="00C15195">
        <w:rPr>
          <w:rFonts w:cstheme="minorHAnsi"/>
          <w:b/>
          <w:szCs w:val="22"/>
        </w:rPr>
        <w:t>m.st. Warszawy</w:t>
      </w:r>
    </w:p>
    <w:p w14:paraId="2AAD2696" w14:textId="77777777" w:rsidR="00B327B7" w:rsidRPr="00C15195" w:rsidRDefault="002636D6" w:rsidP="00C15195">
      <w:pPr>
        <w:pStyle w:val="Nagwek1"/>
        <w:spacing w:before="120" w:after="240" w:line="300" w:lineRule="auto"/>
        <w:ind w:left="3686"/>
        <w:rPr>
          <w:rFonts w:asciiTheme="minorHAnsi" w:hAnsiTheme="minorHAnsi" w:cstheme="minorHAnsi"/>
          <w:sz w:val="22"/>
          <w:szCs w:val="22"/>
        </w:rPr>
      </w:pPr>
      <w:r w:rsidRPr="00C15195">
        <w:rPr>
          <w:rFonts w:asciiTheme="minorHAnsi" w:hAnsiTheme="minorHAnsi" w:cstheme="minorHAnsi"/>
          <w:sz w:val="22"/>
          <w:szCs w:val="22"/>
        </w:rPr>
        <w:t>Wystąpienie pokontrolne</w:t>
      </w:r>
    </w:p>
    <w:p w14:paraId="4FAE0AF4" w14:textId="5B59AE84" w:rsidR="00B327B7" w:rsidRPr="00C15195" w:rsidRDefault="00B9672D" w:rsidP="00C15195">
      <w:pPr>
        <w:tabs>
          <w:tab w:val="left" w:pos="0"/>
        </w:tabs>
        <w:spacing w:before="120" w:after="240" w:line="300" w:lineRule="auto"/>
        <w:rPr>
          <w:rFonts w:asciiTheme="minorHAnsi" w:hAnsiTheme="minorHAnsi" w:cstheme="minorHAnsi"/>
          <w:iCs/>
          <w:sz w:val="22"/>
          <w:szCs w:val="22"/>
        </w:rPr>
      </w:pPr>
      <w:r w:rsidRPr="00C15195">
        <w:rPr>
          <w:rFonts w:asciiTheme="minorHAnsi" w:hAnsiTheme="minorHAnsi" w:cstheme="minorHAnsi"/>
          <w:iCs/>
          <w:sz w:val="22"/>
          <w:szCs w:val="22"/>
        </w:rPr>
        <w:t>Na podstawie § 22 ust. 10 Regulaminu organizacyjnego Urzędu m.st. Warszawy, stanowi</w:t>
      </w:r>
      <w:r w:rsidR="00EC282B" w:rsidRPr="00C15195">
        <w:rPr>
          <w:rFonts w:asciiTheme="minorHAnsi" w:hAnsiTheme="minorHAnsi" w:cstheme="minorHAnsi"/>
          <w:iCs/>
          <w:sz w:val="22"/>
          <w:szCs w:val="22"/>
        </w:rPr>
        <w:t>ącego załącznik do zarządzenia n</w:t>
      </w:r>
      <w:r w:rsidRPr="00C15195">
        <w:rPr>
          <w:rFonts w:asciiTheme="minorHAnsi" w:hAnsiTheme="minorHAnsi" w:cstheme="minorHAnsi"/>
          <w:iCs/>
          <w:sz w:val="22"/>
          <w:szCs w:val="22"/>
        </w:rPr>
        <w:t xml:space="preserve">r 312/2007 Prezydenta m.st. Warszawy z dnia 4 kwietnia 2007 r. w sprawie nadania regulaminu organizacyjnego Urzędu m.st. Warszawy (ze zm.), </w:t>
      </w:r>
      <w:r w:rsidRPr="00C15195">
        <w:rPr>
          <w:rFonts w:asciiTheme="minorHAnsi" w:hAnsiTheme="minorHAnsi" w:cstheme="minorHAnsi"/>
          <w:sz w:val="22"/>
          <w:szCs w:val="22"/>
        </w:rPr>
        <w:t xml:space="preserve">w związku </w:t>
      </w:r>
      <w:r w:rsidRPr="00C15195">
        <w:rPr>
          <w:rFonts w:asciiTheme="minorHAnsi" w:hAnsiTheme="minorHAnsi" w:cstheme="minorHAnsi"/>
          <w:iCs/>
          <w:sz w:val="22"/>
          <w:szCs w:val="22"/>
        </w:rPr>
        <w:t>kontrolą przeprowadzoną przez Biuro Kontroli Urzędu m.st. Warszawy w</w:t>
      </w:r>
      <w:r w:rsidRPr="00C15195">
        <w:rPr>
          <w:rFonts w:asciiTheme="minorHAnsi" w:hAnsiTheme="minorHAnsi" w:cstheme="minorHAnsi"/>
          <w:sz w:val="22"/>
          <w:szCs w:val="22"/>
        </w:rPr>
        <w:t xml:space="preserve"> </w:t>
      </w:r>
      <w:r w:rsidRPr="00C15195">
        <w:rPr>
          <w:rFonts w:asciiTheme="minorHAnsi" w:hAnsiTheme="minorHAnsi" w:cstheme="minorHAnsi"/>
          <w:iCs/>
          <w:sz w:val="22"/>
          <w:szCs w:val="22"/>
        </w:rPr>
        <w:t>Urzędzie Dzielni</w:t>
      </w:r>
      <w:r w:rsidR="00EC282B" w:rsidRPr="00C15195">
        <w:rPr>
          <w:rFonts w:asciiTheme="minorHAnsi" w:hAnsiTheme="minorHAnsi" w:cstheme="minorHAnsi"/>
          <w:iCs/>
          <w:sz w:val="22"/>
          <w:szCs w:val="22"/>
        </w:rPr>
        <w:t xml:space="preserve">cy Śródmieście m.st. Warszawy, </w:t>
      </w:r>
      <w:r w:rsidRPr="00C15195">
        <w:rPr>
          <w:rFonts w:asciiTheme="minorHAnsi" w:hAnsiTheme="minorHAnsi" w:cstheme="minorHAnsi"/>
          <w:iCs/>
          <w:sz w:val="22"/>
          <w:szCs w:val="22"/>
        </w:rPr>
        <w:t>w okresie od 25 czerwca 2024 r. do 10 lipca 202</w:t>
      </w:r>
      <w:r w:rsidR="00EC282B" w:rsidRPr="00C15195">
        <w:rPr>
          <w:rFonts w:asciiTheme="minorHAnsi" w:hAnsiTheme="minorHAnsi" w:cstheme="minorHAnsi"/>
          <w:iCs/>
          <w:sz w:val="22"/>
          <w:szCs w:val="22"/>
        </w:rPr>
        <w:t>4 r., w zakresie „Przestrzegania</w:t>
      </w:r>
      <w:r w:rsidRPr="00C15195">
        <w:rPr>
          <w:rFonts w:asciiTheme="minorHAnsi" w:hAnsiTheme="minorHAnsi" w:cstheme="minorHAnsi"/>
          <w:iCs/>
          <w:sz w:val="22"/>
          <w:szCs w:val="22"/>
        </w:rPr>
        <w:t xml:space="preserve"> Regulaminu windykacji należności m.st. Warszawy w Urzędzie Dzielnicy Śródmieście m.st Warszawy w odniesieniu do opłat za przekształcenie prawa użytkowania wieczystego w prawo własności” </w:t>
      </w:r>
      <w:r w:rsidR="00A77528" w:rsidRPr="00C15195">
        <w:rPr>
          <w:rFonts w:asciiTheme="minorHAnsi" w:hAnsiTheme="minorHAnsi" w:cstheme="minorHAnsi"/>
          <w:iCs/>
          <w:sz w:val="22"/>
          <w:szCs w:val="22"/>
        </w:rPr>
        <w:t>za okres</w:t>
      </w:r>
      <w:r w:rsidRPr="00C15195">
        <w:rPr>
          <w:rFonts w:asciiTheme="minorHAnsi" w:hAnsiTheme="minorHAnsi" w:cstheme="minorHAnsi"/>
          <w:iCs/>
          <w:sz w:val="22"/>
          <w:szCs w:val="22"/>
        </w:rPr>
        <w:t xml:space="preserve"> od 1 stycznia 2023 r. do 31 grudnia 2023 r., której wyniki zostały przedstawione w protokole kontroli podpisanym 25 lipca 2024 r.,</w:t>
      </w:r>
      <w:r w:rsidR="00B327B7" w:rsidRPr="00C15195">
        <w:rPr>
          <w:rFonts w:asciiTheme="minorHAnsi" w:hAnsiTheme="minorHAnsi" w:cstheme="minorHAnsi"/>
          <w:sz w:val="22"/>
          <w:szCs w:val="22"/>
        </w:rPr>
        <w:t xml:space="preserve"> </w:t>
      </w:r>
      <w:r w:rsidR="003F2F2C" w:rsidRPr="00C15195">
        <w:rPr>
          <w:rFonts w:asciiTheme="minorHAnsi" w:hAnsiTheme="minorHAnsi" w:cstheme="minorHAnsi"/>
          <w:sz w:val="22"/>
          <w:szCs w:val="22"/>
        </w:rPr>
        <w:t xml:space="preserve">stosownie do </w:t>
      </w:r>
      <w:r w:rsidR="00CF7C7F" w:rsidRPr="00C15195">
        <w:rPr>
          <w:rFonts w:asciiTheme="minorHAnsi" w:hAnsiTheme="minorHAnsi" w:cstheme="minorHAnsi"/>
          <w:iCs/>
          <w:sz w:val="22"/>
          <w:szCs w:val="22"/>
        </w:rPr>
        <w:t xml:space="preserve">§ 39 ust. 1 i ust. 2 </w:t>
      </w:r>
      <w:r w:rsidR="007C795F" w:rsidRPr="00C15195">
        <w:rPr>
          <w:rFonts w:asciiTheme="minorHAnsi" w:hAnsiTheme="minorHAnsi" w:cstheme="minorHAnsi"/>
          <w:sz w:val="22"/>
          <w:szCs w:val="22"/>
        </w:rPr>
        <w:t>z</w:t>
      </w:r>
      <w:r w:rsidR="00B327B7" w:rsidRPr="00C15195">
        <w:rPr>
          <w:rFonts w:asciiTheme="minorHAnsi" w:hAnsiTheme="minorHAnsi" w:cstheme="minorHAnsi"/>
          <w:sz w:val="22"/>
          <w:szCs w:val="22"/>
        </w:rPr>
        <w:t>arządzenia nr</w:t>
      </w:r>
      <w:r w:rsidR="007C795F" w:rsidRPr="00C15195">
        <w:rPr>
          <w:rFonts w:asciiTheme="minorHAnsi" w:hAnsiTheme="minorHAnsi" w:cstheme="minorHAnsi"/>
          <w:sz w:val="22"/>
          <w:szCs w:val="22"/>
        </w:rPr>
        <w:t xml:space="preserve"> </w:t>
      </w:r>
      <w:r w:rsidR="00390E70" w:rsidRPr="00C15195">
        <w:rPr>
          <w:rFonts w:asciiTheme="minorHAnsi" w:hAnsiTheme="minorHAnsi" w:cstheme="minorHAnsi"/>
          <w:sz w:val="22"/>
          <w:szCs w:val="22"/>
        </w:rPr>
        <w:t>1837/2019</w:t>
      </w:r>
      <w:r w:rsidR="00B327B7" w:rsidRPr="00C15195">
        <w:rPr>
          <w:rFonts w:asciiTheme="minorHAnsi" w:hAnsiTheme="minorHAnsi" w:cstheme="minorHAnsi"/>
          <w:sz w:val="22"/>
          <w:szCs w:val="22"/>
        </w:rPr>
        <w:t xml:space="preserve"> Prezydenta </w:t>
      </w:r>
      <w:r w:rsidR="00A77528" w:rsidRPr="00C15195">
        <w:rPr>
          <w:rFonts w:asciiTheme="minorHAnsi" w:hAnsiTheme="minorHAnsi" w:cstheme="minorHAnsi"/>
          <w:sz w:val="22"/>
          <w:szCs w:val="22"/>
        </w:rPr>
        <w:t>m.s</w:t>
      </w:r>
      <w:r w:rsidR="007C795F" w:rsidRPr="00C15195">
        <w:rPr>
          <w:rFonts w:asciiTheme="minorHAnsi" w:hAnsiTheme="minorHAnsi" w:cstheme="minorHAnsi"/>
          <w:sz w:val="22"/>
          <w:szCs w:val="22"/>
        </w:rPr>
        <w:t>t</w:t>
      </w:r>
      <w:r w:rsidR="00A77528" w:rsidRPr="00C15195">
        <w:rPr>
          <w:rFonts w:asciiTheme="minorHAnsi" w:hAnsiTheme="minorHAnsi" w:cstheme="minorHAnsi"/>
          <w:sz w:val="22"/>
          <w:szCs w:val="22"/>
        </w:rPr>
        <w:t>.</w:t>
      </w:r>
      <w:r w:rsidR="00B327B7" w:rsidRPr="00C15195">
        <w:rPr>
          <w:rFonts w:asciiTheme="minorHAnsi" w:hAnsiTheme="minorHAnsi" w:cstheme="minorHAnsi"/>
          <w:sz w:val="22"/>
          <w:szCs w:val="22"/>
        </w:rPr>
        <w:t xml:space="preserve"> Warszawy z dnia</w:t>
      </w:r>
      <w:r w:rsidR="00390E70" w:rsidRPr="00C15195">
        <w:rPr>
          <w:rFonts w:asciiTheme="minorHAnsi" w:hAnsiTheme="minorHAnsi" w:cstheme="minorHAnsi"/>
          <w:sz w:val="22"/>
          <w:szCs w:val="22"/>
        </w:rPr>
        <w:t xml:space="preserve"> 12 grudnia 2019 r.</w:t>
      </w:r>
      <w:r w:rsidR="00B327B7" w:rsidRPr="00C15195">
        <w:rPr>
          <w:rFonts w:asciiTheme="minorHAnsi" w:hAnsiTheme="minorHAnsi" w:cstheme="minorHAnsi"/>
          <w:sz w:val="22"/>
          <w:szCs w:val="22"/>
        </w:rPr>
        <w:t xml:space="preserve"> </w:t>
      </w:r>
      <w:r w:rsidR="00353244" w:rsidRPr="00C15195">
        <w:rPr>
          <w:rFonts w:asciiTheme="minorHAnsi" w:hAnsiTheme="minorHAnsi" w:cstheme="minorHAnsi"/>
          <w:sz w:val="22"/>
          <w:szCs w:val="22"/>
        </w:rPr>
        <w:t>w </w:t>
      </w:r>
      <w:r w:rsidR="00BD1D8D" w:rsidRPr="00C15195">
        <w:rPr>
          <w:rFonts w:asciiTheme="minorHAnsi" w:hAnsiTheme="minorHAnsi" w:cstheme="minorHAnsi"/>
          <w:sz w:val="22"/>
          <w:szCs w:val="22"/>
        </w:rPr>
        <w:t>sprawie zasad i </w:t>
      </w:r>
      <w:r w:rsidR="00B327B7" w:rsidRPr="00C15195">
        <w:rPr>
          <w:rFonts w:asciiTheme="minorHAnsi" w:hAnsiTheme="minorHAnsi" w:cstheme="minorHAnsi"/>
          <w:sz w:val="22"/>
          <w:szCs w:val="22"/>
        </w:rPr>
        <w:t>trybu postępowania kontrolnego (zwanego dalej</w:t>
      </w:r>
      <w:r w:rsidR="00246F4A" w:rsidRPr="00C15195">
        <w:rPr>
          <w:rFonts w:asciiTheme="minorHAnsi" w:hAnsiTheme="minorHAnsi" w:cstheme="minorHAnsi"/>
          <w:sz w:val="22"/>
          <w:szCs w:val="22"/>
        </w:rPr>
        <w:t>: Zarządzeniem),</w:t>
      </w:r>
      <w:r w:rsidR="00CF7C7F" w:rsidRPr="00C15195">
        <w:rPr>
          <w:rFonts w:asciiTheme="minorHAnsi" w:hAnsiTheme="minorHAnsi" w:cstheme="minorHAnsi"/>
          <w:sz w:val="22"/>
          <w:szCs w:val="22"/>
        </w:rPr>
        <w:t xml:space="preserve"> w zawiązku z zaakceptowaniem przez Pana stanowiska Biura Kontroli w sprawie złożonych zastrzeżeń do projektu wystąpienia</w:t>
      </w:r>
      <w:r w:rsidR="00743771" w:rsidRPr="00C15195">
        <w:rPr>
          <w:rFonts w:asciiTheme="minorHAnsi" w:hAnsiTheme="minorHAnsi" w:cstheme="minorHAnsi"/>
          <w:sz w:val="22"/>
          <w:szCs w:val="22"/>
        </w:rPr>
        <w:t xml:space="preserve"> pokontrolnego</w:t>
      </w:r>
      <w:r w:rsidR="00CF7C7F" w:rsidRPr="00C15195">
        <w:rPr>
          <w:rFonts w:asciiTheme="minorHAnsi" w:hAnsiTheme="minorHAnsi" w:cstheme="minorHAnsi"/>
          <w:sz w:val="22"/>
          <w:szCs w:val="22"/>
        </w:rPr>
        <w:t>,</w:t>
      </w:r>
      <w:r w:rsidR="00246F4A" w:rsidRPr="00C15195">
        <w:rPr>
          <w:rFonts w:asciiTheme="minorHAnsi" w:hAnsiTheme="minorHAnsi" w:cstheme="minorHAnsi"/>
          <w:sz w:val="22"/>
          <w:szCs w:val="22"/>
        </w:rPr>
        <w:t xml:space="preserve"> przekazuję Pan</w:t>
      </w:r>
      <w:r w:rsidR="006964A1" w:rsidRPr="00C15195">
        <w:rPr>
          <w:rFonts w:asciiTheme="minorHAnsi" w:hAnsiTheme="minorHAnsi" w:cstheme="minorHAnsi"/>
          <w:sz w:val="22"/>
          <w:szCs w:val="22"/>
        </w:rPr>
        <w:t>u</w:t>
      </w:r>
      <w:r w:rsidR="007C795F" w:rsidRPr="00C15195">
        <w:rPr>
          <w:rFonts w:asciiTheme="minorHAnsi" w:hAnsiTheme="minorHAnsi" w:cstheme="minorHAnsi"/>
          <w:sz w:val="22"/>
          <w:szCs w:val="22"/>
        </w:rPr>
        <w:t xml:space="preserve"> </w:t>
      </w:r>
      <w:r w:rsidR="00C3183D" w:rsidRPr="00C15195">
        <w:rPr>
          <w:rFonts w:asciiTheme="minorHAnsi" w:hAnsiTheme="minorHAnsi" w:cstheme="minorHAnsi"/>
          <w:sz w:val="22"/>
          <w:szCs w:val="22"/>
        </w:rPr>
        <w:t xml:space="preserve">Burmistrzowi </w:t>
      </w:r>
      <w:r w:rsidR="002636D6" w:rsidRPr="00C15195">
        <w:rPr>
          <w:rFonts w:asciiTheme="minorHAnsi" w:hAnsiTheme="minorHAnsi" w:cstheme="minorHAnsi"/>
          <w:sz w:val="22"/>
          <w:szCs w:val="22"/>
        </w:rPr>
        <w:t>niniejsze wystąpienie pokontrolne</w:t>
      </w:r>
      <w:r w:rsidR="00B327B7" w:rsidRPr="00C15195">
        <w:rPr>
          <w:rFonts w:asciiTheme="minorHAnsi" w:hAnsiTheme="minorHAnsi" w:cstheme="minorHAnsi"/>
          <w:sz w:val="22"/>
          <w:szCs w:val="22"/>
        </w:rPr>
        <w:t>.</w:t>
      </w:r>
    </w:p>
    <w:p w14:paraId="62E710E6" w14:textId="58DCD5BD" w:rsidR="00AE311B" w:rsidRPr="00C15195" w:rsidRDefault="00A85073" w:rsidP="00C15195">
      <w:pPr>
        <w:pStyle w:val="Tekstpodstawowy"/>
        <w:spacing w:before="120" w:after="240" w:line="300" w:lineRule="auto"/>
        <w:rPr>
          <w:rFonts w:asciiTheme="minorHAnsi" w:hAnsiTheme="minorHAnsi" w:cstheme="minorHAnsi"/>
          <w:sz w:val="22"/>
          <w:szCs w:val="22"/>
          <w:lang w:bidi="pl-PL"/>
        </w:rPr>
      </w:pPr>
      <w:r w:rsidRPr="00C15195">
        <w:rPr>
          <w:rFonts w:asciiTheme="minorHAnsi" w:hAnsiTheme="minorHAnsi" w:cstheme="minorHAnsi"/>
          <w:sz w:val="22"/>
          <w:szCs w:val="22"/>
          <w:lang w:bidi="pl-PL"/>
        </w:rPr>
        <w:t xml:space="preserve">Opłaty za </w:t>
      </w:r>
      <w:r w:rsidRPr="00C15195">
        <w:rPr>
          <w:rFonts w:asciiTheme="minorHAnsi" w:hAnsiTheme="minorHAnsi" w:cstheme="minorHAnsi"/>
          <w:sz w:val="22"/>
          <w:szCs w:val="22"/>
        </w:rPr>
        <w:t>przekształcenie prawa użytkowania wieczystego gruntów zabudowanych na cele mieszkaniowe w prawo własności tych gruntów są pobierane na podstawie ustaw</w:t>
      </w:r>
      <w:r w:rsidR="00B9672D" w:rsidRPr="00C15195">
        <w:rPr>
          <w:rFonts w:asciiTheme="minorHAnsi" w:hAnsiTheme="minorHAnsi" w:cstheme="minorHAnsi"/>
          <w:sz w:val="22"/>
          <w:szCs w:val="22"/>
        </w:rPr>
        <w:t xml:space="preserve">y z 20 lipca </w:t>
      </w:r>
      <w:r w:rsidRPr="00C15195">
        <w:rPr>
          <w:rFonts w:asciiTheme="minorHAnsi" w:hAnsiTheme="minorHAnsi" w:cstheme="minorHAnsi"/>
          <w:sz w:val="22"/>
          <w:szCs w:val="22"/>
        </w:rPr>
        <w:t>2018 r. o przekształceniu prawa użytkowania wieczystego gruntów zabudowanych na cele mieszkaniowe w prawo własności tych gruntów</w:t>
      </w:r>
      <w:r w:rsidRPr="00C15195">
        <w:rPr>
          <w:rStyle w:val="Odwoanieprzypisudolnego"/>
          <w:rFonts w:asciiTheme="minorHAnsi" w:hAnsiTheme="minorHAnsi" w:cstheme="minorHAnsi"/>
          <w:sz w:val="22"/>
          <w:szCs w:val="22"/>
        </w:rPr>
        <w:footnoteReference w:id="1"/>
      </w:r>
      <w:r w:rsidR="00D22A9B" w:rsidRPr="00C15195">
        <w:rPr>
          <w:rFonts w:asciiTheme="minorHAnsi" w:hAnsiTheme="minorHAnsi" w:cstheme="minorHAnsi"/>
          <w:sz w:val="22"/>
          <w:szCs w:val="22"/>
        </w:rPr>
        <w:t xml:space="preserve"> (dalej</w:t>
      </w:r>
      <w:r w:rsidR="00C3183D" w:rsidRPr="00C15195">
        <w:rPr>
          <w:rFonts w:asciiTheme="minorHAnsi" w:hAnsiTheme="minorHAnsi" w:cstheme="minorHAnsi"/>
          <w:sz w:val="22"/>
          <w:szCs w:val="22"/>
        </w:rPr>
        <w:t>:</w:t>
      </w:r>
      <w:r w:rsidR="00D22A9B" w:rsidRPr="00C15195">
        <w:rPr>
          <w:rFonts w:asciiTheme="minorHAnsi" w:hAnsiTheme="minorHAnsi" w:cstheme="minorHAnsi"/>
          <w:sz w:val="22"/>
          <w:szCs w:val="22"/>
        </w:rPr>
        <w:t xml:space="preserve"> ustawa przekształceniowa z 2018 r.) oraz ustawy z </w:t>
      </w:r>
      <w:r w:rsidR="00B9672D" w:rsidRPr="00C15195">
        <w:rPr>
          <w:rFonts w:asciiTheme="minorHAnsi" w:hAnsiTheme="minorHAnsi" w:cstheme="minorHAnsi"/>
          <w:sz w:val="22"/>
          <w:szCs w:val="22"/>
        </w:rPr>
        <w:t xml:space="preserve">29 lipca </w:t>
      </w:r>
      <w:r w:rsidRPr="00C15195">
        <w:rPr>
          <w:rFonts w:asciiTheme="minorHAnsi" w:hAnsiTheme="minorHAnsi" w:cstheme="minorHAnsi"/>
          <w:sz w:val="22"/>
          <w:szCs w:val="22"/>
        </w:rPr>
        <w:t>2005 r. o przekształceniu prawa użytkowania wieczystego w prawo własności nieruchomości</w:t>
      </w:r>
      <w:r w:rsidRPr="00C15195">
        <w:rPr>
          <w:rStyle w:val="Odwoanieprzypisudolnego"/>
          <w:rFonts w:asciiTheme="minorHAnsi" w:hAnsiTheme="minorHAnsi" w:cstheme="minorHAnsi"/>
          <w:sz w:val="22"/>
          <w:szCs w:val="22"/>
        </w:rPr>
        <w:footnoteReference w:id="2"/>
      </w:r>
      <w:r w:rsidR="00821B0B" w:rsidRPr="00C15195">
        <w:rPr>
          <w:rFonts w:asciiTheme="minorHAnsi" w:hAnsiTheme="minorHAnsi" w:cstheme="minorHAnsi"/>
          <w:sz w:val="22"/>
          <w:szCs w:val="22"/>
        </w:rPr>
        <w:t xml:space="preserve"> (dalej: ustawa przekształceniowa z 2005 r.)</w:t>
      </w:r>
      <w:r w:rsidRPr="00C15195">
        <w:rPr>
          <w:rFonts w:asciiTheme="minorHAnsi" w:hAnsiTheme="minorHAnsi" w:cstheme="minorHAnsi"/>
          <w:sz w:val="22"/>
          <w:szCs w:val="22"/>
        </w:rPr>
        <w:t>.</w:t>
      </w:r>
    </w:p>
    <w:p w14:paraId="558034B9" w14:textId="2B00924C" w:rsidR="0055459C" w:rsidRPr="00C15195" w:rsidRDefault="008166D7" w:rsidP="00C15195">
      <w:pPr>
        <w:pStyle w:val="Tekstpodstawowy"/>
        <w:spacing w:before="120" w:after="240" w:line="300" w:lineRule="auto"/>
        <w:rPr>
          <w:rFonts w:asciiTheme="minorHAnsi" w:hAnsiTheme="minorHAnsi" w:cstheme="minorHAnsi"/>
          <w:sz w:val="22"/>
          <w:szCs w:val="22"/>
          <w:lang w:bidi="pl-PL"/>
        </w:rPr>
      </w:pPr>
      <w:r w:rsidRPr="00C15195">
        <w:rPr>
          <w:rFonts w:asciiTheme="minorHAnsi" w:hAnsiTheme="minorHAnsi" w:cstheme="minorHAnsi"/>
          <w:sz w:val="22"/>
          <w:szCs w:val="22"/>
          <w:lang w:bidi="pl-PL"/>
        </w:rPr>
        <w:lastRenderedPageBreak/>
        <w:t>Zgodnie z</w:t>
      </w:r>
      <w:r w:rsidR="00273582" w:rsidRPr="00C15195">
        <w:rPr>
          <w:rFonts w:asciiTheme="minorHAnsi" w:hAnsiTheme="minorHAnsi" w:cstheme="minorHAnsi"/>
          <w:sz w:val="22"/>
          <w:szCs w:val="22"/>
          <w:lang w:bidi="pl-PL"/>
        </w:rPr>
        <w:t xml:space="preserve"> § 11a Regulaminu windykacji należności m.st. Warszawy</w:t>
      </w:r>
      <w:r w:rsidR="00323CDA" w:rsidRPr="00C15195">
        <w:rPr>
          <w:rStyle w:val="Odwoanieprzypisudolnego"/>
          <w:rFonts w:asciiTheme="minorHAnsi" w:hAnsiTheme="minorHAnsi" w:cstheme="minorHAnsi"/>
          <w:sz w:val="22"/>
          <w:szCs w:val="22"/>
          <w:lang w:bidi="pl-PL"/>
        </w:rPr>
        <w:footnoteReference w:id="3"/>
      </w:r>
      <w:r w:rsidR="00323CDA" w:rsidRPr="00C15195">
        <w:rPr>
          <w:rFonts w:asciiTheme="minorHAnsi" w:hAnsiTheme="minorHAnsi" w:cstheme="minorHAnsi"/>
          <w:sz w:val="22"/>
          <w:szCs w:val="22"/>
          <w:lang w:bidi="pl-PL"/>
        </w:rPr>
        <w:t xml:space="preserve"> (dalej</w:t>
      </w:r>
      <w:r w:rsidR="00C3183D" w:rsidRPr="00C15195">
        <w:rPr>
          <w:rFonts w:asciiTheme="minorHAnsi" w:hAnsiTheme="minorHAnsi" w:cstheme="minorHAnsi"/>
          <w:sz w:val="22"/>
          <w:szCs w:val="22"/>
          <w:lang w:bidi="pl-PL"/>
        </w:rPr>
        <w:t>:</w:t>
      </w:r>
      <w:r w:rsidR="00323CDA" w:rsidRPr="00C15195">
        <w:rPr>
          <w:rFonts w:asciiTheme="minorHAnsi" w:hAnsiTheme="minorHAnsi" w:cstheme="minorHAnsi"/>
          <w:sz w:val="22"/>
          <w:szCs w:val="22"/>
          <w:lang w:bidi="pl-PL"/>
        </w:rPr>
        <w:t xml:space="preserve"> Regulamin windykacji), który został</w:t>
      </w:r>
      <w:r w:rsidR="00273582" w:rsidRPr="00C15195">
        <w:rPr>
          <w:rFonts w:asciiTheme="minorHAnsi" w:hAnsiTheme="minorHAnsi" w:cstheme="minorHAnsi"/>
          <w:sz w:val="22"/>
          <w:szCs w:val="22"/>
          <w:lang w:bidi="pl-PL"/>
        </w:rPr>
        <w:t xml:space="preserve"> </w:t>
      </w:r>
      <w:r w:rsidR="00323CDA" w:rsidRPr="00C15195">
        <w:rPr>
          <w:rFonts w:asciiTheme="minorHAnsi" w:hAnsiTheme="minorHAnsi" w:cstheme="minorHAnsi"/>
          <w:sz w:val="22"/>
          <w:szCs w:val="22"/>
          <w:lang w:bidi="pl-PL"/>
        </w:rPr>
        <w:t>wprowadzony</w:t>
      </w:r>
      <w:r w:rsidR="00273582" w:rsidRPr="00C15195">
        <w:rPr>
          <w:rFonts w:asciiTheme="minorHAnsi" w:hAnsiTheme="minorHAnsi" w:cstheme="minorHAnsi"/>
          <w:sz w:val="22"/>
          <w:szCs w:val="22"/>
          <w:lang w:bidi="pl-PL"/>
        </w:rPr>
        <w:t xml:space="preserve"> do Regulaminu windykacji</w:t>
      </w:r>
      <w:r w:rsidR="0055459C" w:rsidRPr="00C15195">
        <w:rPr>
          <w:rFonts w:asciiTheme="minorHAnsi" w:hAnsiTheme="minorHAnsi" w:cstheme="minorHAnsi"/>
          <w:sz w:val="22"/>
          <w:szCs w:val="22"/>
          <w:lang w:bidi="pl-PL"/>
        </w:rPr>
        <w:t xml:space="preserve"> z dniem 31 marca 2022 r.</w:t>
      </w:r>
      <w:r w:rsidR="0055459C" w:rsidRPr="00C15195">
        <w:rPr>
          <w:rStyle w:val="Odwoanieprzypisudolnego"/>
          <w:rFonts w:asciiTheme="minorHAnsi" w:hAnsiTheme="minorHAnsi" w:cstheme="minorHAnsi"/>
          <w:sz w:val="22"/>
          <w:szCs w:val="22"/>
          <w:lang w:bidi="pl-PL"/>
        </w:rPr>
        <w:footnoteReference w:id="4"/>
      </w:r>
      <w:r w:rsidR="00273582" w:rsidRPr="00C15195">
        <w:rPr>
          <w:rFonts w:asciiTheme="minorHAnsi" w:hAnsiTheme="minorHAnsi" w:cstheme="minorHAnsi"/>
          <w:sz w:val="22"/>
          <w:szCs w:val="22"/>
          <w:lang w:bidi="pl-PL"/>
        </w:rPr>
        <w:t xml:space="preserve">, </w:t>
      </w:r>
      <w:r w:rsidR="00273582" w:rsidRPr="00C15195">
        <w:rPr>
          <w:rFonts w:asciiTheme="minorHAnsi" w:hAnsiTheme="minorHAnsi" w:cstheme="minorHAnsi"/>
          <w:iCs/>
          <w:sz w:val="22"/>
          <w:szCs w:val="22"/>
        </w:rPr>
        <w:t xml:space="preserve">należności </w:t>
      </w:r>
      <w:r w:rsidR="00273582" w:rsidRPr="00C15195">
        <w:rPr>
          <w:rFonts w:asciiTheme="minorHAnsi" w:hAnsiTheme="minorHAnsi" w:cstheme="minorHAnsi"/>
          <w:sz w:val="22"/>
          <w:szCs w:val="22"/>
        </w:rPr>
        <w:t>z tytułu opłat za przekształcenie prawa użytkowania wieczystego gruntów zabudowanych na cele mieszkaniowe w prawo własności tych gruntów</w:t>
      </w:r>
      <w:r w:rsidR="0055459C" w:rsidRPr="00C15195">
        <w:rPr>
          <w:rFonts w:asciiTheme="minorHAnsi" w:hAnsiTheme="minorHAnsi" w:cstheme="minorHAnsi"/>
          <w:sz w:val="22"/>
          <w:szCs w:val="22"/>
        </w:rPr>
        <w:t>,</w:t>
      </w:r>
      <w:r w:rsidR="00273582" w:rsidRPr="00C15195">
        <w:rPr>
          <w:rFonts w:asciiTheme="minorHAnsi" w:hAnsiTheme="minorHAnsi" w:cstheme="minorHAnsi"/>
          <w:iCs/>
          <w:sz w:val="22"/>
          <w:szCs w:val="22"/>
        </w:rPr>
        <w:t xml:space="preserve"> są należnościami o</w:t>
      </w:r>
      <w:r w:rsidR="0055459C" w:rsidRPr="00C15195">
        <w:rPr>
          <w:rFonts w:asciiTheme="minorHAnsi" w:hAnsiTheme="minorHAnsi" w:cstheme="minorHAnsi"/>
          <w:iCs/>
          <w:sz w:val="22"/>
          <w:szCs w:val="22"/>
        </w:rPr>
        <w:t xml:space="preserve"> charakterze cywilnoprawnym dochodzonymi</w:t>
      </w:r>
      <w:r w:rsidR="00273582" w:rsidRPr="00C15195">
        <w:rPr>
          <w:rFonts w:asciiTheme="minorHAnsi" w:hAnsiTheme="minorHAnsi" w:cstheme="minorHAnsi"/>
          <w:iCs/>
          <w:sz w:val="22"/>
          <w:szCs w:val="22"/>
        </w:rPr>
        <w:t xml:space="preserve"> na drodze egzekucji </w:t>
      </w:r>
      <w:r w:rsidRPr="00C15195">
        <w:rPr>
          <w:rFonts w:asciiTheme="minorHAnsi" w:hAnsiTheme="minorHAnsi" w:cstheme="minorHAnsi"/>
          <w:iCs/>
          <w:sz w:val="22"/>
          <w:szCs w:val="22"/>
        </w:rPr>
        <w:t>administracyjnej.</w:t>
      </w:r>
    </w:p>
    <w:p w14:paraId="32739000" w14:textId="4FF930E5" w:rsidR="00CF1930" w:rsidRPr="00C15195" w:rsidRDefault="004C36AB" w:rsidP="00C15195">
      <w:pPr>
        <w:tabs>
          <w:tab w:val="left" w:pos="7380"/>
        </w:tabs>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Zgodnie z </w:t>
      </w:r>
      <w:r w:rsidR="00323CDA" w:rsidRPr="00C15195">
        <w:rPr>
          <w:rFonts w:asciiTheme="minorHAnsi" w:hAnsiTheme="minorHAnsi" w:cstheme="minorHAnsi"/>
          <w:sz w:val="22"/>
          <w:szCs w:val="22"/>
        </w:rPr>
        <w:t xml:space="preserve">§ </w:t>
      </w:r>
      <w:r w:rsidR="00831805" w:rsidRPr="00C15195">
        <w:rPr>
          <w:rFonts w:asciiTheme="minorHAnsi" w:hAnsiTheme="minorHAnsi" w:cstheme="minorHAnsi"/>
          <w:sz w:val="22"/>
          <w:szCs w:val="22"/>
        </w:rPr>
        <w:t>92b</w:t>
      </w:r>
      <w:r w:rsidR="00323CDA" w:rsidRPr="00C15195">
        <w:rPr>
          <w:rFonts w:asciiTheme="minorHAnsi" w:hAnsiTheme="minorHAnsi" w:cstheme="minorHAnsi"/>
          <w:sz w:val="22"/>
          <w:szCs w:val="22"/>
        </w:rPr>
        <w:t xml:space="preserve"> </w:t>
      </w:r>
      <w:r w:rsidRPr="00C15195">
        <w:rPr>
          <w:rFonts w:asciiTheme="minorHAnsi" w:hAnsiTheme="minorHAnsi" w:cstheme="minorHAnsi"/>
          <w:sz w:val="22"/>
          <w:szCs w:val="22"/>
        </w:rPr>
        <w:t>pkt 9 lit. l)</w:t>
      </w:r>
      <w:r w:rsidR="005E087F" w:rsidRPr="00C15195">
        <w:rPr>
          <w:rFonts w:asciiTheme="minorHAnsi" w:hAnsiTheme="minorHAnsi" w:cstheme="minorHAnsi"/>
          <w:sz w:val="22"/>
          <w:szCs w:val="22"/>
        </w:rPr>
        <w:t xml:space="preserve"> </w:t>
      </w:r>
      <w:r w:rsidR="00E6160D" w:rsidRPr="00C15195">
        <w:rPr>
          <w:rFonts w:asciiTheme="minorHAnsi" w:hAnsiTheme="minorHAnsi" w:cstheme="minorHAnsi"/>
          <w:sz w:val="22"/>
          <w:szCs w:val="22"/>
        </w:rPr>
        <w:t>R</w:t>
      </w:r>
      <w:r w:rsidR="00323CDA" w:rsidRPr="00C15195">
        <w:rPr>
          <w:rFonts w:asciiTheme="minorHAnsi" w:hAnsiTheme="minorHAnsi" w:cstheme="minorHAnsi"/>
          <w:sz w:val="22"/>
          <w:szCs w:val="22"/>
        </w:rPr>
        <w:t>egulaminu organizacyjnego Dzielnicy</w:t>
      </w:r>
      <w:r w:rsidR="00A96D6A" w:rsidRPr="00C15195">
        <w:rPr>
          <w:rFonts w:asciiTheme="minorHAnsi" w:hAnsiTheme="minorHAnsi" w:cstheme="minorHAnsi"/>
          <w:sz w:val="22"/>
          <w:szCs w:val="22"/>
        </w:rPr>
        <w:t xml:space="preserve"> Śródmieście m.st. Warszawy</w:t>
      </w:r>
      <w:r w:rsidR="00B9672D" w:rsidRPr="00C15195">
        <w:rPr>
          <w:rStyle w:val="Odwoanieprzypisudolnego"/>
          <w:rFonts w:asciiTheme="minorHAnsi" w:hAnsiTheme="minorHAnsi" w:cstheme="minorHAnsi"/>
          <w:sz w:val="22"/>
          <w:szCs w:val="22"/>
        </w:rPr>
        <w:footnoteReference w:id="5"/>
      </w:r>
      <w:r w:rsidR="00B9672D" w:rsidRPr="00C15195">
        <w:rPr>
          <w:rFonts w:asciiTheme="minorHAnsi" w:hAnsiTheme="minorHAnsi" w:cstheme="minorHAnsi"/>
          <w:sz w:val="22"/>
          <w:szCs w:val="22"/>
        </w:rPr>
        <w:t xml:space="preserve"> </w:t>
      </w:r>
      <w:r w:rsidR="00A96D6A" w:rsidRPr="00C15195">
        <w:rPr>
          <w:rFonts w:asciiTheme="minorHAnsi" w:hAnsiTheme="minorHAnsi" w:cstheme="minorHAnsi"/>
          <w:sz w:val="22"/>
          <w:szCs w:val="22"/>
        </w:rPr>
        <w:t>(dalej: Dzielnica)</w:t>
      </w:r>
      <w:r w:rsidR="00831805" w:rsidRPr="00C15195">
        <w:rPr>
          <w:rFonts w:asciiTheme="minorHAnsi" w:hAnsiTheme="minorHAnsi" w:cstheme="minorHAnsi"/>
          <w:sz w:val="22"/>
          <w:szCs w:val="22"/>
        </w:rPr>
        <w:t xml:space="preserve"> </w:t>
      </w:r>
      <w:r w:rsidR="00323CDA" w:rsidRPr="00C15195">
        <w:rPr>
          <w:rFonts w:asciiTheme="minorHAnsi" w:hAnsiTheme="minorHAnsi" w:cstheme="minorHAnsi"/>
          <w:sz w:val="22"/>
          <w:szCs w:val="22"/>
        </w:rPr>
        <w:t xml:space="preserve">sprawy z zakresu przekształcenia prawa użytkowania wieczystego gruntu w prawo własności, w tym podejmowanie czynności w procesie windykacji należności </w:t>
      </w:r>
      <w:r w:rsidR="00A85073" w:rsidRPr="00C15195">
        <w:rPr>
          <w:rFonts w:asciiTheme="minorHAnsi" w:hAnsiTheme="minorHAnsi" w:cstheme="minorHAnsi"/>
          <w:sz w:val="22"/>
          <w:szCs w:val="22"/>
        </w:rPr>
        <w:t>w </w:t>
      </w:r>
      <w:r w:rsidR="00323CDA" w:rsidRPr="00C15195">
        <w:rPr>
          <w:rFonts w:asciiTheme="minorHAnsi" w:hAnsiTheme="minorHAnsi" w:cstheme="minorHAnsi"/>
          <w:sz w:val="22"/>
          <w:szCs w:val="22"/>
        </w:rPr>
        <w:t>zakresie określonym w Regulaminie windykacji</w:t>
      </w:r>
      <w:r w:rsidR="00574177" w:rsidRPr="00C15195">
        <w:rPr>
          <w:rFonts w:asciiTheme="minorHAnsi" w:hAnsiTheme="minorHAnsi" w:cstheme="minorHAnsi"/>
          <w:sz w:val="22"/>
          <w:szCs w:val="22"/>
        </w:rPr>
        <w:t xml:space="preserve"> (m.in. wystawianie tytułów wykonawczych)</w:t>
      </w:r>
      <w:r w:rsidR="00323CDA" w:rsidRPr="00C15195">
        <w:rPr>
          <w:rFonts w:asciiTheme="minorHAnsi" w:hAnsiTheme="minorHAnsi" w:cstheme="minorHAnsi"/>
          <w:sz w:val="22"/>
          <w:szCs w:val="22"/>
        </w:rPr>
        <w:t xml:space="preserve">, należą do zakresu działania Wydziału </w:t>
      </w:r>
      <w:r w:rsidR="00831805" w:rsidRPr="00C15195">
        <w:rPr>
          <w:rFonts w:asciiTheme="minorHAnsi" w:hAnsiTheme="minorHAnsi" w:cstheme="minorHAnsi"/>
          <w:sz w:val="22"/>
          <w:szCs w:val="22"/>
        </w:rPr>
        <w:t>Zarządzania Nieruchomościami</w:t>
      </w:r>
      <w:r w:rsidR="00323CDA" w:rsidRPr="00C15195">
        <w:rPr>
          <w:rFonts w:asciiTheme="minorHAnsi" w:hAnsiTheme="minorHAnsi" w:cstheme="minorHAnsi"/>
          <w:sz w:val="22"/>
          <w:szCs w:val="22"/>
        </w:rPr>
        <w:t>.</w:t>
      </w:r>
      <w:r w:rsidR="00831805" w:rsidRPr="00C15195">
        <w:rPr>
          <w:rFonts w:asciiTheme="minorHAnsi" w:hAnsiTheme="minorHAnsi" w:cstheme="minorHAnsi"/>
          <w:sz w:val="22"/>
          <w:szCs w:val="22"/>
        </w:rPr>
        <w:t xml:space="preserve"> Zgodnie z § 20</w:t>
      </w:r>
      <w:r w:rsidR="00E6160D" w:rsidRPr="00C15195">
        <w:rPr>
          <w:rFonts w:asciiTheme="minorHAnsi" w:hAnsiTheme="minorHAnsi" w:cstheme="minorHAnsi"/>
          <w:sz w:val="22"/>
          <w:szCs w:val="22"/>
        </w:rPr>
        <w:t xml:space="preserve"> </w:t>
      </w:r>
      <w:r w:rsidR="00831805" w:rsidRPr="00C15195">
        <w:rPr>
          <w:rFonts w:asciiTheme="minorHAnsi" w:hAnsiTheme="minorHAnsi" w:cstheme="minorHAnsi"/>
          <w:sz w:val="22"/>
          <w:szCs w:val="22"/>
        </w:rPr>
        <w:t>pkt 11</w:t>
      </w:r>
      <w:r w:rsidR="00E6160D" w:rsidRPr="00C15195">
        <w:rPr>
          <w:rFonts w:asciiTheme="minorHAnsi" w:hAnsiTheme="minorHAnsi" w:cstheme="minorHAnsi"/>
          <w:sz w:val="22"/>
          <w:szCs w:val="22"/>
        </w:rPr>
        <w:t xml:space="preserve"> R</w:t>
      </w:r>
      <w:r w:rsidR="00BA4725" w:rsidRPr="00C15195">
        <w:rPr>
          <w:rFonts w:asciiTheme="minorHAnsi" w:hAnsiTheme="minorHAnsi" w:cstheme="minorHAnsi"/>
          <w:sz w:val="22"/>
          <w:szCs w:val="22"/>
        </w:rPr>
        <w:t>egulaminu organizacyjnego Dzielnicy oraz § 8 i §</w:t>
      </w:r>
      <w:r w:rsidR="00574177" w:rsidRPr="00C15195">
        <w:rPr>
          <w:rFonts w:asciiTheme="minorHAnsi" w:hAnsiTheme="minorHAnsi" w:cstheme="minorHAnsi"/>
          <w:sz w:val="22"/>
          <w:szCs w:val="22"/>
        </w:rPr>
        <w:t> </w:t>
      </w:r>
      <w:r w:rsidR="00BA4725" w:rsidRPr="00C15195">
        <w:rPr>
          <w:rFonts w:asciiTheme="minorHAnsi" w:hAnsiTheme="minorHAnsi" w:cstheme="minorHAnsi"/>
          <w:sz w:val="22"/>
          <w:szCs w:val="22"/>
        </w:rPr>
        <w:t>54 Regulaminu windykacji, prowadzenie wstępnej windykacji należności m.st. Warszawy, w tym kontrola terminowej realizacji należności oraz wysyłanie upomnień, należy do zakresu działania Wydziału Budżetowo-Księgowego.</w:t>
      </w:r>
    </w:p>
    <w:p w14:paraId="30EC9EE3" w14:textId="78DFADEE" w:rsidR="000F5137" w:rsidRPr="00C15195" w:rsidRDefault="003B69FC" w:rsidP="00C15195">
      <w:pPr>
        <w:pStyle w:val="Zwykytekst"/>
        <w:spacing w:before="120" w:after="240" w:line="300" w:lineRule="auto"/>
        <w:rPr>
          <w:rFonts w:asciiTheme="minorHAnsi" w:hAnsiTheme="minorHAnsi" w:cstheme="minorHAnsi"/>
          <w:bCs/>
          <w:sz w:val="22"/>
          <w:szCs w:val="22"/>
        </w:rPr>
      </w:pPr>
      <w:r w:rsidRPr="00C15195">
        <w:rPr>
          <w:rFonts w:asciiTheme="minorHAnsi" w:hAnsiTheme="minorHAnsi" w:cstheme="minorHAnsi"/>
          <w:sz w:val="22"/>
          <w:szCs w:val="22"/>
          <w:lang w:bidi="pl-PL"/>
        </w:rPr>
        <w:t>Pan</w:t>
      </w:r>
      <w:r w:rsidR="00831805" w:rsidRPr="00C15195">
        <w:rPr>
          <w:rFonts w:asciiTheme="minorHAnsi" w:hAnsiTheme="minorHAnsi" w:cstheme="minorHAnsi"/>
          <w:bCs/>
          <w:sz w:val="22"/>
          <w:szCs w:val="22"/>
        </w:rPr>
        <w:t xml:space="preserve"> </w:t>
      </w:r>
      <w:r w:rsidRPr="00C15195">
        <w:rPr>
          <w:rFonts w:asciiTheme="minorHAnsi" w:hAnsiTheme="minorHAnsi" w:cstheme="minorHAnsi"/>
          <w:bCs/>
          <w:sz w:val="22"/>
          <w:szCs w:val="22"/>
        </w:rPr>
        <w:t>Aleksander Ferens Burmistrz</w:t>
      </w:r>
      <w:r w:rsidR="008051E9" w:rsidRPr="00C15195">
        <w:rPr>
          <w:rFonts w:asciiTheme="minorHAnsi" w:hAnsiTheme="minorHAnsi" w:cstheme="minorHAnsi"/>
          <w:bCs/>
          <w:sz w:val="22"/>
          <w:szCs w:val="22"/>
        </w:rPr>
        <w:t xml:space="preserve"> Dzielnicy </w:t>
      </w:r>
      <w:r w:rsidRPr="00C15195">
        <w:rPr>
          <w:rFonts w:asciiTheme="minorHAnsi" w:hAnsiTheme="minorHAnsi" w:cstheme="minorHAnsi"/>
          <w:bCs/>
          <w:sz w:val="22"/>
          <w:szCs w:val="22"/>
        </w:rPr>
        <w:t>w sprawie postępowania przed wprowadzeniem do Regulaminu windykacji § 11a wyjaśniał</w:t>
      </w:r>
      <w:r w:rsidR="00831805" w:rsidRPr="00C15195">
        <w:rPr>
          <w:rFonts w:asciiTheme="minorHAnsi" w:hAnsiTheme="minorHAnsi" w:cstheme="minorHAnsi"/>
          <w:bCs/>
          <w:sz w:val="22"/>
          <w:szCs w:val="22"/>
        </w:rPr>
        <w:t xml:space="preserve">: „Przed </w:t>
      </w:r>
      <w:r w:rsidRPr="00C15195">
        <w:rPr>
          <w:rFonts w:asciiTheme="minorHAnsi" w:hAnsiTheme="minorHAnsi" w:cstheme="minorHAnsi"/>
          <w:bCs/>
          <w:sz w:val="22"/>
          <w:szCs w:val="22"/>
        </w:rPr>
        <w:t xml:space="preserve">(..) </w:t>
      </w:r>
      <w:r w:rsidR="00831805" w:rsidRPr="00C15195">
        <w:rPr>
          <w:rFonts w:asciiTheme="minorHAnsi" w:hAnsiTheme="minorHAnsi" w:cstheme="minorHAnsi"/>
          <w:bCs/>
          <w:sz w:val="22"/>
          <w:szCs w:val="22"/>
        </w:rPr>
        <w:t>31.03.2022 r. w </w:t>
      </w:r>
      <w:r w:rsidRPr="00C15195">
        <w:rPr>
          <w:rFonts w:asciiTheme="minorHAnsi" w:hAnsiTheme="minorHAnsi" w:cstheme="minorHAnsi"/>
          <w:bCs/>
          <w:sz w:val="22"/>
          <w:szCs w:val="22"/>
        </w:rPr>
        <w:t xml:space="preserve">(..) </w:t>
      </w:r>
      <w:r w:rsidR="00831805" w:rsidRPr="00C15195">
        <w:rPr>
          <w:rFonts w:asciiTheme="minorHAnsi" w:hAnsiTheme="minorHAnsi" w:cstheme="minorHAnsi"/>
          <w:bCs/>
          <w:sz w:val="22"/>
          <w:szCs w:val="22"/>
        </w:rPr>
        <w:t xml:space="preserve">Dzielnicy </w:t>
      </w:r>
      <w:r w:rsidRPr="00C15195">
        <w:rPr>
          <w:rFonts w:asciiTheme="minorHAnsi" w:hAnsiTheme="minorHAnsi" w:cstheme="minorHAnsi"/>
          <w:bCs/>
          <w:sz w:val="22"/>
          <w:szCs w:val="22"/>
        </w:rPr>
        <w:t>(..)</w:t>
      </w:r>
      <w:r w:rsidR="00831805" w:rsidRPr="00C15195">
        <w:rPr>
          <w:rFonts w:asciiTheme="minorHAnsi" w:hAnsiTheme="minorHAnsi" w:cstheme="minorHAnsi"/>
          <w:bCs/>
          <w:sz w:val="22"/>
          <w:szCs w:val="22"/>
        </w:rPr>
        <w:t xml:space="preserve"> nie była prowadzona windykacja opłat przekształceniowych. Pierwsze upomnienie na nieuregulowane zaległości z tytułu opłat przekształceniowych zostało wystawione w dniu 18.04.2023 r. Pierwszy tytuł wykonawczy na nieuregulowane zaległości z tytułu opłat przekształceniowych zost</w:t>
      </w:r>
      <w:r w:rsidR="005035D8" w:rsidRPr="00C15195">
        <w:rPr>
          <w:rFonts w:asciiTheme="minorHAnsi" w:hAnsiTheme="minorHAnsi" w:cstheme="minorHAnsi"/>
          <w:bCs/>
          <w:sz w:val="22"/>
          <w:szCs w:val="22"/>
        </w:rPr>
        <w:t>ał wystawiony w </w:t>
      </w:r>
      <w:r w:rsidR="00235720" w:rsidRPr="00C15195">
        <w:rPr>
          <w:rFonts w:asciiTheme="minorHAnsi" w:hAnsiTheme="minorHAnsi" w:cstheme="minorHAnsi"/>
          <w:bCs/>
          <w:sz w:val="22"/>
          <w:szCs w:val="22"/>
        </w:rPr>
        <w:t>dniu 21.07.2023 </w:t>
      </w:r>
      <w:r w:rsidR="00831805" w:rsidRPr="00C15195">
        <w:rPr>
          <w:rFonts w:asciiTheme="minorHAnsi" w:hAnsiTheme="minorHAnsi" w:cstheme="minorHAnsi"/>
          <w:bCs/>
          <w:sz w:val="22"/>
          <w:szCs w:val="22"/>
        </w:rPr>
        <w:t>r.</w:t>
      </w:r>
      <w:r w:rsidR="00755C45" w:rsidRPr="00C15195">
        <w:rPr>
          <w:rFonts w:asciiTheme="minorHAnsi" w:hAnsiTheme="minorHAnsi" w:cstheme="minorHAnsi"/>
          <w:bCs/>
          <w:sz w:val="22"/>
          <w:szCs w:val="22"/>
        </w:rPr>
        <w:t>”</w:t>
      </w:r>
      <w:r w:rsidRPr="00C15195">
        <w:rPr>
          <w:rFonts w:asciiTheme="minorHAnsi" w:hAnsiTheme="minorHAnsi" w:cstheme="minorHAnsi"/>
          <w:bCs/>
          <w:sz w:val="22"/>
          <w:szCs w:val="22"/>
        </w:rPr>
        <w:t>. W sprawie obsługi procesu:</w:t>
      </w:r>
      <w:r w:rsidRPr="00C15195">
        <w:rPr>
          <w:rFonts w:asciiTheme="minorHAnsi" w:hAnsiTheme="minorHAnsi" w:cstheme="minorHAnsi"/>
          <w:sz w:val="22"/>
          <w:szCs w:val="22"/>
          <w:lang w:bidi="pl-PL"/>
        </w:rPr>
        <w:t xml:space="preserve"> </w:t>
      </w:r>
      <w:r w:rsidR="00235720" w:rsidRPr="00C15195">
        <w:rPr>
          <w:rFonts w:asciiTheme="minorHAnsi" w:hAnsiTheme="minorHAnsi" w:cstheme="minorHAnsi"/>
          <w:sz w:val="22"/>
          <w:szCs w:val="22"/>
          <w:lang w:bidi="pl-PL"/>
        </w:rPr>
        <w:t>„</w:t>
      </w:r>
      <w:r w:rsidR="000F5137" w:rsidRPr="00C15195">
        <w:rPr>
          <w:rFonts w:asciiTheme="minorHAnsi" w:hAnsiTheme="minorHAnsi" w:cstheme="minorHAnsi"/>
          <w:bCs/>
          <w:sz w:val="22"/>
          <w:szCs w:val="22"/>
        </w:rPr>
        <w:t>W 2023 roku do wystawiania upomnień oprócz tych 2 osób zajmujących się księgowością zaangażowano dodatkowo 4 pracowników, którzy oprócz swoich zakresów obowiązków częściowo wspierali ten proces.</w:t>
      </w:r>
      <w:r w:rsidR="00235720" w:rsidRPr="00C15195">
        <w:rPr>
          <w:rFonts w:asciiTheme="minorHAnsi" w:hAnsiTheme="minorHAnsi" w:cstheme="minorHAnsi"/>
          <w:bCs/>
          <w:sz w:val="22"/>
          <w:szCs w:val="22"/>
        </w:rPr>
        <w:t xml:space="preserve"> </w:t>
      </w:r>
      <w:r w:rsidR="000F5137" w:rsidRPr="00C15195">
        <w:rPr>
          <w:rFonts w:asciiTheme="minorHAnsi" w:hAnsiTheme="minorHAnsi" w:cstheme="minorHAnsi"/>
          <w:bCs/>
          <w:sz w:val="22"/>
          <w:szCs w:val="22"/>
        </w:rPr>
        <w:t>Windykacją opłat przekształceniowych w Wydziale Zarządzania Nieruchomościami zajmuje się 4 pracowników Referatu Windykacji, niemniej jednak z uwagi na znaczną liczbę dłużników oraz brak systemu do obsługi windykacji opłat z tytułu przekształcenia prawa użytkowania wieczystego w prawo własności umożliwiającego importowanie danych do aplikacji elektronicznych tytułów wykonawczych (eTW), zaangażowano dodatkowo 3 pracowników”</w:t>
      </w:r>
      <w:r w:rsidR="00235720" w:rsidRPr="00C15195">
        <w:rPr>
          <w:rFonts w:asciiTheme="minorHAnsi" w:hAnsiTheme="minorHAnsi" w:cstheme="minorHAnsi"/>
          <w:bCs/>
          <w:sz w:val="22"/>
          <w:szCs w:val="22"/>
        </w:rPr>
        <w:t>.</w:t>
      </w:r>
    </w:p>
    <w:p w14:paraId="0098425C" w14:textId="40C0539A" w:rsidR="002F45A9" w:rsidRPr="00C15195" w:rsidRDefault="002F45A9" w:rsidP="00C15195">
      <w:pPr>
        <w:pStyle w:val="Zwykytekst"/>
        <w:spacing w:before="120" w:after="240" w:line="300" w:lineRule="auto"/>
        <w:rPr>
          <w:rFonts w:asciiTheme="minorHAnsi" w:hAnsiTheme="minorHAnsi" w:cstheme="minorHAnsi"/>
          <w:bCs/>
          <w:sz w:val="22"/>
          <w:szCs w:val="22"/>
          <w:lang w:bidi="pl-PL"/>
        </w:rPr>
      </w:pPr>
      <w:r w:rsidRPr="00C15195">
        <w:rPr>
          <w:rFonts w:asciiTheme="minorHAnsi" w:hAnsiTheme="minorHAnsi" w:cstheme="minorHAnsi"/>
          <w:bCs/>
          <w:sz w:val="22"/>
          <w:szCs w:val="22"/>
          <w:lang w:bidi="pl-PL"/>
        </w:rPr>
        <w:t xml:space="preserve">Ustalenia kontroli wskazują, że </w:t>
      </w:r>
      <w:r w:rsidR="00F8602E" w:rsidRPr="00C15195">
        <w:rPr>
          <w:rFonts w:asciiTheme="minorHAnsi" w:hAnsiTheme="minorHAnsi" w:cstheme="minorHAnsi"/>
          <w:bCs/>
          <w:sz w:val="22"/>
          <w:szCs w:val="22"/>
          <w:lang w:bidi="pl-PL"/>
        </w:rPr>
        <w:t xml:space="preserve">jedynie </w:t>
      </w:r>
      <w:r w:rsidR="00421BF5" w:rsidRPr="00C15195">
        <w:rPr>
          <w:rFonts w:asciiTheme="minorHAnsi" w:hAnsiTheme="minorHAnsi" w:cstheme="minorHAnsi"/>
          <w:bCs/>
          <w:sz w:val="22"/>
          <w:szCs w:val="22"/>
          <w:lang w:bidi="pl-PL"/>
        </w:rPr>
        <w:t>dostatecznie</w:t>
      </w:r>
      <w:r w:rsidRPr="00C15195">
        <w:rPr>
          <w:rFonts w:asciiTheme="minorHAnsi" w:hAnsiTheme="minorHAnsi" w:cstheme="minorHAnsi"/>
          <w:bCs/>
          <w:sz w:val="22"/>
          <w:szCs w:val="22"/>
          <w:lang w:bidi="pl-PL"/>
        </w:rPr>
        <w:t xml:space="preserve"> </w:t>
      </w:r>
      <w:r w:rsidR="00FE3B8C" w:rsidRPr="00C15195">
        <w:rPr>
          <w:rFonts w:asciiTheme="minorHAnsi" w:hAnsiTheme="minorHAnsi" w:cstheme="minorHAnsi"/>
          <w:bCs/>
          <w:sz w:val="22"/>
          <w:szCs w:val="22"/>
          <w:lang w:bidi="pl-PL"/>
        </w:rPr>
        <w:t>oceniam</w:t>
      </w:r>
      <w:r w:rsidRPr="00C15195">
        <w:rPr>
          <w:rFonts w:asciiTheme="minorHAnsi" w:hAnsiTheme="minorHAnsi" w:cstheme="minorHAnsi"/>
          <w:bCs/>
          <w:sz w:val="22"/>
          <w:szCs w:val="22"/>
          <w:lang w:bidi="pl-PL"/>
        </w:rPr>
        <w:t xml:space="preserve"> działania Dzielnicy w obszarze objętym kontrolą. </w:t>
      </w:r>
      <w:r w:rsidR="005035D8" w:rsidRPr="00C15195">
        <w:rPr>
          <w:rFonts w:asciiTheme="minorHAnsi" w:hAnsiTheme="minorHAnsi" w:cstheme="minorHAnsi"/>
          <w:bCs/>
          <w:sz w:val="22"/>
          <w:szCs w:val="22"/>
          <w:lang w:bidi="pl-PL"/>
        </w:rPr>
        <w:t>Nie było możliwe zweryfikowanie zgodności zapisów związanych z ewidencjonowaniem</w:t>
      </w:r>
      <w:r w:rsidR="005035D8" w:rsidRPr="00C15195">
        <w:rPr>
          <w:rFonts w:asciiTheme="minorHAnsi" w:hAnsiTheme="minorHAnsi" w:cstheme="minorHAnsi"/>
          <w:bCs/>
          <w:sz w:val="22"/>
          <w:szCs w:val="22"/>
        </w:rPr>
        <w:t xml:space="preserve"> opłat przekształceniowych</w:t>
      </w:r>
      <w:r w:rsidR="005035D8" w:rsidRPr="00C15195">
        <w:rPr>
          <w:rFonts w:asciiTheme="minorHAnsi" w:hAnsiTheme="minorHAnsi" w:cstheme="minorHAnsi"/>
          <w:bCs/>
          <w:sz w:val="22"/>
          <w:szCs w:val="22"/>
          <w:lang w:bidi="pl-PL"/>
        </w:rPr>
        <w:t xml:space="preserve"> ujętych w księdze głównej z ewidencją pomocniczą</w:t>
      </w:r>
      <w:r w:rsidR="00570F1A" w:rsidRPr="00C15195">
        <w:rPr>
          <w:rFonts w:asciiTheme="minorHAnsi" w:hAnsiTheme="minorHAnsi" w:cstheme="minorHAnsi"/>
          <w:bCs/>
          <w:sz w:val="22"/>
          <w:szCs w:val="22"/>
          <w:lang w:bidi="pl-PL"/>
        </w:rPr>
        <w:t xml:space="preserve">, wobec ograniczeń systemu, w którym </w:t>
      </w:r>
      <w:r w:rsidR="00C14C05" w:rsidRPr="00C15195">
        <w:rPr>
          <w:rFonts w:asciiTheme="minorHAnsi" w:hAnsiTheme="minorHAnsi" w:cstheme="minorHAnsi"/>
          <w:bCs/>
          <w:sz w:val="22"/>
          <w:szCs w:val="22"/>
          <w:lang w:bidi="pl-PL"/>
        </w:rPr>
        <w:t>prowadzono księgi rachunkowe Dzielnicy</w:t>
      </w:r>
      <w:r w:rsidR="0008194F" w:rsidRPr="00C15195">
        <w:rPr>
          <w:rFonts w:asciiTheme="minorHAnsi" w:hAnsiTheme="minorHAnsi" w:cstheme="minorHAnsi"/>
          <w:bCs/>
          <w:sz w:val="22"/>
          <w:szCs w:val="22"/>
          <w:lang w:bidi="pl-PL"/>
        </w:rPr>
        <w:t>.</w:t>
      </w:r>
      <w:r w:rsidR="00C95A9A" w:rsidRPr="00C15195">
        <w:rPr>
          <w:rFonts w:asciiTheme="minorHAnsi" w:hAnsiTheme="minorHAnsi" w:cstheme="minorHAnsi"/>
          <w:bCs/>
          <w:sz w:val="22"/>
          <w:szCs w:val="22"/>
          <w:lang w:bidi="pl-PL"/>
        </w:rPr>
        <w:t xml:space="preserve"> </w:t>
      </w:r>
      <w:r w:rsidRPr="00C15195">
        <w:rPr>
          <w:rFonts w:asciiTheme="minorHAnsi" w:hAnsiTheme="minorHAnsi" w:cstheme="minorHAnsi"/>
          <w:bCs/>
          <w:sz w:val="22"/>
          <w:szCs w:val="22"/>
          <w:lang w:bidi="pl-PL"/>
        </w:rPr>
        <w:t>Stwierdzone uchybienia</w:t>
      </w:r>
      <w:r w:rsidR="00F8602E" w:rsidRPr="00C15195">
        <w:rPr>
          <w:rFonts w:asciiTheme="minorHAnsi" w:hAnsiTheme="minorHAnsi" w:cstheme="minorHAnsi"/>
          <w:bCs/>
          <w:sz w:val="22"/>
          <w:szCs w:val="22"/>
          <w:lang w:bidi="pl-PL"/>
        </w:rPr>
        <w:t xml:space="preserve"> wskazują na brak prowadzenia bieżącej analizy</w:t>
      </w:r>
      <w:r w:rsidR="006D7C4B" w:rsidRPr="00C15195">
        <w:rPr>
          <w:rFonts w:asciiTheme="minorHAnsi" w:hAnsiTheme="minorHAnsi" w:cstheme="minorHAnsi"/>
          <w:bCs/>
          <w:sz w:val="22"/>
          <w:szCs w:val="22"/>
          <w:lang w:bidi="pl-PL"/>
        </w:rPr>
        <w:t xml:space="preserve"> </w:t>
      </w:r>
      <w:r w:rsidR="00421BF5" w:rsidRPr="00C15195">
        <w:rPr>
          <w:rFonts w:asciiTheme="minorHAnsi" w:hAnsiTheme="minorHAnsi" w:cstheme="minorHAnsi"/>
          <w:bCs/>
          <w:sz w:val="22"/>
          <w:szCs w:val="22"/>
          <w:lang w:bidi="pl-PL"/>
        </w:rPr>
        <w:t xml:space="preserve">wymagalności należności </w:t>
      </w:r>
      <w:r w:rsidR="006D7C4B" w:rsidRPr="00C15195">
        <w:rPr>
          <w:rFonts w:asciiTheme="minorHAnsi" w:hAnsiTheme="minorHAnsi" w:cstheme="minorHAnsi"/>
          <w:bCs/>
          <w:sz w:val="22"/>
          <w:szCs w:val="22"/>
          <w:lang w:bidi="pl-PL"/>
        </w:rPr>
        <w:t>i zarachowania</w:t>
      </w:r>
      <w:r w:rsidR="00F8602E" w:rsidRPr="00C15195">
        <w:rPr>
          <w:rFonts w:asciiTheme="minorHAnsi" w:hAnsiTheme="minorHAnsi" w:cstheme="minorHAnsi"/>
          <w:bCs/>
          <w:sz w:val="22"/>
          <w:szCs w:val="22"/>
          <w:lang w:bidi="pl-PL"/>
        </w:rPr>
        <w:t xml:space="preserve"> wpłat od zobowiązanych, </w:t>
      </w:r>
      <w:r w:rsidR="006D7C4B" w:rsidRPr="00C15195">
        <w:rPr>
          <w:rFonts w:asciiTheme="minorHAnsi" w:hAnsiTheme="minorHAnsi" w:cstheme="minorHAnsi"/>
          <w:bCs/>
          <w:sz w:val="22"/>
          <w:szCs w:val="22"/>
          <w:lang w:bidi="pl-PL"/>
        </w:rPr>
        <w:lastRenderedPageBreak/>
        <w:t xml:space="preserve">co wpływa na </w:t>
      </w:r>
      <w:r w:rsidR="003B69FC" w:rsidRPr="00C15195">
        <w:rPr>
          <w:rFonts w:asciiTheme="minorHAnsi" w:hAnsiTheme="minorHAnsi" w:cstheme="minorHAnsi"/>
          <w:bCs/>
          <w:sz w:val="22"/>
          <w:szCs w:val="22"/>
          <w:lang w:bidi="pl-PL"/>
        </w:rPr>
        <w:t xml:space="preserve">kwoty </w:t>
      </w:r>
      <w:r w:rsidR="006D7C4B" w:rsidRPr="00C15195">
        <w:rPr>
          <w:rFonts w:asciiTheme="minorHAnsi" w:hAnsiTheme="minorHAnsi" w:cstheme="minorHAnsi"/>
          <w:bCs/>
          <w:sz w:val="22"/>
          <w:szCs w:val="22"/>
          <w:lang w:bidi="pl-PL"/>
        </w:rPr>
        <w:t>wykazywanego zadłużenia</w:t>
      </w:r>
      <w:r w:rsidR="002B09E4" w:rsidRPr="00C15195">
        <w:rPr>
          <w:rFonts w:asciiTheme="minorHAnsi" w:hAnsiTheme="minorHAnsi" w:cstheme="minorHAnsi"/>
          <w:bCs/>
          <w:sz w:val="22"/>
          <w:szCs w:val="22"/>
          <w:lang w:bidi="pl-PL"/>
        </w:rPr>
        <w:t>,</w:t>
      </w:r>
      <w:r w:rsidRPr="00C15195">
        <w:rPr>
          <w:rFonts w:asciiTheme="minorHAnsi" w:hAnsiTheme="minorHAnsi" w:cstheme="minorHAnsi"/>
          <w:bCs/>
          <w:sz w:val="22"/>
          <w:szCs w:val="22"/>
          <w:lang w:bidi="pl-PL"/>
        </w:rPr>
        <w:t xml:space="preserve"> </w:t>
      </w:r>
      <w:r w:rsidR="00CD1A53" w:rsidRPr="00C15195">
        <w:rPr>
          <w:rFonts w:asciiTheme="minorHAnsi" w:hAnsiTheme="minorHAnsi" w:cstheme="minorHAnsi"/>
          <w:bCs/>
          <w:sz w:val="22"/>
          <w:szCs w:val="22"/>
          <w:lang w:bidi="pl-PL"/>
        </w:rPr>
        <w:t xml:space="preserve">nie </w:t>
      </w:r>
      <w:r w:rsidR="005035D8" w:rsidRPr="00C15195">
        <w:rPr>
          <w:rFonts w:asciiTheme="minorHAnsi" w:hAnsiTheme="minorHAnsi" w:cstheme="minorHAnsi"/>
          <w:bCs/>
          <w:sz w:val="22"/>
          <w:szCs w:val="22"/>
          <w:lang w:bidi="pl-PL"/>
        </w:rPr>
        <w:t>dochowanie</w:t>
      </w:r>
      <w:r w:rsidR="00CD1A53" w:rsidRPr="00C15195">
        <w:rPr>
          <w:rFonts w:asciiTheme="minorHAnsi" w:hAnsiTheme="minorHAnsi" w:cstheme="minorHAnsi"/>
          <w:bCs/>
          <w:sz w:val="22"/>
          <w:szCs w:val="22"/>
          <w:lang w:bidi="pl-PL"/>
        </w:rPr>
        <w:t xml:space="preserve"> postanowień</w:t>
      </w:r>
      <w:r w:rsidR="00F8602E" w:rsidRPr="00C15195">
        <w:rPr>
          <w:rFonts w:asciiTheme="minorHAnsi" w:hAnsiTheme="minorHAnsi" w:cstheme="minorHAnsi"/>
          <w:bCs/>
          <w:sz w:val="22"/>
          <w:szCs w:val="22"/>
          <w:lang w:bidi="pl-PL"/>
        </w:rPr>
        <w:t xml:space="preserve"> </w:t>
      </w:r>
      <w:r w:rsidR="00CD1A53" w:rsidRPr="00C15195">
        <w:rPr>
          <w:rFonts w:asciiTheme="minorHAnsi" w:hAnsiTheme="minorHAnsi" w:cstheme="minorHAnsi"/>
          <w:bCs/>
          <w:sz w:val="22"/>
          <w:szCs w:val="22"/>
          <w:lang w:bidi="pl-PL"/>
        </w:rPr>
        <w:t>Regulaminu</w:t>
      </w:r>
      <w:r w:rsidR="002B09E4" w:rsidRPr="00C15195">
        <w:rPr>
          <w:rFonts w:asciiTheme="minorHAnsi" w:hAnsiTheme="minorHAnsi" w:cstheme="minorHAnsi"/>
          <w:bCs/>
          <w:sz w:val="22"/>
          <w:szCs w:val="22"/>
          <w:lang w:bidi="pl-PL"/>
        </w:rPr>
        <w:t xml:space="preserve"> windykacji</w:t>
      </w:r>
      <w:r w:rsidR="00CD1A53" w:rsidRPr="00C15195">
        <w:rPr>
          <w:rFonts w:asciiTheme="minorHAnsi" w:hAnsiTheme="minorHAnsi" w:cstheme="minorHAnsi"/>
          <w:bCs/>
          <w:sz w:val="22"/>
          <w:szCs w:val="22"/>
          <w:lang w:bidi="pl-PL"/>
        </w:rPr>
        <w:t>, w tym przestrzegania określonych terminów działań windykacyjnych</w:t>
      </w:r>
      <w:r w:rsidR="005035D8" w:rsidRPr="00C15195">
        <w:rPr>
          <w:rFonts w:asciiTheme="minorHAnsi" w:hAnsiTheme="minorHAnsi" w:cstheme="minorHAnsi"/>
          <w:bCs/>
          <w:sz w:val="22"/>
          <w:szCs w:val="22"/>
          <w:lang w:bidi="pl-PL"/>
        </w:rPr>
        <w:t xml:space="preserve"> oraz</w:t>
      </w:r>
      <w:r w:rsidR="00F8602E" w:rsidRPr="00C15195">
        <w:rPr>
          <w:rFonts w:asciiTheme="minorHAnsi" w:hAnsiTheme="minorHAnsi" w:cstheme="minorHAnsi"/>
          <w:bCs/>
          <w:sz w:val="22"/>
          <w:szCs w:val="22"/>
          <w:lang w:bidi="pl-PL"/>
        </w:rPr>
        <w:t xml:space="preserve"> </w:t>
      </w:r>
      <w:r w:rsidR="00CD1A53" w:rsidRPr="00C15195">
        <w:rPr>
          <w:rFonts w:asciiTheme="minorHAnsi" w:hAnsiTheme="minorHAnsi" w:cstheme="minorHAnsi"/>
          <w:bCs/>
          <w:sz w:val="22"/>
          <w:szCs w:val="22"/>
          <w:lang w:bidi="pl-PL"/>
        </w:rPr>
        <w:t xml:space="preserve">brak należytej staranności </w:t>
      </w:r>
      <w:r w:rsidR="00CD56FB" w:rsidRPr="00C15195">
        <w:rPr>
          <w:rFonts w:asciiTheme="minorHAnsi" w:hAnsiTheme="minorHAnsi" w:cstheme="minorHAnsi"/>
          <w:bCs/>
          <w:sz w:val="22"/>
          <w:szCs w:val="22"/>
          <w:lang w:bidi="pl-PL"/>
        </w:rPr>
        <w:t>przy prowadzeniu</w:t>
      </w:r>
      <w:r w:rsidR="00F8602E" w:rsidRPr="00C15195">
        <w:rPr>
          <w:rFonts w:asciiTheme="minorHAnsi" w:hAnsiTheme="minorHAnsi" w:cstheme="minorHAnsi"/>
          <w:bCs/>
          <w:sz w:val="22"/>
          <w:szCs w:val="22"/>
          <w:lang w:bidi="pl-PL"/>
        </w:rPr>
        <w:t xml:space="preserve"> analizy</w:t>
      </w:r>
      <w:r w:rsidRPr="00C15195">
        <w:rPr>
          <w:rFonts w:asciiTheme="minorHAnsi" w:hAnsiTheme="minorHAnsi" w:cstheme="minorHAnsi"/>
          <w:bCs/>
          <w:sz w:val="22"/>
          <w:szCs w:val="22"/>
          <w:lang w:bidi="pl-PL"/>
        </w:rPr>
        <w:t xml:space="preserve"> zadłużenia przed podjęciem czynności zmierzający</w:t>
      </w:r>
      <w:r w:rsidR="00F8602E" w:rsidRPr="00C15195">
        <w:rPr>
          <w:rFonts w:asciiTheme="minorHAnsi" w:hAnsiTheme="minorHAnsi" w:cstheme="minorHAnsi"/>
          <w:bCs/>
          <w:sz w:val="22"/>
          <w:szCs w:val="22"/>
          <w:lang w:bidi="pl-PL"/>
        </w:rPr>
        <w:t>ch do wyegzekwowania zaległości</w:t>
      </w:r>
      <w:r w:rsidR="002B09E4" w:rsidRPr="00C15195">
        <w:rPr>
          <w:rFonts w:asciiTheme="minorHAnsi" w:hAnsiTheme="minorHAnsi" w:cstheme="minorHAnsi"/>
          <w:bCs/>
          <w:sz w:val="22"/>
          <w:szCs w:val="22"/>
          <w:lang w:bidi="pl-PL"/>
        </w:rPr>
        <w:t>.</w:t>
      </w:r>
      <w:r w:rsidR="003B69FC" w:rsidRPr="00C15195">
        <w:rPr>
          <w:rFonts w:asciiTheme="minorHAnsi" w:hAnsiTheme="minorHAnsi" w:cstheme="minorHAnsi"/>
          <w:bCs/>
          <w:sz w:val="22"/>
          <w:szCs w:val="22"/>
        </w:rPr>
        <w:t xml:space="preserve"> </w:t>
      </w:r>
      <w:r w:rsidR="00BE7F76" w:rsidRPr="00C15195">
        <w:rPr>
          <w:rFonts w:asciiTheme="minorHAnsi" w:hAnsiTheme="minorHAnsi" w:cstheme="minorHAnsi"/>
          <w:bCs/>
          <w:sz w:val="22"/>
          <w:szCs w:val="22"/>
          <w:lang w:bidi="pl-PL"/>
        </w:rPr>
        <w:t>Powyższa ocena wskazuje na zaburzenia w realizacji cel</w:t>
      </w:r>
      <w:r w:rsidR="00E42358" w:rsidRPr="00C15195">
        <w:rPr>
          <w:rFonts w:asciiTheme="minorHAnsi" w:hAnsiTheme="minorHAnsi" w:cstheme="minorHAnsi"/>
          <w:bCs/>
          <w:sz w:val="22"/>
          <w:szCs w:val="22"/>
          <w:lang w:bidi="pl-PL"/>
        </w:rPr>
        <w:t>ów kontroli zarządczej określonych</w:t>
      </w:r>
      <w:r w:rsidR="00BE7F76" w:rsidRPr="00C15195">
        <w:rPr>
          <w:rFonts w:asciiTheme="minorHAnsi" w:hAnsiTheme="minorHAnsi" w:cstheme="minorHAnsi"/>
          <w:bCs/>
          <w:sz w:val="22"/>
          <w:szCs w:val="22"/>
          <w:lang w:bidi="pl-PL"/>
        </w:rPr>
        <w:t xml:space="preserve"> w § 4 pkt 1, 2 i 6 zarządzenia nr 1613/2011 Prezydenta m.st. Warszawy z 11 października 2011 r. w sprawie zasad funkcjonowania kontroli zarządczej w mieście stołecznym Warszawie (ze zm)</w:t>
      </w:r>
      <w:r w:rsidR="000A7693">
        <w:rPr>
          <w:rFonts w:asciiTheme="minorHAnsi" w:hAnsiTheme="minorHAnsi" w:cstheme="minorHAnsi"/>
          <w:bCs/>
          <w:sz w:val="22"/>
          <w:szCs w:val="22"/>
          <w:lang w:bidi="pl-PL"/>
        </w:rPr>
        <w:t>.</w:t>
      </w:r>
    </w:p>
    <w:p w14:paraId="6C36795E" w14:textId="0CA88982" w:rsidR="0012326E" w:rsidRPr="00C15195" w:rsidRDefault="003B69FC" w:rsidP="00C15195">
      <w:pPr>
        <w:pStyle w:val="Zwykytekst"/>
        <w:spacing w:before="120" w:after="240" w:line="300" w:lineRule="auto"/>
        <w:rPr>
          <w:rFonts w:asciiTheme="minorHAnsi" w:hAnsiTheme="minorHAnsi" w:cstheme="minorHAnsi"/>
          <w:sz w:val="22"/>
          <w:szCs w:val="22"/>
          <w:lang w:bidi="pl-PL"/>
        </w:rPr>
      </w:pPr>
      <w:r w:rsidRPr="00C15195">
        <w:rPr>
          <w:rFonts w:asciiTheme="minorHAnsi" w:hAnsiTheme="minorHAnsi" w:cstheme="minorHAnsi"/>
          <w:sz w:val="22"/>
          <w:szCs w:val="22"/>
        </w:rPr>
        <w:t>Zgodnie z załącznikiem nr 1 do szczegółowych zasa</w:t>
      </w:r>
      <w:r w:rsidR="00570F1A" w:rsidRPr="00C15195">
        <w:rPr>
          <w:rFonts w:asciiTheme="minorHAnsi" w:hAnsiTheme="minorHAnsi" w:cstheme="minorHAnsi"/>
          <w:sz w:val="22"/>
          <w:szCs w:val="22"/>
        </w:rPr>
        <w:t>d</w:t>
      </w:r>
      <w:r w:rsidRPr="00C15195">
        <w:rPr>
          <w:rFonts w:asciiTheme="minorHAnsi" w:hAnsiTheme="minorHAnsi" w:cstheme="minorHAnsi"/>
          <w:sz w:val="22"/>
          <w:szCs w:val="22"/>
        </w:rPr>
        <w:t xml:space="preserve"> dotyczących prowadzenia ksiąg rachu</w:t>
      </w:r>
      <w:r w:rsidR="00570F1A" w:rsidRPr="00C15195">
        <w:rPr>
          <w:rFonts w:asciiTheme="minorHAnsi" w:hAnsiTheme="minorHAnsi" w:cstheme="minorHAnsi"/>
          <w:sz w:val="22"/>
          <w:szCs w:val="22"/>
        </w:rPr>
        <w:t>nkowych w Dzielnicy, księgowość</w:t>
      </w:r>
      <w:r w:rsidRPr="00C15195">
        <w:rPr>
          <w:rFonts w:asciiTheme="minorHAnsi" w:hAnsiTheme="minorHAnsi" w:cstheme="minorHAnsi"/>
          <w:sz w:val="22"/>
          <w:szCs w:val="22"/>
        </w:rPr>
        <w:t xml:space="preserve"> </w:t>
      </w:r>
      <w:r w:rsidR="008051E9" w:rsidRPr="00C15195">
        <w:rPr>
          <w:rFonts w:asciiTheme="minorHAnsi" w:hAnsiTheme="minorHAnsi" w:cstheme="minorHAnsi"/>
          <w:sz w:val="22"/>
          <w:szCs w:val="22"/>
        </w:rPr>
        <w:t xml:space="preserve">organu </w:t>
      </w:r>
      <w:r w:rsidRPr="00C15195">
        <w:rPr>
          <w:rFonts w:asciiTheme="minorHAnsi" w:hAnsiTheme="minorHAnsi" w:cstheme="minorHAnsi"/>
          <w:sz w:val="22"/>
          <w:szCs w:val="22"/>
        </w:rPr>
        <w:t>Dzielnicy, w tym o</w:t>
      </w:r>
      <w:r w:rsidR="0012326E" w:rsidRPr="00C15195">
        <w:rPr>
          <w:rFonts w:asciiTheme="minorHAnsi" w:eastAsiaTheme="minorHAnsi" w:hAnsiTheme="minorHAnsi" w:cstheme="minorHAnsi"/>
          <w:kern w:val="2"/>
          <w:sz w:val="22"/>
          <w:szCs w:val="22"/>
          <w:lang w:eastAsia="en-US"/>
          <w14:ligatures w14:val="standardContextual"/>
        </w:rPr>
        <w:t>bsługa opłat p</w:t>
      </w:r>
      <w:r w:rsidR="00570F1A" w:rsidRPr="00C15195">
        <w:rPr>
          <w:rFonts w:asciiTheme="minorHAnsi" w:eastAsiaTheme="minorHAnsi" w:hAnsiTheme="minorHAnsi" w:cstheme="minorHAnsi"/>
          <w:kern w:val="2"/>
          <w:sz w:val="22"/>
          <w:szCs w:val="22"/>
          <w:lang w:eastAsia="en-US"/>
          <w14:ligatures w14:val="standardContextual"/>
        </w:rPr>
        <w:t>rzekształceniowych odbywa się w </w:t>
      </w:r>
      <w:r w:rsidR="007017F5" w:rsidRPr="00C15195">
        <w:rPr>
          <w:rFonts w:asciiTheme="minorHAnsi" w:eastAsiaTheme="minorHAnsi" w:hAnsiTheme="minorHAnsi" w:cstheme="minorHAnsi"/>
          <w:kern w:val="2"/>
          <w:sz w:val="22"/>
          <w:szCs w:val="22"/>
          <w:lang w:eastAsia="en-US"/>
          <w14:ligatures w14:val="standardContextual"/>
        </w:rPr>
        <w:t>systemie (programie)</w:t>
      </w:r>
      <w:r w:rsidR="0012326E" w:rsidRPr="00C15195">
        <w:rPr>
          <w:rFonts w:asciiTheme="minorHAnsi" w:eastAsiaTheme="minorHAnsi" w:hAnsiTheme="minorHAnsi" w:cstheme="minorHAnsi"/>
          <w:kern w:val="2"/>
          <w:sz w:val="22"/>
          <w:szCs w:val="22"/>
          <w:lang w:eastAsia="en-US"/>
          <w14:ligatures w14:val="standardContextual"/>
        </w:rPr>
        <w:t xml:space="preserve"> OTAGO. </w:t>
      </w:r>
      <w:r w:rsidR="008051E9" w:rsidRPr="00C15195">
        <w:rPr>
          <w:rFonts w:asciiTheme="minorHAnsi" w:eastAsiaTheme="minorHAnsi" w:hAnsiTheme="minorHAnsi" w:cstheme="minorHAnsi"/>
          <w:kern w:val="2"/>
          <w:sz w:val="22"/>
          <w:szCs w:val="22"/>
          <w:lang w:eastAsia="en-US"/>
          <w14:ligatures w14:val="standardContextual"/>
        </w:rPr>
        <w:t xml:space="preserve">Burmistrz Dzielnicy wyjaśnił: „(..) </w:t>
      </w:r>
      <w:r w:rsidR="0012326E" w:rsidRPr="00C15195">
        <w:rPr>
          <w:rFonts w:asciiTheme="minorHAnsi" w:eastAsiaTheme="minorHAnsi" w:hAnsiTheme="minorHAnsi" w:cstheme="minorHAnsi"/>
          <w:kern w:val="2"/>
          <w:sz w:val="22"/>
          <w:szCs w:val="22"/>
          <w:lang w:eastAsia="en-US"/>
          <w14:ligatures w14:val="standardContextual"/>
        </w:rPr>
        <w:t>Prog</w:t>
      </w:r>
      <w:r w:rsidR="00174C5B" w:rsidRPr="00C15195">
        <w:rPr>
          <w:rFonts w:asciiTheme="minorHAnsi" w:eastAsiaTheme="minorHAnsi" w:hAnsiTheme="minorHAnsi" w:cstheme="minorHAnsi"/>
          <w:kern w:val="2"/>
          <w:sz w:val="22"/>
          <w:szCs w:val="22"/>
          <w:lang w:eastAsia="en-US"/>
          <w14:ligatures w14:val="standardContextual"/>
        </w:rPr>
        <w:t>ram ten nie jest zintegrowany z </w:t>
      </w:r>
      <w:r w:rsidR="0012326E" w:rsidRPr="00C15195">
        <w:rPr>
          <w:rFonts w:asciiTheme="minorHAnsi" w:eastAsiaTheme="minorHAnsi" w:hAnsiTheme="minorHAnsi" w:cstheme="minorHAnsi"/>
          <w:kern w:val="2"/>
          <w:sz w:val="22"/>
          <w:szCs w:val="22"/>
          <w:lang w:eastAsia="en-US"/>
          <w14:ligatures w14:val="standardContextual"/>
        </w:rPr>
        <w:t xml:space="preserve">żadnymi zewnętrznymi bazami danych (..) </w:t>
      </w:r>
      <w:r w:rsidR="0012326E" w:rsidRPr="00C15195">
        <w:rPr>
          <w:rFonts w:asciiTheme="minorHAnsi" w:hAnsiTheme="minorHAnsi" w:cstheme="minorHAnsi"/>
          <w:sz w:val="22"/>
          <w:szCs w:val="22"/>
        </w:rPr>
        <w:t>Dane z ewidencji analitycznej dot. opłat przekształceniowych ewidencjonowane w programie OTAGO przekazywane są na bieżąco, codziennie po zaksięgowaniu WB [wyciągu bankowego] do ujęcia w księdze głównej w systemie MILLENIUM</w:t>
      </w:r>
      <w:r w:rsidR="008051E9" w:rsidRPr="00C15195">
        <w:rPr>
          <w:rFonts w:asciiTheme="minorHAnsi" w:hAnsiTheme="minorHAnsi" w:cstheme="minorHAnsi"/>
          <w:sz w:val="22"/>
          <w:szCs w:val="22"/>
        </w:rPr>
        <w:t xml:space="preserve"> [zgodnie z ww. załącznikiem nr 1</w:t>
      </w:r>
      <w:r w:rsidR="00524F8B" w:rsidRPr="00C15195">
        <w:rPr>
          <w:rFonts w:asciiTheme="minorHAnsi" w:hAnsiTheme="minorHAnsi" w:cstheme="minorHAnsi"/>
          <w:sz w:val="22"/>
          <w:szCs w:val="22"/>
        </w:rPr>
        <w:t xml:space="preserve"> jest to</w:t>
      </w:r>
      <w:r w:rsidR="008051E9" w:rsidRPr="00C15195">
        <w:rPr>
          <w:rFonts w:asciiTheme="minorHAnsi" w:hAnsiTheme="minorHAnsi" w:cstheme="minorHAnsi"/>
          <w:sz w:val="22"/>
          <w:szCs w:val="22"/>
        </w:rPr>
        <w:t xml:space="preserve"> program księgowy do obsługi księgowości jednostki]</w:t>
      </w:r>
      <w:r w:rsidR="00524F8B" w:rsidRPr="00C15195">
        <w:rPr>
          <w:rFonts w:asciiTheme="minorHAnsi" w:hAnsiTheme="minorHAnsi" w:cstheme="minorHAnsi"/>
          <w:sz w:val="22"/>
          <w:szCs w:val="22"/>
        </w:rPr>
        <w:t>.</w:t>
      </w:r>
      <w:r w:rsidR="000A7693">
        <w:rPr>
          <w:rFonts w:asciiTheme="minorHAnsi" w:hAnsiTheme="minorHAnsi" w:cstheme="minorHAnsi"/>
          <w:sz w:val="22"/>
          <w:szCs w:val="22"/>
        </w:rPr>
        <w:t xml:space="preserve"> </w:t>
      </w:r>
      <w:r w:rsidR="0012326E" w:rsidRPr="00C15195">
        <w:rPr>
          <w:rFonts w:asciiTheme="minorHAnsi" w:hAnsiTheme="minorHAnsi" w:cstheme="minorHAnsi"/>
          <w:sz w:val="22"/>
          <w:szCs w:val="22"/>
        </w:rPr>
        <w:t>Należności oraz nadpłaty księgowane są w odstępach miesięcznych, na koniec miesiąca na podstawie wydruków z systemu księgowego OTAGO”.</w:t>
      </w:r>
    </w:p>
    <w:p w14:paraId="00DB02F7" w14:textId="77777777" w:rsidR="00A85073" w:rsidRPr="00C15195" w:rsidRDefault="00103FAF"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Ustalono, że na koniec 2023 r. zaległości z tytułu opłat za przekształcenie prawa użytkowania wieczystego w prawo własności gruntów pobieranych na podstawie ustawy</w:t>
      </w:r>
      <w:r w:rsidR="00541337" w:rsidRPr="00C15195">
        <w:rPr>
          <w:rFonts w:asciiTheme="minorHAnsi" w:hAnsiTheme="minorHAnsi" w:cstheme="minorHAnsi"/>
          <w:sz w:val="22"/>
          <w:szCs w:val="22"/>
        </w:rPr>
        <w:t xml:space="preserve"> przekształceniowej z </w:t>
      </w:r>
      <w:r w:rsidRPr="00C15195">
        <w:rPr>
          <w:rFonts w:asciiTheme="minorHAnsi" w:hAnsiTheme="minorHAnsi" w:cstheme="minorHAnsi"/>
          <w:sz w:val="22"/>
          <w:szCs w:val="22"/>
        </w:rPr>
        <w:t xml:space="preserve">2005 r. wynosiły </w:t>
      </w:r>
      <w:r w:rsidR="00E615AC" w:rsidRPr="00C15195">
        <w:rPr>
          <w:rFonts w:asciiTheme="minorHAnsi" w:hAnsiTheme="minorHAnsi" w:cstheme="minorHAnsi"/>
          <w:sz w:val="22"/>
          <w:szCs w:val="22"/>
        </w:rPr>
        <w:t>1</w:t>
      </w:r>
      <w:r w:rsidR="005943E2" w:rsidRPr="00C15195">
        <w:rPr>
          <w:rFonts w:asciiTheme="minorHAnsi" w:hAnsiTheme="minorHAnsi" w:cstheme="minorHAnsi"/>
          <w:sz w:val="22"/>
          <w:szCs w:val="22"/>
        </w:rPr>
        <w:t xml:space="preserve"> </w:t>
      </w:r>
      <w:r w:rsidR="00E615AC" w:rsidRPr="00C15195">
        <w:rPr>
          <w:rFonts w:asciiTheme="minorHAnsi" w:hAnsiTheme="minorHAnsi" w:cstheme="minorHAnsi"/>
          <w:sz w:val="22"/>
          <w:szCs w:val="22"/>
        </w:rPr>
        <w:t xml:space="preserve">607,23 </w:t>
      </w:r>
      <w:r w:rsidR="00D60C67" w:rsidRPr="00C15195">
        <w:rPr>
          <w:rFonts w:asciiTheme="minorHAnsi" w:hAnsiTheme="minorHAnsi" w:cstheme="minorHAnsi"/>
          <w:sz w:val="22"/>
          <w:szCs w:val="22"/>
        </w:rPr>
        <w:t>zł (1 dłużnik). Z</w:t>
      </w:r>
      <w:r w:rsidRPr="00C15195">
        <w:rPr>
          <w:rFonts w:asciiTheme="minorHAnsi" w:hAnsiTheme="minorHAnsi" w:cstheme="minorHAnsi"/>
          <w:sz w:val="22"/>
          <w:szCs w:val="22"/>
        </w:rPr>
        <w:t xml:space="preserve">godnie z wyjaśnieniami </w:t>
      </w:r>
      <w:r w:rsidR="003D4DF6" w:rsidRPr="00C15195">
        <w:rPr>
          <w:rFonts w:asciiTheme="minorHAnsi" w:hAnsiTheme="minorHAnsi" w:cstheme="minorHAnsi"/>
          <w:sz w:val="22"/>
          <w:szCs w:val="22"/>
        </w:rPr>
        <w:t>p</w:t>
      </w:r>
      <w:r w:rsidR="00E615AC" w:rsidRPr="00C15195">
        <w:rPr>
          <w:rFonts w:asciiTheme="minorHAnsi" w:hAnsiTheme="minorHAnsi" w:cstheme="minorHAnsi"/>
          <w:sz w:val="22"/>
          <w:szCs w:val="22"/>
        </w:rPr>
        <w:t>ana Aleksandra Ferensa Burmistrza Dzielnicy Śródmieście</w:t>
      </w:r>
      <w:r w:rsidR="00D60C67" w:rsidRPr="00C15195">
        <w:rPr>
          <w:rFonts w:asciiTheme="minorHAnsi" w:hAnsiTheme="minorHAnsi" w:cstheme="minorHAnsi"/>
          <w:sz w:val="22"/>
          <w:szCs w:val="22"/>
        </w:rPr>
        <w:t>,</w:t>
      </w:r>
      <w:r w:rsidRPr="00C15195">
        <w:rPr>
          <w:rFonts w:asciiTheme="minorHAnsi" w:hAnsiTheme="minorHAnsi" w:cstheme="minorHAnsi"/>
          <w:sz w:val="22"/>
          <w:szCs w:val="22"/>
        </w:rPr>
        <w:t xml:space="preserve"> nie prowad</w:t>
      </w:r>
      <w:r w:rsidR="005943E2" w:rsidRPr="00C15195">
        <w:rPr>
          <w:rFonts w:asciiTheme="minorHAnsi" w:hAnsiTheme="minorHAnsi" w:cstheme="minorHAnsi"/>
          <w:sz w:val="22"/>
          <w:szCs w:val="22"/>
        </w:rPr>
        <w:t>zono windykacji tej</w:t>
      </w:r>
      <w:r w:rsidR="00D60C67" w:rsidRPr="00C15195">
        <w:rPr>
          <w:rFonts w:asciiTheme="minorHAnsi" w:hAnsiTheme="minorHAnsi" w:cstheme="minorHAnsi"/>
          <w:sz w:val="22"/>
          <w:szCs w:val="22"/>
        </w:rPr>
        <w:t xml:space="preserve"> należności:</w:t>
      </w:r>
      <w:r w:rsidRPr="00C15195">
        <w:rPr>
          <w:rFonts w:asciiTheme="minorHAnsi" w:hAnsiTheme="minorHAnsi" w:cstheme="minorHAnsi"/>
          <w:sz w:val="22"/>
          <w:szCs w:val="22"/>
        </w:rPr>
        <w:t xml:space="preserve"> </w:t>
      </w:r>
      <w:r w:rsidR="00E615AC" w:rsidRPr="00C15195">
        <w:rPr>
          <w:rFonts w:asciiTheme="minorHAnsi" w:hAnsiTheme="minorHAnsi" w:cstheme="minorHAnsi"/>
          <w:sz w:val="22"/>
          <w:szCs w:val="22"/>
        </w:rPr>
        <w:t>„Dłużnik dokonał spłaty zadłużenia wraz z należnymi odsetkami ustawowymi za opóźnienie w dniu 15.02.2024 r.</w:t>
      </w:r>
      <w:r w:rsidRPr="00C15195">
        <w:rPr>
          <w:rFonts w:asciiTheme="minorHAnsi" w:hAnsiTheme="minorHAnsi" w:cstheme="minorHAnsi"/>
          <w:sz w:val="22"/>
          <w:szCs w:val="22"/>
        </w:rPr>
        <w:t>”</w:t>
      </w:r>
    </w:p>
    <w:p w14:paraId="6D0D6777" w14:textId="25D59F61" w:rsidR="00FE7C3C" w:rsidRPr="00C15195" w:rsidRDefault="00D60C67"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Wg danych</w:t>
      </w:r>
      <w:r w:rsidR="00DA6244" w:rsidRPr="00C15195">
        <w:rPr>
          <w:rFonts w:asciiTheme="minorHAnsi" w:hAnsiTheme="minorHAnsi" w:cstheme="minorHAnsi"/>
          <w:sz w:val="22"/>
          <w:szCs w:val="22"/>
        </w:rPr>
        <w:t xml:space="preserve"> ewidencji </w:t>
      </w:r>
      <w:r w:rsidR="008051E9" w:rsidRPr="00C15195">
        <w:rPr>
          <w:rFonts w:asciiTheme="minorHAnsi" w:hAnsiTheme="minorHAnsi" w:cstheme="minorHAnsi"/>
          <w:sz w:val="22"/>
          <w:szCs w:val="22"/>
        </w:rPr>
        <w:t>M</w:t>
      </w:r>
      <w:r w:rsidR="007017F5" w:rsidRPr="00C15195">
        <w:rPr>
          <w:rFonts w:asciiTheme="minorHAnsi" w:hAnsiTheme="minorHAnsi" w:cstheme="minorHAnsi"/>
          <w:sz w:val="22"/>
          <w:szCs w:val="22"/>
        </w:rPr>
        <w:t>ILLENIUM</w:t>
      </w:r>
      <w:r w:rsidR="00A00ACA" w:rsidRPr="00C15195">
        <w:rPr>
          <w:rStyle w:val="Odwoanieprzypisudolnego"/>
          <w:rFonts w:asciiTheme="minorHAnsi" w:hAnsiTheme="minorHAnsi" w:cstheme="minorHAnsi"/>
          <w:sz w:val="22"/>
          <w:szCs w:val="22"/>
        </w:rPr>
        <w:footnoteReference w:id="6"/>
      </w:r>
      <w:r w:rsidR="00DA6244" w:rsidRPr="00C15195">
        <w:rPr>
          <w:rFonts w:asciiTheme="minorHAnsi" w:hAnsiTheme="minorHAnsi" w:cstheme="minorHAnsi"/>
          <w:sz w:val="22"/>
          <w:szCs w:val="22"/>
        </w:rPr>
        <w:t xml:space="preserve"> kwota z</w:t>
      </w:r>
      <w:r w:rsidR="00F6291A" w:rsidRPr="00C15195">
        <w:rPr>
          <w:rFonts w:asciiTheme="minorHAnsi" w:hAnsiTheme="minorHAnsi" w:cstheme="minorHAnsi"/>
          <w:sz w:val="22"/>
          <w:szCs w:val="22"/>
        </w:rPr>
        <w:t>aległości z tytułu o</w:t>
      </w:r>
      <w:r w:rsidR="00DC1834" w:rsidRPr="00C15195">
        <w:rPr>
          <w:rFonts w:asciiTheme="minorHAnsi" w:hAnsiTheme="minorHAnsi" w:cstheme="minorHAnsi"/>
          <w:sz w:val="22"/>
          <w:szCs w:val="22"/>
        </w:rPr>
        <w:t>płaty za przekształcenie prawa użytkowania wieczystego w prawo własności gruntów pobieran</w:t>
      </w:r>
      <w:r w:rsidR="003D4DF6" w:rsidRPr="00C15195">
        <w:rPr>
          <w:rFonts w:asciiTheme="minorHAnsi" w:hAnsiTheme="minorHAnsi" w:cstheme="minorHAnsi"/>
          <w:sz w:val="22"/>
          <w:szCs w:val="22"/>
        </w:rPr>
        <w:t>a</w:t>
      </w:r>
      <w:r w:rsidR="00DC1834" w:rsidRPr="00C15195">
        <w:rPr>
          <w:rFonts w:asciiTheme="minorHAnsi" w:hAnsiTheme="minorHAnsi" w:cstheme="minorHAnsi"/>
          <w:sz w:val="22"/>
          <w:szCs w:val="22"/>
        </w:rPr>
        <w:t xml:space="preserve"> na podstawie ustawy </w:t>
      </w:r>
      <w:r w:rsidR="00820E6E" w:rsidRPr="00C15195">
        <w:rPr>
          <w:rFonts w:asciiTheme="minorHAnsi" w:hAnsiTheme="minorHAnsi" w:cstheme="minorHAnsi"/>
          <w:sz w:val="22"/>
          <w:szCs w:val="22"/>
        </w:rPr>
        <w:t xml:space="preserve">przekształceniowej </w:t>
      </w:r>
      <w:r w:rsidR="00DC1834" w:rsidRPr="00C15195">
        <w:rPr>
          <w:rFonts w:asciiTheme="minorHAnsi" w:hAnsiTheme="minorHAnsi" w:cstheme="minorHAnsi"/>
          <w:sz w:val="22"/>
          <w:szCs w:val="22"/>
        </w:rPr>
        <w:t>z 2018 r.</w:t>
      </w:r>
      <w:r w:rsidR="00B2794B" w:rsidRPr="00C15195">
        <w:rPr>
          <w:rFonts w:asciiTheme="minorHAnsi" w:hAnsiTheme="minorHAnsi" w:cstheme="minorHAnsi"/>
          <w:sz w:val="22"/>
          <w:szCs w:val="22"/>
        </w:rPr>
        <w:t xml:space="preserve"> (należność główna)</w:t>
      </w:r>
      <w:r w:rsidR="003D4DF6" w:rsidRPr="00C15195">
        <w:rPr>
          <w:rFonts w:asciiTheme="minorHAnsi" w:hAnsiTheme="minorHAnsi" w:cstheme="minorHAnsi"/>
          <w:sz w:val="22"/>
          <w:szCs w:val="22"/>
        </w:rPr>
        <w:t xml:space="preserve"> na koniec 202</w:t>
      </w:r>
      <w:r w:rsidR="00CD56FB" w:rsidRPr="00C15195">
        <w:rPr>
          <w:rFonts w:asciiTheme="minorHAnsi" w:hAnsiTheme="minorHAnsi" w:cstheme="minorHAnsi"/>
          <w:sz w:val="22"/>
          <w:szCs w:val="22"/>
        </w:rPr>
        <w:t xml:space="preserve">3 r. wynosiła </w:t>
      </w:r>
      <w:r w:rsidR="00A00ACA" w:rsidRPr="00C15195">
        <w:rPr>
          <w:rFonts w:asciiTheme="minorHAnsi" w:hAnsiTheme="minorHAnsi" w:cstheme="minorHAnsi"/>
          <w:sz w:val="22"/>
          <w:szCs w:val="22"/>
        </w:rPr>
        <w:t xml:space="preserve">12 614 533,08 </w:t>
      </w:r>
      <w:r w:rsidR="00CD56FB" w:rsidRPr="00C15195">
        <w:rPr>
          <w:rFonts w:asciiTheme="minorHAnsi" w:hAnsiTheme="minorHAnsi" w:cstheme="minorHAnsi"/>
          <w:sz w:val="22"/>
          <w:szCs w:val="22"/>
        </w:rPr>
        <w:t>zł i </w:t>
      </w:r>
      <w:r w:rsidR="003D4DF6" w:rsidRPr="00C15195">
        <w:rPr>
          <w:rFonts w:asciiTheme="minorHAnsi" w:hAnsiTheme="minorHAnsi" w:cstheme="minorHAnsi"/>
          <w:sz w:val="22"/>
          <w:szCs w:val="22"/>
        </w:rPr>
        <w:t xml:space="preserve">zmniejszyła się o </w:t>
      </w:r>
      <w:r w:rsidR="00626519" w:rsidRPr="00C15195">
        <w:rPr>
          <w:rFonts w:asciiTheme="minorHAnsi" w:hAnsiTheme="minorHAnsi" w:cstheme="minorHAnsi"/>
          <w:sz w:val="22"/>
          <w:szCs w:val="22"/>
        </w:rPr>
        <w:t>36</w:t>
      </w:r>
      <w:r w:rsidR="003D4DF6" w:rsidRPr="00C15195">
        <w:rPr>
          <w:rFonts w:asciiTheme="minorHAnsi" w:hAnsiTheme="minorHAnsi" w:cstheme="minorHAnsi"/>
          <w:sz w:val="22"/>
          <w:szCs w:val="22"/>
        </w:rPr>
        <w:t xml:space="preserve">% </w:t>
      </w:r>
      <w:r w:rsidR="00DA6244" w:rsidRPr="00C15195">
        <w:rPr>
          <w:rFonts w:asciiTheme="minorHAnsi" w:hAnsiTheme="minorHAnsi" w:cstheme="minorHAnsi"/>
          <w:sz w:val="22"/>
          <w:szCs w:val="22"/>
        </w:rPr>
        <w:t xml:space="preserve">w stosunku do bilansu otwarcia </w:t>
      </w:r>
      <w:r w:rsidR="00B2794B" w:rsidRPr="00C15195">
        <w:rPr>
          <w:rFonts w:asciiTheme="minorHAnsi" w:hAnsiTheme="minorHAnsi" w:cstheme="minorHAnsi"/>
          <w:sz w:val="22"/>
          <w:szCs w:val="22"/>
        </w:rPr>
        <w:t xml:space="preserve">wynoszącego </w:t>
      </w:r>
      <w:r w:rsidR="00A00ACA" w:rsidRPr="00C15195">
        <w:rPr>
          <w:rFonts w:asciiTheme="minorHAnsi" w:hAnsiTheme="minorHAnsi" w:cstheme="minorHAnsi"/>
          <w:sz w:val="22"/>
          <w:szCs w:val="22"/>
        </w:rPr>
        <w:t xml:space="preserve">19 841 454,93 </w:t>
      </w:r>
      <w:r w:rsidR="00DA6244" w:rsidRPr="00C15195">
        <w:rPr>
          <w:rFonts w:asciiTheme="minorHAnsi" w:hAnsiTheme="minorHAnsi" w:cstheme="minorHAnsi"/>
          <w:sz w:val="22"/>
          <w:szCs w:val="22"/>
        </w:rPr>
        <w:t>zł</w:t>
      </w:r>
      <w:r w:rsidR="003D4DF6" w:rsidRPr="00C15195">
        <w:rPr>
          <w:rFonts w:asciiTheme="minorHAnsi" w:hAnsiTheme="minorHAnsi" w:cstheme="minorHAnsi"/>
          <w:sz w:val="22"/>
          <w:szCs w:val="22"/>
        </w:rPr>
        <w:t>.</w:t>
      </w:r>
    </w:p>
    <w:p w14:paraId="364720BD" w14:textId="0F500C15" w:rsidR="008051E9" w:rsidRPr="00C15195" w:rsidRDefault="00626519"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W programie OTAGO</w:t>
      </w:r>
      <w:r w:rsidR="00EE608E" w:rsidRPr="00C15195">
        <w:rPr>
          <w:rStyle w:val="Odwoanieprzypisudolnego"/>
          <w:rFonts w:asciiTheme="minorHAnsi" w:hAnsiTheme="minorHAnsi" w:cstheme="minorHAnsi"/>
          <w:sz w:val="22"/>
          <w:szCs w:val="22"/>
        </w:rPr>
        <w:footnoteReference w:id="7"/>
      </w:r>
      <w:r w:rsidRPr="00C15195">
        <w:rPr>
          <w:rFonts w:asciiTheme="minorHAnsi" w:hAnsiTheme="minorHAnsi" w:cstheme="minorHAnsi"/>
          <w:sz w:val="22"/>
          <w:szCs w:val="22"/>
        </w:rPr>
        <w:t xml:space="preserve"> wg stanu na 31 grudnia 2023 r. stan zaewidencjonowanych należności</w:t>
      </w:r>
      <w:r w:rsidR="008F4836" w:rsidRPr="00C15195">
        <w:rPr>
          <w:rFonts w:asciiTheme="minorHAnsi" w:hAnsiTheme="minorHAnsi" w:cstheme="minorHAnsi"/>
          <w:sz w:val="22"/>
          <w:szCs w:val="22"/>
        </w:rPr>
        <w:t xml:space="preserve"> </w:t>
      </w:r>
      <w:r w:rsidR="000A5B12" w:rsidRPr="00C15195">
        <w:rPr>
          <w:rFonts w:asciiTheme="minorHAnsi" w:hAnsiTheme="minorHAnsi" w:cstheme="minorHAnsi"/>
          <w:sz w:val="22"/>
          <w:szCs w:val="22"/>
        </w:rPr>
        <w:t>wynosił 13 222 602,21 zł</w:t>
      </w:r>
      <w:r w:rsidR="00726E46" w:rsidRPr="00C15195">
        <w:rPr>
          <w:rFonts w:asciiTheme="minorHAnsi" w:hAnsiTheme="minorHAnsi" w:cstheme="minorHAnsi"/>
          <w:sz w:val="22"/>
          <w:szCs w:val="22"/>
        </w:rPr>
        <w:t>, co było zgodne z sumą zaległości</w:t>
      </w:r>
      <w:r w:rsidR="00726E46" w:rsidRPr="00C15195">
        <w:rPr>
          <w:rFonts w:asciiTheme="minorHAnsi" w:hAnsiTheme="minorHAnsi" w:cstheme="minorHAnsi"/>
          <w:sz w:val="22"/>
          <w:szCs w:val="22"/>
          <w:vertAlign w:val="superscript"/>
        </w:rPr>
        <w:t>6</w:t>
      </w:r>
      <w:r w:rsidR="00726E46" w:rsidRPr="00C15195">
        <w:rPr>
          <w:rFonts w:asciiTheme="minorHAnsi" w:hAnsiTheme="minorHAnsi" w:cstheme="minorHAnsi"/>
          <w:sz w:val="22"/>
          <w:szCs w:val="22"/>
        </w:rPr>
        <w:t xml:space="preserve"> oraz należności niewymagalnych w kwocie 608 069,13 zł</w:t>
      </w:r>
      <w:r w:rsidR="00726E46" w:rsidRPr="00C15195">
        <w:rPr>
          <w:rStyle w:val="Odwoanieprzypisudolnego"/>
          <w:rFonts w:asciiTheme="minorHAnsi" w:hAnsiTheme="minorHAnsi" w:cstheme="minorHAnsi"/>
          <w:sz w:val="22"/>
          <w:szCs w:val="22"/>
        </w:rPr>
        <w:footnoteReference w:id="8"/>
      </w:r>
      <w:r w:rsidR="00726E46" w:rsidRPr="00C15195">
        <w:rPr>
          <w:rFonts w:asciiTheme="minorHAnsi" w:hAnsiTheme="minorHAnsi" w:cstheme="minorHAnsi"/>
          <w:sz w:val="22"/>
          <w:szCs w:val="22"/>
        </w:rPr>
        <w:t xml:space="preserve"> ujętych w księdze głównej</w:t>
      </w:r>
      <w:r w:rsidR="00174C5B" w:rsidRPr="00C15195">
        <w:rPr>
          <w:rFonts w:asciiTheme="minorHAnsi" w:hAnsiTheme="minorHAnsi" w:cstheme="minorHAnsi"/>
          <w:sz w:val="22"/>
          <w:szCs w:val="22"/>
        </w:rPr>
        <w:t xml:space="preserve"> w programie MILLENIUM</w:t>
      </w:r>
      <w:r w:rsidR="008F4836" w:rsidRPr="00C15195">
        <w:rPr>
          <w:rFonts w:asciiTheme="minorHAnsi" w:hAnsiTheme="minorHAnsi" w:cstheme="minorHAnsi"/>
          <w:sz w:val="22"/>
          <w:szCs w:val="22"/>
        </w:rPr>
        <w:t>.</w:t>
      </w:r>
    </w:p>
    <w:p w14:paraId="61BFD63D" w14:textId="77777777" w:rsidR="00626519" w:rsidRPr="00C15195" w:rsidRDefault="008F4836"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lastRenderedPageBreak/>
        <w:t>Nie było możli</w:t>
      </w:r>
      <w:r w:rsidR="00EE608E" w:rsidRPr="00C15195">
        <w:rPr>
          <w:rFonts w:asciiTheme="minorHAnsi" w:hAnsiTheme="minorHAnsi" w:cstheme="minorHAnsi"/>
          <w:sz w:val="22"/>
          <w:szCs w:val="22"/>
        </w:rPr>
        <w:t xml:space="preserve">we ustalenie zgodności danych </w:t>
      </w:r>
      <w:r w:rsidR="008051E9" w:rsidRPr="00C15195">
        <w:rPr>
          <w:rFonts w:asciiTheme="minorHAnsi" w:hAnsiTheme="minorHAnsi" w:cstheme="minorHAnsi"/>
          <w:sz w:val="22"/>
          <w:szCs w:val="22"/>
        </w:rPr>
        <w:t>prezentowanych</w:t>
      </w:r>
      <w:r w:rsidRPr="00C15195">
        <w:rPr>
          <w:rFonts w:asciiTheme="minorHAnsi" w:hAnsiTheme="minorHAnsi" w:cstheme="minorHAnsi"/>
          <w:sz w:val="22"/>
          <w:szCs w:val="22"/>
        </w:rPr>
        <w:t xml:space="preserve"> w programie OTAGO w zakresie bilansu otwa</w:t>
      </w:r>
      <w:r w:rsidR="00EE608E" w:rsidRPr="00C15195">
        <w:rPr>
          <w:rFonts w:asciiTheme="minorHAnsi" w:hAnsiTheme="minorHAnsi" w:cstheme="minorHAnsi"/>
          <w:sz w:val="22"/>
          <w:szCs w:val="22"/>
        </w:rPr>
        <w:t>rcia na 2023 </w:t>
      </w:r>
      <w:r w:rsidRPr="00C15195">
        <w:rPr>
          <w:rFonts w:asciiTheme="minorHAnsi" w:hAnsiTheme="minorHAnsi" w:cstheme="minorHAnsi"/>
          <w:sz w:val="22"/>
          <w:szCs w:val="22"/>
        </w:rPr>
        <w:t xml:space="preserve">r. </w:t>
      </w:r>
      <w:r w:rsidR="00B851B6" w:rsidRPr="00C15195">
        <w:rPr>
          <w:rFonts w:asciiTheme="minorHAnsi" w:hAnsiTheme="minorHAnsi" w:cstheme="minorHAnsi"/>
          <w:sz w:val="22"/>
          <w:szCs w:val="22"/>
        </w:rPr>
        <w:t xml:space="preserve">z </w:t>
      </w:r>
      <w:r w:rsidR="00726E46" w:rsidRPr="00C15195">
        <w:rPr>
          <w:rFonts w:asciiTheme="minorHAnsi" w:hAnsiTheme="minorHAnsi" w:cstheme="minorHAnsi"/>
          <w:sz w:val="22"/>
          <w:szCs w:val="22"/>
        </w:rPr>
        <w:t>danymi wykazywanymi w księdze głównej.</w:t>
      </w:r>
      <w:r w:rsidR="00B851B6" w:rsidRPr="00C15195">
        <w:rPr>
          <w:rFonts w:asciiTheme="minorHAnsi" w:hAnsiTheme="minorHAnsi" w:cstheme="minorHAnsi"/>
          <w:sz w:val="22"/>
          <w:szCs w:val="22"/>
        </w:rPr>
        <w:t xml:space="preserve"> </w:t>
      </w:r>
      <w:r w:rsidRPr="00C15195">
        <w:rPr>
          <w:rFonts w:asciiTheme="minorHAnsi" w:hAnsiTheme="minorHAnsi" w:cstheme="minorHAnsi"/>
          <w:sz w:val="22"/>
          <w:szCs w:val="22"/>
        </w:rPr>
        <w:t xml:space="preserve">Według wyjaśnień </w:t>
      </w:r>
      <w:r w:rsidR="00A96D6A" w:rsidRPr="00C15195">
        <w:rPr>
          <w:rFonts w:asciiTheme="minorHAnsi" w:hAnsiTheme="minorHAnsi" w:cstheme="minorHAnsi"/>
          <w:sz w:val="22"/>
          <w:szCs w:val="22"/>
        </w:rPr>
        <w:t>Burmistrza Dzielnicy</w:t>
      </w:r>
      <w:r w:rsidRPr="00C15195">
        <w:rPr>
          <w:rFonts w:asciiTheme="minorHAnsi" w:hAnsiTheme="minorHAnsi" w:cstheme="minorHAnsi"/>
          <w:sz w:val="22"/>
          <w:szCs w:val="22"/>
        </w:rPr>
        <w:t>: „</w:t>
      </w:r>
      <w:r w:rsidR="00EE608E" w:rsidRPr="00C15195">
        <w:rPr>
          <w:rFonts w:asciiTheme="minorHAnsi" w:hAnsiTheme="minorHAnsi" w:cstheme="minorHAnsi"/>
          <w:sz w:val="22"/>
          <w:szCs w:val="22"/>
        </w:rPr>
        <w:t>Dane w </w:t>
      </w:r>
      <w:r w:rsidRPr="00C15195">
        <w:rPr>
          <w:rFonts w:asciiTheme="minorHAnsi" w:hAnsiTheme="minorHAnsi" w:cstheme="minorHAnsi"/>
          <w:sz w:val="22"/>
          <w:szCs w:val="22"/>
        </w:rPr>
        <w:t>zakresie salda początkowego wykazanego w wydruku OTAGO [19 301 861,66 zł]</w:t>
      </w:r>
      <w:r w:rsidR="00EE608E" w:rsidRPr="00C15195">
        <w:rPr>
          <w:rFonts w:asciiTheme="minorHAnsi" w:hAnsiTheme="minorHAnsi" w:cstheme="minorHAnsi"/>
          <w:sz w:val="22"/>
          <w:szCs w:val="22"/>
        </w:rPr>
        <w:t xml:space="preserve"> różnią się z </w:t>
      </w:r>
      <w:r w:rsidRPr="00C15195">
        <w:rPr>
          <w:rFonts w:asciiTheme="minorHAnsi" w:hAnsiTheme="minorHAnsi" w:cstheme="minorHAnsi"/>
          <w:sz w:val="22"/>
          <w:szCs w:val="22"/>
        </w:rPr>
        <w:t xml:space="preserve">danymi z wydruków zestawień obrotów i sald z systemu księgowego Millenium </w:t>
      </w:r>
      <w:r w:rsidR="00EE608E" w:rsidRPr="00C15195">
        <w:rPr>
          <w:rFonts w:asciiTheme="minorHAnsi" w:hAnsiTheme="minorHAnsi" w:cstheme="minorHAnsi"/>
          <w:sz w:val="22"/>
          <w:szCs w:val="22"/>
        </w:rPr>
        <w:t>w księdze głównej w </w:t>
      </w:r>
      <w:r w:rsidRPr="00C15195">
        <w:rPr>
          <w:rFonts w:asciiTheme="minorHAnsi" w:hAnsiTheme="minorHAnsi" w:cstheme="minorHAnsi"/>
          <w:sz w:val="22"/>
          <w:szCs w:val="22"/>
        </w:rPr>
        <w:t>związku zaleceniami audytu, licznymi zmianami przypisów dokonywanymi przez wydział merytoryczny [po dniu 1 stycznia 2023 r.] oraz brakiem możliw</w:t>
      </w:r>
      <w:r w:rsidR="00EE608E" w:rsidRPr="00C15195">
        <w:rPr>
          <w:rFonts w:asciiTheme="minorHAnsi" w:hAnsiTheme="minorHAnsi" w:cstheme="minorHAnsi"/>
          <w:sz w:val="22"/>
          <w:szCs w:val="22"/>
        </w:rPr>
        <w:t>ości wygenerowania informacji z </w:t>
      </w:r>
      <w:r w:rsidRPr="00C15195">
        <w:rPr>
          <w:rFonts w:asciiTheme="minorHAnsi" w:hAnsiTheme="minorHAnsi" w:cstheme="minorHAnsi"/>
          <w:sz w:val="22"/>
          <w:szCs w:val="22"/>
        </w:rPr>
        <w:t>systemu OTAGO ze względu na zbyt duży zakres zmian”.</w:t>
      </w:r>
    </w:p>
    <w:p w14:paraId="178ACB5D" w14:textId="77777777" w:rsidR="00671596" w:rsidRPr="00C15195" w:rsidRDefault="00671596"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Wskazać należy, że zgodnie z art. 16 ust. 1 ustawy </w:t>
      </w:r>
      <w:r w:rsidR="00E703C3" w:rsidRPr="00C15195">
        <w:rPr>
          <w:rFonts w:asciiTheme="minorHAnsi" w:hAnsiTheme="minorHAnsi" w:cstheme="minorHAnsi"/>
          <w:sz w:val="22"/>
          <w:szCs w:val="22"/>
        </w:rPr>
        <w:t>z dnia 29 września 1994 r. o rachunkowości</w:t>
      </w:r>
      <w:r w:rsidR="00E703C3" w:rsidRPr="00C15195">
        <w:rPr>
          <w:rStyle w:val="Odwoanieprzypisudolnego"/>
          <w:rFonts w:asciiTheme="minorHAnsi" w:hAnsiTheme="minorHAnsi" w:cstheme="minorHAnsi"/>
          <w:sz w:val="22"/>
          <w:szCs w:val="22"/>
        </w:rPr>
        <w:footnoteReference w:id="9"/>
      </w:r>
      <w:r w:rsidR="00E703C3" w:rsidRPr="00C15195">
        <w:rPr>
          <w:rFonts w:asciiTheme="minorHAnsi" w:hAnsiTheme="minorHAnsi" w:cstheme="minorHAnsi"/>
          <w:sz w:val="22"/>
          <w:szCs w:val="22"/>
        </w:rPr>
        <w:t xml:space="preserve"> </w:t>
      </w:r>
      <w:r w:rsidRPr="00C15195">
        <w:rPr>
          <w:rFonts w:asciiTheme="minorHAnsi" w:hAnsiTheme="minorHAnsi" w:cstheme="minorHAnsi"/>
          <w:sz w:val="22"/>
          <w:szCs w:val="22"/>
        </w:rPr>
        <w:t>konta ksiąg pomocniczych zawierają zapisy będące uszczegółowieniem i uzupełnieniem zapisów kont księgi głównej, więc dane w nich ujęte powinny być uzgodnione z saldami i zapisami na kontach księgi głównej.</w:t>
      </w:r>
      <w:r w:rsidR="00FC468F" w:rsidRPr="00C15195">
        <w:rPr>
          <w:rFonts w:asciiTheme="minorHAnsi" w:hAnsiTheme="minorHAnsi" w:cstheme="minorHAnsi"/>
          <w:sz w:val="22"/>
          <w:szCs w:val="22"/>
        </w:rPr>
        <w:t xml:space="preserve"> W art. 24 ust. 4 pkt 4 ustawy wskazano</w:t>
      </w:r>
      <w:r w:rsidR="00DE7E42" w:rsidRPr="00C15195">
        <w:rPr>
          <w:rFonts w:asciiTheme="minorHAnsi" w:hAnsiTheme="minorHAnsi" w:cstheme="minorHAnsi"/>
          <w:sz w:val="22"/>
          <w:szCs w:val="22"/>
        </w:rPr>
        <w:t>:</w:t>
      </w:r>
      <w:r w:rsidR="00FC468F" w:rsidRPr="00C15195">
        <w:rPr>
          <w:rFonts w:asciiTheme="minorHAnsi" w:hAnsiTheme="minorHAnsi" w:cstheme="minorHAnsi"/>
          <w:sz w:val="22"/>
          <w:szCs w:val="22"/>
        </w:rPr>
        <w:t xml:space="preserve"> </w:t>
      </w:r>
      <w:r w:rsidR="006A360D" w:rsidRPr="00C15195">
        <w:rPr>
          <w:rFonts w:asciiTheme="minorHAnsi" w:hAnsiTheme="minorHAnsi" w:cstheme="minorHAnsi"/>
          <w:sz w:val="22"/>
          <w:szCs w:val="22"/>
        </w:rPr>
        <w:t>„Księgi rachunkowe uznaje się za sprawdzalne, jeżeli umożliwiają stwierdzenie poprawności dokonanych w nich zapisów, stanów (sald) oraz działania stosowanych procedur obliczeniowych (..) zapewniony jest dostęp do zbiorów danych pozwalających, bez względu na stosowaną technikę, na uzyskanie w dowolnym czasie i za dowolnie wybrany okres sprawozdawczy jasnych i zrozumiałych informacj</w:t>
      </w:r>
      <w:r w:rsidR="00174C5B" w:rsidRPr="00C15195">
        <w:rPr>
          <w:rFonts w:asciiTheme="minorHAnsi" w:hAnsiTheme="minorHAnsi" w:cstheme="minorHAnsi"/>
          <w:sz w:val="22"/>
          <w:szCs w:val="22"/>
        </w:rPr>
        <w:t>i o treści zapisów dokonanych w </w:t>
      </w:r>
      <w:r w:rsidR="006A360D" w:rsidRPr="00C15195">
        <w:rPr>
          <w:rFonts w:asciiTheme="minorHAnsi" w:hAnsiTheme="minorHAnsi" w:cstheme="minorHAnsi"/>
          <w:sz w:val="22"/>
          <w:szCs w:val="22"/>
        </w:rPr>
        <w:t>księgach rachunkowych”.</w:t>
      </w:r>
    </w:p>
    <w:p w14:paraId="42A86329" w14:textId="2CDA8A9B" w:rsidR="00384753" w:rsidRPr="00C15195" w:rsidRDefault="002C147B"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Z wykazów </w:t>
      </w:r>
      <w:r w:rsidR="00FE7C3C" w:rsidRPr="00C15195">
        <w:rPr>
          <w:rFonts w:asciiTheme="minorHAnsi" w:hAnsiTheme="minorHAnsi" w:cstheme="minorHAnsi"/>
          <w:sz w:val="22"/>
          <w:szCs w:val="22"/>
        </w:rPr>
        <w:t>wygenerowanych z programu OTAGO</w:t>
      </w:r>
      <w:r w:rsidRPr="00C15195">
        <w:rPr>
          <w:rFonts w:asciiTheme="minorHAnsi" w:hAnsiTheme="minorHAnsi" w:cstheme="minorHAnsi"/>
          <w:sz w:val="22"/>
          <w:szCs w:val="22"/>
        </w:rPr>
        <w:t xml:space="preserve"> wynika, że stan zadłużenia (należność główna) na początek 2023 r. wynosił 19 640 570,62 zł</w:t>
      </w:r>
      <w:r w:rsidR="0059105B" w:rsidRPr="00C15195">
        <w:rPr>
          <w:rFonts w:asciiTheme="minorHAnsi" w:hAnsiTheme="minorHAnsi" w:cstheme="minorHAnsi"/>
          <w:sz w:val="22"/>
          <w:szCs w:val="22"/>
        </w:rPr>
        <w:t xml:space="preserve"> (200 884,31 zł mniej, niż bilans otwarcia</w:t>
      </w:r>
      <w:r w:rsidR="00FE7C3C" w:rsidRPr="00C15195">
        <w:rPr>
          <w:rFonts w:asciiTheme="minorHAnsi" w:hAnsiTheme="minorHAnsi" w:cstheme="minorHAnsi"/>
          <w:sz w:val="22"/>
          <w:szCs w:val="22"/>
        </w:rPr>
        <w:t xml:space="preserve"> ujęty na koncie</w:t>
      </w:r>
      <w:r w:rsidR="0059105B" w:rsidRPr="00C15195">
        <w:rPr>
          <w:rFonts w:asciiTheme="minorHAnsi" w:hAnsiTheme="minorHAnsi" w:cstheme="minorHAnsi"/>
          <w:sz w:val="22"/>
          <w:szCs w:val="22"/>
        </w:rPr>
        <w:t xml:space="preserve"> </w:t>
      </w:r>
      <w:r w:rsidR="004D0FD3" w:rsidRPr="00C15195">
        <w:rPr>
          <w:rFonts w:asciiTheme="minorHAnsi" w:hAnsiTheme="minorHAnsi" w:cstheme="minorHAnsi"/>
          <w:sz w:val="22"/>
          <w:szCs w:val="22"/>
        </w:rPr>
        <w:t>księgowym</w:t>
      </w:r>
      <w:r w:rsidR="00C95A9A" w:rsidRPr="00C15195">
        <w:rPr>
          <w:rFonts w:asciiTheme="minorHAnsi" w:hAnsiTheme="minorHAnsi" w:cstheme="minorHAnsi"/>
          <w:sz w:val="22"/>
          <w:szCs w:val="22"/>
          <w:vertAlign w:val="superscript"/>
        </w:rPr>
        <w:t>6</w:t>
      </w:r>
      <w:r w:rsidR="00524F8B" w:rsidRPr="00C15195">
        <w:rPr>
          <w:rFonts w:asciiTheme="minorHAnsi" w:hAnsiTheme="minorHAnsi" w:cstheme="minorHAnsi"/>
          <w:sz w:val="22"/>
          <w:szCs w:val="22"/>
        </w:rPr>
        <w:t xml:space="preserve">, </w:t>
      </w:r>
      <w:r w:rsidRPr="00C15195">
        <w:rPr>
          <w:rFonts w:asciiTheme="minorHAnsi" w:hAnsiTheme="minorHAnsi" w:cstheme="minorHAnsi"/>
          <w:sz w:val="22"/>
          <w:szCs w:val="22"/>
        </w:rPr>
        <w:t xml:space="preserve">na koniec </w:t>
      </w:r>
      <w:r w:rsidR="00FE7C3C" w:rsidRPr="00C15195">
        <w:rPr>
          <w:rFonts w:asciiTheme="minorHAnsi" w:hAnsiTheme="minorHAnsi" w:cstheme="minorHAnsi"/>
          <w:sz w:val="22"/>
          <w:szCs w:val="22"/>
        </w:rPr>
        <w:t xml:space="preserve">roku obrachunkowego stan należności wynosił </w:t>
      </w:r>
      <w:r w:rsidRPr="00C15195">
        <w:rPr>
          <w:rFonts w:asciiTheme="minorHAnsi" w:hAnsiTheme="minorHAnsi" w:cstheme="minorHAnsi"/>
          <w:sz w:val="22"/>
          <w:szCs w:val="22"/>
        </w:rPr>
        <w:t>12 279 259,99 zł</w:t>
      </w:r>
      <w:r w:rsidR="0059105B" w:rsidRPr="00C15195">
        <w:rPr>
          <w:rFonts w:asciiTheme="minorHAnsi" w:hAnsiTheme="minorHAnsi" w:cstheme="minorHAnsi"/>
          <w:sz w:val="22"/>
          <w:szCs w:val="22"/>
        </w:rPr>
        <w:t xml:space="preserve"> (335 273,09 zł mniej niż s</w:t>
      </w:r>
      <w:r w:rsidR="004D0FD3" w:rsidRPr="00C15195">
        <w:rPr>
          <w:rFonts w:asciiTheme="minorHAnsi" w:hAnsiTheme="minorHAnsi" w:cstheme="minorHAnsi"/>
          <w:sz w:val="22"/>
          <w:szCs w:val="22"/>
        </w:rPr>
        <w:t>aldo końcowe 2023 r.</w:t>
      </w:r>
      <w:r w:rsidR="0059105B" w:rsidRPr="00C15195">
        <w:rPr>
          <w:rFonts w:asciiTheme="minorHAnsi" w:hAnsiTheme="minorHAnsi" w:cstheme="minorHAnsi"/>
          <w:sz w:val="22"/>
          <w:szCs w:val="22"/>
        </w:rPr>
        <w:t xml:space="preserve"> konta</w:t>
      </w:r>
      <w:r w:rsidR="00FE7C3C" w:rsidRPr="00C15195">
        <w:rPr>
          <w:rFonts w:asciiTheme="minorHAnsi" w:hAnsiTheme="minorHAnsi" w:cstheme="minorHAnsi"/>
          <w:sz w:val="22"/>
          <w:szCs w:val="22"/>
        </w:rPr>
        <w:t xml:space="preserve"> księgowego</w:t>
      </w:r>
      <w:r w:rsidR="00524F8B" w:rsidRPr="00C15195">
        <w:rPr>
          <w:rFonts w:asciiTheme="minorHAnsi" w:hAnsiTheme="minorHAnsi" w:cstheme="minorHAnsi"/>
          <w:sz w:val="22"/>
          <w:szCs w:val="22"/>
          <w:vertAlign w:val="superscript"/>
        </w:rPr>
        <w:t>6</w:t>
      </w:r>
      <w:r w:rsidR="0059105B" w:rsidRPr="00C15195">
        <w:rPr>
          <w:rFonts w:asciiTheme="minorHAnsi" w:hAnsiTheme="minorHAnsi" w:cstheme="minorHAnsi"/>
          <w:sz w:val="22"/>
          <w:szCs w:val="22"/>
        </w:rPr>
        <w:t>)</w:t>
      </w:r>
      <w:r w:rsidRPr="00C15195">
        <w:rPr>
          <w:rFonts w:asciiTheme="minorHAnsi" w:hAnsiTheme="minorHAnsi" w:cstheme="minorHAnsi"/>
          <w:sz w:val="22"/>
          <w:szCs w:val="22"/>
        </w:rPr>
        <w:t xml:space="preserve">. </w:t>
      </w:r>
      <w:r w:rsidR="00E3256A" w:rsidRPr="00C15195">
        <w:rPr>
          <w:rFonts w:asciiTheme="minorHAnsi" w:hAnsiTheme="minorHAnsi" w:cstheme="minorHAnsi"/>
          <w:sz w:val="22"/>
          <w:szCs w:val="22"/>
        </w:rPr>
        <w:t>Burmistrz</w:t>
      </w:r>
      <w:r w:rsidR="00A96D6A" w:rsidRPr="00C15195">
        <w:rPr>
          <w:rFonts w:asciiTheme="minorHAnsi" w:hAnsiTheme="minorHAnsi" w:cstheme="minorHAnsi"/>
          <w:sz w:val="22"/>
          <w:szCs w:val="22"/>
        </w:rPr>
        <w:t xml:space="preserve"> Dzielnicy </w:t>
      </w:r>
      <w:r w:rsidR="00FE7C3C" w:rsidRPr="00C15195">
        <w:rPr>
          <w:rFonts w:asciiTheme="minorHAnsi" w:hAnsiTheme="minorHAnsi" w:cstheme="minorHAnsi"/>
          <w:sz w:val="22"/>
          <w:szCs w:val="22"/>
        </w:rPr>
        <w:t>wyjaśnił: „</w:t>
      </w:r>
      <w:r w:rsidR="009E67FF" w:rsidRPr="00C15195">
        <w:rPr>
          <w:rFonts w:asciiTheme="minorHAnsi" w:eastAsiaTheme="minorHAnsi" w:hAnsiTheme="minorHAnsi" w:cstheme="minorHAnsi"/>
          <w:bCs/>
          <w:kern w:val="2"/>
          <w:sz w:val="22"/>
          <w:szCs w:val="22"/>
          <w:lang w:eastAsia="en-US"/>
          <w14:ligatures w14:val="standardContextual"/>
        </w:rPr>
        <w:t>Zestawienie lista dłużników</w:t>
      </w:r>
      <w:r w:rsidR="00FE7C3C" w:rsidRPr="00C15195">
        <w:rPr>
          <w:rFonts w:asciiTheme="minorHAnsi" w:eastAsiaTheme="minorHAnsi" w:hAnsiTheme="minorHAnsi" w:cstheme="minorHAnsi"/>
          <w:bCs/>
          <w:kern w:val="2"/>
          <w:sz w:val="22"/>
          <w:szCs w:val="22"/>
          <w:lang w:eastAsia="en-US"/>
          <w14:ligatures w14:val="standardContextual"/>
        </w:rPr>
        <w:t>”</w:t>
      </w:r>
      <w:r w:rsidR="009E67FF" w:rsidRPr="00C15195">
        <w:rPr>
          <w:rFonts w:asciiTheme="minorHAnsi" w:eastAsiaTheme="minorHAnsi" w:hAnsiTheme="minorHAnsi" w:cstheme="minorHAnsi"/>
          <w:bCs/>
          <w:kern w:val="2"/>
          <w:sz w:val="22"/>
          <w:szCs w:val="22"/>
          <w:lang w:eastAsia="en-US"/>
          <w14:ligatures w14:val="standardContextual"/>
        </w:rPr>
        <w:t xml:space="preserve"> </w:t>
      </w:r>
      <w:r w:rsidR="004D0FD3" w:rsidRPr="00C15195">
        <w:rPr>
          <w:rFonts w:asciiTheme="minorHAnsi" w:eastAsiaTheme="minorHAnsi" w:hAnsiTheme="minorHAnsi" w:cstheme="minorHAnsi"/>
          <w:bCs/>
          <w:kern w:val="2"/>
          <w:sz w:val="22"/>
          <w:szCs w:val="22"/>
          <w:lang w:eastAsia="en-US"/>
          <w14:ligatures w14:val="standardContextual"/>
        </w:rPr>
        <w:t>[</w:t>
      </w:r>
      <w:r w:rsidR="00861EFB" w:rsidRPr="00C15195">
        <w:rPr>
          <w:rFonts w:asciiTheme="minorHAnsi" w:eastAsiaTheme="minorHAnsi" w:hAnsiTheme="minorHAnsi" w:cstheme="minorHAnsi"/>
          <w:bCs/>
          <w:kern w:val="2"/>
          <w:sz w:val="22"/>
          <w:szCs w:val="22"/>
          <w:lang w:eastAsia="en-US"/>
          <w14:ligatures w14:val="standardContextual"/>
        </w:rPr>
        <w:t xml:space="preserve">generowane z programu OTAGO] </w:t>
      </w:r>
      <w:r w:rsidR="009E67FF" w:rsidRPr="00C15195">
        <w:rPr>
          <w:rFonts w:asciiTheme="minorHAnsi" w:eastAsiaTheme="minorHAnsi" w:hAnsiTheme="minorHAnsi" w:cstheme="minorHAnsi"/>
          <w:bCs/>
          <w:kern w:val="2"/>
          <w:sz w:val="22"/>
          <w:szCs w:val="22"/>
          <w:lang w:eastAsia="en-US"/>
          <w14:ligatures w14:val="standardContextual"/>
        </w:rPr>
        <w:t xml:space="preserve">nie jest zestawieniem, które ma </w:t>
      </w:r>
      <w:r w:rsidR="00671596" w:rsidRPr="00C15195">
        <w:rPr>
          <w:rFonts w:asciiTheme="minorHAnsi" w:eastAsiaTheme="minorHAnsi" w:hAnsiTheme="minorHAnsi" w:cstheme="minorHAnsi"/>
          <w:bCs/>
          <w:kern w:val="2"/>
          <w:sz w:val="22"/>
          <w:szCs w:val="22"/>
          <w:lang w:eastAsia="en-US"/>
          <w14:ligatures w14:val="standardContextual"/>
        </w:rPr>
        <w:t>potwierdzać kwoty w </w:t>
      </w:r>
      <w:r w:rsidR="009E67FF" w:rsidRPr="00C15195">
        <w:rPr>
          <w:rFonts w:asciiTheme="minorHAnsi" w:eastAsiaTheme="minorHAnsi" w:hAnsiTheme="minorHAnsi" w:cstheme="minorHAnsi"/>
          <w:bCs/>
          <w:kern w:val="2"/>
          <w:sz w:val="22"/>
          <w:szCs w:val="22"/>
          <w:lang w:eastAsia="en-US"/>
          <w14:ligatures w14:val="standardContextual"/>
        </w:rPr>
        <w:t>bilansie. Jego funkcjonalność służy jako pomoc w wyszukiwaniu kart wymagających uwagi operatora</w:t>
      </w:r>
      <w:r w:rsidR="00AB4DC8" w:rsidRPr="00C15195">
        <w:rPr>
          <w:rFonts w:asciiTheme="minorHAnsi" w:eastAsiaTheme="minorHAnsi" w:hAnsiTheme="minorHAnsi" w:cstheme="minorHAnsi"/>
          <w:bCs/>
          <w:kern w:val="2"/>
          <w:sz w:val="22"/>
          <w:szCs w:val="22"/>
          <w:lang w:eastAsia="en-US"/>
          <w14:ligatures w14:val="standardContextual"/>
        </w:rPr>
        <w:t>”</w:t>
      </w:r>
      <w:r w:rsidR="009E67FF" w:rsidRPr="00C15195">
        <w:rPr>
          <w:rFonts w:asciiTheme="minorHAnsi" w:eastAsiaTheme="minorHAnsi" w:hAnsiTheme="minorHAnsi" w:cstheme="minorHAnsi"/>
          <w:bCs/>
          <w:kern w:val="2"/>
          <w:sz w:val="22"/>
          <w:szCs w:val="22"/>
          <w:lang w:eastAsia="en-US"/>
          <w14:ligatures w14:val="standardContextual"/>
        </w:rPr>
        <w:t>.</w:t>
      </w:r>
      <w:r w:rsidR="00BE2300" w:rsidRPr="00C15195">
        <w:rPr>
          <w:rFonts w:asciiTheme="minorHAnsi" w:eastAsiaTheme="minorHAnsi" w:hAnsiTheme="minorHAnsi" w:cstheme="minorHAnsi"/>
          <w:bCs/>
          <w:kern w:val="2"/>
          <w:sz w:val="22"/>
          <w:szCs w:val="22"/>
          <w:lang w:eastAsia="en-US"/>
          <w14:ligatures w14:val="standardContextual"/>
        </w:rPr>
        <w:t xml:space="preserve"> Zaznacz</w:t>
      </w:r>
      <w:r w:rsidR="00524F8B" w:rsidRPr="00C15195">
        <w:rPr>
          <w:rFonts w:asciiTheme="minorHAnsi" w:eastAsiaTheme="minorHAnsi" w:hAnsiTheme="minorHAnsi" w:cstheme="minorHAnsi"/>
          <w:bCs/>
          <w:kern w:val="2"/>
          <w:sz w:val="22"/>
          <w:szCs w:val="22"/>
          <w:lang w:eastAsia="en-US"/>
          <w14:ligatures w14:val="standardContextual"/>
        </w:rPr>
        <w:t>yć należy, że kwoty te są mniejsze</w:t>
      </w:r>
      <w:r w:rsidR="00BE2300" w:rsidRPr="00C15195">
        <w:rPr>
          <w:rFonts w:asciiTheme="minorHAnsi" w:eastAsiaTheme="minorHAnsi" w:hAnsiTheme="minorHAnsi" w:cstheme="minorHAnsi"/>
          <w:bCs/>
          <w:kern w:val="2"/>
          <w:sz w:val="22"/>
          <w:szCs w:val="22"/>
          <w:lang w:eastAsia="en-US"/>
          <w14:ligatures w14:val="standardContextual"/>
        </w:rPr>
        <w:t xml:space="preserve"> niż </w:t>
      </w:r>
      <w:r w:rsidR="00DC3BFD" w:rsidRPr="00C15195">
        <w:rPr>
          <w:rFonts w:asciiTheme="minorHAnsi" w:eastAsiaTheme="minorHAnsi" w:hAnsiTheme="minorHAnsi" w:cstheme="minorHAnsi"/>
          <w:bCs/>
          <w:kern w:val="2"/>
          <w:sz w:val="22"/>
          <w:szCs w:val="22"/>
          <w:lang w:eastAsia="en-US"/>
          <w14:ligatures w14:val="standardContextual"/>
        </w:rPr>
        <w:t xml:space="preserve">ww. </w:t>
      </w:r>
      <w:r w:rsidR="00BE2300" w:rsidRPr="00C15195">
        <w:rPr>
          <w:rFonts w:asciiTheme="minorHAnsi" w:eastAsiaTheme="minorHAnsi" w:hAnsiTheme="minorHAnsi" w:cstheme="minorHAnsi"/>
          <w:bCs/>
          <w:kern w:val="2"/>
          <w:sz w:val="22"/>
          <w:szCs w:val="22"/>
          <w:lang w:eastAsia="en-US"/>
          <w14:ligatures w14:val="standardContextual"/>
        </w:rPr>
        <w:t>zaległości zaewidencjonowane na koncie</w:t>
      </w:r>
      <w:r w:rsidR="004D0FD3" w:rsidRPr="00C15195">
        <w:rPr>
          <w:rFonts w:asciiTheme="minorHAnsi" w:eastAsiaTheme="minorHAnsi" w:hAnsiTheme="minorHAnsi" w:cstheme="minorHAnsi"/>
          <w:bCs/>
          <w:kern w:val="2"/>
          <w:sz w:val="22"/>
          <w:szCs w:val="22"/>
          <w:lang w:eastAsia="en-US"/>
          <w14:ligatures w14:val="standardContextual"/>
        </w:rPr>
        <w:t xml:space="preserve"> księgowym</w:t>
      </w:r>
      <w:r w:rsidR="00C95A9A" w:rsidRPr="00C15195">
        <w:rPr>
          <w:rFonts w:asciiTheme="minorHAnsi" w:eastAsiaTheme="minorHAnsi" w:hAnsiTheme="minorHAnsi" w:cstheme="minorHAnsi"/>
          <w:bCs/>
          <w:kern w:val="2"/>
          <w:sz w:val="22"/>
          <w:szCs w:val="22"/>
          <w:vertAlign w:val="superscript"/>
          <w:lang w:eastAsia="en-US"/>
          <w14:ligatures w14:val="standardContextual"/>
        </w:rPr>
        <w:t>6</w:t>
      </w:r>
      <w:r w:rsidR="00BE2300" w:rsidRPr="00C15195">
        <w:rPr>
          <w:rFonts w:asciiTheme="minorHAnsi" w:eastAsiaTheme="minorHAnsi" w:hAnsiTheme="minorHAnsi" w:cstheme="minorHAnsi"/>
          <w:bCs/>
          <w:kern w:val="2"/>
          <w:sz w:val="22"/>
          <w:szCs w:val="22"/>
          <w:lang w:eastAsia="en-US"/>
          <w14:ligatures w14:val="standardContextual"/>
        </w:rPr>
        <w:t>,</w:t>
      </w:r>
      <w:r w:rsidR="00384753" w:rsidRPr="00C15195">
        <w:rPr>
          <w:rFonts w:asciiTheme="minorHAnsi" w:eastAsiaTheme="minorHAnsi" w:hAnsiTheme="minorHAnsi" w:cstheme="minorHAnsi"/>
          <w:bCs/>
          <w:kern w:val="2"/>
          <w:sz w:val="22"/>
          <w:szCs w:val="22"/>
          <w:lang w:eastAsia="en-US"/>
          <w14:ligatures w14:val="standardContextual"/>
        </w:rPr>
        <w:t xml:space="preserve"> zaś na podstawie próby kontrolnej 100 dłużników u</w:t>
      </w:r>
      <w:r w:rsidR="00384753" w:rsidRPr="00C15195">
        <w:rPr>
          <w:rFonts w:asciiTheme="minorHAnsi" w:hAnsiTheme="minorHAnsi" w:cstheme="minorHAnsi"/>
          <w:sz w:val="22"/>
          <w:szCs w:val="22"/>
        </w:rPr>
        <w:t>stalono, że w 11 przypadkach</w:t>
      </w:r>
      <w:r w:rsidR="00384753" w:rsidRPr="00C15195">
        <w:rPr>
          <w:rStyle w:val="Odwoanieprzypisudolnego"/>
          <w:rFonts w:asciiTheme="minorHAnsi" w:hAnsiTheme="minorHAnsi" w:cstheme="minorHAnsi"/>
          <w:sz w:val="22"/>
          <w:szCs w:val="22"/>
        </w:rPr>
        <w:footnoteReference w:id="10"/>
      </w:r>
      <w:r w:rsidR="00384753" w:rsidRPr="00C15195">
        <w:rPr>
          <w:rFonts w:asciiTheme="minorHAnsi" w:hAnsiTheme="minorHAnsi" w:cstheme="minorHAnsi"/>
          <w:sz w:val="22"/>
          <w:szCs w:val="22"/>
        </w:rPr>
        <w:t xml:space="preserve"> stan niezapłaconych należności na 1 stycznia 2023 r.</w:t>
      </w:r>
      <w:r w:rsidR="001374DA" w:rsidRPr="00C15195">
        <w:rPr>
          <w:rFonts w:asciiTheme="minorHAnsi" w:hAnsiTheme="minorHAnsi" w:cstheme="minorHAnsi"/>
          <w:sz w:val="22"/>
          <w:szCs w:val="22"/>
        </w:rPr>
        <w:t xml:space="preserve"> </w:t>
      </w:r>
      <w:r w:rsidR="004D0FD3" w:rsidRPr="00C15195">
        <w:rPr>
          <w:rFonts w:asciiTheme="minorHAnsi" w:hAnsiTheme="minorHAnsi" w:cstheme="minorHAnsi"/>
          <w:sz w:val="22"/>
          <w:szCs w:val="22"/>
        </w:rPr>
        <w:t xml:space="preserve">ujęty </w:t>
      </w:r>
      <w:r w:rsidR="001374DA" w:rsidRPr="00C15195">
        <w:rPr>
          <w:rFonts w:asciiTheme="minorHAnsi" w:hAnsiTheme="minorHAnsi" w:cstheme="minorHAnsi"/>
          <w:sz w:val="22"/>
          <w:szCs w:val="22"/>
        </w:rPr>
        <w:t>w ww. wykazie</w:t>
      </w:r>
      <w:r w:rsidR="001374DA" w:rsidRPr="00C15195">
        <w:rPr>
          <w:rStyle w:val="Odwoanieprzypisudolnego"/>
          <w:rFonts w:asciiTheme="minorHAnsi" w:hAnsiTheme="minorHAnsi" w:cstheme="minorHAnsi"/>
          <w:sz w:val="22"/>
          <w:szCs w:val="22"/>
        </w:rPr>
        <w:footnoteReference w:id="11"/>
      </w:r>
      <w:r w:rsidR="00384753" w:rsidRPr="00C15195">
        <w:rPr>
          <w:rFonts w:asciiTheme="minorHAnsi" w:hAnsiTheme="minorHAnsi" w:cstheme="minorHAnsi"/>
          <w:sz w:val="22"/>
          <w:szCs w:val="22"/>
        </w:rPr>
        <w:t xml:space="preserve">, był </w:t>
      </w:r>
      <w:r w:rsidR="00524F8B" w:rsidRPr="00C15195">
        <w:rPr>
          <w:rFonts w:asciiTheme="minorHAnsi" w:hAnsiTheme="minorHAnsi" w:cstheme="minorHAnsi"/>
          <w:sz w:val="22"/>
          <w:szCs w:val="22"/>
        </w:rPr>
        <w:t xml:space="preserve">większy na łączną kwotę </w:t>
      </w:r>
      <w:r w:rsidR="00384753" w:rsidRPr="00C15195">
        <w:rPr>
          <w:rFonts w:asciiTheme="minorHAnsi" w:hAnsiTheme="minorHAnsi" w:cstheme="minorHAnsi"/>
          <w:sz w:val="22"/>
          <w:szCs w:val="22"/>
        </w:rPr>
        <w:t>332 890,38</w:t>
      </w:r>
      <w:r w:rsidR="00524F8B" w:rsidRPr="00C15195">
        <w:rPr>
          <w:rFonts w:asciiTheme="minorHAnsi" w:hAnsiTheme="minorHAnsi" w:cstheme="minorHAnsi"/>
          <w:sz w:val="22"/>
          <w:szCs w:val="22"/>
        </w:rPr>
        <w:t xml:space="preserve"> zł</w:t>
      </w:r>
      <w:r w:rsidR="00384753" w:rsidRPr="00C15195">
        <w:rPr>
          <w:rFonts w:asciiTheme="minorHAnsi" w:hAnsiTheme="minorHAnsi" w:cstheme="minorHAnsi"/>
          <w:sz w:val="22"/>
          <w:szCs w:val="22"/>
        </w:rPr>
        <w:t xml:space="preserve">, niż bilans otwarcia na 2023 r. </w:t>
      </w:r>
      <w:r w:rsidR="004D0FD3" w:rsidRPr="00C15195">
        <w:rPr>
          <w:rFonts w:asciiTheme="minorHAnsi" w:hAnsiTheme="minorHAnsi" w:cstheme="minorHAnsi"/>
          <w:sz w:val="22"/>
          <w:szCs w:val="22"/>
        </w:rPr>
        <w:t xml:space="preserve">stanu </w:t>
      </w:r>
      <w:r w:rsidR="00384753" w:rsidRPr="00C15195">
        <w:rPr>
          <w:rFonts w:asciiTheme="minorHAnsi" w:hAnsiTheme="minorHAnsi" w:cstheme="minorHAnsi"/>
          <w:sz w:val="22"/>
          <w:szCs w:val="22"/>
        </w:rPr>
        <w:t xml:space="preserve">należności wykazywany na analitycznych kontach rozrachunkowych prowadzonych w tym samym programie. </w:t>
      </w:r>
      <w:r w:rsidR="00E602EF" w:rsidRPr="00C15195">
        <w:rPr>
          <w:rFonts w:asciiTheme="minorHAnsi" w:hAnsiTheme="minorHAnsi" w:cstheme="minorHAnsi"/>
          <w:sz w:val="22"/>
          <w:szCs w:val="22"/>
        </w:rPr>
        <w:t>Z</w:t>
      </w:r>
      <w:r w:rsidR="001374DA" w:rsidRPr="00C15195">
        <w:rPr>
          <w:rFonts w:asciiTheme="minorHAnsi" w:hAnsiTheme="minorHAnsi" w:cstheme="minorHAnsi"/>
          <w:sz w:val="22"/>
          <w:szCs w:val="22"/>
        </w:rPr>
        <w:t> </w:t>
      </w:r>
      <w:r w:rsidR="00E602EF" w:rsidRPr="00C15195">
        <w:rPr>
          <w:rFonts w:asciiTheme="minorHAnsi" w:hAnsiTheme="minorHAnsi" w:cstheme="minorHAnsi"/>
          <w:sz w:val="22"/>
          <w:szCs w:val="22"/>
        </w:rPr>
        <w:t xml:space="preserve">wyjaśnień złożonych przez Burmistrza Dzielnicy wynika, że </w:t>
      </w:r>
      <w:r w:rsidR="00384753" w:rsidRPr="00C15195">
        <w:rPr>
          <w:rFonts w:asciiTheme="minorHAnsi" w:hAnsiTheme="minorHAnsi" w:cstheme="minorHAnsi"/>
          <w:sz w:val="22"/>
          <w:szCs w:val="22"/>
        </w:rPr>
        <w:t>w 1 przypadku</w:t>
      </w:r>
      <w:r w:rsidR="00384753" w:rsidRPr="00C15195">
        <w:rPr>
          <w:rStyle w:val="Odwoanieprzypisudolnego"/>
          <w:rFonts w:asciiTheme="minorHAnsi" w:hAnsiTheme="minorHAnsi" w:cstheme="minorHAnsi"/>
          <w:sz w:val="22"/>
          <w:szCs w:val="22"/>
        </w:rPr>
        <w:footnoteReference w:id="12"/>
      </w:r>
      <w:r w:rsidR="00384753" w:rsidRPr="00C15195">
        <w:rPr>
          <w:rFonts w:asciiTheme="minorHAnsi" w:hAnsiTheme="minorHAnsi" w:cstheme="minorHAnsi"/>
          <w:sz w:val="22"/>
          <w:szCs w:val="22"/>
        </w:rPr>
        <w:t xml:space="preserve"> spowodowane to było brakiem </w:t>
      </w:r>
      <w:r w:rsidR="00384753" w:rsidRPr="00C15195">
        <w:rPr>
          <w:rFonts w:asciiTheme="minorHAnsi" w:hAnsiTheme="minorHAnsi" w:cstheme="minorHAnsi"/>
          <w:sz w:val="22"/>
          <w:szCs w:val="22"/>
        </w:rPr>
        <w:lastRenderedPageBreak/>
        <w:t>wymagalności należności, w pozostałych przypadkach wynikało to z widniejących na początek 2023 r. niezarachowanych wpłat lub</w:t>
      </w:r>
      <w:r w:rsidR="00651836" w:rsidRPr="00C15195">
        <w:rPr>
          <w:rFonts w:asciiTheme="minorHAnsi" w:hAnsiTheme="minorHAnsi" w:cstheme="minorHAnsi"/>
          <w:sz w:val="22"/>
          <w:szCs w:val="22"/>
        </w:rPr>
        <w:t xml:space="preserve"> nieprzerachowanych</w:t>
      </w:r>
      <w:r w:rsidR="00384753" w:rsidRPr="00C15195">
        <w:rPr>
          <w:rFonts w:asciiTheme="minorHAnsi" w:hAnsiTheme="minorHAnsi" w:cstheme="minorHAnsi"/>
          <w:sz w:val="22"/>
          <w:szCs w:val="22"/>
        </w:rPr>
        <w:t xml:space="preserve"> </w:t>
      </w:r>
      <w:r w:rsidR="00651836" w:rsidRPr="00C15195">
        <w:rPr>
          <w:rFonts w:asciiTheme="minorHAnsi" w:hAnsiTheme="minorHAnsi" w:cstheme="minorHAnsi"/>
          <w:sz w:val="22"/>
          <w:szCs w:val="22"/>
        </w:rPr>
        <w:t>wpłat z pierwotnych</w:t>
      </w:r>
      <w:r w:rsidR="00384753" w:rsidRPr="00C15195">
        <w:rPr>
          <w:rFonts w:asciiTheme="minorHAnsi" w:hAnsiTheme="minorHAnsi" w:cstheme="minorHAnsi"/>
          <w:sz w:val="22"/>
          <w:szCs w:val="22"/>
        </w:rPr>
        <w:t xml:space="preserve"> wyks</w:t>
      </w:r>
      <w:r w:rsidR="00651836" w:rsidRPr="00C15195">
        <w:rPr>
          <w:rFonts w:asciiTheme="minorHAnsi" w:hAnsiTheme="minorHAnsi" w:cstheme="minorHAnsi"/>
          <w:sz w:val="22"/>
          <w:szCs w:val="22"/>
        </w:rPr>
        <w:t>ięgowanych przypisów należności</w:t>
      </w:r>
      <w:r w:rsidR="00384753" w:rsidRPr="00C15195">
        <w:rPr>
          <w:rFonts w:asciiTheme="minorHAnsi" w:hAnsiTheme="minorHAnsi" w:cstheme="minorHAnsi"/>
          <w:sz w:val="22"/>
          <w:szCs w:val="22"/>
        </w:rPr>
        <w:t xml:space="preserve"> na nowe, dokonane w </w:t>
      </w:r>
      <w:r w:rsidR="001374DA" w:rsidRPr="00C15195">
        <w:rPr>
          <w:rFonts w:asciiTheme="minorHAnsi" w:hAnsiTheme="minorHAnsi" w:cstheme="minorHAnsi"/>
          <w:sz w:val="22"/>
          <w:szCs w:val="22"/>
        </w:rPr>
        <w:t>związku z korektami naliczeń i </w:t>
      </w:r>
      <w:r w:rsidR="00384753" w:rsidRPr="00C15195">
        <w:rPr>
          <w:rFonts w:asciiTheme="minorHAnsi" w:hAnsiTheme="minorHAnsi" w:cstheme="minorHAnsi"/>
          <w:sz w:val="22"/>
          <w:szCs w:val="22"/>
        </w:rPr>
        <w:t xml:space="preserve">terminów płatności. </w:t>
      </w:r>
      <w:r w:rsidR="00861EFB" w:rsidRPr="00C15195">
        <w:rPr>
          <w:rFonts w:asciiTheme="minorHAnsi" w:hAnsiTheme="minorHAnsi" w:cstheme="minorHAnsi"/>
          <w:sz w:val="22"/>
          <w:szCs w:val="22"/>
        </w:rPr>
        <w:t xml:space="preserve">Powyższe wskazuje, że na </w:t>
      </w:r>
      <w:r w:rsidR="001374DA" w:rsidRPr="00C15195">
        <w:rPr>
          <w:rFonts w:asciiTheme="minorHAnsi" w:hAnsiTheme="minorHAnsi" w:cstheme="minorHAnsi"/>
          <w:sz w:val="22"/>
          <w:szCs w:val="22"/>
        </w:rPr>
        <w:t>wydrukach z kart kontowych wykazywane były, zarówno na początek, jak i koniec roku</w:t>
      </w:r>
      <w:r w:rsidR="00E703C3" w:rsidRPr="00C15195">
        <w:rPr>
          <w:rFonts w:asciiTheme="minorHAnsi" w:hAnsiTheme="minorHAnsi" w:cstheme="minorHAnsi"/>
          <w:sz w:val="22"/>
          <w:szCs w:val="22"/>
        </w:rPr>
        <w:t xml:space="preserve"> obrachunkowego</w:t>
      </w:r>
      <w:r w:rsidR="001374DA" w:rsidRPr="00C15195">
        <w:rPr>
          <w:rFonts w:asciiTheme="minorHAnsi" w:hAnsiTheme="minorHAnsi" w:cstheme="minorHAnsi"/>
          <w:sz w:val="22"/>
          <w:szCs w:val="22"/>
        </w:rPr>
        <w:t>, persalda</w:t>
      </w:r>
      <w:r w:rsidR="00384753" w:rsidRPr="00C15195">
        <w:rPr>
          <w:rFonts w:asciiTheme="minorHAnsi" w:hAnsiTheme="minorHAnsi" w:cstheme="minorHAnsi"/>
          <w:sz w:val="22"/>
          <w:szCs w:val="22"/>
        </w:rPr>
        <w:t xml:space="preserve">. </w:t>
      </w:r>
      <w:r w:rsidR="00D62FEB" w:rsidRPr="00C15195">
        <w:rPr>
          <w:rFonts w:asciiTheme="minorHAnsi" w:hAnsiTheme="minorHAnsi" w:cstheme="minorHAnsi"/>
          <w:sz w:val="22"/>
          <w:szCs w:val="22"/>
        </w:rPr>
        <w:t>Stosownie do zasad ustalonych w załączniku Nr 5 do Zarządzenia Nr 3222/2012 Prezydenta m.st. Warszawy z dnia 13 sierpnia 2012 r. w sprawie przyjętych zasad rachunkowości w Urzędzie m.st. Warszawy</w:t>
      </w:r>
      <w:r w:rsidR="00D62FEB" w:rsidRPr="00C15195">
        <w:rPr>
          <w:rStyle w:val="Odwoanieprzypisudolnego"/>
          <w:rFonts w:asciiTheme="minorHAnsi" w:hAnsiTheme="minorHAnsi" w:cstheme="minorHAnsi"/>
          <w:sz w:val="22"/>
          <w:szCs w:val="22"/>
        </w:rPr>
        <w:footnoteReference w:id="13"/>
      </w:r>
      <w:r w:rsidR="00D62FEB" w:rsidRPr="00C15195">
        <w:rPr>
          <w:rFonts w:asciiTheme="minorHAnsi" w:hAnsiTheme="minorHAnsi" w:cstheme="minorHAnsi"/>
          <w:sz w:val="22"/>
          <w:szCs w:val="22"/>
        </w:rPr>
        <w:t xml:space="preserve">, saldo konta rozrachunkowego może wykazywać dwa salda, zatem </w:t>
      </w:r>
      <w:r w:rsidR="0067024D" w:rsidRPr="00C15195">
        <w:rPr>
          <w:rFonts w:asciiTheme="minorHAnsi" w:hAnsiTheme="minorHAnsi" w:cstheme="minorHAnsi"/>
          <w:sz w:val="22"/>
          <w:szCs w:val="22"/>
        </w:rPr>
        <w:t>zapisy na koncie winny umożliwić bezsporne określenie stanu należności (saldo Wn) i zobowiązań (saldo Ma) kontrahentów.</w:t>
      </w:r>
      <w:r w:rsidR="00D62FEB" w:rsidRPr="00C15195">
        <w:rPr>
          <w:rFonts w:asciiTheme="minorHAnsi" w:hAnsiTheme="minorHAnsi" w:cstheme="minorHAnsi"/>
          <w:sz w:val="22"/>
          <w:szCs w:val="22"/>
        </w:rPr>
        <w:t xml:space="preserve"> </w:t>
      </w:r>
      <w:r w:rsidR="00DE7E42" w:rsidRPr="00C15195">
        <w:rPr>
          <w:rFonts w:asciiTheme="minorHAnsi" w:hAnsiTheme="minorHAnsi" w:cstheme="minorHAnsi"/>
          <w:sz w:val="22"/>
          <w:szCs w:val="22"/>
        </w:rPr>
        <w:t>Wymóg poprawności zapisów stanu konta (sald) określa art. 24 ust. 4 pkt 4, art. 18 ust. 1 pkt 2 ustawy o rachunkowości.</w:t>
      </w:r>
    </w:p>
    <w:p w14:paraId="50F0F476" w14:textId="38AFEF95" w:rsidR="002C147B" w:rsidRPr="00C15195" w:rsidRDefault="003875AE" w:rsidP="00C15195">
      <w:pPr>
        <w:pStyle w:val="Zwykytekst"/>
        <w:spacing w:before="120" w:after="240" w:line="300" w:lineRule="auto"/>
        <w:rPr>
          <w:rFonts w:asciiTheme="minorHAnsi" w:hAnsiTheme="minorHAnsi" w:cstheme="minorHAnsi"/>
          <w:sz w:val="22"/>
          <w:szCs w:val="22"/>
        </w:rPr>
      </w:pPr>
      <w:r w:rsidRPr="00C15195">
        <w:rPr>
          <w:rFonts w:asciiTheme="minorHAnsi" w:eastAsiaTheme="minorHAnsi" w:hAnsiTheme="minorHAnsi" w:cstheme="minorHAnsi"/>
          <w:bCs/>
          <w:kern w:val="2"/>
          <w:sz w:val="22"/>
          <w:szCs w:val="22"/>
          <w:lang w:eastAsia="en-US"/>
          <w14:ligatures w14:val="standardContextual"/>
        </w:rPr>
        <w:t xml:space="preserve">Wobec powyższego nie było </w:t>
      </w:r>
      <w:r w:rsidR="00C36245" w:rsidRPr="00C15195">
        <w:rPr>
          <w:rFonts w:asciiTheme="minorHAnsi" w:eastAsiaTheme="minorHAnsi" w:hAnsiTheme="minorHAnsi" w:cstheme="minorHAnsi"/>
          <w:bCs/>
          <w:kern w:val="2"/>
          <w:sz w:val="22"/>
          <w:szCs w:val="22"/>
          <w:lang w:eastAsia="en-US"/>
          <w14:ligatures w14:val="standardContextual"/>
        </w:rPr>
        <w:t>możliw</w:t>
      </w:r>
      <w:r w:rsidR="00B66BED" w:rsidRPr="00C15195">
        <w:rPr>
          <w:rFonts w:asciiTheme="minorHAnsi" w:eastAsiaTheme="minorHAnsi" w:hAnsiTheme="minorHAnsi" w:cstheme="minorHAnsi"/>
          <w:bCs/>
          <w:kern w:val="2"/>
          <w:sz w:val="22"/>
          <w:szCs w:val="22"/>
          <w:lang w:eastAsia="en-US"/>
          <w14:ligatures w14:val="standardContextual"/>
        </w:rPr>
        <w:t>e</w:t>
      </w:r>
      <w:r w:rsidR="00C36245" w:rsidRPr="00C15195">
        <w:rPr>
          <w:rFonts w:asciiTheme="minorHAnsi" w:eastAsiaTheme="minorHAnsi" w:hAnsiTheme="minorHAnsi" w:cstheme="minorHAnsi"/>
          <w:bCs/>
          <w:kern w:val="2"/>
          <w:sz w:val="22"/>
          <w:szCs w:val="22"/>
          <w:lang w:eastAsia="en-US"/>
          <w14:ligatures w14:val="standardContextual"/>
        </w:rPr>
        <w:t xml:space="preserve"> zweryfikowani</w:t>
      </w:r>
      <w:r w:rsidR="00B66BED" w:rsidRPr="00C15195">
        <w:rPr>
          <w:rFonts w:asciiTheme="minorHAnsi" w:eastAsiaTheme="minorHAnsi" w:hAnsiTheme="minorHAnsi" w:cstheme="minorHAnsi"/>
          <w:bCs/>
          <w:kern w:val="2"/>
          <w:sz w:val="22"/>
          <w:szCs w:val="22"/>
          <w:lang w:eastAsia="en-US"/>
          <w14:ligatures w14:val="standardContextual"/>
        </w:rPr>
        <w:t>e</w:t>
      </w:r>
      <w:r w:rsidR="00C36245" w:rsidRPr="00C15195">
        <w:rPr>
          <w:rFonts w:asciiTheme="minorHAnsi" w:eastAsiaTheme="minorHAnsi" w:hAnsiTheme="minorHAnsi" w:cstheme="minorHAnsi"/>
          <w:bCs/>
          <w:kern w:val="2"/>
          <w:sz w:val="22"/>
          <w:szCs w:val="22"/>
          <w:lang w:eastAsia="en-US"/>
          <w14:ligatures w14:val="standardContextual"/>
        </w:rPr>
        <w:t xml:space="preserve"> </w:t>
      </w:r>
      <w:r w:rsidR="00E602EF" w:rsidRPr="00C15195">
        <w:rPr>
          <w:rFonts w:asciiTheme="minorHAnsi" w:eastAsiaTheme="minorHAnsi" w:hAnsiTheme="minorHAnsi" w:cstheme="minorHAnsi"/>
          <w:bCs/>
          <w:kern w:val="2"/>
          <w:sz w:val="22"/>
          <w:szCs w:val="22"/>
          <w:lang w:eastAsia="en-US"/>
          <w14:ligatures w14:val="standardContextual"/>
        </w:rPr>
        <w:t>zgodności</w:t>
      </w:r>
      <w:r w:rsidR="00C36245" w:rsidRPr="00C15195">
        <w:rPr>
          <w:rFonts w:asciiTheme="minorHAnsi" w:eastAsiaTheme="minorHAnsi" w:hAnsiTheme="minorHAnsi" w:cstheme="minorHAnsi"/>
          <w:bCs/>
          <w:kern w:val="2"/>
          <w:sz w:val="22"/>
          <w:szCs w:val="22"/>
          <w:lang w:eastAsia="en-US"/>
          <w14:ligatures w14:val="standardContextual"/>
        </w:rPr>
        <w:t xml:space="preserve"> danych</w:t>
      </w:r>
      <w:r w:rsidR="00DC3BFD" w:rsidRPr="00C15195">
        <w:rPr>
          <w:rFonts w:asciiTheme="minorHAnsi" w:eastAsiaTheme="minorHAnsi" w:hAnsiTheme="minorHAnsi" w:cstheme="minorHAnsi"/>
          <w:bCs/>
          <w:kern w:val="2"/>
          <w:sz w:val="22"/>
          <w:szCs w:val="22"/>
          <w:lang w:eastAsia="en-US"/>
          <w14:ligatures w14:val="standardContextual"/>
        </w:rPr>
        <w:t xml:space="preserve"> w zakresie zadłużenia wykazanych w księdze głównej</w:t>
      </w:r>
      <w:r w:rsidR="00C95A9A" w:rsidRPr="00C15195">
        <w:rPr>
          <w:rFonts w:asciiTheme="minorHAnsi" w:eastAsiaTheme="minorHAnsi" w:hAnsiTheme="minorHAnsi" w:cstheme="minorHAnsi"/>
          <w:bCs/>
          <w:kern w:val="2"/>
          <w:sz w:val="22"/>
          <w:szCs w:val="22"/>
          <w:vertAlign w:val="superscript"/>
          <w:lang w:eastAsia="en-US"/>
          <w14:ligatures w14:val="standardContextual"/>
        </w:rPr>
        <w:t>6</w:t>
      </w:r>
      <w:r w:rsidR="000A5B12" w:rsidRPr="00C15195">
        <w:rPr>
          <w:rFonts w:asciiTheme="minorHAnsi" w:eastAsiaTheme="minorHAnsi" w:hAnsiTheme="minorHAnsi" w:cstheme="minorHAnsi"/>
          <w:bCs/>
          <w:kern w:val="2"/>
          <w:sz w:val="22"/>
          <w:szCs w:val="22"/>
          <w:lang w:eastAsia="en-US"/>
          <w14:ligatures w14:val="standardContextual"/>
        </w:rPr>
        <w:t xml:space="preserve"> </w:t>
      </w:r>
      <w:r w:rsidR="00E602EF" w:rsidRPr="00C15195">
        <w:rPr>
          <w:rFonts w:asciiTheme="minorHAnsi" w:eastAsiaTheme="minorHAnsi" w:hAnsiTheme="minorHAnsi" w:cstheme="minorHAnsi"/>
          <w:bCs/>
          <w:kern w:val="2"/>
          <w:sz w:val="22"/>
          <w:szCs w:val="22"/>
          <w:lang w:eastAsia="en-US"/>
          <w14:ligatures w14:val="standardContextual"/>
        </w:rPr>
        <w:t xml:space="preserve">z danymi zaewidencjonowanymi w programie OTAGO </w:t>
      </w:r>
      <w:r w:rsidR="000A5B12" w:rsidRPr="00C15195">
        <w:rPr>
          <w:rFonts w:asciiTheme="minorHAnsi" w:eastAsiaTheme="minorHAnsi" w:hAnsiTheme="minorHAnsi" w:cstheme="minorHAnsi"/>
          <w:bCs/>
          <w:kern w:val="2"/>
          <w:sz w:val="22"/>
          <w:szCs w:val="22"/>
          <w:lang w:eastAsia="en-US"/>
          <w14:ligatures w14:val="standardContextual"/>
        </w:rPr>
        <w:t xml:space="preserve">oraz ustalenie </w:t>
      </w:r>
      <w:r w:rsidR="00384753" w:rsidRPr="00C15195">
        <w:rPr>
          <w:rFonts w:asciiTheme="minorHAnsi" w:hAnsiTheme="minorHAnsi" w:cstheme="minorHAnsi"/>
          <w:sz w:val="22"/>
          <w:szCs w:val="22"/>
        </w:rPr>
        <w:t xml:space="preserve">czy i w jakim zakresie brak bieżącego </w:t>
      </w:r>
      <w:r w:rsidR="007C5DA0" w:rsidRPr="00C15195">
        <w:rPr>
          <w:rFonts w:asciiTheme="minorHAnsi" w:hAnsiTheme="minorHAnsi" w:cstheme="minorHAnsi"/>
          <w:sz w:val="22"/>
          <w:szCs w:val="22"/>
        </w:rPr>
        <w:t>za</w:t>
      </w:r>
      <w:r w:rsidR="00384753" w:rsidRPr="00C15195">
        <w:rPr>
          <w:rFonts w:asciiTheme="minorHAnsi" w:hAnsiTheme="minorHAnsi" w:cstheme="minorHAnsi"/>
          <w:sz w:val="22"/>
          <w:szCs w:val="22"/>
        </w:rPr>
        <w:t>rachowania wpłat miał wpływ na dane</w:t>
      </w:r>
      <w:r w:rsidR="00E602EF" w:rsidRPr="00C15195">
        <w:rPr>
          <w:rFonts w:asciiTheme="minorHAnsi" w:hAnsiTheme="minorHAnsi" w:cstheme="minorHAnsi"/>
          <w:sz w:val="22"/>
          <w:szCs w:val="22"/>
        </w:rPr>
        <w:t xml:space="preserve"> w </w:t>
      </w:r>
      <w:r w:rsidR="00A96D6A" w:rsidRPr="00C15195">
        <w:rPr>
          <w:rFonts w:asciiTheme="minorHAnsi" w:hAnsiTheme="minorHAnsi" w:cstheme="minorHAnsi"/>
          <w:sz w:val="22"/>
          <w:szCs w:val="22"/>
        </w:rPr>
        <w:t>ewidencji księgowej Dzieln</w:t>
      </w:r>
      <w:r w:rsidR="00384753" w:rsidRPr="00C15195">
        <w:rPr>
          <w:rFonts w:asciiTheme="minorHAnsi" w:hAnsiTheme="minorHAnsi" w:cstheme="minorHAnsi"/>
          <w:sz w:val="22"/>
          <w:szCs w:val="22"/>
        </w:rPr>
        <w:t>icy</w:t>
      </w:r>
      <w:r w:rsidR="00DC3BFD" w:rsidRPr="00C15195">
        <w:rPr>
          <w:rFonts w:asciiTheme="minorHAnsi" w:eastAsiaTheme="minorHAnsi" w:hAnsiTheme="minorHAnsi" w:cstheme="minorHAnsi"/>
          <w:bCs/>
          <w:kern w:val="2"/>
          <w:sz w:val="22"/>
          <w:szCs w:val="22"/>
          <w:lang w:eastAsia="en-US"/>
          <w14:ligatures w14:val="standardContextual"/>
        </w:rPr>
        <w:t>.</w:t>
      </w:r>
    </w:p>
    <w:p w14:paraId="46DF212B" w14:textId="1A88E3A2" w:rsidR="00AE29A2" w:rsidRPr="00C15195" w:rsidRDefault="00A96D6A" w:rsidP="00C15195">
      <w:pPr>
        <w:spacing w:before="120" w:after="240" w:line="300" w:lineRule="auto"/>
        <w:rPr>
          <w:rFonts w:asciiTheme="minorHAnsi" w:hAnsiTheme="minorHAnsi" w:cstheme="minorHAnsi"/>
          <w:sz w:val="22"/>
          <w:szCs w:val="22"/>
          <w:highlight w:val="lightGray"/>
        </w:rPr>
      </w:pPr>
      <w:r w:rsidRPr="00C15195">
        <w:rPr>
          <w:rFonts w:asciiTheme="minorHAnsi" w:hAnsiTheme="minorHAnsi" w:cstheme="minorHAnsi"/>
          <w:sz w:val="22"/>
          <w:szCs w:val="22"/>
        </w:rPr>
        <w:t xml:space="preserve">W sprawie prowadzenia spraw związanych z </w:t>
      </w:r>
      <w:r w:rsidR="004E5724" w:rsidRPr="00C15195">
        <w:rPr>
          <w:rFonts w:asciiTheme="minorHAnsi" w:hAnsiTheme="minorHAnsi" w:cstheme="minorHAnsi"/>
          <w:sz w:val="22"/>
          <w:szCs w:val="22"/>
        </w:rPr>
        <w:t>prowadzeniem windykacji</w:t>
      </w:r>
      <w:r w:rsidRPr="00C15195">
        <w:rPr>
          <w:rFonts w:asciiTheme="minorHAnsi" w:hAnsiTheme="minorHAnsi" w:cstheme="minorHAnsi"/>
          <w:sz w:val="22"/>
          <w:szCs w:val="22"/>
        </w:rPr>
        <w:t xml:space="preserve"> </w:t>
      </w:r>
      <w:r w:rsidR="00626519" w:rsidRPr="00C15195">
        <w:rPr>
          <w:rFonts w:asciiTheme="minorHAnsi" w:hAnsiTheme="minorHAnsi" w:cstheme="minorHAnsi"/>
          <w:sz w:val="22"/>
          <w:szCs w:val="22"/>
        </w:rPr>
        <w:t xml:space="preserve">Burmistrz Dzielnicy </w:t>
      </w:r>
      <w:r w:rsidR="00D04992" w:rsidRPr="00C15195">
        <w:rPr>
          <w:rFonts w:asciiTheme="minorHAnsi" w:hAnsiTheme="minorHAnsi" w:cstheme="minorHAnsi"/>
          <w:sz w:val="22"/>
          <w:szCs w:val="22"/>
        </w:rPr>
        <w:t>wyjaśnił</w:t>
      </w:r>
      <w:r w:rsidR="00626519" w:rsidRPr="00C15195">
        <w:rPr>
          <w:rFonts w:asciiTheme="minorHAnsi" w:hAnsiTheme="minorHAnsi" w:cstheme="minorHAnsi"/>
          <w:sz w:val="22"/>
          <w:szCs w:val="22"/>
        </w:rPr>
        <w:t xml:space="preserve">: </w:t>
      </w:r>
      <w:r w:rsidR="004E5724" w:rsidRPr="00C15195">
        <w:rPr>
          <w:rFonts w:asciiTheme="minorHAnsi" w:hAnsiTheme="minorHAnsi" w:cstheme="minorHAnsi"/>
          <w:sz w:val="22"/>
          <w:szCs w:val="22"/>
        </w:rPr>
        <w:t>„</w:t>
      </w:r>
      <w:r w:rsidR="004E5724" w:rsidRPr="00C15195">
        <w:rPr>
          <w:rFonts w:asciiTheme="minorHAnsi" w:eastAsiaTheme="minorHAnsi" w:hAnsiTheme="minorHAnsi" w:cstheme="minorHAnsi"/>
          <w:kern w:val="2"/>
          <w:sz w:val="22"/>
          <w:szCs w:val="22"/>
          <w:lang w:eastAsia="en-US"/>
          <w14:ligatures w14:val="standardContextual"/>
        </w:rPr>
        <w:t>Ewidencja opłat przekształceniowych (...) prowadzona jest przez Wydział Zarządzania Nieruchomościami w module OPGRU programu Otago. (…) Upomnienia na zaległości (…) wystawiane są przez Wydział Budżetowo-Księgowy w module WOGRU programu Otago. (…) Tytuły wykonawcze wystawiane są przez Wydział Zarządzania Nieruchomościami w przygotowanej i udostępnionej przez Ministerstwo Finansów aplikacji eTW [dane wprowadzane są ręcznie na podstawie wydruków z OTAGO]” oraz wskazał, że rejestr upomnień, które nie zostały w całości spłacone i ewidencja wystawionych tytułów wykonawczych prowadzone są w arkuszach kalkulacyjnych w programie Excel.</w:t>
      </w:r>
      <w:r w:rsidR="004E5724"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Burmistrz poinf</w:t>
      </w:r>
      <w:r w:rsidR="00C14C05" w:rsidRPr="00C15195">
        <w:rPr>
          <w:rFonts w:asciiTheme="minorHAnsi" w:hAnsiTheme="minorHAnsi" w:cstheme="minorHAnsi"/>
          <w:sz w:val="22"/>
          <w:szCs w:val="22"/>
        </w:rPr>
        <w:t>ormował, że:</w:t>
      </w:r>
      <w:r w:rsidR="00467D2F"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w:t>
      </w:r>
      <w:r w:rsidR="004E5724" w:rsidRPr="00C15195">
        <w:rPr>
          <w:rFonts w:asciiTheme="minorHAnsi" w:hAnsiTheme="minorHAnsi" w:cstheme="minorHAnsi"/>
          <w:sz w:val="22"/>
          <w:szCs w:val="22"/>
        </w:rPr>
        <w:t>od dnia 28.12.2023r. do modułu WOGRU programu Otago została dodana możliwość wystawiania tytułów wykonawczych</w:t>
      </w:r>
      <w:r w:rsidR="004E5724" w:rsidRPr="00C15195">
        <w:rPr>
          <w:rFonts w:asciiTheme="minorHAnsi" w:eastAsiaTheme="minorHAnsi" w:hAnsiTheme="minorHAnsi" w:cstheme="minorHAnsi"/>
          <w:kern w:val="2"/>
          <w:sz w:val="22"/>
          <w:szCs w:val="22"/>
          <w:lang w:eastAsia="en-US"/>
          <w14:ligatures w14:val="standardContextual"/>
        </w:rPr>
        <w:t xml:space="preserve"> (…) </w:t>
      </w:r>
      <w:r w:rsidR="004E5724" w:rsidRPr="00C15195">
        <w:rPr>
          <w:rFonts w:asciiTheme="minorHAnsi" w:hAnsiTheme="minorHAnsi" w:cstheme="minorHAnsi"/>
          <w:sz w:val="22"/>
          <w:szCs w:val="22"/>
        </w:rPr>
        <w:t>umożliwia również prowadzenie automatycznej ewidencji tytułów wykonawczych</w:t>
      </w:r>
      <w:r w:rsidR="005E087F" w:rsidRPr="00C15195">
        <w:rPr>
          <w:rFonts w:asciiTheme="minorHAnsi" w:hAnsiTheme="minorHAnsi" w:cstheme="minorHAnsi"/>
          <w:sz w:val="22"/>
          <w:szCs w:val="22"/>
        </w:rPr>
        <w:t>”</w:t>
      </w:r>
      <w:r w:rsidR="004E5724"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Według danych przekazanych przez Dzielnicę k</w:t>
      </w:r>
      <w:r w:rsidR="00626519" w:rsidRPr="00C15195">
        <w:rPr>
          <w:rFonts w:asciiTheme="minorHAnsi" w:hAnsiTheme="minorHAnsi" w:cstheme="minorHAnsi"/>
          <w:sz w:val="22"/>
          <w:szCs w:val="22"/>
        </w:rPr>
        <w:t>wota zaległości objęta upomnieniami wystawionymi w 2023 roku wynosiła 20</w:t>
      </w:r>
      <w:r w:rsidR="00061C70" w:rsidRPr="00C15195">
        <w:rPr>
          <w:rFonts w:asciiTheme="minorHAnsi" w:hAnsiTheme="minorHAnsi" w:cstheme="minorHAnsi"/>
          <w:sz w:val="22"/>
          <w:szCs w:val="22"/>
        </w:rPr>
        <w:t> </w:t>
      </w:r>
      <w:r w:rsidR="00626519" w:rsidRPr="00C15195">
        <w:rPr>
          <w:rFonts w:asciiTheme="minorHAnsi" w:hAnsiTheme="minorHAnsi" w:cstheme="minorHAnsi"/>
          <w:sz w:val="22"/>
          <w:szCs w:val="22"/>
        </w:rPr>
        <w:t>867</w:t>
      </w:r>
      <w:r w:rsidR="00061C70"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614,21 zł</w:t>
      </w:r>
      <w:r w:rsidR="00626519"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oraz</w:t>
      </w:r>
      <w:r w:rsidR="00626519" w:rsidRPr="00C15195">
        <w:rPr>
          <w:rFonts w:asciiTheme="minorHAnsi" w:hAnsiTheme="minorHAnsi" w:cstheme="minorHAnsi"/>
          <w:sz w:val="22"/>
          <w:szCs w:val="22"/>
        </w:rPr>
        <w:t xml:space="preserve"> wystawiono 986 tytułów wyk</w:t>
      </w:r>
      <w:r w:rsidR="00D04992" w:rsidRPr="00C15195">
        <w:rPr>
          <w:rFonts w:asciiTheme="minorHAnsi" w:hAnsiTheme="minorHAnsi" w:cstheme="minorHAnsi"/>
          <w:sz w:val="22"/>
          <w:szCs w:val="22"/>
        </w:rPr>
        <w:t xml:space="preserve">onawczych na kwotę </w:t>
      </w:r>
      <w:r w:rsidR="005E087F" w:rsidRPr="00C15195">
        <w:rPr>
          <w:rFonts w:asciiTheme="minorHAnsi" w:hAnsiTheme="minorHAnsi" w:cstheme="minorHAnsi"/>
          <w:sz w:val="22"/>
          <w:szCs w:val="22"/>
        </w:rPr>
        <w:t>3 991 935,75 zł</w:t>
      </w:r>
      <w:r w:rsidR="00626519" w:rsidRPr="00C15195">
        <w:rPr>
          <w:rFonts w:asciiTheme="minorHAnsi" w:hAnsiTheme="minorHAnsi" w:cstheme="minorHAnsi"/>
          <w:sz w:val="22"/>
          <w:szCs w:val="22"/>
        </w:rPr>
        <w:t>.</w:t>
      </w:r>
      <w:r w:rsidR="008F4836" w:rsidRPr="00C15195">
        <w:rPr>
          <w:rFonts w:asciiTheme="minorHAnsi" w:hAnsiTheme="minorHAnsi" w:cstheme="minorHAnsi"/>
          <w:sz w:val="22"/>
          <w:szCs w:val="22"/>
        </w:rPr>
        <w:t xml:space="preserve"> </w:t>
      </w:r>
      <w:r w:rsidR="00D04992" w:rsidRPr="00C15195">
        <w:rPr>
          <w:rFonts w:asciiTheme="minorHAnsi" w:hAnsiTheme="minorHAnsi" w:cstheme="minorHAnsi"/>
          <w:sz w:val="22"/>
          <w:szCs w:val="22"/>
        </w:rPr>
        <w:t xml:space="preserve">Ustalono, że </w:t>
      </w:r>
      <w:r w:rsidR="004F2E81" w:rsidRPr="00C15195">
        <w:rPr>
          <w:rFonts w:asciiTheme="minorHAnsi" w:hAnsiTheme="minorHAnsi" w:cstheme="minorHAnsi"/>
          <w:sz w:val="22"/>
          <w:szCs w:val="22"/>
        </w:rPr>
        <w:t>w tych kwotach ujęte są</w:t>
      </w:r>
      <w:r w:rsidR="00D04992" w:rsidRPr="00C15195">
        <w:rPr>
          <w:rFonts w:asciiTheme="minorHAnsi" w:hAnsiTheme="minorHAnsi" w:cstheme="minorHAnsi"/>
          <w:sz w:val="22"/>
          <w:szCs w:val="22"/>
        </w:rPr>
        <w:t xml:space="preserve"> </w:t>
      </w:r>
      <w:r w:rsidR="00AE29A2" w:rsidRPr="00C15195">
        <w:rPr>
          <w:rFonts w:asciiTheme="minorHAnsi" w:hAnsiTheme="minorHAnsi" w:cstheme="minorHAnsi"/>
          <w:sz w:val="22"/>
          <w:szCs w:val="22"/>
        </w:rPr>
        <w:t>także</w:t>
      </w:r>
      <w:r w:rsidR="004F2E81" w:rsidRPr="00C15195">
        <w:rPr>
          <w:rFonts w:asciiTheme="minorHAnsi" w:hAnsiTheme="minorHAnsi" w:cstheme="minorHAnsi"/>
          <w:sz w:val="22"/>
          <w:szCs w:val="22"/>
        </w:rPr>
        <w:t xml:space="preserve"> kwoty</w:t>
      </w:r>
      <w:r w:rsidR="00AE29A2" w:rsidRPr="00C15195">
        <w:rPr>
          <w:rFonts w:asciiTheme="minorHAnsi" w:hAnsiTheme="minorHAnsi" w:cstheme="minorHAnsi"/>
          <w:sz w:val="22"/>
          <w:szCs w:val="22"/>
        </w:rPr>
        <w:t xml:space="preserve"> zaległości, które zostały spłacone przed końcem 2023 r. </w:t>
      </w:r>
      <w:r w:rsidRPr="00C15195">
        <w:rPr>
          <w:rFonts w:asciiTheme="minorHAnsi" w:hAnsiTheme="minorHAnsi" w:cstheme="minorHAnsi"/>
          <w:sz w:val="22"/>
          <w:szCs w:val="22"/>
        </w:rPr>
        <w:t>Dzielnica nie przedstawiła</w:t>
      </w:r>
      <w:r w:rsidR="00AE29A2" w:rsidRPr="00C15195">
        <w:rPr>
          <w:rFonts w:asciiTheme="minorHAnsi" w:hAnsiTheme="minorHAnsi" w:cstheme="minorHAnsi"/>
          <w:sz w:val="22"/>
          <w:szCs w:val="22"/>
        </w:rPr>
        <w:t xml:space="preserve"> danych dotyczących należności nieobjętych na koniec 2023 roku upomnieniami oraz tytułami wykonawczymi.</w:t>
      </w:r>
    </w:p>
    <w:p w14:paraId="79084157" w14:textId="109183FD" w:rsidR="007F1EFE" w:rsidRPr="00C15195" w:rsidRDefault="005C2ECA"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Wg stanu na 31 grudnia 2023 r. nadpłaty </w:t>
      </w:r>
      <w:r w:rsidR="00CD56FB" w:rsidRPr="00C15195">
        <w:rPr>
          <w:rFonts w:asciiTheme="minorHAnsi" w:hAnsiTheme="minorHAnsi" w:cstheme="minorHAnsi"/>
          <w:sz w:val="22"/>
          <w:szCs w:val="22"/>
        </w:rPr>
        <w:t xml:space="preserve">wynosiły </w:t>
      </w:r>
      <w:r w:rsidR="00732388" w:rsidRPr="00C15195">
        <w:rPr>
          <w:rFonts w:asciiTheme="minorHAnsi" w:hAnsiTheme="minorHAnsi" w:cstheme="minorHAnsi"/>
          <w:sz w:val="22"/>
          <w:szCs w:val="22"/>
        </w:rPr>
        <w:t>6 133 048,11</w:t>
      </w:r>
      <w:r w:rsidR="00CD56FB" w:rsidRPr="00C15195">
        <w:rPr>
          <w:rFonts w:asciiTheme="minorHAnsi" w:hAnsiTheme="minorHAnsi" w:cstheme="minorHAnsi"/>
          <w:sz w:val="22"/>
          <w:szCs w:val="22"/>
        </w:rPr>
        <w:t> </w:t>
      </w:r>
      <w:r w:rsidR="003E2CAE" w:rsidRPr="00C15195">
        <w:rPr>
          <w:rFonts w:asciiTheme="minorHAnsi" w:hAnsiTheme="minorHAnsi" w:cstheme="minorHAnsi"/>
          <w:sz w:val="22"/>
          <w:szCs w:val="22"/>
        </w:rPr>
        <w:t xml:space="preserve">zł (spadek o </w:t>
      </w:r>
      <w:r w:rsidR="00732388" w:rsidRPr="00C15195">
        <w:rPr>
          <w:rFonts w:asciiTheme="minorHAnsi" w:hAnsiTheme="minorHAnsi" w:cstheme="minorHAnsi"/>
          <w:sz w:val="22"/>
          <w:szCs w:val="22"/>
        </w:rPr>
        <w:t xml:space="preserve">8 </w:t>
      </w:r>
      <w:r w:rsidR="003E2CAE" w:rsidRPr="00C15195">
        <w:rPr>
          <w:rFonts w:asciiTheme="minorHAnsi" w:hAnsiTheme="minorHAnsi" w:cstheme="minorHAnsi"/>
          <w:sz w:val="22"/>
          <w:szCs w:val="22"/>
        </w:rPr>
        <w:t>% w stosunku do początku 2</w:t>
      </w:r>
      <w:r w:rsidR="00C9504C" w:rsidRPr="00C15195">
        <w:rPr>
          <w:rFonts w:asciiTheme="minorHAnsi" w:hAnsiTheme="minorHAnsi" w:cstheme="minorHAnsi"/>
          <w:sz w:val="22"/>
          <w:szCs w:val="22"/>
        </w:rPr>
        <w:t>023 r.)</w:t>
      </w:r>
      <w:r w:rsidR="00B66BED" w:rsidRPr="00C15195">
        <w:rPr>
          <w:rStyle w:val="Odwoanieprzypisudolnego"/>
          <w:rFonts w:asciiTheme="minorHAnsi" w:hAnsiTheme="minorHAnsi" w:cstheme="minorHAnsi"/>
          <w:sz w:val="22"/>
          <w:szCs w:val="22"/>
        </w:rPr>
        <w:footnoteReference w:id="14"/>
      </w:r>
      <w:r w:rsidR="00C9504C" w:rsidRPr="00C15195">
        <w:rPr>
          <w:rFonts w:asciiTheme="minorHAnsi" w:hAnsiTheme="minorHAnsi" w:cstheme="minorHAnsi"/>
          <w:sz w:val="22"/>
          <w:szCs w:val="22"/>
        </w:rPr>
        <w:t>.</w:t>
      </w:r>
    </w:p>
    <w:p w14:paraId="4CBF94D3" w14:textId="77777777" w:rsidR="004B6984" w:rsidRPr="00C15195" w:rsidRDefault="00F020CD"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lastRenderedPageBreak/>
        <w:t>W 2023 roku nie umarzano z urzędu</w:t>
      </w:r>
      <w:r w:rsidR="007F1EFE" w:rsidRPr="00C15195">
        <w:rPr>
          <w:rFonts w:asciiTheme="minorHAnsi" w:hAnsiTheme="minorHAnsi" w:cstheme="minorHAnsi"/>
          <w:sz w:val="22"/>
          <w:szCs w:val="22"/>
        </w:rPr>
        <w:t xml:space="preserve"> należności</w:t>
      </w:r>
      <w:r w:rsidRPr="00C15195">
        <w:rPr>
          <w:rFonts w:asciiTheme="minorHAnsi" w:hAnsiTheme="minorHAnsi" w:cstheme="minorHAnsi"/>
          <w:sz w:val="22"/>
          <w:szCs w:val="22"/>
        </w:rPr>
        <w:t>, na pod</w:t>
      </w:r>
      <w:r w:rsidR="00BA5CF9" w:rsidRPr="00C15195">
        <w:rPr>
          <w:rFonts w:asciiTheme="minorHAnsi" w:hAnsiTheme="minorHAnsi" w:cstheme="minorHAnsi"/>
          <w:sz w:val="22"/>
          <w:szCs w:val="22"/>
        </w:rPr>
        <w:t>stawie art. 56 ustawy z dnia 27 </w:t>
      </w:r>
      <w:r w:rsidRPr="00C15195">
        <w:rPr>
          <w:rFonts w:asciiTheme="minorHAnsi" w:hAnsiTheme="minorHAnsi" w:cstheme="minorHAnsi"/>
          <w:sz w:val="22"/>
          <w:szCs w:val="22"/>
        </w:rPr>
        <w:t>sierpnia 2009 r. o finansach publicznych</w:t>
      </w:r>
      <w:r w:rsidRPr="00C15195">
        <w:rPr>
          <w:rStyle w:val="Odwoanieprzypisudolnego"/>
          <w:rFonts w:asciiTheme="minorHAnsi" w:hAnsiTheme="minorHAnsi" w:cstheme="minorHAnsi"/>
          <w:sz w:val="22"/>
          <w:szCs w:val="22"/>
        </w:rPr>
        <w:footnoteReference w:id="15"/>
      </w:r>
      <w:r w:rsidR="00061C70" w:rsidRPr="00C15195">
        <w:rPr>
          <w:rFonts w:asciiTheme="minorHAnsi" w:hAnsiTheme="minorHAnsi" w:cstheme="minorHAnsi"/>
          <w:sz w:val="22"/>
          <w:szCs w:val="22"/>
        </w:rPr>
        <w:t>.</w:t>
      </w:r>
    </w:p>
    <w:p w14:paraId="6CBD43FB" w14:textId="570414BB" w:rsidR="00CD1A53" w:rsidRPr="00C15195" w:rsidRDefault="00B91D63"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Próbą kontrolną objęto</w:t>
      </w:r>
      <w:r w:rsidR="00AA45D2" w:rsidRPr="00C15195">
        <w:rPr>
          <w:rFonts w:asciiTheme="minorHAnsi" w:hAnsiTheme="minorHAnsi" w:cstheme="minorHAnsi"/>
          <w:sz w:val="22"/>
          <w:szCs w:val="22"/>
        </w:rPr>
        <w:t xml:space="preserve"> dokumentac</w:t>
      </w:r>
      <w:r w:rsidRPr="00C15195">
        <w:rPr>
          <w:rFonts w:asciiTheme="minorHAnsi" w:hAnsiTheme="minorHAnsi" w:cstheme="minorHAnsi"/>
          <w:sz w:val="22"/>
          <w:szCs w:val="22"/>
        </w:rPr>
        <w:t>ję</w:t>
      </w:r>
      <w:r w:rsidR="004D0799" w:rsidRPr="00C15195">
        <w:rPr>
          <w:rFonts w:asciiTheme="minorHAnsi" w:hAnsiTheme="minorHAnsi" w:cstheme="minorHAnsi"/>
          <w:sz w:val="22"/>
          <w:szCs w:val="22"/>
        </w:rPr>
        <w:t xml:space="preserve"> prowadzoną</w:t>
      </w:r>
      <w:r w:rsidR="00E90065" w:rsidRPr="00C15195">
        <w:rPr>
          <w:rFonts w:asciiTheme="minorHAnsi" w:hAnsiTheme="minorHAnsi" w:cstheme="minorHAnsi"/>
          <w:sz w:val="22"/>
          <w:szCs w:val="22"/>
        </w:rPr>
        <w:t xml:space="preserve"> dla </w:t>
      </w:r>
      <w:r w:rsidR="00AA45D2" w:rsidRPr="00C15195">
        <w:rPr>
          <w:rFonts w:asciiTheme="minorHAnsi" w:hAnsiTheme="minorHAnsi" w:cstheme="minorHAnsi"/>
          <w:sz w:val="22"/>
          <w:szCs w:val="22"/>
        </w:rPr>
        <w:t>100 kont dłużników, których zaległości wg stanu na 1</w:t>
      </w:r>
      <w:r w:rsidRPr="00C15195">
        <w:rPr>
          <w:rFonts w:asciiTheme="minorHAnsi" w:hAnsiTheme="minorHAnsi" w:cstheme="minorHAnsi"/>
          <w:sz w:val="22"/>
          <w:szCs w:val="22"/>
        </w:rPr>
        <w:t> </w:t>
      </w:r>
      <w:r w:rsidR="00AA45D2" w:rsidRPr="00C15195">
        <w:rPr>
          <w:rFonts w:asciiTheme="minorHAnsi" w:hAnsiTheme="minorHAnsi" w:cstheme="minorHAnsi"/>
          <w:sz w:val="22"/>
          <w:szCs w:val="22"/>
        </w:rPr>
        <w:t xml:space="preserve">stycznia 2023 r. (należność główna) wynosiły </w:t>
      </w:r>
      <w:r w:rsidR="009E67FF" w:rsidRPr="00C15195">
        <w:rPr>
          <w:rFonts w:asciiTheme="minorHAnsi" w:hAnsiTheme="minorHAnsi" w:cstheme="minorHAnsi"/>
          <w:sz w:val="22"/>
          <w:szCs w:val="22"/>
        </w:rPr>
        <w:t xml:space="preserve">4 103 381,79 zł (20,1 % </w:t>
      </w:r>
      <w:r w:rsidR="00AA45D2" w:rsidRPr="00C15195">
        <w:rPr>
          <w:rFonts w:asciiTheme="minorHAnsi" w:hAnsiTheme="minorHAnsi" w:cstheme="minorHAnsi"/>
          <w:sz w:val="22"/>
          <w:szCs w:val="22"/>
        </w:rPr>
        <w:t>zadłużenia</w:t>
      </w:r>
      <w:r w:rsidR="004D0799" w:rsidRPr="00C15195">
        <w:rPr>
          <w:rFonts w:asciiTheme="minorHAnsi" w:hAnsiTheme="minorHAnsi" w:cstheme="minorHAnsi"/>
          <w:sz w:val="22"/>
          <w:szCs w:val="22"/>
        </w:rPr>
        <w:t xml:space="preserve"> z </w:t>
      </w:r>
      <w:r w:rsidR="00AA45D2" w:rsidRPr="00C15195">
        <w:rPr>
          <w:rFonts w:asciiTheme="minorHAnsi" w:hAnsiTheme="minorHAnsi" w:cstheme="minorHAnsi"/>
          <w:sz w:val="22"/>
          <w:szCs w:val="22"/>
        </w:rPr>
        <w:t>tytułu opłat przekształceniowych</w:t>
      </w:r>
      <w:r w:rsidR="00916C10" w:rsidRPr="00C15195">
        <w:rPr>
          <w:rFonts w:asciiTheme="minorHAnsi" w:hAnsiTheme="minorHAnsi" w:cstheme="minorHAnsi"/>
          <w:sz w:val="22"/>
          <w:szCs w:val="22"/>
        </w:rPr>
        <w:t xml:space="preserve"> z wykazu dłużników</w:t>
      </w:r>
      <w:r w:rsidR="00916C10" w:rsidRPr="00C15195">
        <w:rPr>
          <w:rStyle w:val="Odwoanieprzypisudolnego"/>
          <w:rFonts w:asciiTheme="minorHAnsi" w:hAnsiTheme="minorHAnsi" w:cstheme="minorHAnsi"/>
          <w:sz w:val="22"/>
          <w:szCs w:val="22"/>
        </w:rPr>
        <w:footnoteReference w:id="16"/>
      </w:r>
      <w:r w:rsidR="00AA45D2" w:rsidRPr="00C15195">
        <w:rPr>
          <w:rFonts w:asciiTheme="minorHAnsi" w:hAnsiTheme="minorHAnsi" w:cstheme="minorHAnsi"/>
          <w:sz w:val="22"/>
          <w:szCs w:val="22"/>
        </w:rPr>
        <w:t>)</w:t>
      </w:r>
      <w:r w:rsidRPr="00C15195">
        <w:rPr>
          <w:rFonts w:asciiTheme="minorHAnsi" w:hAnsiTheme="minorHAnsi" w:cstheme="minorHAnsi"/>
          <w:sz w:val="22"/>
          <w:szCs w:val="22"/>
        </w:rPr>
        <w:t xml:space="preserve">, zaś na koniec 2023 r. </w:t>
      </w:r>
      <w:r w:rsidR="00916C10" w:rsidRPr="00C15195">
        <w:rPr>
          <w:rFonts w:asciiTheme="minorHAnsi" w:hAnsiTheme="minorHAnsi" w:cstheme="minorHAnsi"/>
          <w:bCs/>
          <w:sz w:val="22"/>
          <w:szCs w:val="22"/>
        </w:rPr>
        <w:t xml:space="preserve">1 996 471,89 zł (16,3 % </w:t>
      </w:r>
      <w:r w:rsidRPr="00C15195">
        <w:rPr>
          <w:rFonts w:asciiTheme="minorHAnsi" w:hAnsiTheme="minorHAnsi" w:cstheme="minorHAnsi"/>
          <w:sz w:val="22"/>
          <w:szCs w:val="22"/>
        </w:rPr>
        <w:t>ogółu zadłużenia</w:t>
      </w:r>
      <w:r w:rsidR="00467A20" w:rsidRPr="00C15195">
        <w:rPr>
          <w:rFonts w:asciiTheme="minorHAnsi" w:hAnsiTheme="minorHAnsi" w:cstheme="minorHAnsi"/>
          <w:sz w:val="22"/>
          <w:szCs w:val="22"/>
        </w:rPr>
        <w:t xml:space="preserve"> z wykazu dłużników</w:t>
      </w:r>
      <w:r w:rsidRPr="00C15195">
        <w:rPr>
          <w:rFonts w:asciiTheme="minorHAnsi" w:hAnsiTheme="minorHAnsi" w:cstheme="minorHAnsi"/>
          <w:sz w:val="22"/>
          <w:szCs w:val="22"/>
        </w:rPr>
        <w:t>).</w:t>
      </w:r>
    </w:p>
    <w:p w14:paraId="33E5F284" w14:textId="49CAA379" w:rsidR="00336D20" w:rsidRPr="00C15195" w:rsidRDefault="00336D20"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Ustalono, że przypisów należności dokonywano</w:t>
      </w:r>
      <w:r w:rsidR="00063B4F" w:rsidRPr="00C15195">
        <w:rPr>
          <w:rFonts w:asciiTheme="minorHAnsi" w:hAnsiTheme="minorHAnsi" w:cstheme="minorHAnsi"/>
          <w:sz w:val="22"/>
          <w:szCs w:val="22"/>
        </w:rPr>
        <w:t xml:space="preserve"> </w:t>
      </w:r>
      <w:r w:rsidRPr="00C15195">
        <w:rPr>
          <w:rFonts w:asciiTheme="minorHAnsi" w:hAnsiTheme="minorHAnsi" w:cstheme="minorHAnsi"/>
          <w:sz w:val="22"/>
          <w:szCs w:val="22"/>
        </w:rPr>
        <w:t>zgodnie dokumentacją określającą wysokość opłaty rocznej lub opłaty jednorazowej, w tym z uwzględnieniem należnych bonifikat</w:t>
      </w:r>
      <w:r w:rsidRPr="00C15195">
        <w:rPr>
          <w:rStyle w:val="Odwoanieprzypisudolnego"/>
          <w:rFonts w:asciiTheme="minorHAnsi" w:hAnsiTheme="minorHAnsi" w:cstheme="minorHAnsi"/>
          <w:sz w:val="22"/>
          <w:szCs w:val="22"/>
        </w:rPr>
        <w:footnoteReference w:id="17"/>
      </w:r>
      <w:r w:rsidR="007F1EFE" w:rsidRPr="00C15195">
        <w:rPr>
          <w:rFonts w:asciiTheme="minorHAnsi" w:hAnsiTheme="minorHAnsi" w:cstheme="minorHAnsi"/>
          <w:sz w:val="22"/>
          <w:szCs w:val="22"/>
        </w:rPr>
        <w:t>, natomiast w</w:t>
      </w:r>
      <w:r w:rsidR="0017186B" w:rsidRPr="00C15195">
        <w:rPr>
          <w:rFonts w:asciiTheme="minorHAnsi" w:hAnsiTheme="minorHAnsi" w:cstheme="minorHAnsi"/>
          <w:sz w:val="22"/>
          <w:szCs w:val="22"/>
        </w:rPr>
        <w:t xml:space="preserve"> 2</w:t>
      </w:r>
      <w:r w:rsidR="00347343" w:rsidRPr="00C15195">
        <w:rPr>
          <w:rFonts w:asciiTheme="minorHAnsi" w:hAnsiTheme="minorHAnsi" w:cstheme="minorHAnsi"/>
          <w:sz w:val="22"/>
          <w:szCs w:val="22"/>
        </w:rPr>
        <w:t xml:space="preserve"> przypadkach</w:t>
      </w:r>
      <w:r w:rsidR="009D4D3B" w:rsidRPr="00C15195">
        <w:rPr>
          <w:rStyle w:val="Odwoanieprzypisudolnego"/>
          <w:rFonts w:asciiTheme="minorHAnsi" w:hAnsiTheme="minorHAnsi" w:cstheme="minorHAnsi"/>
          <w:sz w:val="22"/>
          <w:szCs w:val="22"/>
        </w:rPr>
        <w:footnoteReference w:id="18"/>
      </w:r>
      <w:r w:rsidR="00347343" w:rsidRPr="00C15195">
        <w:rPr>
          <w:rFonts w:asciiTheme="minorHAnsi" w:hAnsiTheme="minorHAnsi" w:cstheme="minorHAnsi"/>
          <w:sz w:val="22"/>
          <w:szCs w:val="22"/>
        </w:rPr>
        <w:t xml:space="preserve"> </w:t>
      </w:r>
      <w:r w:rsidR="009D4D3B" w:rsidRPr="00C15195">
        <w:rPr>
          <w:rFonts w:asciiTheme="minorHAnsi" w:hAnsiTheme="minorHAnsi" w:cstheme="minorHAnsi"/>
          <w:sz w:val="22"/>
          <w:szCs w:val="22"/>
        </w:rPr>
        <w:t>korekty przypisów w związku z należnymi bonifikatami od opłat roczn</w:t>
      </w:r>
      <w:r w:rsidR="007F1EFE" w:rsidRPr="00C15195">
        <w:rPr>
          <w:rFonts w:asciiTheme="minorHAnsi" w:hAnsiTheme="minorHAnsi" w:cstheme="minorHAnsi"/>
          <w:sz w:val="22"/>
          <w:szCs w:val="22"/>
        </w:rPr>
        <w:t>ych za lata 2019-2021 dokonano w</w:t>
      </w:r>
      <w:r w:rsidR="009D4D3B" w:rsidRPr="00C15195">
        <w:rPr>
          <w:rFonts w:asciiTheme="minorHAnsi" w:hAnsiTheme="minorHAnsi" w:cstheme="minorHAnsi"/>
          <w:sz w:val="22"/>
          <w:szCs w:val="22"/>
        </w:rPr>
        <w:t xml:space="preserve"> 2023 r.</w:t>
      </w:r>
    </w:p>
    <w:p w14:paraId="17956F06" w14:textId="38169726" w:rsidR="00C43EA3" w:rsidRPr="00C15195" w:rsidRDefault="00C43EA3" w:rsidP="00C15195">
      <w:pPr>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Stwierdzono, że terminy płatności opłat jednorazowych wskazane w informacjach wydawanych przez Dzielnicę w związku ze zgłoszeniami </w:t>
      </w:r>
      <w:r w:rsidR="001C2E40" w:rsidRPr="00C15195">
        <w:rPr>
          <w:rFonts w:asciiTheme="minorHAnsi" w:hAnsiTheme="minorHAnsi" w:cstheme="minorHAnsi"/>
          <w:sz w:val="22"/>
          <w:szCs w:val="22"/>
        </w:rPr>
        <w:t>zamiaru wniesienia opłaty jednorazowej</w:t>
      </w:r>
      <w:r w:rsidR="001C52A2" w:rsidRPr="00C15195">
        <w:rPr>
          <w:rFonts w:asciiTheme="minorHAnsi" w:hAnsiTheme="minorHAnsi" w:cstheme="minorHAnsi"/>
          <w:sz w:val="22"/>
          <w:szCs w:val="22"/>
        </w:rPr>
        <w:t>,</w:t>
      </w:r>
      <w:r w:rsidRPr="00C15195">
        <w:rPr>
          <w:rFonts w:asciiTheme="minorHAnsi" w:hAnsiTheme="minorHAnsi" w:cstheme="minorHAnsi"/>
          <w:sz w:val="22"/>
          <w:szCs w:val="22"/>
        </w:rPr>
        <w:t xml:space="preserve"> złożonymi zarówno przed, jak i po terminie, o którym mowa w art. 20 ust. 2 ustawy przekształceniowej z 2018 r.</w:t>
      </w:r>
      <w:r w:rsidR="00DE6440" w:rsidRPr="00C15195">
        <w:rPr>
          <w:rStyle w:val="Odwoanieprzypisudolnego"/>
          <w:rFonts w:asciiTheme="minorHAnsi" w:hAnsiTheme="minorHAnsi" w:cstheme="minorHAnsi"/>
          <w:sz w:val="22"/>
          <w:szCs w:val="22"/>
        </w:rPr>
        <w:footnoteReference w:id="19"/>
      </w:r>
      <w:r w:rsidR="001C52A2" w:rsidRPr="00C15195">
        <w:rPr>
          <w:rFonts w:asciiTheme="minorHAnsi" w:hAnsiTheme="minorHAnsi" w:cstheme="minorHAnsi"/>
          <w:sz w:val="22"/>
          <w:szCs w:val="22"/>
        </w:rPr>
        <w:t>,</w:t>
      </w:r>
      <w:r w:rsidR="00DE6440" w:rsidRPr="00C15195">
        <w:rPr>
          <w:rFonts w:asciiTheme="minorHAnsi" w:hAnsiTheme="minorHAnsi" w:cstheme="minorHAnsi"/>
          <w:sz w:val="22"/>
          <w:szCs w:val="22"/>
        </w:rPr>
        <w:t xml:space="preserve"> </w:t>
      </w:r>
      <w:r w:rsidR="00347343" w:rsidRPr="00C15195">
        <w:rPr>
          <w:rFonts w:asciiTheme="minorHAnsi" w:hAnsiTheme="minorHAnsi" w:cstheme="minorHAnsi"/>
          <w:sz w:val="22"/>
          <w:szCs w:val="22"/>
        </w:rPr>
        <w:t xml:space="preserve">były </w:t>
      </w:r>
      <w:r w:rsidRPr="00C15195">
        <w:rPr>
          <w:rFonts w:asciiTheme="minorHAnsi" w:hAnsiTheme="minorHAnsi" w:cstheme="minorHAnsi"/>
          <w:sz w:val="22"/>
          <w:szCs w:val="22"/>
        </w:rPr>
        <w:t>wyznaczane na 2 miesiące od daty odbioru informacji. Było to niezgodnie z wytycznymi</w:t>
      </w:r>
      <w:r w:rsidR="00063B4F" w:rsidRPr="00C15195">
        <w:rPr>
          <w:rFonts w:asciiTheme="minorHAnsi" w:hAnsiTheme="minorHAnsi" w:cstheme="minorHAnsi"/>
          <w:sz w:val="22"/>
          <w:szCs w:val="22"/>
        </w:rPr>
        <w:t xml:space="preserve"> przekazanymi Burmistrzom Dzielnic m.st. Warszawy</w:t>
      </w:r>
      <w:r w:rsidRPr="00C15195">
        <w:rPr>
          <w:rFonts w:asciiTheme="minorHAnsi" w:hAnsiTheme="minorHAnsi" w:cstheme="minorHAnsi"/>
          <w:sz w:val="22"/>
          <w:szCs w:val="22"/>
        </w:rPr>
        <w:t xml:space="preserve"> </w:t>
      </w:r>
      <w:r w:rsidR="00063B4F" w:rsidRPr="00C15195">
        <w:rPr>
          <w:rFonts w:asciiTheme="minorHAnsi" w:hAnsiTheme="minorHAnsi" w:cstheme="minorHAnsi"/>
          <w:sz w:val="22"/>
          <w:szCs w:val="22"/>
        </w:rPr>
        <w:t>przez Zastępcę</w:t>
      </w:r>
      <w:r w:rsidRPr="00C15195">
        <w:rPr>
          <w:rFonts w:asciiTheme="minorHAnsi" w:hAnsiTheme="minorHAnsi" w:cstheme="minorHAnsi"/>
          <w:sz w:val="22"/>
          <w:szCs w:val="22"/>
        </w:rPr>
        <w:t xml:space="preserve"> Prezydenta m.st. Warszawy</w:t>
      </w:r>
      <w:r w:rsidRPr="00C15195">
        <w:rPr>
          <w:rStyle w:val="Odwoanieprzypisudolnego"/>
          <w:rFonts w:asciiTheme="minorHAnsi" w:hAnsiTheme="minorHAnsi" w:cstheme="minorHAnsi"/>
          <w:sz w:val="22"/>
          <w:szCs w:val="22"/>
        </w:rPr>
        <w:footnoteReference w:id="20"/>
      </w:r>
      <w:r w:rsidR="00536269" w:rsidRPr="00C15195">
        <w:rPr>
          <w:rFonts w:asciiTheme="minorHAnsi" w:hAnsiTheme="minorHAnsi" w:cstheme="minorHAnsi"/>
          <w:sz w:val="22"/>
          <w:szCs w:val="22"/>
        </w:rPr>
        <w:t>, zgodnie z </w:t>
      </w:r>
      <w:r w:rsidR="00DE6440" w:rsidRPr="00C15195">
        <w:rPr>
          <w:rFonts w:asciiTheme="minorHAnsi" w:hAnsiTheme="minorHAnsi" w:cstheme="minorHAnsi"/>
          <w:sz w:val="22"/>
          <w:szCs w:val="22"/>
        </w:rPr>
        <w:t>który</w:t>
      </w:r>
      <w:r w:rsidR="001C52A2" w:rsidRPr="00C15195">
        <w:rPr>
          <w:rFonts w:asciiTheme="minorHAnsi" w:hAnsiTheme="minorHAnsi" w:cstheme="minorHAnsi"/>
          <w:sz w:val="22"/>
          <w:szCs w:val="22"/>
        </w:rPr>
        <w:t>mi:</w:t>
      </w:r>
      <w:r w:rsidRPr="00C15195">
        <w:rPr>
          <w:rFonts w:asciiTheme="minorHAnsi" w:hAnsiTheme="minorHAnsi" w:cstheme="minorHAnsi"/>
          <w:sz w:val="22"/>
          <w:szCs w:val="22"/>
        </w:rPr>
        <w:t xml:space="preserve"> </w:t>
      </w:r>
      <w:r w:rsidR="001C2E40" w:rsidRPr="00C15195">
        <w:rPr>
          <w:rFonts w:asciiTheme="minorHAnsi" w:hAnsiTheme="minorHAnsi" w:cstheme="minorHAnsi"/>
          <w:sz w:val="22"/>
          <w:szCs w:val="22"/>
        </w:rPr>
        <w:t>„</w:t>
      </w:r>
      <w:r w:rsidRPr="00C15195">
        <w:rPr>
          <w:rFonts w:asciiTheme="minorHAnsi" w:hAnsiTheme="minorHAnsi" w:cstheme="minorHAnsi"/>
          <w:sz w:val="22"/>
          <w:szCs w:val="22"/>
        </w:rPr>
        <w:t xml:space="preserve">informacja o wysokości opłaty jednorazowej </w:t>
      </w:r>
      <w:r w:rsidR="001C2E40" w:rsidRPr="00C15195">
        <w:rPr>
          <w:rFonts w:asciiTheme="minorHAnsi" w:hAnsiTheme="minorHAnsi" w:cstheme="minorHAnsi"/>
          <w:sz w:val="22"/>
          <w:szCs w:val="22"/>
        </w:rPr>
        <w:t>jest aktualna do dnia wymagalności najbliższej opłaty przekształceniowej”</w:t>
      </w:r>
      <w:r w:rsidR="00DE6440" w:rsidRPr="00C15195">
        <w:rPr>
          <w:rStyle w:val="Odwoanieprzypisudolnego"/>
          <w:rFonts w:asciiTheme="minorHAnsi" w:hAnsiTheme="minorHAnsi" w:cstheme="minorHAnsi"/>
          <w:sz w:val="22"/>
          <w:szCs w:val="22"/>
        </w:rPr>
        <w:footnoteReference w:id="21"/>
      </w:r>
      <w:r w:rsidR="001C2E40" w:rsidRPr="00C15195">
        <w:rPr>
          <w:rFonts w:asciiTheme="minorHAnsi" w:hAnsiTheme="minorHAnsi" w:cstheme="minorHAnsi"/>
          <w:sz w:val="22"/>
          <w:szCs w:val="22"/>
        </w:rPr>
        <w:t>, mając jednak na uwadze art. 20 ust. 2 ustawy</w:t>
      </w:r>
      <w:r w:rsidR="0017186B" w:rsidRPr="00C15195">
        <w:rPr>
          <w:rFonts w:asciiTheme="minorHAnsi" w:hAnsiTheme="minorHAnsi" w:cstheme="minorHAnsi"/>
          <w:sz w:val="22"/>
          <w:szCs w:val="22"/>
        </w:rPr>
        <w:t xml:space="preserve"> przekształceniowej z 2018 r.</w:t>
      </w:r>
      <w:r w:rsidR="001C2E40" w:rsidRPr="00C15195">
        <w:rPr>
          <w:rFonts w:asciiTheme="minorHAnsi" w:hAnsiTheme="minorHAnsi" w:cstheme="minorHAnsi"/>
          <w:sz w:val="22"/>
          <w:szCs w:val="22"/>
        </w:rPr>
        <w:t xml:space="preserve"> </w:t>
      </w:r>
      <w:r w:rsidR="00C55270" w:rsidRPr="00C15195">
        <w:rPr>
          <w:rFonts w:asciiTheme="minorHAnsi" w:hAnsiTheme="minorHAnsi" w:cstheme="minorHAnsi"/>
          <w:sz w:val="22"/>
          <w:szCs w:val="22"/>
        </w:rPr>
        <w:t>W ww. wytycznych, w ślad</w:t>
      </w:r>
      <w:r w:rsidR="00536269" w:rsidRPr="00C15195">
        <w:rPr>
          <w:rFonts w:asciiTheme="minorHAnsi" w:hAnsiTheme="minorHAnsi" w:cstheme="minorHAnsi"/>
          <w:sz w:val="22"/>
          <w:szCs w:val="22"/>
        </w:rPr>
        <w:t xml:space="preserve"> za otrzymanymi wyjaśnieniami z </w:t>
      </w:r>
      <w:r w:rsidR="00C55270" w:rsidRPr="00C15195">
        <w:rPr>
          <w:rFonts w:asciiTheme="minorHAnsi" w:hAnsiTheme="minorHAnsi" w:cstheme="minorHAnsi"/>
          <w:sz w:val="22"/>
          <w:szCs w:val="22"/>
        </w:rPr>
        <w:t>Ministerstwa Rozwoju, Pracy i Technologii</w:t>
      </w:r>
      <w:r w:rsidR="00C55270" w:rsidRPr="00C15195">
        <w:rPr>
          <w:rStyle w:val="Odwoanieprzypisudolnego"/>
          <w:rFonts w:asciiTheme="minorHAnsi" w:hAnsiTheme="minorHAnsi" w:cstheme="minorHAnsi"/>
          <w:sz w:val="22"/>
          <w:szCs w:val="22"/>
        </w:rPr>
        <w:footnoteReference w:id="22"/>
      </w:r>
      <w:r w:rsidR="00C55270" w:rsidRPr="00C15195">
        <w:rPr>
          <w:rFonts w:asciiTheme="minorHAnsi" w:hAnsiTheme="minorHAnsi" w:cstheme="minorHAnsi"/>
          <w:sz w:val="22"/>
          <w:szCs w:val="22"/>
        </w:rPr>
        <w:t>, wskazano, że po zgłoszeniu zamiaru wniesienia opłaty jednorazowej nie ma obowiązku wnoszenia rocznych opłat przekształceniowych, których ustawowy termin w dniu zgłoszenia jeszcze nie upłynął</w:t>
      </w:r>
      <w:r w:rsidR="001C52A2" w:rsidRPr="00C15195">
        <w:rPr>
          <w:rFonts w:asciiTheme="minorHAnsi" w:hAnsiTheme="minorHAnsi" w:cstheme="minorHAnsi"/>
          <w:sz w:val="22"/>
          <w:szCs w:val="22"/>
        </w:rPr>
        <w:t>,</w:t>
      </w:r>
      <w:r w:rsidR="00C55270" w:rsidRPr="00C15195">
        <w:rPr>
          <w:rFonts w:asciiTheme="minorHAnsi" w:hAnsiTheme="minorHAnsi" w:cstheme="minorHAnsi"/>
          <w:sz w:val="22"/>
          <w:szCs w:val="22"/>
        </w:rPr>
        <w:t xml:space="preserve"> niezależnie od daty doręczenia informacji o wysokości opłaty jednorazowej</w:t>
      </w:r>
      <w:r w:rsidR="0017186B" w:rsidRPr="00C15195">
        <w:rPr>
          <w:rFonts w:asciiTheme="minorHAnsi" w:hAnsiTheme="minorHAnsi" w:cstheme="minorHAnsi"/>
          <w:sz w:val="22"/>
          <w:szCs w:val="22"/>
        </w:rPr>
        <w:t>, a także</w:t>
      </w:r>
      <w:r w:rsidR="00C55270" w:rsidRPr="00C15195">
        <w:rPr>
          <w:rFonts w:asciiTheme="minorHAnsi" w:hAnsiTheme="minorHAnsi" w:cstheme="minorHAnsi"/>
          <w:sz w:val="22"/>
          <w:szCs w:val="22"/>
        </w:rPr>
        <w:t xml:space="preserve"> nie należy naliczać odsetek od nieuiszczonych opłat, których termin </w:t>
      </w:r>
      <w:r w:rsidR="00C55270" w:rsidRPr="00C15195">
        <w:rPr>
          <w:rFonts w:asciiTheme="minorHAnsi" w:hAnsiTheme="minorHAnsi" w:cstheme="minorHAnsi"/>
          <w:sz w:val="22"/>
          <w:szCs w:val="22"/>
        </w:rPr>
        <w:lastRenderedPageBreak/>
        <w:t xml:space="preserve">minął przed doręczeniem ww. informacji. Niezgodnie z </w:t>
      </w:r>
      <w:r w:rsidR="00063B4F" w:rsidRPr="00C15195">
        <w:rPr>
          <w:rFonts w:asciiTheme="minorHAnsi" w:hAnsiTheme="minorHAnsi" w:cstheme="minorHAnsi"/>
          <w:sz w:val="22"/>
          <w:szCs w:val="22"/>
        </w:rPr>
        <w:t>wytycznymi</w:t>
      </w:r>
      <w:r w:rsidR="001C52A2" w:rsidRPr="00C15195">
        <w:rPr>
          <w:rFonts w:asciiTheme="minorHAnsi" w:hAnsiTheme="minorHAnsi" w:cstheme="minorHAnsi"/>
          <w:sz w:val="22"/>
          <w:szCs w:val="22"/>
        </w:rPr>
        <w:t>,</w:t>
      </w:r>
      <w:r w:rsidR="008F5FBA" w:rsidRPr="00C15195">
        <w:rPr>
          <w:rFonts w:asciiTheme="minorHAnsi" w:hAnsiTheme="minorHAnsi" w:cstheme="minorHAnsi"/>
          <w:sz w:val="22"/>
          <w:szCs w:val="22"/>
        </w:rPr>
        <w:t xml:space="preserve"> w</w:t>
      </w:r>
      <w:r w:rsidR="001C52A2" w:rsidRPr="00C15195">
        <w:rPr>
          <w:rFonts w:asciiTheme="minorHAnsi" w:hAnsiTheme="minorHAnsi" w:cstheme="minorHAnsi"/>
          <w:sz w:val="22"/>
          <w:szCs w:val="22"/>
        </w:rPr>
        <w:t xml:space="preserve"> </w:t>
      </w:r>
      <w:r w:rsidR="0017186B" w:rsidRPr="00C15195">
        <w:rPr>
          <w:rFonts w:asciiTheme="minorHAnsi" w:hAnsiTheme="minorHAnsi" w:cstheme="minorHAnsi"/>
          <w:sz w:val="22"/>
          <w:szCs w:val="22"/>
        </w:rPr>
        <w:t>przypadku 7 właścicieli</w:t>
      </w:r>
      <w:r w:rsidR="00C55270" w:rsidRPr="00C15195">
        <w:rPr>
          <w:rStyle w:val="Odwoanieprzypisudolnego"/>
          <w:rFonts w:asciiTheme="minorHAnsi" w:hAnsiTheme="minorHAnsi" w:cstheme="minorHAnsi"/>
          <w:sz w:val="22"/>
          <w:szCs w:val="22"/>
        </w:rPr>
        <w:footnoteReference w:id="23"/>
      </w:r>
      <w:r w:rsidR="0017186B" w:rsidRPr="00C15195">
        <w:rPr>
          <w:rFonts w:asciiTheme="minorHAnsi" w:hAnsiTheme="minorHAnsi" w:cstheme="minorHAnsi"/>
          <w:sz w:val="22"/>
          <w:szCs w:val="22"/>
        </w:rPr>
        <w:t xml:space="preserve">, </w:t>
      </w:r>
      <w:r w:rsidR="00C55270" w:rsidRPr="00C15195">
        <w:rPr>
          <w:rFonts w:asciiTheme="minorHAnsi" w:hAnsiTheme="minorHAnsi" w:cstheme="minorHAnsi"/>
          <w:sz w:val="22"/>
          <w:szCs w:val="22"/>
        </w:rPr>
        <w:t>który</w:t>
      </w:r>
      <w:r w:rsidR="0017186B" w:rsidRPr="00C15195">
        <w:rPr>
          <w:rFonts w:asciiTheme="minorHAnsi" w:hAnsiTheme="minorHAnsi" w:cstheme="minorHAnsi"/>
          <w:sz w:val="22"/>
          <w:szCs w:val="22"/>
        </w:rPr>
        <w:t>m</w:t>
      </w:r>
      <w:r w:rsidR="00C55270" w:rsidRPr="00C15195">
        <w:rPr>
          <w:rFonts w:asciiTheme="minorHAnsi" w:hAnsiTheme="minorHAnsi" w:cstheme="minorHAnsi"/>
          <w:sz w:val="22"/>
          <w:szCs w:val="22"/>
        </w:rPr>
        <w:t xml:space="preserve"> w 2023 r. wydano informacje o wysokości opłaty jednorazowej z uwzględnieniem bonifikaty</w:t>
      </w:r>
      <w:r w:rsidR="00C94F25" w:rsidRPr="00C15195">
        <w:rPr>
          <w:rFonts w:asciiTheme="minorHAnsi" w:hAnsiTheme="minorHAnsi" w:cstheme="minorHAnsi"/>
          <w:sz w:val="22"/>
          <w:szCs w:val="22"/>
        </w:rPr>
        <w:t xml:space="preserve">, </w:t>
      </w:r>
      <w:r w:rsidR="0017186B" w:rsidRPr="00C15195">
        <w:rPr>
          <w:rFonts w:asciiTheme="minorHAnsi" w:hAnsiTheme="minorHAnsi" w:cstheme="minorHAnsi"/>
          <w:sz w:val="22"/>
          <w:szCs w:val="22"/>
        </w:rPr>
        <w:t xml:space="preserve">wg stanu na 31 stycznia </w:t>
      </w:r>
      <w:r w:rsidR="00C94F25" w:rsidRPr="00C15195">
        <w:rPr>
          <w:rFonts w:asciiTheme="minorHAnsi" w:hAnsiTheme="minorHAnsi" w:cstheme="minorHAnsi"/>
          <w:sz w:val="22"/>
          <w:szCs w:val="22"/>
        </w:rPr>
        <w:t xml:space="preserve">2023 r. </w:t>
      </w:r>
      <w:r w:rsidR="00E407F5" w:rsidRPr="00C15195">
        <w:rPr>
          <w:rFonts w:asciiTheme="minorHAnsi" w:hAnsiTheme="minorHAnsi" w:cstheme="minorHAnsi"/>
          <w:sz w:val="22"/>
          <w:szCs w:val="22"/>
        </w:rPr>
        <w:t xml:space="preserve">widniały jako zaległości </w:t>
      </w:r>
      <w:r w:rsidR="00C94F25" w:rsidRPr="00C15195">
        <w:rPr>
          <w:rFonts w:asciiTheme="minorHAnsi" w:hAnsiTheme="minorHAnsi" w:cstheme="minorHAnsi"/>
          <w:sz w:val="22"/>
          <w:szCs w:val="22"/>
        </w:rPr>
        <w:t>opłaty roczne</w:t>
      </w:r>
      <w:r w:rsidR="008F5FBA" w:rsidRPr="00C15195">
        <w:rPr>
          <w:rFonts w:asciiTheme="minorHAnsi" w:hAnsiTheme="minorHAnsi" w:cstheme="minorHAnsi"/>
          <w:sz w:val="22"/>
          <w:szCs w:val="22"/>
        </w:rPr>
        <w:t xml:space="preserve"> w łącznej kwocie </w:t>
      </w:r>
      <w:r w:rsidR="00E407F5" w:rsidRPr="00C15195">
        <w:rPr>
          <w:rFonts w:asciiTheme="minorHAnsi" w:hAnsiTheme="minorHAnsi" w:cstheme="minorHAnsi"/>
          <w:sz w:val="22"/>
          <w:szCs w:val="22"/>
        </w:rPr>
        <w:t>57 399,98 zł</w:t>
      </w:r>
      <w:r w:rsidR="00C94F25" w:rsidRPr="00C15195">
        <w:rPr>
          <w:rFonts w:asciiTheme="minorHAnsi" w:hAnsiTheme="minorHAnsi" w:cstheme="minorHAnsi"/>
          <w:sz w:val="22"/>
          <w:szCs w:val="22"/>
        </w:rPr>
        <w:t>, których ustawowy termin wymagalności minął przed dostarczeniem informacji o wysokości opłaty jednorazowej, oraz naliczano o</w:t>
      </w:r>
      <w:r w:rsidR="008F5FBA" w:rsidRPr="00C15195">
        <w:rPr>
          <w:rFonts w:asciiTheme="minorHAnsi" w:hAnsiTheme="minorHAnsi" w:cstheme="minorHAnsi"/>
          <w:sz w:val="22"/>
          <w:szCs w:val="22"/>
        </w:rPr>
        <w:t>d nich odsetki</w:t>
      </w:r>
      <w:r w:rsidR="00E407F5" w:rsidRPr="00C15195">
        <w:rPr>
          <w:rFonts w:asciiTheme="minorHAnsi" w:hAnsiTheme="minorHAnsi" w:cstheme="minorHAnsi"/>
          <w:sz w:val="22"/>
          <w:szCs w:val="22"/>
        </w:rPr>
        <w:t>.</w:t>
      </w:r>
      <w:r w:rsidR="008F5FBA" w:rsidRPr="00C15195">
        <w:rPr>
          <w:rFonts w:asciiTheme="minorHAnsi" w:hAnsiTheme="minorHAnsi" w:cstheme="minorHAnsi"/>
          <w:sz w:val="22"/>
          <w:szCs w:val="22"/>
        </w:rPr>
        <w:t xml:space="preserve"> </w:t>
      </w:r>
      <w:r w:rsidR="00E407F5" w:rsidRPr="00C15195">
        <w:rPr>
          <w:rFonts w:asciiTheme="minorHAnsi" w:hAnsiTheme="minorHAnsi" w:cstheme="minorHAnsi"/>
          <w:sz w:val="22"/>
          <w:szCs w:val="22"/>
        </w:rPr>
        <w:t>W 2023 r.</w:t>
      </w:r>
      <w:r w:rsidR="00AE3427" w:rsidRPr="00C15195">
        <w:rPr>
          <w:rFonts w:asciiTheme="minorHAnsi" w:hAnsiTheme="minorHAnsi" w:cstheme="minorHAnsi"/>
          <w:sz w:val="22"/>
          <w:szCs w:val="22"/>
        </w:rPr>
        <w:t>,</w:t>
      </w:r>
      <w:r w:rsidR="00E407F5" w:rsidRPr="00C15195">
        <w:rPr>
          <w:rFonts w:asciiTheme="minorHAnsi" w:hAnsiTheme="minorHAnsi" w:cstheme="minorHAnsi"/>
          <w:sz w:val="22"/>
          <w:szCs w:val="22"/>
        </w:rPr>
        <w:t xml:space="preserve"> po wystawieniu informacji o wysokościach opłat jednorazowych z bonifikatą</w:t>
      </w:r>
      <w:r w:rsidR="00AE3427" w:rsidRPr="00C15195">
        <w:rPr>
          <w:rFonts w:asciiTheme="minorHAnsi" w:hAnsiTheme="minorHAnsi" w:cstheme="minorHAnsi"/>
          <w:sz w:val="22"/>
          <w:szCs w:val="22"/>
        </w:rPr>
        <w:t xml:space="preserve">, w ww. </w:t>
      </w:r>
      <w:r w:rsidR="00E407F5" w:rsidRPr="00C15195">
        <w:rPr>
          <w:rFonts w:asciiTheme="minorHAnsi" w:hAnsiTheme="minorHAnsi" w:cstheme="minorHAnsi"/>
          <w:sz w:val="22"/>
          <w:szCs w:val="22"/>
        </w:rPr>
        <w:t>kartach</w:t>
      </w:r>
      <w:r w:rsidR="00AE3427" w:rsidRPr="00C15195">
        <w:rPr>
          <w:rFonts w:asciiTheme="minorHAnsi" w:hAnsiTheme="minorHAnsi" w:cstheme="minorHAnsi"/>
          <w:sz w:val="22"/>
          <w:szCs w:val="22"/>
        </w:rPr>
        <w:t xml:space="preserve"> kontowych,</w:t>
      </w:r>
      <w:r w:rsidR="00E407F5" w:rsidRPr="00C15195">
        <w:rPr>
          <w:rFonts w:asciiTheme="minorHAnsi" w:hAnsiTheme="minorHAnsi" w:cstheme="minorHAnsi"/>
          <w:sz w:val="22"/>
          <w:szCs w:val="22"/>
        </w:rPr>
        <w:t xml:space="preserve"> wyksięgowano opłaty roczne w łącznej kwocie 74 794,39 zł (nal.</w:t>
      </w:r>
      <w:r w:rsidR="00ED1907" w:rsidRPr="00C15195">
        <w:rPr>
          <w:rFonts w:asciiTheme="minorHAnsi" w:hAnsiTheme="minorHAnsi" w:cstheme="minorHAnsi"/>
          <w:sz w:val="22"/>
          <w:szCs w:val="22"/>
        </w:rPr>
        <w:t xml:space="preserve"> </w:t>
      </w:r>
      <w:r w:rsidR="00E407F5" w:rsidRPr="00C15195">
        <w:rPr>
          <w:rFonts w:asciiTheme="minorHAnsi" w:hAnsiTheme="minorHAnsi" w:cstheme="minorHAnsi"/>
          <w:sz w:val="22"/>
          <w:szCs w:val="22"/>
        </w:rPr>
        <w:t>gł., część nadpłat zwrócono)</w:t>
      </w:r>
      <w:r w:rsidR="00C94F25" w:rsidRPr="00C15195">
        <w:rPr>
          <w:rFonts w:asciiTheme="minorHAnsi" w:hAnsiTheme="minorHAnsi" w:cstheme="minorHAnsi"/>
          <w:sz w:val="22"/>
          <w:szCs w:val="22"/>
        </w:rPr>
        <w:t>.</w:t>
      </w:r>
      <w:r w:rsidR="00BB3D52" w:rsidRPr="00C15195">
        <w:rPr>
          <w:rFonts w:asciiTheme="minorHAnsi" w:hAnsiTheme="minorHAnsi" w:cstheme="minorHAnsi"/>
          <w:sz w:val="22"/>
          <w:szCs w:val="22"/>
        </w:rPr>
        <w:t xml:space="preserve"> Ponadto w jednym przypadku</w:t>
      </w:r>
      <w:r w:rsidR="00BB3D52" w:rsidRPr="00C15195">
        <w:rPr>
          <w:rStyle w:val="Odwoanieprzypisudolnego"/>
          <w:rFonts w:asciiTheme="minorHAnsi" w:hAnsiTheme="minorHAnsi" w:cstheme="minorHAnsi"/>
          <w:sz w:val="22"/>
          <w:szCs w:val="22"/>
        </w:rPr>
        <w:footnoteReference w:id="24"/>
      </w:r>
      <w:r w:rsidR="00BB3D52" w:rsidRPr="00C15195">
        <w:rPr>
          <w:rFonts w:asciiTheme="minorHAnsi" w:hAnsiTheme="minorHAnsi" w:cstheme="minorHAnsi"/>
          <w:sz w:val="22"/>
          <w:szCs w:val="22"/>
        </w:rPr>
        <w:t xml:space="preserve"> na opłaty roczne objęte rozpatrywanym wnioskiem o ustalenie opłaty jednorazowej z</w:t>
      </w:r>
      <w:r w:rsidR="00A33302" w:rsidRPr="00C15195">
        <w:rPr>
          <w:rFonts w:asciiTheme="minorHAnsi" w:hAnsiTheme="minorHAnsi" w:cstheme="minorHAnsi"/>
          <w:sz w:val="22"/>
          <w:szCs w:val="22"/>
        </w:rPr>
        <w:t> </w:t>
      </w:r>
      <w:r w:rsidR="00BB3D52" w:rsidRPr="00C15195">
        <w:rPr>
          <w:rFonts w:asciiTheme="minorHAnsi" w:hAnsiTheme="minorHAnsi" w:cstheme="minorHAnsi"/>
          <w:sz w:val="22"/>
          <w:szCs w:val="22"/>
        </w:rPr>
        <w:t>uwzględnieniem bonifikaty, zostało skierowane upomnienie</w:t>
      </w:r>
      <w:r w:rsidR="00A33302" w:rsidRPr="00C15195">
        <w:rPr>
          <w:rStyle w:val="Odwoanieprzypisudolnego"/>
          <w:rFonts w:asciiTheme="minorHAnsi" w:hAnsiTheme="minorHAnsi" w:cstheme="minorHAnsi"/>
          <w:sz w:val="22"/>
          <w:szCs w:val="22"/>
        </w:rPr>
        <w:footnoteReference w:id="25"/>
      </w:r>
      <w:r w:rsidR="001C52A2" w:rsidRPr="00C15195">
        <w:rPr>
          <w:rFonts w:asciiTheme="minorHAnsi" w:hAnsiTheme="minorHAnsi" w:cstheme="minorHAnsi"/>
          <w:sz w:val="22"/>
          <w:szCs w:val="22"/>
        </w:rPr>
        <w:t>, natomiast</w:t>
      </w:r>
      <w:r w:rsidR="00A33302" w:rsidRPr="00C15195">
        <w:rPr>
          <w:rFonts w:asciiTheme="minorHAnsi" w:hAnsiTheme="minorHAnsi" w:cstheme="minorHAnsi"/>
          <w:sz w:val="22"/>
          <w:szCs w:val="22"/>
        </w:rPr>
        <w:t xml:space="preserve"> do końca 2023 r. nie dokonano wyksięgowania opłat rocznych oraz przypisu opłaty jednorazowej</w:t>
      </w:r>
      <w:r w:rsidR="00A33302" w:rsidRPr="00C15195">
        <w:rPr>
          <w:rStyle w:val="Odwoanieprzypisudolnego"/>
          <w:rFonts w:asciiTheme="minorHAnsi" w:hAnsiTheme="minorHAnsi" w:cstheme="minorHAnsi"/>
          <w:sz w:val="22"/>
          <w:szCs w:val="22"/>
        </w:rPr>
        <w:footnoteReference w:id="26"/>
      </w:r>
      <w:r w:rsidR="00A33302" w:rsidRPr="00C15195">
        <w:rPr>
          <w:rFonts w:asciiTheme="minorHAnsi" w:hAnsiTheme="minorHAnsi" w:cstheme="minorHAnsi"/>
          <w:sz w:val="22"/>
          <w:szCs w:val="22"/>
        </w:rPr>
        <w:t xml:space="preserve">. </w:t>
      </w:r>
      <w:r w:rsidR="008F5FBA" w:rsidRPr="00C15195">
        <w:rPr>
          <w:rFonts w:asciiTheme="minorHAnsi" w:hAnsiTheme="minorHAnsi" w:cstheme="minorHAnsi"/>
          <w:sz w:val="22"/>
          <w:szCs w:val="22"/>
        </w:rPr>
        <w:t>W</w:t>
      </w:r>
      <w:r w:rsidR="00A33302" w:rsidRPr="00C15195">
        <w:rPr>
          <w:rFonts w:asciiTheme="minorHAnsi" w:hAnsiTheme="minorHAnsi" w:cstheme="minorHAnsi"/>
          <w:sz w:val="22"/>
          <w:szCs w:val="22"/>
        </w:rPr>
        <w:t> </w:t>
      </w:r>
      <w:r w:rsidR="008F5FBA" w:rsidRPr="00C15195">
        <w:rPr>
          <w:rFonts w:asciiTheme="minorHAnsi" w:hAnsiTheme="minorHAnsi" w:cstheme="minorHAnsi"/>
          <w:sz w:val="22"/>
          <w:szCs w:val="22"/>
        </w:rPr>
        <w:t xml:space="preserve">konsekwencji dane dotyczące faktycznego zadłużenia z tytułu opłat przekształceniowych były zawyżane. </w:t>
      </w:r>
      <w:r w:rsidR="00C5235A" w:rsidRPr="00C15195">
        <w:rPr>
          <w:rFonts w:asciiTheme="minorHAnsi" w:hAnsiTheme="minorHAnsi" w:cstheme="minorHAnsi"/>
          <w:sz w:val="22"/>
          <w:szCs w:val="22"/>
        </w:rPr>
        <w:t>Burmistrz Dzielnicy złożył</w:t>
      </w:r>
      <w:r w:rsidR="001C52A2" w:rsidRPr="00C15195">
        <w:rPr>
          <w:rFonts w:asciiTheme="minorHAnsi" w:hAnsiTheme="minorHAnsi" w:cstheme="minorHAnsi"/>
          <w:sz w:val="22"/>
          <w:szCs w:val="22"/>
        </w:rPr>
        <w:t xml:space="preserve"> w sprawie obszerne wyjaśnienia, w tym</w:t>
      </w:r>
      <w:r w:rsidR="00C5235A" w:rsidRPr="00C15195">
        <w:rPr>
          <w:rFonts w:asciiTheme="minorHAnsi" w:hAnsiTheme="minorHAnsi" w:cstheme="minorHAnsi"/>
          <w:sz w:val="22"/>
          <w:szCs w:val="22"/>
        </w:rPr>
        <w:t>: „wystąpienie z wnioskiem o naliczenie opłaty jednorazowej, może nastąpić w przypadku podmiotów i/lub nieruchomości niespełniających warunków uchwały do udzielenia bonifikaty. (…) Wobec powyższego uznaje się, że złożenie wniosku o bonifikatę od opłaty jednorazowej nie zwalnia z konieczności wnoszenia opłat ro</w:t>
      </w:r>
      <w:r w:rsidR="00536269" w:rsidRPr="00C15195">
        <w:rPr>
          <w:rFonts w:asciiTheme="minorHAnsi" w:hAnsiTheme="minorHAnsi" w:cstheme="minorHAnsi"/>
          <w:sz w:val="22"/>
          <w:szCs w:val="22"/>
        </w:rPr>
        <w:t>cznych wynikających z ustawy, w </w:t>
      </w:r>
      <w:r w:rsidR="00C5235A" w:rsidRPr="00C15195">
        <w:rPr>
          <w:rFonts w:asciiTheme="minorHAnsi" w:hAnsiTheme="minorHAnsi" w:cstheme="minorHAnsi"/>
          <w:sz w:val="22"/>
          <w:szCs w:val="22"/>
        </w:rPr>
        <w:t>szczególności nie uzależnia terminów zapłaty tych należności od daty jego rozpatrzenia”</w:t>
      </w:r>
      <w:r w:rsidR="001B65AA" w:rsidRPr="00C15195">
        <w:rPr>
          <w:rFonts w:asciiTheme="minorHAnsi" w:hAnsiTheme="minorHAnsi" w:cstheme="minorHAnsi"/>
          <w:sz w:val="22"/>
          <w:szCs w:val="22"/>
        </w:rPr>
        <w:t>, które stoją w sprzeczności z ww. wytycznymi Za</w:t>
      </w:r>
      <w:r w:rsidR="00EE608E" w:rsidRPr="00C15195">
        <w:rPr>
          <w:rFonts w:asciiTheme="minorHAnsi" w:hAnsiTheme="minorHAnsi" w:cstheme="minorHAnsi"/>
          <w:sz w:val="22"/>
          <w:szCs w:val="22"/>
        </w:rPr>
        <w:t>stępcy Prezydenta m.st. Warszawy</w:t>
      </w:r>
      <w:r w:rsidR="001B65AA" w:rsidRPr="00C15195">
        <w:rPr>
          <w:rFonts w:asciiTheme="minorHAnsi" w:hAnsiTheme="minorHAnsi" w:cstheme="minorHAnsi"/>
          <w:sz w:val="22"/>
          <w:szCs w:val="22"/>
        </w:rPr>
        <w:t xml:space="preserve"> oraz wykładnią przedstawioną w wyjaśnieniach Ministerstwa Rozwoju, Pracy i Technologii. Burmistrz</w:t>
      </w:r>
      <w:r w:rsidR="004B2E4E" w:rsidRPr="00C15195">
        <w:rPr>
          <w:rFonts w:asciiTheme="minorHAnsi" w:hAnsiTheme="minorHAnsi" w:cstheme="minorHAnsi"/>
          <w:sz w:val="22"/>
          <w:szCs w:val="22"/>
        </w:rPr>
        <w:t xml:space="preserve"> Dzielnicy </w:t>
      </w:r>
      <w:r w:rsidR="001B65AA" w:rsidRPr="00C15195">
        <w:rPr>
          <w:rFonts w:asciiTheme="minorHAnsi" w:hAnsiTheme="minorHAnsi" w:cstheme="minorHAnsi"/>
          <w:sz w:val="22"/>
          <w:szCs w:val="22"/>
        </w:rPr>
        <w:t>wskazał także: „System informatyczny OTAGO (…) nie dysponuje funkcją zaprzestania naliczania odsetek od opłat rocznych, możliwą do zaznaczenia po złożonym wniosku”.</w:t>
      </w:r>
    </w:p>
    <w:p w14:paraId="5AD0EE14" w14:textId="12D54CF1" w:rsidR="00336D20" w:rsidRPr="00C15195" w:rsidRDefault="00336D20"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Upomnienia i tytuły wykonawcze były wystawiane przez pracowników Dzielnicy posiadających stosowne upoważnienia. W dokumentach wskazywano prawidłowo ustalone terminy płatności</w:t>
      </w:r>
      <w:r w:rsidR="006A456F" w:rsidRPr="00C15195">
        <w:rPr>
          <w:rFonts w:asciiTheme="minorHAnsi" w:hAnsiTheme="minorHAnsi" w:cstheme="minorHAnsi"/>
          <w:sz w:val="22"/>
          <w:szCs w:val="22"/>
        </w:rPr>
        <w:t>, w </w:t>
      </w:r>
      <w:r w:rsidR="007E1549" w:rsidRPr="00C15195">
        <w:rPr>
          <w:rFonts w:asciiTheme="minorHAnsi" w:hAnsiTheme="minorHAnsi" w:cstheme="minorHAnsi"/>
          <w:sz w:val="22"/>
          <w:szCs w:val="22"/>
        </w:rPr>
        <w:t xml:space="preserve">tym z uwzględnieniem braku wymagalności opłat rocznych do czasu doręczenia zaświadczenia, wskazanym w </w:t>
      </w:r>
      <w:r w:rsidR="005E087F" w:rsidRPr="00C15195">
        <w:rPr>
          <w:rFonts w:asciiTheme="minorHAnsi" w:hAnsiTheme="minorHAnsi" w:cstheme="minorHAnsi"/>
          <w:sz w:val="22"/>
          <w:szCs w:val="22"/>
        </w:rPr>
        <w:t xml:space="preserve">ww. </w:t>
      </w:r>
      <w:r w:rsidR="007E1549" w:rsidRPr="00C15195">
        <w:rPr>
          <w:rFonts w:asciiTheme="minorHAnsi" w:hAnsiTheme="minorHAnsi" w:cstheme="minorHAnsi"/>
          <w:sz w:val="22"/>
          <w:szCs w:val="22"/>
        </w:rPr>
        <w:t>wytycznych</w:t>
      </w:r>
      <w:r w:rsidR="007E1549" w:rsidRPr="00C15195">
        <w:rPr>
          <w:rStyle w:val="Odwoanieprzypisudolnego"/>
          <w:rFonts w:asciiTheme="minorHAnsi" w:hAnsiTheme="minorHAnsi" w:cstheme="minorHAnsi"/>
          <w:sz w:val="22"/>
          <w:szCs w:val="22"/>
        </w:rPr>
        <w:footnoteReference w:id="27"/>
      </w:r>
      <w:r w:rsidRPr="00C15195">
        <w:rPr>
          <w:rFonts w:asciiTheme="minorHAnsi" w:hAnsiTheme="minorHAnsi" w:cstheme="minorHAnsi"/>
          <w:sz w:val="22"/>
          <w:szCs w:val="22"/>
        </w:rPr>
        <w:t>. Odsetki od zaległości naliczano w wysokości odsetek ustawowych za opóźnienie, określonej w art. 481 § 2 ustawy z 23 kwietnia 1964 r. Kodeks cywilny</w:t>
      </w:r>
      <w:r w:rsidRPr="00C15195">
        <w:rPr>
          <w:rFonts w:asciiTheme="minorHAnsi" w:hAnsiTheme="minorHAnsi" w:cstheme="minorHAnsi"/>
          <w:sz w:val="22"/>
          <w:szCs w:val="22"/>
          <w:vertAlign w:val="superscript"/>
        </w:rPr>
        <w:footnoteReference w:id="28"/>
      </w:r>
      <w:r w:rsidRPr="00C15195">
        <w:rPr>
          <w:rFonts w:asciiTheme="minorHAnsi" w:hAnsiTheme="minorHAnsi" w:cstheme="minorHAnsi"/>
          <w:sz w:val="22"/>
          <w:szCs w:val="22"/>
        </w:rPr>
        <w:t xml:space="preserve"> (dalej: kc) oraz zgodnie z obwieszczeniami Ministra Sprawiedliwości wydanymi na postawie art. 481 § 2</w:t>
      </w:r>
      <w:r w:rsidRPr="00C15195">
        <w:rPr>
          <w:rFonts w:asciiTheme="minorHAnsi" w:hAnsiTheme="minorHAnsi" w:cstheme="minorHAnsi"/>
          <w:sz w:val="22"/>
          <w:szCs w:val="22"/>
          <w:vertAlign w:val="superscript"/>
        </w:rPr>
        <w:t>4</w:t>
      </w:r>
      <w:r w:rsidRPr="00C15195">
        <w:rPr>
          <w:rFonts w:asciiTheme="minorHAnsi" w:hAnsiTheme="minorHAnsi" w:cstheme="minorHAnsi"/>
          <w:sz w:val="22"/>
          <w:szCs w:val="22"/>
        </w:rPr>
        <w:t xml:space="preserve"> kc. Wpłaty wyegzekwowane przez organy egzekucyjne zaliczano zgodnie z art. 115 § 1 ustawy z 17 czerwca 1966 r. o postępowaniu egzekucyjnym w administracji</w:t>
      </w:r>
      <w:r w:rsidRPr="00C15195">
        <w:rPr>
          <w:rStyle w:val="Odwoanieprzypisudolnego"/>
          <w:rFonts w:asciiTheme="minorHAnsi" w:hAnsiTheme="minorHAnsi" w:cstheme="minorHAnsi"/>
          <w:sz w:val="22"/>
          <w:szCs w:val="22"/>
        </w:rPr>
        <w:footnoteReference w:id="29"/>
      </w:r>
      <w:r w:rsidRPr="00C15195">
        <w:rPr>
          <w:rFonts w:asciiTheme="minorHAnsi" w:hAnsiTheme="minorHAnsi" w:cstheme="minorHAnsi"/>
          <w:sz w:val="22"/>
          <w:szCs w:val="22"/>
        </w:rPr>
        <w:t xml:space="preserve"> oraz informacjami przekazywanymi przez te </w:t>
      </w:r>
      <w:r w:rsidRPr="00C15195">
        <w:rPr>
          <w:rFonts w:asciiTheme="minorHAnsi" w:hAnsiTheme="minorHAnsi" w:cstheme="minorHAnsi"/>
          <w:sz w:val="22"/>
          <w:szCs w:val="22"/>
        </w:rPr>
        <w:lastRenderedPageBreak/>
        <w:t>organy. Wpłaty niepokrywające całości zadłużenia, dokonywane przez dłużników bezpośrednio do wierzyciela (Dzielnicy), zaliczane były zgodnie z art. 451 kc oraz § 11 pkt 1 Regulaminu windykacji.</w:t>
      </w:r>
    </w:p>
    <w:p w14:paraId="1C4A5840" w14:textId="77777777" w:rsidR="008245A5" w:rsidRPr="00C15195" w:rsidRDefault="008234EC"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Stwierdzono odstępstwa od stosowania terminów poszczególnych czynności windykacyjnych określonych w Regulaminie windykacji należności m.st. Warszawy.</w:t>
      </w:r>
    </w:p>
    <w:p w14:paraId="6B2840B3" w14:textId="1BF57EB6" w:rsidR="008245A5" w:rsidRPr="00C15195" w:rsidRDefault="008234EC"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Ustalono, że wg stanu na 31 grudnia 2023 r. wobec 30,9 % zadłużenia objętego próbą kontrolną (nal. gł. 616 366,56 zł) nie prowadzono czynności windykacyjnych, tj. do zobowiązanych </w:t>
      </w:r>
      <w:r w:rsidR="004B2E4E" w:rsidRPr="00C15195">
        <w:rPr>
          <w:rFonts w:asciiTheme="minorHAnsi" w:hAnsiTheme="minorHAnsi" w:cstheme="minorHAnsi"/>
          <w:sz w:val="22"/>
          <w:szCs w:val="22"/>
        </w:rPr>
        <w:t>u</w:t>
      </w:r>
      <w:r w:rsidRPr="00C15195">
        <w:rPr>
          <w:rFonts w:asciiTheme="minorHAnsi" w:hAnsiTheme="minorHAnsi" w:cstheme="minorHAnsi"/>
          <w:sz w:val="22"/>
          <w:szCs w:val="22"/>
        </w:rPr>
        <w:t xml:space="preserve">pomnienia </w:t>
      </w:r>
      <w:r w:rsidR="004B2E4E" w:rsidRPr="00C15195">
        <w:rPr>
          <w:rFonts w:asciiTheme="minorHAnsi" w:hAnsiTheme="minorHAnsi" w:cstheme="minorHAnsi"/>
          <w:sz w:val="22"/>
          <w:szCs w:val="22"/>
        </w:rPr>
        <w:t xml:space="preserve">były </w:t>
      </w:r>
      <w:r w:rsidRPr="00C15195">
        <w:rPr>
          <w:rFonts w:asciiTheme="minorHAnsi" w:hAnsiTheme="minorHAnsi" w:cstheme="minorHAnsi"/>
          <w:sz w:val="22"/>
          <w:szCs w:val="22"/>
        </w:rPr>
        <w:t>wysyłane średnio po upływie 568 dni po upływie terminów, o których mowa w § 54 Regulaminu windykacji</w:t>
      </w:r>
      <w:r w:rsidRPr="00C15195">
        <w:rPr>
          <w:rStyle w:val="Odwoanieprzypisudolnego"/>
          <w:rFonts w:asciiTheme="minorHAnsi" w:hAnsiTheme="minorHAnsi" w:cstheme="minorHAnsi"/>
          <w:sz w:val="22"/>
          <w:szCs w:val="22"/>
        </w:rPr>
        <w:footnoteReference w:id="30"/>
      </w:r>
      <w:r w:rsidRPr="00C15195">
        <w:rPr>
          <w:rFonts w:asciiTheme="minorHAnsi" w:hAnsiTheme="minorHAnsi" w:cstheme="minorHAnsi"/>
          <w:sz w:val="22"/>
          <w:szCs w:val="22"/>
        </w:rPr>
        <w:t xml:space="preserve">, jednak biorąc pod uwagę, fakt że § 11a Regulaminu windykacji określający charakter i tryb egzekucji ww. opłat wszedł w życie 31 marca </w:t>
      </w:r>
      <w:r w:rsidR="00EE608E" w:rsidRPr="00C15195">
        <w:rPr>
          <w:rFonts w:asciiTheme="minorHAnsi" w:hAnsiTheme="minorHAnsi" w:cstheme="minorHAnsi"/>
          <w:sz w:val="22"/>
          <w:szCs w:val="22"/>
        </w:rPr>
        <w:t>2022 </w:t>
      </w:r>
      <w:r w:rsidRPr="00C15195">
        <w:rPr>
          <w:rFonts w:asciiTheme="minorHAnsi" w:hAnsiTheme="minorHAnsi" w:cstheme="minorHAnsi"/>
          <w:sz w:val="22"/>
          <w:szCs w:val="22"/>
        </w:rPr>
        <w:t>r., po tym dniu upomnienia były wysyłane z opóźnieniem średnio 251 dni.</w:t>
      </w:r>
    </w:p>
    <w:p w14:paraId="02470EBD" w14:textId="1B36AD80" w:rsidR="004B2E4E" w:rsidRPr="00C15195" w:rsidRDefault="00E35507"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Nie dochowano terminu określonego w § 63 ust. 1 Regulaminu windykacji</w:t>
      </w:r>
      <w:r w:rsidRPr="00C15195">
        <w:rPr>
          <w:rStyle w:val="Odwoanieprzypisudolnego"/>
          <w:rFonts w:asciiTheme="minorHAnsi" w:hAnsiTheme="minorHAnsi" w:cstheme="minorHAnsi"/>
          <w:sz w:val="22"/>
          <w:szCs w:val="22"/>
        </w:rPr>
        <w:footnoteReference w:id="31"/>
      </w:r>
      <w:r w:rsidRPr="00C15195">
        <w:rPr>
          <w:rFonts w:asciiTheme="minorHAnsi" w:hAnsiTheme="minorHAnsi" w:cstheme="minorHAnsi"/>
          <w:sz w:val="22"/>
          <w:szCs w:val="22"/>
        </w:rPr>
        <w:t xml:space="preserve"> w zakresie sporządzania tytułów wykonawczych, gdyż na 18 tytułów wykonawczych objętych próbą kontrolną, 7 tytułów wykonawczych było wystawionych w terminie, pozostałe wystawiono od 1 do 135 dni po terminie.</w:t>
      </w:r>
    </w:p>
    <w:p w14:paraId="7B0D17F0" w14:textId="77777777" w:rsidR="008245A5" w:rsidRPr="00C15195" w:rsidRDefault="008159FE"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N</w:t>
      </w:r>
      <w:r w:rsidR="004B2E4E" w:rsidRPr="00C15195">
        <w:rPr>
          <w:rFonts w:asciiTheme="minorHAnsi" w:hAnsiTheme="minorHAnsi" w:cstheme="minorHAnsi"/>
          <w:sz w:val="22"/>
          <w:szCs w:val="22"/>
        </w:rPr>
        <w:t>a koniec</w:t>
      </w:r>
      <w:r w:rsidRPr="00C15195">
        <w:rPr>
          <w:rFonts w:asciiTheme="minorHAnsi" w:hAnsiTheme="minorHAnsi" w:cstheme="minorHAnsi"/>
          <w:sz w:val="22"/>
          <w:szCs w:val="22"/>
        </w:rPr>
        <w:t xml:space="preserve"> 2023 r. zaległości, które objęte były upomnieniami, a nie zostały skierowane do egzekucji wynosiły </w:t>
      </w:r>
      <w:r w:rsidR="00E35507" w:rsidRPr="00C15195">
        <w:rPr>
          <w:rFonts w:asciiTheme="minorHAnsi" w:hAnsiTheme="minorHAnsi" w:cstheme="minorHAnsi"/>
          <w:sz w:val="22"/>
          <w:szCs w:val="22"/>
        </w:rPr>
        <w:t>905 494,05 zł</w:t>
      </w:r>
      <w:r w:rsidR="00202E67" w:rsidRPr="00C15195">
        <w:rPr>
          <w:rFonts w:asciiTheme="minorHAnsi" w:hAnsiTheme="minorHAnsi" w:cstheme="minorHAnsi"/>
          <w:sz w:val="22"/>
          <w:szCs w:val="22"/>
        </w:rPr>
        <w:t xml:space="preserve"> </w:t>
      </w:r>
      <w:r w:rsidR="00E35507" w:rsidRPr="00C15195">
        <w:rPr>
          <w:rFonts w:asciiTheme="minorHAnsi" w:hAnsiTheme="minorHAnsi" w:cstheme="minorHAnsi"/>
          <w:sz w:val="22"/>
          <w:szCs w:val="22"/>
        </w:rPr>
        <w:t xml:space="preserve">(45,4% zadłużenia objętego </w:t>
      </w:r>
      <w:r w:rsidRPr="00C15195">
        <w:rPr>
          <w:rFonts w:asciiTheme="minorHAnsi" w:hAnsiTheme="minorHAnsi" w:cstheme="minorHAnsi"/>
          <w:sz w:val="22"/>
          <w:szCs w:val="22"/>
        </w:rPr>
        <w:t>próbą</w:t>
      </w:r>
      <w:r w:rsidR="00E35507" w:rsidRPr="00C15195">
        <w:rPr>
          <w:rFonts w:asciiTheme="minorHAnsi" w:hAnsiTheme="minorHAnsi" w:cstheme="minorHAnsi"/>
          <w:sz w:val="22"/>
          <w:szCs w:val="22"/>
        </w:rPr>
        <w:t>).</w:t>
      </w:r>
      <w:r w:rsidR="00DB309D" w:rsidRPr="00C15195">
        <w:rPr>
          <w:rFonts w:asciiTheme="minorHAnsi" w:hAnsiTheme="minorHAnsi" w:cstheme="minorHAnsi"/>
          <w:sz w:val="22"/>
          <w:szCs w:val="22"/>
        </w:rPr>
        <w:t xml:space="preserve"> </w:t>
      </w:r>
      <w:r w:rsidR="008234EC" w:rsidRPr="00C15195">
        <w:rPr>
          <w:rFonts w:asciiTheme="minorHAnsi" w:hAnsiTheme="minorHAnsi" w:cstheme="minorHAnsi"/>
          <w:sz w:val="22"/>
          <w:szCs w:val="22"/>
        </w:rPr>
        <w:t xml:space="preserve">W sprawie nieprzestrzegania terminów </w:t>
      </w:r>
      <w:r w:rsidR="00DB309D" w:rsidRPr="00C15195">
        <w:rPr>
          <w:rFonts w:asciiTheme="minorHAnsi" w:hAnsiTheme="minorHAnsi" w:cstheme="minorHAnsi"/>
          <w:sz w:val="22"/>
          <w:szCs w:val="22"/>
        </w:rPr>
        <w:t>windykacji</w:t>
      </w:r>
      <w:r w:rsidR="008234EC" w:rsidRPr="00C15195">
        <w:rPr>
          <w:rFonts w:asciiTheme="minorHAnsi" w:hAnsiTheme="minorHAnsi" w:cstheme="minorHAnsi"/>
          <w:sz w:val="22"/>
          <w:szCs w:val="22"/>
        </w:rPr>
        <w:t xml:space="preserve"> Burmistrz Dzielnicy złożył obszerne wyjaśnienia, w tym: „</w:t>
      </w:r>
      <w:r w:rsidR="00DB309D" w:rsidRPr="00C15195">
        <w:rPr>
          <w:rFonts w:asciiTheme="minorHAnsi" w:hAnsiTheme="minorHAnsi" w:cstheme="minorHAnsi"/>
          <w:sz w:val="22"/>
          <w:szCs w:val="22"/>
        </w:rPr>
        <w:t xml:space="preserve">Z uwagi na rozpoczęcie wstępnej windykacji opłat przekształceniowych w kwietniu 2023 roku, liczba kart kontowych, na których znajdowały się zaległości przekraczała 9,5 tys. sztuk. W pierwszej kolejności upomnienia były wystawiane dla kart kontowych, które obejmowały należności zagrożone przedawnieniem (…) </w:t>
      </w:r>
      <w:r w:rsidR="00E75F70" w:rsidRPr="00C15195">
        <w:rPr>
          <w:rFonts w:asciiTheme="minorHAnsi" w:eastAsia="Calibri" w:hAnsiTheme="minorHAnsi" w:cstheme="minorHAnsi"/>
          <w:kern w:val="2"/>
          <w:sz w:val="22"/>
          <w:szCs w:val="22"/>
          <w:lang w:eastAsia="en-US"/>
        </w:rPr>
        <w:t xml:space="preserve">Z uwagi na bardzo dużą liczbę przekazanych przez Wydział Budżetowo-Księgowy upomnień </w:t>
      </w:r>
      <w:r w:rsidR="00536269" w:rsidRPr="00C15195">
        <w:rPr>
          <w:rFonts w:asciiTheme="minorHAnsi" w:eastAsia="Calibri" w:hAnsiTheme="minorHAnsi" w:cstheme="minorHAnsi"/>
          <w:kern w:val="2"/>
          <w:sz w:val="22"/>
          <w:szCs w:val="22"/>
          <w:lang w:eastAsia="en-US"/>
        </w:rPr>
        <w:br/>
      </w:r>
      <w:r w:rsidR="00E75F70" w:rsidRPr="00C15195">
        <w:rPr>
          <w:rFonts w:asciiTheme="minorHAnsi" w:eastAsia="Calibri" w:hAnsiTheme="minorHAnsi" w:cstheme="minorHAnsi"/>
          <w:kern w:val="2"/>
          <w:sz w:val="22"/>
          <w:szCs w:val="22"/>
          <w:lang w:eastAsia="en-US"/>
        </w:rPr>
        <w:t>(5 433 szt., z czego 3737 szt. w ostatnim kwartale 2023 r.) oraz brak systemu do obsługi windykacji opłat umożliwiającego rejestrację upomnień i importowanie danych do aplikacji elektronicznych tytułów wykonawczych eTW, pracownicy Referatu Windykacji skupili się na wystawieniu tytułów wykonawczych na zaległości, które z końcem 2023 r. roku uległyby przedawnieniu (tj. z terminem płatności do końca 2020 r.)</w:t>
      </w:r>
      <w:r w:rsidR="00E75F70" w:rsidRPr="00C15195">
        <w:rPr>
          <w:rFonts w:asciiTheme="minorHAnsi" w:hAnsiTheme="minorHAnsi" w:cstheme="minorHAnsi"/>
          <w:sz w:val="22"/>
          <w:szCs w:val="22"/>
        </w:rPr>
        <w:t>”.</w:t>
      </w:r>
    </w:p>
    <w:p w14:paraId="405C43A2" w14:textId="7FF862F6" w:rsidR="008245A5" w:rsidRPr="00C15195" w:rsidRDefault="008164C5"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Ustalono, że </w:t>
      </w:r>
      <w:r w:rsidR="00242B98" w:rsidRPr="00C15195">
        <w:rPr>
          <w:rFonts w:asciiTheme="minorHAnsi" w:hAnsiTheme="minorHAnsi" w:cstheme="minorHAnsi"/>
          <w:sz w:val="22"/>
          <w:szCs w:val="22"/>
        </w:rPr>
        <w:t>21</w:t>
      </w:r>
      <w:r w:rsidRPr="00C15195">
        <w:rPr>
          <w:rFonts w:asciiTheme="minorHAnsi" w:hAnsiTheme="minorHAnsi" w:cstheme="minorHAnsi"/>
          <w:sz w:val="22"/>
          <w:szCs w:val="22"/>
        </w:rPr>
        <w:t>% zadłużenia objętego próbą kontrolną wg stanu na 1 stycznia 2023 r. stanowiły należności, któr</w:t>
      </w:r>
      <w:r w:rsidR="00D91F1D" w:rsidRPr="00C15195">
        <w:rPr>
          <w:rFonts w:asciiTheme="minorHAnsi" w:hAnsiTheme="minorHAnsi" w:cstheme="minorHAnsi"/>
          <w:sz w:val="22"/>
          <w:szCs w:val="22"/>
        </w:rPr>
        <w:t xml:space="preserve">e </w:t>
      </w:r>
      <w:r w:rsidRPr="00C15195">
        <w:rPr>
          <w:rFonts w:asciiTheme="minorHAnsi" w:hAnsiTheme="minorHAnsi" w:cstheme="minorHAnsi"/>
          <w:sz w:val="22"/>
          <w:szCs w:val="22"/>
        </w:rPr>
        <w:t xml:space="preserve">nie </w:t>
      </w:r>
      <w:r w:rsidR="005D016D" w:rsidRPr="00C15195">
        <w:rPr>
          <w:rFonts w:asciiTheme="minorHAnsi" w:hAnsiTheme="minorHAnsi" w:cstheme="minorHAnsi"/>
          <w:sz w:val="22"/>
          <w:szCs w:val="22"/>
        </w:rPr>
        <w:t>stanowiły należności</w:t>
      </w:r>
      <w:r w:rsidRPr="00C15195">
        <w:rPr>
          <w:rFonts w:asciiTheme="minorHAnsi" w:hAnsiTheme="minorHAnsi" w:cstheme="minorHAnsi"/>
          <w:sz w:val="22"/>
          <w:szCs w:val="22"/>
        </w:rPr>
        <w:t xml:space="preserve"> wymagaln</w:t>
      </w:r>
      <w:r w:rsidR="005D016D" w:rsidRPr="00C15195">
        <w:rPr>
          <w:rFonts w:asciiTheme="minorHAnsi" w:hAnsiTheme="minorHAnsi" w:cstheme="minorHAnsi"/>
          <w:sz w:val="22"/>
          <w:szCs w:val="22"/>
        </w:rPr>
        <w:t>ych</w:t>
      </w:r>
      <w:r w:rsidR="00D91F1D" w:rsidRPr="00C15195">
        <w:rPr>
          <w:rFonts w:asciiTheme="minorHAnsi" w:hAnsiTheme="minorHAnsi" w:cstheme="minorHAnsi"/>
          <w:sz w:val="22"/>
          <w:szCs w:val="22"/>
        </w:rPr>
        <w:t xml:space="preserve">, a wykazywanie ich jako należności po terminie płatności wynikało z braku należytej staranności oraz bieżącego dokonywania zmian i korekt w ewidencji opłat. </w:t>
      </w:r>
      <w:r w:rsidR="005D016D" w:rsidRPr="00C15195">
        <w:rPr>
          <w:rFonts w:asciiTheme="minorHAnsi" w:hAnsiTheme="minorHAnsi" w:cstheme="minorHAnsi"/>
          <w:sz w:val="22"/>
          <w:szCs w:val="22"/>
        </w:rPr>
        <w:t>W</w:t>
      </w:r>
      <w:r w:rsidR="00D91F1D" w:rsidRPr="00C15195">
        <w:rPr>
          <w:rFonts w:asciiTheme="minorHAnsi" w:hAnsiTheme="minorHAnsi" w:cstheme="minorHAnsi"/>
          <w:sz w:val="22"/>
          <w:szCs w:val="22"/>
        </w:rPr>
        <w:t xml:space="preserve"> </w:t>
      </w:r>
      <w:r w:rsidR="0045526E" w:rsidRPr="00C15195">
        <w:rPr>
          <w:rFonts w:asciiTheme="minorHAnsi" w:hAnsiTheme="minorHAnsi" w:cstheme="minorHAnsi"/>
          <w:sz w:val="22"/>
          <w:szCs w:val="22"/>
        </w:rPr>
        <w:t>3</w:t>
      </w:r>
      <w:r w:rsidR="002A2E49" w:rsidRPr="00C15195">
        <w:rPr>
          <w:rFonts w:asciiTheme="minorHAnsi" w:hAnsiTheme="minorHAnsi" w:cstheme="minorHAnsi"/>
          <w:sz w:val="22"/>
          <w:szCs w:val="22"/>
        </w:rPr>
        <w:t xml:space="preserve"> przypadkach</w:t>
      </w:r>
      <w:r w:rsidR="002A2E49" w:rsidRPr="00C15195">
        <w:rPr>
          <w:rStyle w:val="Odwoanieprzypisudolnego"/>
          <w:rFonts w:asciiTheme="minorHAnsi" w:hAnsiTheme="minorHAnsi" w:cstheme="minorHAnsi"/>
          <w:sz w:val="22"/>
          <w:szCs w:val="22"/>
        </w:rPr>
        <w:footnoteReference w:id="32"/>
      </w:r>
      <w:r w:rsidR="002A2E49" w:rsidRPr="00C15195">
        <w:rPr>
          <w:rFonts w:asciiTheme="minorHAnsi" w:hAnsiTheme="minorHAnsi" w:cstheme="minorHAnsi"/>
          <w:sz w:val="22"/>
          <w:szCs w:val="22"/>
        </w:rPr>
        <w:t xml:space="preserve"> należności</w:t>
      </w:r>
      <w:r w:rsidR="0045526E" w:rsidRPr="00C15195">
        <w:rPr>
          <w:rFonts w:asciiTheme="minorHAnsi" w:hAnsiTheme="minorHAnsi" w:cstheme="minorHAnsi"/>
          <w:sz w:val="22"/>
          <w:szCs w:val="22"/>
        </w:rPr>
        <w:t xml:space="preserve"> w łącznej kwocie 536 156,98 zł</w:t>
      </w:r>
      <w:r w:rsidR="005D016D"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 xml:space="preserve">nie były wymagalne, </w:t>
      </w:r>
      <w:r w:rsidR="005E087F" w:rsidRPr="00C15195">
        <w:rPr>
          <w:rFonts w:asciiTheme="minorHAnsi" w:hAnsiTheme="minorHAnsi" w:cstheme="minorHAnsi"/>
          <w:sz w:val="22"/>
          <w:szCs w:val="22"/>
        </w:rPr>
        <w:lastRenderedPageBreak/>
        <w:t>gdyż Dzielnica nie zawiadomiła zobowiązanych o wysokości opłat</w:t>
      </w:r>
      <w:r w:rsidR="002A2E49" w:rsidRPr="00C15195">
        <w:rPr>
          <w:rFonts w:asciiTheme="minorHAnsi" w:hAnsiTheme="minorHAnsi" w:cstheme="minorHAnsi"/>
          <w:sz w:val="22"/>
          <w:szCs w:val="22"/>
        </w:rPr>
        <w:t>,</w:t>
      </w:r>
      <w:r w:rsidR="005E087F" w:rsidRPr="00C15195">
        <w:rPr>
          <w:rFonts w:asciiTheme="minorHAnsi" w:hAnsiTheme="minorHAnsi" w:cstheme="minorHAnsi"/>
          <w:sz w:val="22"/>
          <w:szCs w:val="22"/>
        </w:rPr>
        <w:t xml:space="preserve"> pomimo to</w:t>
      </w:r>
      <w:r w:rsidR="002A2E49" w:rsidRPr="00C15195">
        <w:rPr>
          <w:rFonts w:asciiTheme="minorHAnsi" w:hAnsiTheme="minorHAnsi" w:cstheme="minorHAnsi"/>
          <w:sz w:val="22"/>
          <w:szCs w:val="22"/>
        </w:rPr>
        <w:t xml:space="preserve"> w jednym przypadku</w:t>
      </w:r>
      <w:r w:rsidR="00DA5EF7" w:rsidRPr="00C15195">
        <w:rPr>
          <w:rStyle w:val="Odwoanieprzypisudolnego"/>
          <w:rFonts w:asciiTheme="minorHAnsi" w:hAnsiTheme="minorHAnsi" w:cstheme="minorHAnsi"/>
          <w:sz w:val="22"/>
          <w:szCs w:val="22"/>
        </w:rPr>
        <w:footnoteReference w:id="33"/>
      </w:r>
      <w:r w:rsidR="002A2E49" w:rsidRPr="00C15195">
        <w:rPr>
          <w:rFonts w:asciiTheme="minorHAnsi" w:hAnsiTheme="minorHAnsi" w:cstheme="minorHAnsi"/>
          <w:sz w:val="22"/>
          <w:szCs w:val="22"/>
        </w:rPr>
        <w:t xml:space="preserve"> należności te zostały skierowane na dro</w:t>
      </w:r>
      <w:r w:rsidR="005E087F" w:rsidRPr="00C15195">
        <w:rPr>
          <w:rFonts w:asciiTheme="minorHAnsi" w:hAnsiTheme="minorHAnsi" w:cstheme="minorHAnsi"/>
          <w:sz w:val="22"/>
          <w:szCs w:val="22"/>
        </w:rPr>
        <w:t>gę egzekucji administracyjnej.</w:t>
      </w:r>
      <w:r w:rsidR="00D91F1D" w:rsidRPr="00C15195">
        <w:rPr>
          <w:rFonts w:asciiTheme="minorHAnsi" w:hAnsiTheme="minorHAnsi" w:cstheme="minorHAnsi"/>
          <w:sz w:val="22"/>
          <w:szCs w:val="22"/>
        </w:rPr>
        <w:t xml:space="preserve"> </w:t>
      </w:r>
      <w:r w:rsidR="005E087F" w:rsidRPr="00C15195">
        <w:rPr>
          <w:rFonts w:asciiTheme="minorHAnsi" w:hAnsiTheme="minorHAnsi" w:cstheme="minorHAnsi"/>
          <w:sz w:val="22"/>
          <w:szCs w:val="22"/>
        </w:rPr>
        <w:t>P</w:t>
      </w:r>
      <w:r w:rsidR="002A2E49" w:rsidRPr="00C15195">
        <w:rPr>
          <w:rFonts w:asciiTheme="minorHAnsi" w:hAnsiTheme="minorHAnsi" w:cstheme="minorHAnsi"/>
          <w:sz w:val="22"/>
          <w:szCs w:val="22"/>
        </w:rPr>
        <w:t>o wykryciu pomyłki, tytuł wykonawczy wycofano.</w:t>
      </w:r>
      <w:r w:rsidRPr="00C15195">
        <w:rPr>
          <w:rFonts w:asciiTheme="minorHAnsi" w:hAnsiTheme="minorHAnsi" w:cstheme="minorHAnsi"/>
          <w:sz w:val="22"/>
          <w:szCs w:val="22"/>
        </w:rPr>
        <w:t xml:space="preserve"> W </w:t>
      </w:r>
      <w:r w:rsidR="00A67AE7" w:rsidRPr="00C15195">
        <w:rPr>
          <w:rFonts w:asciiTheme="minorHAnsi" w:hAnsiTheme="minorHAnsi" w:cstheme="minorHAnsi"/>
          <w:sz w:val="22"/>
          <w:szCs w:val="22"/>
        </w:rPr>
        <w:t xml:space="preserve">kolejnych </w:t>
      </w:r>
      <w:r w:rsidRPr="00C15195">
        <w:rPr>
          <w:rFonts w:asciiTheme="minorHAnsi" w:hAnsiTheme="minorHAnsi" w:cstheme="minorHAnsi"/>
          <w:sz w:val="22"/>
          <w:szCs w:val="22"/>
        </w:rPr>
        <w:t>4 przypadkach</w:t>
      </w:r>
      <w:r w:rsidRPr="00C15195">
        <w:rPr>
          <w:rStyle w:val="Odwoanieprzypisudolnego"/>
          <w:rFonts w:asciiTheme="minorHAnsi" w:hAnsiTheme="minorHAnsi" w:cstheme="minorHAnsi"/>
          <w:sz w:val="22"/>
          <w:szCs w:val="22"/>
        </w:rPr>
        <w:footnoteReference w:id="34"/>
      </w:r>
      <w:r w:rsidRPr="00C15195">
        <w:rPr>
          <w:rFonts w:asciiTheme="minorHAnsi" w:hAnsiTheme="minorHAnsi" w:cstheme="minorHAnsi"/>
          <w:sz w:val="22"/>
          <w:szCs w:val="22"/>
        </w:rPr>
        <w:t xml:space="preserve"> </w:t>
      </w:r>
      <w:r w:rsidR="00C635FD" w:rsidRPr="00C15195">
        <w:rPr>
          <w:rFonts w:asciiTheme="minorHAnsi" w:hAnsiTheme="minorHAnsi" w:cstheme="minorHAnsi"/>
          <w:sz w:val="22"/>
          <w:szCs w:val="22"/>
        </w:rPr>
        <w:t>zadłużenie</w:t>
      </w:r>
      <w:r w:rsidR="00736E27" w:rsidRPr="00C15195">
        <w:rPr>
          <w:rFonts w:asciiTheme="minorHAnsi" w:hAnsiTheme="minorHAnsi" w:cstheme="minorHAnsi"/>
          <w:sz w:val="22"/>
          <w:szCs w:val="22"/>
        </w:rPr>
        <w:t xml:space="preserve"> wykazane na 1</w:t>
      </w:r>
      <w:r w:rsidR="00A67AE7" w:rsidRPr="00C15195">
        <w:rPr>
          <w:rFonts w:asciiTheme="minorHAnsi" w:hAnsiTheme="minorHAnsi" w:cstheme="minorHAnsi"/>
          <w:sz w:val="22"/>
          <w:szCs w:val="22"/>
        </w:rPr>
        <w:t> </w:t>
      </w:r>
      <w:r w:rsidR="00736E27" w:rsidRPr="00C15195">
        <w:rPr>
          <w:rFonts w:asciiTheme="minorHAnsi" w:hAnsiTheme="minorHAnsi" w:cstheme="minorHAnsi"/>
          <w:sz w:val="22"/>
          <w:szCs w:val="22"/>
        </w:rPr>
        <w:t>stycznia 2023 r.</w:t>
      </w:r>
      <w:r w:rsidR="00C635FD" w:rsidRPr="00C15195">
        <w:rPr>
          <w:rFonts w:asciiTheme="minorHAnsi" w:hAnsiTheme="minorHAnsi" w:cstheme="minorHAnsi"/>
          <w:sz w:val="22"/>
          <w:szCs w:val="22"/>
        </w:rPr>
        <w:t xml:space="preserve"> w</w:t>
      </w:r>
      <w:r w:rsidR="00536269" w:rsidRPr="00C15195">
        <w:rPr>
          <w:rFonts w:asciiTheme="minorHAnsi" w:hAnsiTheme="minorHAnsi" w:cstheme="minorHAnsi"/>
          <w:sz w:val="22"/>
          <w:szCs w:val="22"/>
        </w:rPr>
        <w:t> </w:t>
      </w:r>
      <w:r w:rsidR="00736E27" w:rsidRPr="00C15195">
        <w:rPr>
          <w:rFonts w:asciiTheme="minorHAnsi" w:hAnsiTheme="minorHAnsi" w:cstheme="minorHAnsi"/>
          <w:sz w:val="22"/>
          <w:szCs w:val="22"/>
        </w:rPr>
        <w:t xml:space="preserve">łącznej </w:t>
      </w:r>
      <w:r w:rsidR="00C635FD" w:rsidRPr="00C15195">
        <w:rPr>
          <w:rFonts w:asciiTheme="minorHAnsi" w:hAnsiTheme="minorHAnsi" w:cstheme="minorHAnsi"/>
          <w:sz w:val="22"/>
          <w:szCs w:val="22"/>
        </w:rPr>
        <w:t xml:space="preserve">kwocie </w:t>
      </w:r>
      <w:r w:rsidR="00242B98" w:rsidRPr="00C15195">
        <w:rPr>
          <w:rFonts w:asciiTheme="minorHAnsi" w:hAnsiTheme="minorHAnsi" w:cstheme="minorHAnsi"/>
          <w:sz w:val="22"/>
          <w:szCs w:val="22"/>
        </w:rPr>
        <w:t>325 993,32 zł</w:t>
      </w:r>
      <w:r w:rsidR="00C635FD" w:rsidRPr="00C15195">
        <w:rPr>
          <w:rFonts w:asciiTheme="minorHAnsi" w:hAnsiTheme="minorHAnsi" w:cstheme="minorHAnsi"/>
          <w:sz w:val="22"/>
          <w:szCs w:val="22"/>
        </w:rPr>
        <w:t xml:space="preserve"> wynikało z niedokonania przed końcem 2022 r. </w:t>
      </w:r>
      <w:r w:rsidR="007A2DA1" w:rsidRPr="00C15195">
        <w:rPr>
          <w:rFonts w:asciiTheme="minorHAnsi" w:hAnsiTheme="minorHAnsi" w:cstheme="minorHAnsi"/>
          <w:sz w:val="22"/>
          <w:szCs w:val="22"/>
        </w:rPr>
        <w:t>przeksięgowania</w:t>
      </w:r>
      <w:r w:rsidR="00C635FD" w:rsidRPr="00C15195">
        <w:rPr>
          <w:rFonts w:asciiTheme="minorHAnsi" w:hAnsiTheme="minorHAnsi" w:cstheme="minorHAnsi"/>
          <w:sz w:val="22"/>
          <w:szCs w:val="22"/>
        </w:rPr>
        <w:t xml:space="preserve"> </w:t>
      </w:r>
      <w:r w:rsidR="00D91F1D" w:rsidRPr="00C15195">
        <w:rPr>
          <w:rFonts w:asciiTheme="minorHAnsi" w:hAnsiTheme="minorHAnsi" w:cstheme="minorHAnsi"/>
          <w:sz w:val="22"/>
          <w:szCs w:val="22"/>
        </w:rPr>
        <w:t>opłat wniesionych za użytkowanie wieczyste gruntu na poczet opłat przekształceniowych</w:t>
      </w:r>
      <w:r w:rsidR="00C635FD" w:rsidRPr="00C15195">
        <w:rPr>
          <w:rFonts w:asciiTheme="minorHAnsi" w:hAnsiTheme="minorHAnsi" w:cstheme="minorHAnsi"/>
          <w:sz w:val="22"/>
          <w:szCs w:val="22"/>
        </w:rPr>
        <w:t>,</w:t>
      </w:r>
      <w:r w:rsidR="007A2DA1" w:rsidRPr="00C15195">
        <w:rPr>
          <w:rFonts w:asciiTheme="minorHAnsi" w:hAnsiTheme="minorHAnsi" w:cstheme="minorHAnsi"/>
          <w:sz w:val="22"/>
          <w:szCs w:val="22"/>
        </w:rPr>
        <w:t xml:space="preserve"> na podstawie art. 8a ustawy przekształceniowej z 2018 r. Stosownych </w:t>
      </w:r>
      <w:r w:rsidR="00736E27" w:rsidRPr="00C15195">
        <w:rPr>
          <w:rFonts w:asciiTheme="minorHAnsi" w:hAnsiTheme="minorHAnsi" w:cstheme="minorHAnsi"/>
          <w:sz w:val="22"/>
          <w:szCs w:val="22"/>
        </w:rPr>
        <w:t>przeksięgowań</w:t>
      </w:r>
      <w:r w:rsidR="00C635FD" w:rsidRPr="00C15195">
        <w:rPr>
          <w:rFonts w:asciiTheme="minorHAnsi" w:hAnsiTheme="minorHAnsi" w:cstheme="minorHAnsi"/>
          <w:sz w:val="22"/>
          <w:szCs w:val="22"/>
        </w:rPr>
        <w:t xml:space="preserve"> dokonano w</w:t>
      </w:r>
      <w:r w:rsidR="00A67AE7" w:rsidRPr="00C15195">
        <w:rPr>
          <w:rFonts w:asciiTheme="minorHAnsi" w:hAnsiTheme="minorHAnsi" w:cstheme="minorHAnsi"/>
          <w:sz w:val="22"/>
          <w:szCs w:val="22"/>
        </w:rPr>
        <w:t> </w:t>
      </w:r>
      <w:r w:rsidR="00C635FD" w:rsidRPr="00C15195">
        <w:rPr>
          <w:rFonts w:asciiTheme="minorHAnsi" w:hAnsiTheme="minorHAnsi" w:cstheme="minorHAnsi"/>
          <w:sz w:val="22"/>
          <w:szCs w:val="22"/>
        </w:rPr>
        <w:t>2023 r. i 2024 r.</w:t>
      </w:r>
    </w:p>
    <w:p w14:paraId="2E9B688E" w14:textId="7F248261" w:rsidR="008245A5" w:rsidRPr="00C15195" w:rsidRDefault="0068519A"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W jednym przypadku</w:t>
      </w:r>
      <w:r w:rsidRPr="00C15195">
        <w:rPr>
          <w:rStyle w:val="Odwoanieprzypisudolnego"/>
          <w:rFonts w:asciiTheme="minorHAnsi" w:hAnsiTheme="minorHAnsi" w:cstheme="minorHAnsi"/>
          <w:sz w:val="22"/>
          <w:szCs w:val="22"/>
        </w:rPr>
        <w:footnoteReference w:id="35"/>
      </w:r>
      <w:r w:rsidRPr="00C15195">
        <w:rPr>
          <w:rFonts w:asciiTheme="minorHAnsi" w:hAnsiTheme="minorHAnsi" w:cstheme="minorHAnsi"/>
          <w:sz w:val="22"/>
          <w:szCs w:val="22"/>
        </w:rPr>
        <w:t xml:space="preserve"> zobowiązany zgłosił </w:t>
      </w:r>
      <w:r w:rsidR="0041117E" w:rsidRPr="00C15195">
        <w:rPr>
          <w:rFonts w:asciiTheme="minorHAnsi" w:hAnsiTheme="minorHAnsi" w:cstheme="minorHAnsi"/>
          <w:sz w:val="22"/>
          <w:szCs w:val="22"/>
        </w:rPr>
        <w:t xml:space="preserve">w 2021 roku </w:t>
      </w:r>
      <w:r w:rsidRPr="00C15195">
        <w:rPr>
          <w:rFonts w:asciiTheme="minorHAnsi" w:hAnsiTheme="minorHAnsi" w:cstheme="minorHAnsi"/>
          <w:sz w:val="22"/>
          <w:szCs w:val="22"/>
        </w:rPr>
        <w:t xml:space="preserve">zamiar wniesienia opłaty jednorazowej (bez bonifikaty). Zobowiązany nie </w:t>
      </w:r>
      <w:r w:rsidR="00EE608E" w:rsidRPr="00C15195">
        <w:rPr>
          <w:rFonts w:asciiTheme="minorHAnsi" w:hAnsiTheme="minorHAnsi" w:cstheme="minorHAnsi"/>
          <w:sz w:val="22"/>
          <w:szCs w:val="22"/>
        </w:rPr>
        <w:t>uregulował</w:t>
      </w:r>
      <w:r w:rsidRPr="00C15195">
        <w:rPr>
          <w:rFonts w:asciiTheme="minorHAnsi" w:hAnsiTheme="minorHAnsi" w:cstheme="minorHAnsi"/>
          <w:sz w:val="22"/>
          <w:szCs w:val="22"/>
        </w:rPr>
        <w:t xml:space="preserve"> opłaty w terminie, co powinno skutkować przywróceniem</w:t>
      </w:r>
      <w:r w:rsidR="00977654" w:rsidRPr="00C15195">
        <w:rPr>
          <w:rFonts w:asciiTheme="minorHAnsi" w:hAnsiTheme="minorHAnsi" w:cstheme="minorHAnsi"/>
          <w:sz w:val="22"/>
          <w:szCs w:val="22"/>
        </w:rPr>
        <w:t xml:space="preserve"> od 8 listopada 2021 r. opłat rocznych</w:t>
      </w:r>
      <w:r w:rsidR="00EE608E" w:rsidRPr="00C15195">
        <w:rPr>
          <w:rFonts w:asciiTheme="minorHAnsi" w:hAnsiTheme="minorHAnsi" w:cstheme="minorHAnsi"/>
          <w:sz w:val="22"/>
          <w:szCs w:val="22"/>
        </w:rPr>
        <w:t>, jednak k</w:t>
      </w:r>
      <w:r w:rsidR="00977654" w:rsidRPr="00C15195">
        <w:rPr>
          <w:rFonts w:asciiTheme="minorHAnsi" w:hAnsiTheme="minorHAnsi" w:cstheme="minorHAnsi"/>
          <w:sz w:val="22"/>
          <w:szCs w:val="22"/>
        </w:rPr>
        <w:t>orekty naliczeń na koncie rozrachunkowym do</w:t>
      </w:r>
      <w:r w:rsidR="00EE608E" w:rsidRPr="00C15195">
        <w:rPr>
          <w:rFonts w:asciiTheme="minorHAnsi" w:hAnsiTheme="minorHAnsi" w:cstheme="minorHAnsi"/>
          <w:sz w:val="22"/>
          <w:szCs w:val="22"/>
        </w:rPr>
        <w:t xml:space="preserve">konano dopiero 3 lutego 2023 r. W </w:t>
      </w:r>
      <w:r w:rsidR="007A2DA1" w:rsidRPr="00C15195">
        <w:rPr>
          <w:rFonts w:asciiTheme="minorHAnsi" w:hAnsiTheme="minorHAnsi" w:cstheme="minorHAnsi"/>
          <w:sz w:val="22"/>
          <w:szCs w:val="22"/>
        </w:rPr>
        <w:t>efekcie</w:t>
      </w:r>
      <w:r w:rsidR="00977654" w:rsidRPr="00C15195">
        <w:rPr>
          <w:rFonts w:asciiTheme="minorHAnsi" w:hAnsiTheme="minorHAnsi" w:cstheme="minorHAnsi"/>
          <w:sz w:val="22"/>
          <w:szCs w:val="22"/>
        </w:rPr>
        <w:t xml:space="preserve"> wg stanu na 1 stycznia 2023 r. </w:t>
      </w:r>
      <w:r w:rsidR="00155CED" w:rsidRPr="00C15195">
        <w:rPr>
          <w:rFonts w:asciiTheme="minorHAnsi" w:hAnsiTheme="minorHAnsi" w:cstheme="minorHAnsi"/>
          <w:sz w:val="22"/>
          <w:szCs w:val="22"/>
        </w:rPr>
        <w:t>zaległości (nal.</w:t>
      </w:r>
      <w:r w:rsidR="00ED1907" w:rsidRPr="00C15195">
        <w:rPr>
          <w:rFonts w:asciiTheme="minorHAnsi" w:hAnsiTheme="minorHAnsi" w:cstheme="minorHAnsi"/>
          <w:sz w:val="22"/>
          <w:szCs w:val="22"/>
        </w:rPr>
        <w:t xml:space="preserve"> </w:t>
      </w:r>
      <w:r w:rsidR="00155CED" w:rsidRPr="00C15195">
        <w:rPr>
          <w:rFonts w:asciiTheme="minorHAnsi" w:hAnsiTheme="minorHAnsi" w:cstheme="minorHAnsi"/>
          <w:sz w:val="22"/>
          <w:szCs w:val="22"/>
        </w:rPr>
        <w:t>gł.) wykazywano w kwocie zawyżonej o 93 996,08 zł.</w:t>
      </w:r>
    </w:p>
    <w:p w14:paraId="1B06ED19" w14:textId="76F96B5A" w:rsidR="007C7053" w:rsidRPr="00C15195" w:rsidRDefault="0041117E"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W jednym przypadku</w:t>
      </w:r>
      <w:r w:rsidRPr="00C15195">
        <w:rPr>
          <w:rStyle w:val="Odwoanieprzypisudolnego"/>
          <w:rFonts w:asciiTheme="minorHAnsi" w:hAnsiTheme="minorHAnsi" w:cstheme="minorHAnsi"/>
          <w:sz w:val="22"/>
          <w:szCs w:val="22"/>
        </w:rPr>
        <w:footnoteReference w:id="36"/>
      </w:r>
      <w:r w:rsidRPr="00C15195">
        <w:rPr>
          <w:rFonts w:asciiTheme="minorHAnsi" w:hAnsiTheme="minorHAnsi" w:cstheme="minorHAnsi"/>
          <w:sz w:val="22"/>
          <w:szCs w:val="22"/>
        </w:rPr>
        <w:t xml:space="preserve"> omyłkowo do egzekucji skierowano koszty upomnienia, które zostały przez zobowiązanego spłacone przed wystawieniem tytułu wykonawczego, wobec wyegzekwowania przez organ egzekucyjny całości należności objętej tytułem, na koniec roku na koncie występowała nadpłata w kwocie 16 zł.</w:t>
      </w:r>
    </w:p>
    <w:p w14:paraId="73C2A5EE" w14:textId="77777777" w:rsidR="00E6379D" w:rsidRPr="00C15195" w:rsidRDefault="00E6379D" w:rsidP="00C15195">
      <w:pPr>
        <w:pStyle w:val="Zwykytekst"/>
        <w:spacing w:before="120" w:after="240" w:line="300" w:lineRule="auto"/>
        <w:rPr>
          <w:rFonts w:asciiTheme="minorHAnsi" w:hAnsiTheme="minorHAnsi" w:cstheme="minorHAnsi"/>
          <w:bCs/>
          <w:sz w:val="22"/>
          <w:szCs w:val="22"/>
        </w:rPr>
      </w:pPr>
      <w:r w:rsidRPr="00C15195">
        <w:rPr>
          <w:rFonts w:asciiTheme="minorHAnsi" w:hAnsiTheme="minorHAnsi" w:cstheme="minorHAnsi"/>
          <w:bCs/>
          <w:sz w:val="22"/>
          <w:szCs w:val="22"/>
        </w:rPr>
        <w:t>Pozytywnie należy ocenić prowadzenie spraw z zakresu udzielenia ulg w spłacie należności z tytułu opłat przekształceniowych.</w:t>
      </w:r>
    </w:p>
    <w:p w14:paraId="0D64911A" w14:textId="36AAB1D5" w:rsidR="007C7053" w:rsidRPr="00C15195" w:rsidRDefault="00930660" w:rsidP="00C15195">
      <w:pPr>
        <w:pStyle w:val="Zwykytekst"/>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W 2023 roku do Dzielnicy wpłynęło 59 wniosków o udzielenie ulgi w spłacie należności z tytułu opłat przekształceniowych, w tym 9 wniosków rozpatrzono pozytywnie (umowy ratalne),</w:t>
      </w:r>
      <w:r w:rsidR="00FC27A1" w:rsidRPr="00C15195">
        <w:rPr>
          <w:rFonts w:asciiTheme="minorHAnsi" w:hAnsiTheme="minorHAnsi" w:cstheme="minorHAnsi"/>
          <w:sz w:val="22"/>
          <w:szCs w:val="22"/>
        </w:rPr>
        <w:t xml:space="preserve"> 2 wnioski rozpatrzono negatywnie,</w:t>
      </w:r>
      <w:r w:rsidR="00AE2BA6" w:rsidRPr="00C15195">
        <w:rPr>
          <w:rFonts w:asciiTheme="minorHAnsi" w:hAnsiTheme="minorHAnsi" w:cstheme="minorHAnsi"/>
          <w:sz w:val="22"/>
          <w:szCs w:val="22"/>
        </w:rPr>
        <w:t xml:space="preserve"> 2 wnioski zostały skierowane zgodnie z właściwością do rozpatrzenia do Biura Długu i Restrukturyzacji Wierzytelności, w przypadku 38</w:t>
      </w:r>
      <w:r w:rsidRPr="00C15195">
        <w:rPr>
          <w:rFonts w:asciiTheme="minorHAnsi" w:hAnsiTheme="minorHAnsi" w:cstheme="minorHAnsi"/>
          <w:sz w:val="22"/>
          <w:szCs w:val="22"/>
        </w:rPr>
        <w:t xml:space="preserve"> wniosków odstąpiono od ich rozpatrzenia wobec niedostarczenia na wezwanie dokumentów potwierdzających trudności płatnicze/sytuację majątkową wnioskodawców, </w:t>
      </w:r>
      <w:r w:rsidR="00AE2BA6" w:rsidRPr="00C15195">
        <w:rPr>
          <w:rFonts w:asciiTheme="minorHAnsi" w:hAnsiTheme="minorHAnsi" w:cstheme="minorHAnsi"/>
          <w:sz w:val="22"/>
          <w:szCs w:val="22"/>
        </w:rPr>
        <w:t xml:space="preserve">w </w:t>
      </w:r>
      <w:r w:rsidR="00EC0AA4" w:rsidRPr="00C15195">
        <w:rPr>
          <w:rFonts w:asciiTheme="minorHAnsi" w:hAnsiTheme="minorHAnsi" w:cstheme="minorHAnsi"/>
          <w:sz w:val="22"/>
          <w:szCs w:val="22"/>
        </w:rPr>
        <w:t>7</w:t>
      </w:r>
      <w:r w:rsidR="00AE2BA6" w:rsidRPr="00C15195">
        <w:rPr>
          <w:rFonts w:asciiTheme="minorHAnsi" w:hAnsiTheme="minorHAnsi" w:cstheme="minorHAnsi"/>
          <w:sz w:val="22"/>
          <w:szCs w:val="22"/>
        </w:rPr>
        <w:t xml:space="preserve"> przypadkach zadłużenie zostało spłacone przed rozpatrzeniem wniosku</w:t>
      </w:r>
      <w:r w:rsidR="00EC0AA4" w:rsidRPr="00C15195">
        <w:rPr>
          <w:rFonts w:asciiTheme="minorHAnsi" w:hAnsiTheme="minorHAnsi" w:cstheme="minorHAnsi"/>
          <w:sz w:val="22"/>
          <w:szCs w:val="22"/>
        </w:rPr>
        <w:t>, w 1 przypadku wniosek był bezzasadny wobec korekty terminów płatności należności</w:t>
      </w:r>
      <w:r w:rsidRPr="00C15195">
        <w:rPr>
          <w:rFonts w:asciiTheme="minorHAnsi" w:hAnsiTheme="minorHAnsi" w:cstheme="minorHAnsi"/>
          <w:sz w:val="22"/>
          <w:szCs w:val="22"/>
        </w:rPr>
        <w:t>. Na podstawie dokumentacji</w:t>
      </w:r>
      <w:r w:rsidR="00FC27A1" w:rsidRPr="00C15195">
        <w:rPr>
          <w:rFonts w:asciiTheme="minorHAnsi" w:hAnsiTheme="minorHAnsi" w:cstheme="minorHAnsi"/>
          <w:sz w:val="22"/>
          <w:szCs w:val="22"/>
        </w:rPr>
        <w:t xml:space="preserve"> 10 wniosków</w:t>
      </w:r>
      <w:r w:rsidR="00EC0AA4" w:rsidRPr="00C15195">
        <w:rPr>
          <w:rStyle w:val="Odwoanieprzypisudolnego"/>
          <w:rFonts w:asciiTheme="minorHAnsi" w:hAnsiTheme="minorHAnsi" w:cstheme="minorHAnsi"/>
          <w:sz w:val="22"/>
          <w:szCs w:val="22"/>
        </w:rPr>
        <w:footnoteReference w:id="37"/>
      </w:r>
      <w:r w:rsidR="00FC27A1" w:rsidRPr="00C15195">
        <w:rPr>
          <w:rFonts w:asciiTheme="minorHAnsi" w:hAnsiTheme="minorHAnsi" w:cstheme="minorHAnsi"/>
          <w:sz w:val="22"/>
          <w:szCs w:val="22"/>
        </w:rPr>
        <w:t xml:space="preserve"> (próba 17</w:t>
      </w:r>
      <w:r w:rsidRPr="00C15195">
        <w:rPr>
          <w:rFonts w:asciiTheme="minorHAnsi" w:hAnsiTheme="minorHAnsi" w:cstheme="minorHAnsi"/>
          <w:sz w:val="22"/>
          <w:szCs w:val="22"/>
        </w:rPr>
        <w:t>%) ustalono, że</w:t>
      </w:r>
      <w:r w:rsidR="00EC0AA4" w:rsidRPr="00C15195">
        <w:rPr>
          <w:rFonts w:asciiTheme="minorHAnsi" w:hAnsiTheme="minorHAnsi" w:cstheme="minorHAnsi"/>
          <w:sz w:val="22"/>
          <w:szCs w:val="22"/>
        </w:rPr>
        <w:t xml:space="preserve"> wnioski rozpatrywano zgodnie z udzielonymi w tym zakresie upoważnieniami i pełno</w:t>
      </w:r>
      <w:r w:rsidR="00235915" w:rsidRPr="00C15195">
        <w:rPr>
          <w:rFonts w:asciiTheme="minorHAnsi" w:hAnsiTheme="minorHAnsi" w:cstheme="minorHAnsi"/>
          <w:sz w:val="22"/>
          <w:szCs w:val="22"/>
        </w:rPr>
        <w:t xml:space="preserve">mocnictwami, </w:t>
      </w:r>
      <w:r w:rsidR="00235915" w:rsidRPr="00C15195">
        <w:rPr>
          <w:rFonts w:asciiTheme="minorHAnsi" w:hAnsiTheme="minorHAnsi" w:cstheme="minorHAnsi"/>
          <w:sz w:val="22"/>
          <w:szCs w:val="22"/>
        </w:rPr>
        <w:lastRenderedPageBreak/>
        <w:t>stosowano jednolite kryteria oceny wni</w:t>
      </w:r>
      <w:r w:rsidR="00943DA0" w:rsidRPr="00C15195">
        <w:rPr>
          <w:rFonts w:asciiTheme="minorHAnsi" w:hAnsiTheme="minorHAnsi" w:cstheme="minorHAnsi"/>
          <w:sz w:val="22"/>
          <w:szCs w:val="22"/>
        </w:rPr>
        <w:t>osków, zaś dłużnicy, którym udzielono ulg (rozłożenie zadłużenia na raty), wywiązywali się z postanowień zawartych w umowach.</w:t>
      </w:r>
    </w:p>
    <w:p w14:paraId="661F4CD0" w14:textId="77777777" w:rsidR="00CF7C7F" w:rsidRPr="00C15195" w:rsidRDefault="00CF7C7F" w:rsidP="00C15195">
      <w:pPr>
        <w:pStyle w:val="Tekstpodstawowy20"/>
        <w:shd w:val="clear" w:color="auto" w:fill="auto"/>
        <w:spacing w:before="120" w:line="300" w:lineRule="auto"/>
        <w:ind w:firstLine="0"/>
        <w:rPr>
          <w:rFonts w:asciiTheme="minorHAnsi" w:eastAsia="Times New Roman" w:hAnsiTheme="minorHAnsi" w:cstheme="minorHAnsi"/>
          <w:sz w:val="22"/>
          <w:szCs w:val="22"/>
          <w:lang w:eastAsia="pl-PL"/>
        </w:rPr>
      </w:pPr>
      <w:r w:rsidRPr="00C15195">
        <w:rPr>
          <w:rFonts w:asciiTheme="minorHAnsi" w:eastAsia="Times New Roman" w:hAnsiTheme="minorHAnsi" w:cstheme="minorHAnsi"/>
          <w:sz w:val="22"/>
          <w:szCs w:val="22"/>
          <w:lang w:eastAsia="pl-PL"/>
        </w:rPr>
        <w:t>Przedstawiając powyższe ustalenia i oceny zalecam:</w:t>
      </w:r>
    </w:p>
    <w:p w14:paraId="59D2B482" w14:textId="3EF94D16" w:rsidR="00F4674F" w:rsidRPr="00C15195" w:rsidRDefault="00B47D31"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t>Konta ksiąg pomocniczych</w:t>
      </w:r>
      <w:r w:rsidR="008D199B" w:rsidRPr="00C15195">
        <w:rPr>
          <w:rFonts w:asciiTheme="minorHAnsi" w:hAnsiTheme="minorHAnsi" w:cstheme="minorHAnsi"/>
          <w:sz w:val="22"/>
          <w:szCs w:val="22"/>
        </w:rPr>
        <w:t xml:space="preserve"> </w:t>
      </w:r>
      <w:r w:rsidR="00C62FF4" w:rsidRPr="00C15195">
        <w:rPr>
          <w:rFonts w:asciiTheme="minorHAnsi" w:hAnsiTheme="minorHAnsi" w:cstheme="minorHAnsi"/>
          <w:sz w:val="22"/>
          <w:szCs w:val="22"/>
        </w:rPr>
        <w:t>(</w:t>
      </w:r>
      <w:r w:rsidR="008D199B" w:rsidRPr="00C15195">
        <w:rPr>
          <w:rFonts w:asciiTheme="minorHAnsi" w:hAnsiTheme="minorHAnsi" w:cstheme="minorHAnsi"/>
          <w:sz w:val="22"/>
          <w:szCs w:val="22"/>
        </w:rPr>
        <w:t>ewidencja analityczna</w:t>
      </w:r>
      <w:r w:rsidR="00C62FF4" w:rsidRPr="00C15195">
        <w:rPr>
          <w:rFonts w:asciiTheme="minorHAnsi" w:hAnsiTheme="minorHAnsi" w:cstheme="minorHAnsi"/>
          <w:sz w:val="22"/>
          <w:szCs w:val="22"/>
        </w:rPr>
        <w:t>)</w:t>
      </w:r>
      <w:r w:rsidR="00FE3B8C" w:rsidRPr="00C15195">
        <w:rPr>
          <w:rFonts w:asciiTheme="minorHAnsi" w:hAnsiTheme="minorHAnsi" w:cstheme="minorHAnsi"/>
          <w:sz w:val="22"/>
          <w:szCs w:val="22"/>
        </w:rPr>
        <w:t xml:space="preserve"> prowadzonych</w:t>
      </w:r>
      <w:r w:rsidR="00C62FF4" w:rsidRPr="00C15195">
        <w:rPr>
          <w:rFonts w:asciiTheme="minorHAnsi" w:hAnsiTheme="minorHAnsi" w:cstheme="minorHAnsi"/>
          <w:sz w:val="22"/>
          <w:szCs w:val="22"/>
        </w:rPr>
        <w:t xml:space="preserve"> dla</w:t>
      </w:r>
      <w:r w:rsidR="008D199B" w:rsidRPr="00C15195">
        <w:rPr>
          <w:rFonts w:asciiTheme="minorHAnsi" w:hAnsiTheme="minorHAnsi" w:cstheme="minorHAnsi"/>
          <w:sz w:val="22"/>
          <w:szCs w:val="22"/>
        </w:rPr>
        <w:t xml:space="preserve"> opłat za przekształcenie prawa użytkowania wieczystego w prawo własności</w:t>
      </w:r>
      <w:r w:rsidR="00A91B57" w:rsidRPr="00C15195">
        <w:rPr>
          <w:rFonts w:asciiTheme="minorHAnsi" w:hAnsiTheme="minorHAnsi" w:cstheme="minorHAnsi"/>
          <w:sz w:val="22"/>
          <w:szCs w:val="22"/>
        </w:rPr>
        <w:t xml:space="preserve"> nieruchomości</w:t>
      </w:r>
      <w:r w:rsidR="00C62FF4" w:rsidRPr="00C15195">
        <w:rPr>
          <w:rFonts w:asciiTheme="minorHAnsi" w:hAnsiTheme="minorHAnsi" w:cstheme="minorHAnsi"/>
          <w:sz w:val="22"/>
          <w:szCs w:val="22"/>
        </w:rPr>
        <w:t>,</w:t>
      </w:r>
      <w:r w:rsidR="0016351A" w:rsidRPr="00C15195">
        <w:rPr>
          <w:rFonts w:asciiTheme="minorHAnsi" w:hAnsiTheme="minorHAnsi" w:cstheme="minorHAnsi"/>
          <w:sz w:val="22"/>
          <w:szCs w:val="22"/>
        </w:rPr>
        <w:t xml:space="preserve"> prowadzić w sposób</w:t>
      </w:r>
      <w:r w:rsidR="00F4674F" w:rsidRPr="00C15195">
        <w:rPr>
          <w:rFonts w:asciiTheme="minorHAnsi" w:hAnsiTheme="minorHAnsi" w:cstheme="minorHAnsi"/>
          <w:sz w:val="22"/>
          <w:szCs w:val="22"/>
        </w:rPr>
        <w:t>:</w:t>
      </w:r>
    </w:p>
    <w:p w14:paraId="0363BD1E" w14:textId="4F3BA255" w:rsidR="00485C6D" w:rsidRPr="00C15195" w:rsidRDefault="008D199B" w:rsidP="00C15195">
      <w:pPr>
        <w:pStyle w:val="Zwykytekst"/>
        <w:numPr>
          <w:ilvl w:val="0"/>
          <w:numId w:val="12"/>
        </w:numPr>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sprawdzalny, zgodnie z art. 24 ust. 4 pkt 4 ustawy o rachunkowości, </w:t>
      </w:r>
      <w:r w:rsidR="00B47D31" w:rsidRPr="00C15195">
        <w:rPr>
          <w:rFonts w:asciiTheme="minorHAnsi" w:hAnsiTheme="minorHAnsi" w:cstheme="minorHAnsi"/>
          <w:sz w:val="22"/>
          <w:szCs w:val="22"/>
        </w:rPr>
        <w:t xml:space="preserve">umożliwiający </w:t>
      </w:r>
      <w:r w:rsidR="00C62FF4" w:rsidRPr="00C15195">
        <w:rPr>
          <w:rFonts w:asciiTheme="minorHAnsi" w:hAnsiTheme="minorHAnsi" w:cstheme="minorHAnsi"/>
          <w:sz w:val="22"/>
          <w:szCs w:val="22"/>
        </w:rPr>
        <w:t xml:space="preserve">potwierdzenie </w:t>
      </w:r>
      <w:r w:rsidRPr="00C15195">
        <w:rPr>
          <w:rFonts w:asciiTheme="minorHAnsi" w:hAnsiTheme="minorHAnsi" w:cstheme="minorHAnsi"/>
          <w:sz w:val="22"/>
          <w:szCs w:val="22"/>
        </w:rPr>
        <w:t>zgodności danych w nich ujętych z saldami i zapisami na kontach księgi głównej, stosownie do art. 16 ust. 1 ustawy o rachunkowości</w:t>
      </w:r>
      <w:r w:rsidR="00F4674F" w:rsidRPr="00C15195">
        <w:rPr>
          <w:rFonts w:asciiTheme="minorHAnsi" w:hAnsiTheme="minorHAnsi" w:cstheme="minorHAnsi"/>
          <w:sz w:val="22"/>
          <w:szCs w:val="22"/>
        </w:rPr>
        <w:t>,</w:t>
      </w:r>
    </w:p>
    <w:p w14:paraId="245ACBDE" w14:textId="77777777" w:rsidR="00F4674F" w:rsidRPr="00C15195" w:rsidRDefault="00F4674F" w:rsidP="00C15195">
      <w:pPr>
        <w:pStyle w:val="Zwykytekst"/>
        <w:numPr>
          <w:ilvl w:val="0"/>
          <w:numId w:val="12"/>
        </w:numPr>
        <w:spacing w:before="120" w:after="240" w:line="300" w:lineRule="auto"/>
        <w:rPr>
          <w:rFonts w:asciiTheme="minorHAnsi" w:hAnsiTheme="minorHAnsi" w:cstheme="minorHAnsi"/>
          <w:sz w:val="22"/>
          <w:szCs w:val="22"/>
        </w:rPr>
      </w:pPr>
      <w:r w:rsidRPr="00C15195">
        <w:rPr>
          <w:rFonts w:asciiTheme="minorHAnsi" w:hAnsiTheme="minorHAnsi" w:cstheme="minorHAnsi"/>
          <w:sz w:val="22"/>
          <w:szCs w:val="22"/>
        </w:rPr>
        <w:t xml:space="preserve">umożliwiający bezsporne określenie stanu należności i zobowiązań danego kontrahenta, </w:t>
      </w:r>
      <w:r w:rsidR="007E5ED7" w:rsidRPr="00C15195">
        <w:rPr>
          <w:rFonts w:asciiTheme="minorHAnsi" w:hAnsiTheme="minorHAnsi" w:cstheme="minorHAnsi"/>
          <w:sz w:val="22"/>
          <w:szCs w:val="22"/>
        </w:rPr>
        <w:t>pozwala</w:t>
      </w:r>
      <w:r w:rsidRPr="00C15195">
        <w:rPr>
          <w:rFonts w:asciiTheme="minorHAnsi" w:hAnsiTheme="minorHAnsi" w:cstheme="minorHAnsi"/>
          <w:sz w:val="22"/>
          <w:szCs w:val="22"/>
        </w:rPr>
        <w:t xml:space="preserve">jący </w:t>
      </w:r>
      <w:r w:rsidR="007E5ED7" w:rsidRPr="00C15195">
        <w:rPr>
          <w:rFonts w:asciiTheme="minorHAnsi" w:hAnsiTheme="minorHAnsi" w:cstheme="minorHAnsi"/>
          <w:sz w:val="22"/>
          <w:szCs w:val="22"/>
        </w:rPr>
        <w:t xml:space="preserve">na </w:t>
      </w:r>
      <w:r w:rsidRPr="00C15195">
        <w:rPr>
          <w:rFonts w:asciiTheme="minorHAnsi" w:hAnsiTheme="minorHAnsi" w:cstheme="minorHAnsi"/>
          <w:sz w:val="22"/>
          <w:szCs w:val="22"/>
        </w:rPr>
        <w:t xml:space="preserve">wykazywanie </w:t>
      </w:r>
      <w:r w:rsidR="007E5ED7" w:rsidRPr="00C15195">
        <w:rPr>
          <w:rFonts w:asciiTheme="minorHAnsi" w:hAnsiTheme="minorHAnsi" w:cstheme="minorHAnsi"/>
          <w:sz w:val="22"/>
          <w:szCs w:val="22"/>
        </w:rPr>
        <w:t>dwóch sald, zgodnie z załącznikiem nr 5 do zarządzenia nr 3222/2012 Prezydenta m.st. Warszawy w sprawie p</w:t>
      </w:r>
      <w:r w:rsidR="0016351A" w:rsidRPr="00C15195">
        <w:rPr>
          <w:rFonts w:asciiTheme="minorHAnsi" w:hAnsiTheme="minorHAnsi" w:cstheme="minorHAnsi"/>
          <w:sz w:val="22"/>
          <w:szCs w:val="22"/>
        </w:rPr>
        <w:t>rzyjętych zasad rachunkowości w </w:t>
      </w:r>
      <w:r w:rsidR="007E5ED7" w:rsidRPr="00C15195">
        <w:rPr>
          <w:rFonts w:asciiTheme="minorHAnsi" w:hAnsiTheme="minorHAnsi" w:cstheme="minorHAnsi"/>
          <w:sz w:val="22"/>
          <w:szCs w:val="22"/>
        </w:rPr>
        <w:t>Urzędzie m.st. Warszawy (ze zm.).</w:t>
      </w:r>
    </w:p>
    <w:p w14:paraId="4A4BBE51" w14:textId="40E6B55C" w:rsidR="00A91B57" w:rsidRPr="00C15195" w:rsidRDefault="002B766C"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t xml:space="preserve">Na </w:t>
      </w:r>
      <w:r w:rsidR="00F4674F" w:rsidRPr="00C15195">
        <w:rPr>
          <w:rFonts w:asciiTheme="minorHAnsi" w:hAnsiTheme="minorHAnsi" w:cstheme="minorHAnsi"/>
          <w:sz w:val="22"/>
          <w:szCs w:val="22"/>
        </w:rPr>
        <w:t>bieżąco zarachowywać</w:t>
      </w:r>
      <w:r w:rsidRPr="00C15195">
        <w:rPr>
          <w:rFonts w:asciiTheme="minorHAnsi" w:hAnsiTheme="minorHAnsi" w:cstheme="minorHAnsi"/>
          <w:sz w:val="22"/>
          <w:szCs w:val="22"/>
        </w:rPr>
        <w:t xml:space="preserve"> wpłaty</w:t>
      </w:r>
      <w:r w:rsidR="00C62FF4" w:rsidRPr="00C15195">
        <w:rPr>
          <w:rFonts w:asciiTheme="minorHAnsi" w:hAnsiTheme="minorHAnsi" w:cstheme="minorHAnsi"/>
          <w:sz w:val="22"/>
          <w:szCs w:val="22"/>
        </w:rPr>
        <w:t xml:space="preserve"> tyt. opłat za przekształcenie prawa użytkowania wieczystego w prawo własności nieruchomości</w:t>
      </w:r>
      <w:r w:rsidR="007F6E8D" w:rsidRPr="00C15195">
        <w:rPr>
          <w:rFonts w:asciiTheme="minorHAnsi" w:hAnsiTheme="minorHAnsi" w:cstheme="minorHAnsi"/>
          <w:sz w:val="22"/>
          <w:szCs w:val="22"/>
        </w:rPr>
        <w:t>; b</w:t>
      </w:r>
      <w:r w:rsidR="007E5ED7" w:rsidRPr="00C15195">
        <w:rPr>
          <w:rFonts w:asciiTheme="minorHAnsi" w:hAnsiTheme="minorHAnsi" w:cstheme="minorHAnsi"/>
          <w:sz w:val="22"/>
          <w:szCs w:val="22"/>
        </w:rPr>
        <w:t xml:space="preserve">ez zbędnej zwłoki przerachowywać wpłaty w przypadku dokonywania </w:t>
      </w:r>
      <w:r w:rsidR="00652C72" w:rsidRPr="00C15195">
        <w:rPr>
          <w:rFonts w:asciiTheme="minorHAnsi" w:hAnsiTheme="minorHAnsi" w:cstheme="minorHAnsi"/>
          <w:sz w:val="22"/>
          <w:szCs w:val="22"/>
        </w:rPr>
        <w:t xml:space="preserve">korekt przypisów </w:t>
      </w:r>
      <w:r w:rsidR="00A91B57" w:rsidRPr="00C15195">
        <w:rPr>
          <w:rFonts w:asciiTheme="minorHAnsi" w:hAnsiTheme="minorHAnsi" w:cstheme="minorHAnsi"/>
          <w:sz w:val="22"/>
          <w:szCs w:val="22"/>
        </w:rPr>
        <w:t xml:space="preserve">należności, celem wykazywania na kontach rozrachunkowych faktycznych stanów należności </w:t>
      </w:r>
      <w:r w:rsidR="00C62FF4" w:rsidRPr="00C15195">
        <w:rPr>
          <w:rFonts w:asciiTheme="minorHAnsi" w:hAnsiTheme="minorHAnsi" w:cstheme="minorHAnsi"/>
          <w:sz w:val="22"/>
          <w:szCs w:val="22"/>
        </w:rPr>
        <w:t xml:space="preserve">i zobowiązań </w:t>
      </w:r>
      <w:r w:rsidR="00A91B57" w:rsidRPr="00C15195">
        <w:rPr>
          <w:rFonts w:asciiTheme="minorHAnsi" w:hAnsiTheme="minorHAnsi" w:cstheme="minorHAnsi"/>
          <w:sz w:val="22"/>
          <w:szCs w:val="22"/>
        </w:rPr>
        <w:t>kontrahentów.</w:t>
      </w:r>
    </w:p>
    <w:p w14:paraId="56D10BE1" w14:textId="7CD30996" w:rsidR="00A91B57" w:rsidRPr="00C15195" w:rsidRDefault="00A91B57"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t xml:space="preserve">Dołożyć staranności w </w:t>
      </w:r>
      <w:r w:rsidR="007F6E8D" w:rsidRPr="00C15195">
        <w:rPr>
          <w:rFonts w:asciiTheme="minorHAnsi" w:hAnsiTheme="minorHAnsi" w:cstheme="minorHAnsi"/>
          <w:sz w:val="22"/>
          <w:szCs w:val="22"/>
        </w:rPr>
        <w:t xml:space="preserve">dochowaniu </w:t>
      </w:r>
      <w:r w:rsidRPr="00C15195">
        <w:rPr>
          <w:rFonts w:asciiTheme="minorHAnsi" w:hAnsiTheme="minorHAnsi" w:cstheme="minorHAnsi"/>
          <w:sz w:val="22"/>
          <w:szCs w:val="22"/>
        </w:rPr>
        <w:t>terminów poszczególnych czynności windykacyjnych określonych w Regulaminie windykacji należności m.st. Warszawy, mając na względzie skuteczne i efektywne dochodzenie należności m.st. Warszawy z tytułu opłat za przekształcenie użytkowania wieczystego w prawo własności nieruchomości, a także niedopuszczenie do ich przedawnienia, w myśl art. 42 ust. 5 ustawy o finansach publicznych.</w:t>
      </w:r>
    </w:p>
    <w:p w14:paraId="2CC1AA81" w14:textId="2416FF09" w:rsidR="00CF7C7F" w:rsidRPr="00C15195" w:rsidRDefault="002D0B55"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t>Zgodnie z wytycznymi Prezydenta m.st. Warszawy</w:t>
      </w:r>
      <w:r w:rsidRPr="00C15195">
        <w:rPr>
          <w:rFonts w:asciiTheme="minorHAnsi" w:hAnsiTheme="minorHAnsi" w:cstheme="minorHAnsi"/>
          <w:sz w:val="22"/>
          <w:szCs w:val="22"/>
          <w:vertAlign w:val="superscript"/>
        </w:rPr>
        <w:t>20</w:t>
      </w:r>
      <w:r w:rsidRPr="00C15195">
        <w:rPr>
          <w:rFonts w:asciiTheme="minorHAnsi" w:hAnsiTheme="minorHAnsi" w:cstheme="minorHAnsi"/>
          <w:sz w:val="22"/>
          <w:szCs w:val="22"/>
        </w:rPr>
        <w:t xml:space="preserve"> t</w:t>
      </w:r>
      <w:r w:rsidR="00A91B57" w:rsidRPr="00C15195">
        <w:rPr>
          <w:rFonts w:asciiTheme="minorHAnsi" w:hAnsiTheme="minorHAnsi" w:cstheme="minorHAnsi"/>
          <w:sz w:val="22"/>
          <w:szCs w:val="22"/>
        </w:rPr>
        <w:t>erminy płatności opłat jednorazowych za przekształcenie prawa użytkowania wieczystego w prawo własności nieruchomości ustalać</w:t>
      </w:r>
      <w:r w:rsidR="008E7212" w:rsidRPr="00C15195">
        <w:rPr>
          <w:rFonts w:asciiTheme="minorHAnsi" w:hAnsiTheme="minorHAnsi" w:cstheme="minorHAnsi"/>
          <w:sz w:val="22"/>
          <w:szCs w:val="22"/>
        </w:rPr>
        <w:t xml:space="preserve"> do dnia wymagalności najbliższej opłaty rocznej, z uwzględnieniem art. 20 ust. 2 ustawy przekształceniowej z 2018 r.</w:t>
      </w:r>
      <w:r w:rsidR="007F6E8D" w:rsidRPr="00C15195">
        <w:rPr>
          <w:rFonts w:asciiTheme="minorHAnsi" w:hAnsiTheme="minorHAnsi" w:cstheme="minorHAnsi"/>
          <w:sz w:val="22"/>
          <w:szCs w:val="22"/>
        </w:rPr>
        <w:t xml:space="preserve">; </w:t>
      </w:r>
      <w:r w:rsidRPr="00C15195">
        <w:rPr>
          <w:rFonts w:asciiTheme="minorHAnsi" w:hAnsiTheme="minorHAnsi" w:cstheme="minorHAnsi"/>
          <w:sz w:val="22"/>
          <w:szCs w:val="22"/>
        </w:rPr>
        <w:t xml:space="preserve">nie naliczać odsetek od nieuiszczonych opłat rocznych, których termin płatności minął </w:t>
      </w:r>
      <w:r w:rsidR="007D0D1C" w:rsidRPr="00C15195">
        <w:rPr>
          <w:rFonts w:asciiTheme="minorHAnsi" w:hAnsiTheme="minorHAnsi" w:cstheme="minorHAnsi"/>
          <w:sz w:val="22"/>
          <w:szCs w:val="22"/>
        </w:rPr>
        <w:t>po zgłoszeniu zamiaru wniesienia opłaty jednorazowej, a przed doręczeniem informacji o jej wysokości.</w:t>
      </w:r>
    </w:p>
    <w:p w14:paraId="1CB6E2B1" w14:textId="4D75161D" w:rsidR="00291454" w:rsidRPr="00C15195" w:rsidRDefault="003A291A"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t xml:space="preserve">Dochować należytej staranności przy </w:t>
      </w:r>
      <w:r w:rsidRPr="00C15195">
        <w:rPr>
          <w:rFonts w:asciiTheme="minorHAnsi" w:hAnsiTheme="minorHAnsi" w:cstheme="minorHAnsi"/>
          <w:sz w:val="22"/>
          <w:szCs w:val="22"/>
          <w:lang w:bidi="pl-PL"/>
        </w:rPr>
        <w:t>prowadzeniu analizy zadłużenia</w:t>
      </w:r>
      <w:r w:rsidR="007F6E8D" w:rsidRPr="00C15195">
        <w:rPr>
          <w:rFonts w:asciiTheme="minorHAnsi" w:hAnsiTheme="minorHAnsi" w:cstheme="minorHAnsi"/>
          <w:sz w:val="22"/>
          <w:szCs w:val="22"/>
          <w:lang w:bidi="pl-PL"/>
        </w:rPr>
        <w:t>,</w:t>
      </w:r>
      <w:r w:rsidRPr="00C15195">
        <w:rPr>
          <w:rFonts w:asciiTheme="minorHAnsi" w:hAnsiTheme="minorHAnsi" w:cstheme="minorHAnsi"/>
          <w:sz w:val="22"/>
          <w:szCs w:val="22"/>
          <w:lang w:bidi="pl-PL"/>
        </w:rPr>
        <w:t xml:space="preserve"> przed podjęciem czynności zmierzających do wyegzekwowania zaległości</w:t>
      </w:r>
      <w:r w:rsidR="007F6E8D" w:rsidRPr="00C15195">
        <w:rPr>
          <w:rFonts w:asciiTheme="minorHAnsi" w:hAnsiTheme="minorHAnsi" w:cstheme="minorHAnsi"/>
          <w:sz w:val="22"/>
          <w:szCs w:val="22"/>
          <w:lang w:bidi="pl-PL"/>
        </w:rPr>
        <w:t>,</w:t>
      </w:r>
      <w:r w:rsidRPr="00C15195">
        <w:rPr>
          <w:rFonts w:asciiTheme="minorHAnsi" w:hAnsiTheme="minorHAnsi" w:cstheme="minorHAnsi"/>
          <w:sz w:val="22"/>
          <w:szCs w:val="22"/>
        </w:rPr>
        <w:t xml:space="preserve"> w celu sprawnego i skutecznego kierowania do egzekucji należności</w:t>
      </w:r>
      <w:r w:rsidR="007F6E8D" w:rsidRPr="00C15195">
        <w:rPr>
          <w:rFonts w:asciiTheme="minorHAnsi" w:hAnsiTheme="minorHAnsi" w:cstheme="minorHAnsi"/>
          <w:sz w:val="22"/>
          <w:szCs w:val="22"/>
        </w:rPr>
        <w:t xml:space="preserve"> wyliczonych</w:t>
      </w:r>
      <w:r w:rsidRPr="00C15195">
        <w:rPr>
          <w:rFonts w:asciiTheme="minorHAnsi" w:hAnsiTheme="minorHAnsi" w:cstheme="minorHAnsi"/>
          <w:sz w:val="22"/>
          <w:szCs w:val="22"/>
        </w:rPr>
        <w:t xml:space="preserve"> w prawidłowych kwotach</w:t>
      </w:r>
      <w:r w:rsidR="004548A9" w:rsidRPr="00C15195">
        <w:rPr>
          <w:rFonts w:asciiTheme="minorHAnsi" w:hAnsiTheme="minorHAnsi" w:cstheme="minorHAnsi"/>
          <w:sz w:val="22"/>
          <w:szCs w:val="22"/>
        </w:rPr>
        <w:t>, w tym dokonywać sprawdzenia, czy należności</w:t>
      </w:r>
      <w:r w:rsidR="00291454" w:rsidRPr="00C15195">
        <w:rPr>
          <w:rFonts w:asciiTheme="minorHAnsi" w:hAnsiTheme="minorHAnsi" w:cstheme="minorHAnsi"/>
          <w:sz w:val="22"/>
          <w:szCs w:val="22"/>
        </w:rPr>
        <w:t xml:space="preserve"> są wymagalne lub zostały wcześnie</w:t>
      </w:r>
      <w:r w:rsidR="00424085" w:rsidRPr="00C15195">
        <w:rPr>
          <w:rFonts w:asciiTheme="minorHAnsi" w:hAnsiTheme="minorHAnsi" w:cstheme="minorHAnsi"/>
          <w:sz w:val="22"/>
          <w:szCs w:val="22"/>
        </w:rPr>
        <w:t>j spłacone przez kontrahenta, z </w:t>
      </w:r>
      <w:r w:rsidR="00291454" w:rsidRPr="00C15195">
        <w:rPr>
          <w:rFonts w:asciiTheme="minorHAnsi" w:hAnsiTheme="minorHAnsi" w:cstheme="minorHAnsi"/>
          <w:sz w:val="22"/>
          <w:szCs w:val="22"/>
        </w:rPr>
        <w:t>uwzględnieniem konieczności dokonania przeksięgowań opłat wniesionych za użytkowanie wieczyste na poczet opłat przekształceniowych, w związku z art.</w:t>
      </w:r>
      <w:r w:rsidR="00424085" w:rsidRPr="00C15195">
        <w:rPr>
          <w:rFonts w:asciiTheme="minorHAnsi" w:hAnsiTheme="minorHAnsi" w:cstheme="minorHAnsi"/>
          <w:sz w:val="22"/>
          <w:szCs w:val="22"/>
        </w:rPr>
        <w:t xml:space="preserve"> 8a ustawy przekształceniowej z </w:t>
      </w:r>
      <w:r w:rsidR="00291454" w:rsidRPr="00C15195">
        <w:rPr>
          <w:rFonts w:asciiTheme="minorHAnsi" w:hAnsiTheme="minorHAnsi" w:cstheme="minorHAnsi"/>
          <w:sz w:val="22"/>
          <w:szCs w:val="22"/>
        </w:rPr>
        <w:t>2018 r.</w:t>
      </w:r>
    </w:p>
    <w:p w14:paraId="2F23733F" w14:textId="632E709D" w:rsidR="008C15AB" w:rsidRPr="00C15195" w:rsidRDefault="004548A9"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lastRenderedPageBreak/>
        <w:t xml:space="preserve">W przypadku </w:t>
      </w:r>
      <w:r w:rsidR="00062F26" w:rsidRPr="00C15195">
        <w:rPr>
          <w:rFonts w:asciiTheme="minorHAnsi" w:hAnsiTheme="minorHAnsi" w:cstheme="minorHAnsi"/>
          <w:sz w:val="22"/>
          <w:szCs w:val="22"/>
        </w:rPr>
        <w:t>niedokonania</w:t>
      </w:r>
      <w:r w:rsidRPr="00C15195">
        <w:rPr>
          <w:rFonts w:asciiTheme="minorHAnsi" w:hAnsiTheme="minorHAnsi" w:cstheme="minorHAnsi"/>
          <w:sz w:val="22"/>
          <w:szCs w:val="22"/>
        </w:rPr>
        <w:t xml:space="preserve"> przez zobowiązanych opłat jednorazowych - w tym uwzględniających należne bonifikaty - w terminie określonym w informacji sporządzonej na podstawie art. 7 ust. 7 i 8 pkt 2 ustawy przekształceniowej z 2018 r., przywracać rozliczenia na zasadach opłat rocznych, z uwzględnieniem cofnięcia przyznanych bonifikat i korekty należnych odsetek, mając na względzie postanowienia art. 42 ust. 5 ustawy o finansach publicznych oraz art. 24 ust. 2 ustawy o rachunkowości.</w:t>
      </w:r>
    </w:p>
    <w:p w14:paraId="7E0914A5" w14:textId="51A3F917" w:rsidR="001D3995" w:rsidRPr="00C15195" w:rsidRDefault="001D3995" w:rsidP="00C15195">
      <w:pPr>
        <w:pStyle w:val="Zwykytekst"/>
        <w:numPr>
          <w:ilvl w:val="0"/>
          <w:numId w:val="10"/>
        </w:numPr>
        <w:spacing w:before="120" w:after="240" w:line="300" w:lineRule="auto"/>
        <w:ind w:left="425" w:hanging="357"/>
        <w:rPr>
          <w:rFonts w:asciiTheme="minorHAnsi" w:hAnsiTheme="minorHAnsi" w:cstheme="minorHAnsi"/>
          <w:sz w:val="22"/>
          <w:szCs w:val="22"/>
        </w:rPr>
      </w:pPr>
      <w:r w:rsidRPr="00C15195">
        <w:rPr>
          <w:rFonts w:asciiTheme="minorHAnsi" w:hAnsiTheme="minorHAnsi" w:cstheme="minorHAnsi"/>
          <w:sz w:val="22"/>
          <w:szCs w:val="22"/>
        </w:rPr>
        <w:t>Zapewnić funkcjonowanie w Dzielnicy procedur kontroli zarządczej</w:t>
      </w:r>
      <w:r w:rsidR="0016351A" w:rsidRPr="00C15195">
        <w:rPr>
          <w:rFonts w:asciiTheme="minorHAnsi" w:hAnsiTheme="minorHAnsi" w:cstheme="minorHAnsi"/>
          <w:sz w:val="22"/>
          <w:szCs w:val="22"/>
        </w:rPr>
        <w:t xml:space="preserve">, w tym </w:t>
      </w:r>
      <w:r w:rsidR="007F6E8D" w:rsidRPr="00C15195">
        <w:rPr>
          <w:rFonts w:asciiTheme="minorHAnsi" w:hAnsiTheme="minorHAnsi" w:cstheme="minorHAnsi"/>
          <w:sz w:val="22"/>
          <w:szCs w:val="22"/>
        </w:rPr>
        <w:t xml:space="preserve">realizacji </w:t>
      </w:r>
      <w:r w:rsidR="0016351A" w:rsidRPr="00C15195">
        <w:rPr>
          <w:rFonts w:asciiTheme="minorHAnsi" w:hAnsiTheme="minorHAnsi" w:cstheme="minorHAnsi"/>
          <w:sz w:val="22"/>
          <w:szCs w:val="22"/>
        </w:rPr>
        <w:t>celów określonych</w:t>
      </w:r>
      <w:r w:rsidRPr="00C15195">
        <w:rPr>
          <w:rFonts w:asciiTheme="minorHAnsi" w:hAnsiTheme="minorHAnsi" w:cstheme="minorHAnsi"/>
          <w:sz w:val="22"/>
          <w:szCs w:val="22"/>
        </w:rPr>
        <w:t xml:space="preserve"> w § 4 pkt 1</w:t>
      </w:r>
      <w:r w:rsidR="0016351A" w:rsidRPr="00C15195">
        <w:rPr>
          <w:rFonts w:asciiTheme="minorHAnsi" w:hAnsiTheme="minorHAnsi" w:cstheme="minorHAnsi"/>
          <w:sz w:val="22"/>
          <w:szCs w:val="22"/>
        </w:rPr>
        <w:t>, 2 i 6</w:t>
      </w:r>
      <w:r w:rsidRPr="00C15195">
        <w:rPr>
          <w:rFonts w:asciiTheme="minorHAnsi" w:hAnsiTheme="minorHAnsi" w:cstheme="minorHAnsi"/>
          <w:sz w:val="22"/>
          <w:szCs w:val="22"/>
        </w:rPr>
        <w:t xml:space="preserve"> zarządzenia nr 1613/2011 Prez</w:t>
      </w:r>
      <w:r w:rsidR="00F33AF7" w:rsidRPr="00C15195">
        <w:rPr>
          <w:rFonts w:asciiTheme="minorHAnsi" w:hAnsiTheme="minorHAnsi" w:cstheme="minorHAnsi"/>
          <w:sz w:val="22"/>
          <w:szCs w:val="22"/>
        </w:rPr>
        <w:t>ydenta m.st. Warszawy z 11 </w:t>
      </w:r>
      <w:r w:rsidRPr="00C15195">
        <w:rPr>
          <w:rFonts w:asciiTheme="minorHAnsi" w:hAnsiTheme="minorHAnsi" w:cstheme="minorHAnsi"/>
          <w:sz w:val="22"/>
          <w:szCs w:val="22"/>
        </w:rPr>
        <w:t>października 2011 r. w sprawie zasad funkcjonowania kontroli zarządczej w mieście stołecznym Warszawie, stosownie do wymogów określonych w art. 4 ust. 5 ustaw</w:t>
      </w:r>
      <w:r w:rsidR="00F33AF7" w:rsidRPr="00C15195">
        <w:rPr>
          <w:rFonts w:asciiTheme="minorHAnsi" w:hAnsiTheme="minorHAnsi" w:cstheme="minorHAnsi"/>
          <w:sz w:val="22"/>
          <w:szCs w:val="22"/>
        </w:rPr>
        <w:t>y o </w:t>
      </w:r>
      <w:r w:rsidRPr="00C15195">
        <w:rPr>
          <w:rFonts w:asciiTheme="minorHAnsi" w:hAnsiTheme="minorHAnsi" w:cstheme="minorHAnsi"/>
          <w:sz w:val="22"/>
          <w:szCs w:val="22"/>
        </w:rPr>
        <w:t>rachunkowości oraz art. 53 ust. 1 ustawy o finansach publicznych. Zgodnie art. 69 ust. 1 pkt 3 ustawy o finansach publicznych oraz § 7 ww. zarządzenia Prezydenta m.st. Warszawy</w:t>
      </w:r>
      <w:r w:rsidR="007F6E8D" w:rsidRPr="00C15195">
        <w:rPr>
          <w:rFonts w:asciiTheme="minorHAnsi" w:hAnsiTheme="minorHAnsi" w:cstheme="minorHAnsi"/>
          <w:sz w:val="22"/>
          <w:szCs w:val="22"/>
        </w:rPr>
        <w:t>,</w:t>
      </w:r>
      <w:r w:rsidRPr="00C15195">
        <w:rPr>
          <w:rFonts w:asciiTheme="minorHAnsi" w:hAnsiTheme="minorHAnsi" w:cstheme="minorHAnsi"/>
          <w:sz w:val="22"/>
          <w:szCs w:val="22"/>
        </w:rPr>
        <w:t xml:space="preserve"> zapewnienie funkcjonowania adekwatnej, skutecznej i efektywnej kontroli zarządczej należy do obowiązków kierownika jednostki, której częścią jest nadzór nad wykonaniem zadań w ce</w:t>
      </w:r>
      <w:r w:rsidR="00F33AF7" w:rsidRPr="00C15195">
        <w:rPr>
          <w:rFonts w:asciiTheme="minorHAnsi" w:hAnsiTheme="minorHAnsi" w:cstheme="minorHAnsi"/>
          <w:sz w:val="22"/>
          <w:szCs w:val="22"/>
        </w:rPr>
        <w:t>lu ich oszczędnej, efektywnej i </w:t>
      </w:r>
      <w:r w:rsidRPr="00C15195">
        <w:rPr>
          <w:rFonts w:asciiTheme="minorHAnsi" w:hAnsiTheme="minorHAnsi" w:cstheme="minorHAnsi"/>
          <w:sz w:val="22"/>
          <w:szCs w:val="22"/>
        </w:rPr>
        <w:t>skutecznej realizacji. Do kierownika jednostki sektora finansów publicznych należy prowadzenie czynności nadzoru w zakresie przestrzegania procedur kontroli zarządczej związanych ze zgodnością działalności z przepisami prawa oraz przyjętymi procedurami wewnętrznymi oraz standardami, zapewnienie skuteczności i efektywności działań, bieżące identyfikowanie i monitorowanie ryzyk związanych z realizacją zadań.</w:t>
      </w:r>
    </w:p>
    <w:p w14:paraId="3D69F933" w14:textId="77777777" w:rsidR="00CF7C7F" w:rsidRPr="00C15195" w:rsidRDefault="00CF7C7F" w:rsidP="00C15195">
      <w:pPr>
        <w:pStyle w:val="Tekstpodstawowy20"/>
        <w:shd w:val="clear" w:color="auto" w:fill="auto"/>
        <w:spacing w:before="120" w:line="300" w:lineRule="auto"/>
        <w:ind w:firstLine="0"/>
        <w:rPr>
          <w:rFonts w:asciiTheme="minorHAnsi" w:hAnsiTheme="minorHAnsi" w:cstheme="minorHAnsi"/>
          <w:sz w:val="22"/>
          <w:szCs w:val="22"/>
        </w:rPr>
      </w:pPr>
      <w:r w:rsidRPr="00C15195">
        <w:rPr>
          <w:rFonts w:asciiTheme="minorHAnsi" w:hAnsiTheme="minorHAnsi" w:cstheme="minorHAnsi"/>
          <w:sz w:val="22"/>
          <w:szCs w:val="22"/>
        </w:rPr>
        <w:t>Na podstawie § 22 ust. 10 Regulaminu organizacyjnego oraz § 41 ust. 1 Zarządzenia oczekuję od Pana Burmistrza w terminie nie dłuższym niż 30 dni od dnia doręczenia niniejszego Wystąpienia pokontrolnego, informacji o sposobie realizacji wniosków pokontrolnych i wykorzystaniu uwag zawartych w wystąpieniu pokontrolnym lub przyczynach braku realizacji wniosków pokontrolnych lub niewykorzystaniu uwag bądź o innym sposobie usunięcia stwierdzonych nieprawidłowości lub uchybień.</w:t>
      </w:r>
    </w:p>
    <w:p w14:paraId="2589EBBA" w14:textId="77777777" w:rsidR="00CF7C7F" w:rsidRPr="00C15195" w:rsidRDefault="00CF7C7F" w:rsidP="00C15195">
      <w:pPr>
        <w:tabs>
          <w:tab w:val="left" w:pos="0"/>
        </w:tabs>
        <w:spacing w:before="120" w:after="240" w:line="300" w:lineRule="auto"/>
        <w:rPr>
          <w:rStyle w:val="Bodytext5"/>
          <w:rFonts w:asciiTheme="minorHAnsi" w:hAnsiTheme="minorHAnsi" w:cstheme="minorHAnsi"/>
          <w:sz w:val="22"/>
          <w:szCs w:val="22"/>
        </w:rPr>
      </w:pPr>
      <w:r w:rsidRPr="00C15195">
        <w:rPr>
          <w:rFonts w:asciiTheme="minorHAnsi" w:hAnsiTheme="minorHAnsi" w:cstheme="minorHAnsi"/>
          <w:sz w:val="22"/>
          <w:szCs w:val="22"/>
        </w:rPr>
        <w:t>Na podstawie § 41 ust. 1 Zarządzenia zobowiązuję Pana Burmistrza do przekazania kopii ww. informacji Pani Marzannie Krajewskiej Skarbnikowi m.st. Warszawy.</w:t>
      </w:r>
    </w:p>
    <w:p w14:paraId="061277C2" w14:textId="675ECC5D" w:rsidR="0016351A" w:rsidRPr="00C15195" w:rsidRDefault="00ED1907" w:rsidP="00C15195">
      <w:pPr>
        <w:pStyle w:val="Zwykytekst"/>
        <w:spacing w:before="120" w:after="240" w:line="300" w:lineRule="auto"/>
        <w:ind w:left="5812"/>
        <w:rPr>
          <w:rFonts w:asciiTheme="minorHAnsi" w:hAnsiTheme="minorHAnsi" w:cstheme="minorHAnsi"/>
          <w:sz w:val="22"/>
          <w:szCs w:val="22"/>
        </w:rPr>
      </w:pPr>
      <w:r w:rsidRPr="00C15195">
        <w:rPr>
          <w:rFonts w:asciiTheme="minorHAnsi" w:hAnsiTheme="minorHAnsi" w:cstheme="minorHAnsi"/>
          <w:sz w:val="22"/>
          <w:szCs w:val="22"/>
        </w:rPr>
        <w:t>PREZYDENT MIASTA STOŁECZNEGO WARSZAWY /-/ Rafał Trzaskowski</w:t>
      </w:r>
    </w:p>
    <w:p w14:paraId="0D8900CE" w14:textId="77777777" w:rsidR="00CF7C7F" w:rsidRPr="00C15195" w:rsidRDefault="00CF7C7F" w:rsidP="00C15195">
      <w:pPr>
        <w:spacing w:before="120" w:after="240" w:line="300" w:lineRule="auto"/>
        <w:rPr>
          <w:rFonts w:asciiTheme="minorHAnsi" w:hAnsiTheme="minorHAnsi" w:cstheme="minorHAnsi"/>
          <w:sz w:val="22"/>
          <w:szCs w:val="22"/>
        </w:rPr>
      </w:pPr>
      <w:r w:rsidRPr="00C15195">
        <w:rPr>
          <w:rStyle w:val="Bodytext5"/>
          <w:rFonts w:asciiTheme="minorHAnsi" w:hAnsiTheme="minorHAnsi" w:cstheme="minorHAnsi"/>
          <w:sz w:val="22"/>
          <w:szCs w:val="22"/>
          <w:u w:val="none"/>
        </w:rPr>
        <w:t>Do wiadomości:</w:t>
      </w:r>
    </w:p>
    <w:p w14:paraId="5BF0A292" w14:textId="77777777" w:rsidR="00CF7C7F" w:rsidRPr="00C15195" w:rsidRDefault="00CF7C7F" w:rsidP="00C15195">
      <w:pPr>
        <w:pStyle w:val="Akapitzlist"/>
        <w:widowControl w:val="0"/>
        <w:numPr>
          <w:ilvl w:val="0"/>
          <w:numId w:val="11"/>
        </w:numPr>
        <w:spacing w:before="120" w:after="240" w:line="300" w:lineRule="auto"/>
        <w:ind w:left="284" w:hanging="284"/>
        <w:rPr>
          <w:rFonts w:asciiTheme="minorHAnsi" w:hAnsiTheme="minorHAnsi" w:cstheme="minorHAnsi"/>
          <w:sz w:val="22"/>
          <w:szCs w:val="22"/>
        </w:rPr>
      </w:pPr>
      <w:r w:rsidRPr="00C15195">
        <w:rPr>
          <w:rFonts w:asciiTheme="minorHAnsi" w:hAnsiTheme="minorHAnsi" w:cstheme="minorHAnsi"/>
          <w:sz w:val="22"/>
          <w:szCs w:val="22"/>
        </w:rPr>
        <w:t>Pani Marzanna Krajewska - Skarbnik m.st. Warszawy</w:t>
      </w:r>
    </w:p>
    <w:sectPr w:rsidR="00CF7C7F" w:rsidRPr="00C15195" w:rsidSect="008C6394">
      <w:footerReference w:type="default" r:id="rId11"/>
      <w:headerReference w:type="first" r:id="rId12"/>
      <w:footerReference w:type="first" r:id="rId1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348B" w14:textId="77777777" w:rsidR="0010759D" w:rsidRDefault="0010759D" w:rsidP="00B327B7">
      <w:r>
        <w:separator/>
      </w:r>
    </w:p>
  </w:endnote>
  <w:endnote w:type="continuationSeparator" w:id="0">
    <w:p w14:paraId="04E7D293" w14:textId="77777777" w:rsidR="0010759D" w:rsidRDefault="0010759D" w:rsidP="00B3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5154"/>
      <w:docPartObj>
        <w:docPartGallery w:val="Page Numbers (Bottom of Page)"/>
        <w:docPartUnique/>
      </w:docPartObj>
    </w:sdtPr>
    <w:sdtContent>
      <w:sdt>
        <w:sdtPr>
          <w:id w:val="-1649580003"/>
          <w:docPartObj>
            <w:docPartGallery w:val="Page Numbers (Top of Page)"/>
            <w:docPartUnique/>
          </w:docPartObj>
        </w:sdtPr>
        <w:sdtContent>
          <w:p w14:paraId="3737B00F" w14:textId="3B3108B7" w:rsidR="007E5ED7" w:rsidRPr="00ED1907" w:rsidRDefault="00ED1907" w:rsidP="00ED1907">
            <w:pPr>
              <w:pStyle w:val="Stopka"/>
              <w:jc w:val="right"/>
            </w:pPr>
            <w:r w:rsidRPr="00ED1907">
              <w:rPr>
                <w:rFonts w:asciiTheme="minorHAnsi" w:hAnsiTheme="minorHAnsi" w:cstheme="minorHAnsi"/>
                <w:sz w:val="22"/>
                <w:szCs w:val="22"/>
              </w:rPr>
              <w:t xml:space="preserve">Strona </w:t>
            </w:r>
            <w:r w:rsidRPr="00ED1907">
              <w:rPr>
                <w:rFonts w:asciiTheme="minorHAnsi" w:hAnsiTheme="minorHAnsi" w:cstheme="minorHAnsi"/>
                <w:sz w:val="22"/>
                <w:szCs w:val="22"/>
              </w:rPr>
              <w:fldChar w:fldCharType="begin"/>
            </w:r>
            <w:r w:rsidRPr="00ED1907">
              <w:rPr>
                <w:rFonts w:asciiTheme="minorHAnsi" w:hAnsiTheme="minorHAnsi" w:cstheme="minorHAnsi"/>
                <w:sz w:val="22"/>
                <w:szCs w:val="22"/>
              </w:rPr>
              <w:instrText>PAGE</w:instrText>
            </w:r>
            <w:r w:rsidRPr="00ED1907">
              <w:rPr>
                <w:rFonts w:asciiTheme="minorHAnsi" w:hAnsiTheme="minorHAnsi" w:cstheme="minorHAnsi"/>
                <w:sz w:val="22"/>
                <w:szCs w:val="22"/>
              </w:rPr>
              <w:fldChar w:fldCharType="separate"/>
            </w:r>
            <w:r w:rsidRPr="00ED1907">
              <w:rPr>
                <w:rFonts w:asciiTheme="minorHAnsi" w:hAnsiTheme="minorHAnsi" w:cstheme="minorHAnsi"/>
                <w:sz w:val="22"/>
                <w:szCs w:val="22"/>
              </w:rPr>
              <w:t>2</w:t>
            </w:r>
            <w:r w:rsidRPr="00ED1907">
              <w:rPr>
                <w:rFonts w:asciiTheme="minorHAnsi" w:hAnsiTheme="minorHAnsi" w:cstheme="minorHAnsi"/>
                <w:sz w:val="22"/>
                <w:szCs w:val="22"/>
              </w:rPr>
              <w:fldChar w:fldCharType="end"/>
            </w:r>
            <w:r w:rsidRPr="00ED1907">
              <w:rPr>
                <w:rFonts w:asciiTheme="minorHAnsi" w:hAnsiTheme="minorHAnsi" w:cstheme="minorHAnsi"/>
                <w:sz w:val="22"/>
                <w:szCs w:val="22"/>
              </w:rPr>
              <w:t xml:space="preserve"> z </w:t>
            </w:r>
            <w:r w:rsidRPr="00ED1907">
              <w:rPr>
                <w:rFonts w:asciiTheme="minorHAnsi" w:hAnsiTheme="minorHAnsi" w:cstheme="minorHAnsi"/>
                <w:sz w:val="22"/>
                <w:szCs w:val="22"/>
              </w:rPr>
              <w:fldChar w:fldCharType="begin"/>
            </w:r>
            <w:r w:rsidRPr="00ED1907">
              <w:rPr>
                <w:rFonts w:asciiTheme="minorHAnsi" w:hAnsiTheme="minorHAnsi" w:cstheme="minorHAnsi"/>
                <w:sz w:val="22"/>
                <w:szCs w:val="22"/>
              </w:rPr>
              <w:instrText>NUMPAGES</w:instrText>
            </w:r>
            <w:r w:rsidRPr="00ED1907">
              <w:rPr>
                <w:rFonts w:asciiTheme="minorHAnsi" w:hAnsiTheme="minorHAnsi" w:cstheme="minorHAnsi"/>
                <w:sz w:val="22"/>
                <w:szCs w:val="22"/>
              </w:rPr>
              <w:fldChar w:fldCharType="separate"/>
            </w:r>
            <w:r w:rsidRPr="00ED1907">
              <w:rPr>
                <w:rFonts w:asciiTheme="minorHAnsi" w:hAnsiTheme="minorHAnsi" w:cstheme="minorHAnsi"/>
                <w:sz w:val="22"/>
                <w:szCs w:val="22"/>
              </w:rPr>
              <w:t>2</w:t>
            </w:r>
            <w:r w:rsidRPr="00ED1907">
              <w:rPr>
                <w:rFonts w:asciiTheme="minorHAnsi" w:hAnsiTheme="minorHAnsi" w:cstheme="minorHAnsi"/>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2144527574"/>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40481781" w14:textId="2B40827F" w:rsidR="007E5ED7" w:rsidRPr="00ED1907" w:rsidRDefault="00ED1907" w:rsidP="00ED1907">
            <w:pPr>
              <w:pStyle w:val="Stopka"/>
              <w:jc w:val="right"/>
              <w:rPr>
                <w:rFonts w:asciiTheme="minorHAnsi" w:hAnsiTheme="minorHAnsi" w:cstheme="minorHAnsi"/>
                <w:sz w:val="22"/>
                <w:szCs w:val="22"/>
              </w:rPr>
            </w:pPr>
            <w:r w:rsidRPr="00ED1907">
              <w:rPr>
                <w:rFonts w:asciiTheme="minorHAnsi" w:hAnsiTheme="minorHAnsi" w:cstheme="minorHAnsi"/>
                <w:sz w:val="22"/>
                <w:szCs w:val="22"/>
              </w:rPr>
              <w:t xml:space="preserve">Strona </w:t>
            </w:r>
            <w:r w:rsidRPr="00ED1907">
              <w:rPr>
                <w:rFonts w:asciiTheme="minorHAnsi" w:hAnsiTheme="minorHAnsi" w:cstheme="minorHAnsi"/>
                <w:sz w:val="22"/>
                <w:szCs w:val="22"/>
              </w:rPr>
              <w:fldChar w:fldCharType="begin"/>
            </w:r>
            <w:r w:rsidRPr="00ED1907">
              <w:rPr>
                <w:rFonts w:asciiTheme="minorHAnsi" w:hAnsiTheme="minorHAnsi" w:cstheme="minorHAnsi"/>
                <w:sz w:val="22"/>
                <w:szCs w:val="22"/>
              </w:rPr>
              <w:instrText>PAGE</w:instrText>
            </w:r>
            <w:r w:rsidRPr="00ED1907">
              <w:rPr>
                <w:rFonts w:asciiTheme="minorHAnsi" w:hAnsiTheme="minorHAnsi" w:cstheme="minorHAnsi"/>
                <w:sz w:val="22"/>
                <w:szCs w:val="22"/>
              </w:rPr>
              <w:fldChar w:fldCharType="separate"/>
            </w:r>
            <w:r w:rsidRPr="00ED1907">
              <w:rPr>
                <w:rFonts w:asciiTheme="minorHAnsi" w:hAnsiTheme="minorHAnsi" w:cstheme="minorHAnsi"/>
                <w:sz w:val="22"/>
                <w:szCs w:val="22"/>
              </w:rPr>
              <w:t>2</w:t>
            </w:r>
            <w:r w:rsidRPr="00ED1907">
              <w:rPr>
                <w:rFonts w:asciiTheme="minorHAnsi" w:hAnsiTheme="minorHAnsi" w:cstheme="minorHAnsi"/>
                <w:sz w:val="22"/>
                <w:szCs w:val="22"/>
              </w:rPr>
              <w:fldChar w:fldCharType="end"/>
            </w:r>
            <w:r w:rsidRPr="00ED1907">
              <w:rPr>
                <w:rFonts w:asciiTheme="minorHAnsi" w:hAnsiTheme="minorHAnsi" w:cstheme="minorHAnsi"/>
                <w:sz w:val="22"/>
                <w:szCs w:val="22"/>
              </w:rPr>
              <w:t xml:space="preserve"> z </w:t>
            </w:r>
            <w:r w:rsidRPr="00ED1907">
              <w:rPr>
                <w:rFonts w:asciiTheme="minorHAnsi" w:hAnsiTheme="minorHAnsi" w:cstheme="minorHAnsi"/>
                <w:sz w:val="22"/>
                <w:szCs w:val="22"/>
              </w:rPr>
              <w:fldChar w:fldCharType="begin"/>
            </w:r>
            <w:r w:rsidRPr="00ED1907">
              <w:rPr>
                <w:rFonts w:asciiTheme="minorHAnsi" w:hAnsiTheme="minorHAnsi" w:cstheme="minorHAnsi"/>
                <w:sz w:val="22"/>
                <w:szCs w:val="22"/>
              </w:rPr>
              <w:instrText>NUMPAGES</w:instrText>
            </w:r>
            <w:r w:rsidRPr="00ED1907">
              <w:rPr>
                <w:rFonts w:asciiTheme="minorHAnsi" w:hAnsiTheme="minorHAnsi" w:cstheme="minorHAnsi"/>
                <w:sz w:val="22"/>
                <w:szCs w:val="22"/>
              </w:rPr>
              <w:fldChar w:fldCharType="separate"/>
            </w:r>
            <w:r w:rsidRPr="00ED1907">
              <w:rPr>
                <w:rFonts w:asciiTheme="minorHAnsi" w:hAnsiTheme="minorHAnsi" w:cstheme="minorHAnsi"/>
                <w:sz w:val="22"/>
                <w:szCs w:val="22"/>
              </w:rPr>
              <w:t>2</w:t>
            </w:r>
            <w:r w:rsidRPr="00ED1907">
              <w:rPr>
                <w:rFonts w:asciiTheme="minorHAnsi" w:hAnsiTheme="minorHAnsi" w:cstheme="minorHAnsi"/>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0D13" w14:textId="77777777" w:rsidR="0010759D" w:rsidRDefault="0010759D" w:rsidP="00B327B7">
      <w:r>
        <w:separator/>
      </w:r>
    </w:p>
  </w:footnote>
  <w:footnote w:type="continuationSeparator" w:id="0">
    <w:p w14:paraId="69C28C35" w14:textId="77777777" w:rsidR="0010759D" w:rsidRDefault="0010759D" w:rsidP="00B327B7">
      <w:r>
        <w:continuationSeparator/>
      </w:r>
    </w:p>
  </w:footnote>
  <w:footnote w:id="1">
    <w:p w14:paraId="1F0B62BC"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Dz. U. z 2024 r. poz. 386.</w:t>
      </w:r>
    </w:p>
  </w:footnote>
  <w:footnote w:id="2">
    <w:p w14:paraId="12D79B7E"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Dz. U. z 2024 r. poz. 900 t.j.</w:t>
      </w:r>
    </w:p>
  </w:footnote>
  <w:footnote w:id="3">
    <w:p w14:paraId="7474F867" w14:textId="559619BD"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Załącznik do zarządzenia Prezydenta m.st. Warszawy nr 1618/2017 z dnia 3 października 2017 r. w sprawie wprowadzenia Regulaminu windykacji należności m.st. Warszawy w Urzędzie m.st. Warszawy, w tym w urzędach dzielnic m.st. Warszawy (ze zm.).</w:t>
      </w:r>
    </w:p>
  </w:footnote>
  <w:footnote w:id="4">
    <w:p w14:paraId="466A7A22"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w:t>
      </w:r>
      <w:r w:rsidRPr="000A7693">
        <w:rPr>
          <w:rFonts w:asciiTheme="minorHAnsi" w:hAnsiTheme="minorHAnsi" w:cstheme="minorHAnsi"/>
          <w:sz w:val="22"/>
          <w:szCs w:val="22"/>
          <w:lang w:bidi="pl-PL"/>
        </w:rPr>
        <w:t>arządzenie nr 531/2022 Prezydenta m.st. Warszawy z 31 marca 2022 r. zmieniające zarządzenie w sprawie wprowadzenia Regulaminu windykacji należności m.st. Warszawy w Urzędzie m.st. Warszawy, w tym w urzędach dzielnic m.st. Warszawy.</w:t>
      </w:r>
    </w:p>
  </w:footnote>
  <w:footnote w:id="5">
    <w:p w14:paraId="7DDC47C9"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zarządzenie nr 689/2018 Prezydenta m.st. Warszawy z 27 kwietnia 2018 r. w sprawie nadania wewnętrznego regulaminu organizacyjnego Urzędu Dzielnicy Śródmieście Miasta Stołecznego Warszawy w Urzędzie Miasta Stołecznego Warszawy (ze zm.).</w:t>
      </w:r>
    </w:p>
  </w:footnote>
  <w:footnote w:id="6">
    <w:p w14:paraId="06BAD745"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konto 221-001-010-003 „Zaległości opłaty za przekształcenie użytkowania wieczystego w prawo własności”.</w:t>
      </w:r>
    </w:p>
  </w:footnote>
  <w:footnote w:id="7">
    <w:p w14:paraId="48E11F3F"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zgodnie z danymi wykazanymi w rubryce „Saldo końcowe wymagalne po ratach” na wydruku z modułu WOGRUP „Sumy danych do bilansu księgowego za okres od 2023-01-01 do 2023-12-31” sporządzonym 5 stycznia 2024 r.</w:t>
      </w:r>
    </w:p>
  </w:footnote>
  <w:footnote w:id="8">
    <w:p w14:paraId="7F78A207"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Saldo konta 221-001-010-001 „Należności bieżące przekształcenia użytkowe wieczystego w prawo własno”</w:t>
      </w:r>
      <w:r w:rsidRPr="000A7693">
        <w:rPr>
          <w:rFonts w:asciiTheme="minorHAnsi" w:hAnsiTheme="minorHAnsi" w:cstheme="minorHAnsi"/>
          <w:color w:val="000000"/>
          <w:sz w:val="22"/>
          <w:szCs w:val="22"/>
        </w:rPr>
        <w:t xml:space="preserve"> w kwocie 9 708 069,13 zł pomniejszone o saldo konta </w:t>
      </w:r>
      <w:r w:rsidRPr="000A7693">
        <w:rPr>
          <w:rFonts w:asciiTheme="minorHAnsi" w:hAnsiTheme="minorHAnsi" w:cstheme="minorHAnsi"/>
          <w:sz w:val="22"/>
          <w:szCs w:val="22"/>
        </w:rPr>
        <w:t>226-004 „Przekształcenie prawa uw. w prawo własności do 2038 r.” w kwocie 9 100 000,00 zł, na którym ewidencjonowane są należności długoterminowe.</w:t>
      </w:r>
    </w:p>
  </w:footnote>
  <w:footnote w:id="9">
    <w:p w14:paraId="51ECE732"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Dz. U. z 2023 r. poz. 120 ze zm.</w:t>
      </w:r>
    </w:p>
  </w:footnote>
  <w:footnote w:id="10">
    <w:p w14:paraId="086E3E5C"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konto 1083 - Zestawienie zaległości 203 547,12 zł, BO na koncie 0,00 zł, konto 855 - Zestawienie zaległości 103 383,53 zł, BO na koncie 75 748,78 zł, konto 640 - Zestawienie zaległości 79 786,65 zł, BO na koncie 645,61 zł, konto 1195 - Zestawienie zaległości 65 568,29 zł, BO na koncie 63 348,12 zł, konto 18875 - Zestawienie zaległości 64 380,90 zł, BO na koncie 65 627,61 zł, konto 39912 - Zestawienie zaległości 18 259,24 zł, BO na koncie 17 215,65 zł, konto 1147 - Zestawienie zaległości 19 437,00 zł, BO na koncie 14 609,27 zł, konto 47179 - Zestawienie zaległości 140,12 zł, BO na koncie 0,00 zł, konto 74 - Zestawienie zaległości 33 618,19 zł, BO na koncie 30 578,82 zł, konto 59 - Zestawienie zaległości 38 280,39 zł, BO na koncie 25 887,31 zł, konto 288 - Zestawienie zaległości 25 558,65 zł, BO na koncie 25 398,53 zł.</w:t>
      </w:r>
    </w:p>
  </w:footnote>
  <w:footnote w:id="11">
    <w:p w14:paraId="085B170F"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wykazany na wydrukach z programu OTAGO „Zestawienie niezapłaconych należności/należności zaległe”.</w:t>
      </w:r>
    </w:p>
  </w:footnote>
  <w:footnote w:id="12">
    <w:p w14:paraId="29904071"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konto 18875 – stan zaległości o 1 246,71 zł mniejszy niż bilans otwarcia na koncie rozrachunkowym.</w:t>
      </w:r>
    </w:p>
  </w:footnote>
  <w:footnote w:id="13">
    <w:p w14:paraId="1E04E60D"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Zakładowy plan kont dla Urzędu m.st. Warszawy, jako jednostki budżetowej wraz z zasadami funkcjonowania kont syntetycznych obowiązujący w wydziałach dla dzielnic m.st. Warszawy właściwych w sprawach budżetowo-księgowych.</w:t>
      </w:r>
    </w:p>
  </w:footnote>
  <w:footnote w:id="14">
    <w:p w14:paraId="3CFA40A3"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kwota zgodna z danymi wykazanymi w rubryce „Saldo końcowe wymagalne po ratach” na wydruku z programu OTAGO „Sumy danych do bilansu księgowego za okres od 2023-01-01 do 2023-12-31”</w:t>
      </w:r>
    </w:p>
  </w:footnote>
  <w:footnote w:id="15">
    <w:p w14:paraId="678E84BB"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Dz. U. z 2023 r. poz. 1270 ze zm.</w:t>
      </w:r>
    </w:p>
  </w:footnote>
  <w:footnote w:id="16">
    <w:p w14:paraId="6186D9C4"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który zgodnie z wyjaśnieniami Burmistrza, zawierał również należności już spłacone, a wykazywane jako zadłużenie ze względu na niezarachowanie wszystkich wpłat.</w:t>
      </w:r>
    </w:p>
  </w:footnote>
  <w:footnote w:id="17">
    <w:p w14:paraId="0D5D1A42"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od jednorazowej opłaty  na podstawie uchwały nr LXXV/2128/2018 Rady m.st. Warszawy z 18 października 2018 r. ze zm.), od rocznych opłat przekształceniowych należnych za 2019 i 2020 rok (uchwała nr XXVIII/835/2020 Rady m.st. Warszawy z 19 marca 2020 r.), od rocznych opłat przekształceniowych należnych za 2021 rok (uchwała nr XLVI/1411/2021 Rady m.st. Warszawy z 18 marca 2021 r.).</w:t>
      </w:r>
    </w:p>
  </w:footnote>
  <w:footnote w:id="18">
    <w:p w14:paraId="47C51896"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nr karty kontowej 18875 – 19 lipca 2023 r. dokonano korekt opłat rocznych za lata 2019 -2021 za lokal nr 15 z 2 742,19 zł na 54,84 zł (razem wyksięgowano 8 062,05 zł);</w:t>
      </w:r>
    </w:p>
    <w:p w14:paraId="6F4D1EB0"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Fonts w:asciiTheme="minorHAnsi" w:hAnsiTheme="minorHAnsi" w:cstheme="minorHAnsi"/>
          <w:sz w:val="22"/>
          <w:szCs w:val="22"/>
        </w:rPr>
        <w:t>nr karty kontowej 1252 – 16 maja 2023 r. dokonano korekty opłaty rocznej za 2021 r. z kwoty 957,33 zł na 19,15 zł.</w:t>
      </w:r>
    </w:p>
  </w:footnote>
  <w:footnote w:id="19">
    <w:p w14:paraId="7C9F2ADD"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zgodnie z którym jeżeli zaświadczenie zostało doręczone po 30 listopada 2019 r., osobom uprawnionym przysługuje bonifikata w wymiarze obowiązującym w roku, w którym nastąpiło przekształcenie, pod warunkiem wniesienia opłaty jednorazowej z bonifikatą w terminie 2 miesięcy od dnia otrzymania informacji.</w:t>
      </w:r>
    </w:p>
  </w:footnote>
  <w:footnote w:id="20">
    <w:p w14:paraId="013C53E7"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pismo znak sprawy BM-WMM-DO.6826.1.2018.SZA z 9 marca 2021 r.</w:t>
      </w:r>
    </w:p>
  </w:footnote>
  <w:footnote w:id="21">
    <w:p w14:paraId="026B82E3"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niezgodnie z tym zaleceniem wydano informacje właścicielom nieruchomości, których ewidencję prowadzono na kartach kontowych o nr: 18875 (dwie informacje dot. dwóch lokali), 39912 i 34173.</w:t>
      </w:r>
    </w:p>
  </w:footnote>
  <w:footnote w:id="22">
    <w:p w14:paraId="7188FA42"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Pismo znak sprawy DN.750.12.2021. z 29 stycznia 2021 r.</w:t>
      </w:r>
    </w:p>
  </w:footnote>
  <w:footnote w:id="23">
    <w:p w14:paraId="2EF5995E" w14:textId="6512093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w:t>
      </w:r>
      <w:r w:rsidRPr="000A7693">
        <w:rPr>
          <w:rFonts w:asciiTheme="minorHAnsi" w:hAnsiTheme="minorHAnsi" w:cstheme="minorHAnsi"/>
          <w:color w:val="000000"/>
          <w:spacing w:val="1"/>
          <w:sz w:val="22"/>
          <w:szCs w:val="22"/>
        </w:rPr>
        <w:t>karty kontowe o numerach:</w:t>
      </w:r>
      <w:r w:rsidRPr="000A7693">
        <w:rPr>
          <w:rFonts w:asciiTheme="minorHAnsi" w:hAnsiTheme="minorHAnsi" w:cstheme="minorHAnsi"/>
          <w:sz w:val="22"/>
          <w:szCs w:val="22"/>
        </w:rPr>
        <w:t xml:space="preserve"> 25079, 37134, 34909, 29983, 21315, 47804, 34173</w:t>
      </w:r>
    </w:p>
  </w:footnote>
  <w:footnote w:id="24">
    <w:p w14:paraId="1F097F25" w14:textId="5A44C49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karta kontowa nr 7063, zgłoszenie z zamiarem wniesienia opłaty jednorazowej z bonifikatą zostało rozpatrzone odmownie w dniu 31.01.2023 r. Wnioskiem z dnia 27.03.2023 r. właściciel wystąpił o ustalenie wysokości opłaty jednorazowej z bonifikatą w drodze decyzji.</w:t>
      </w:r>
    </w:p>
  </w:footnote>
  <w:footnote w:id="25">
    <w:p w14:paraId="4A5F79AB" w14:textId="340AD8B2"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dnia 12 lipca 2023 r. na nal.</w:t>
      </w:r>
      <w:r w:rsidR="00ED1907" w:rsidRPr="000A7693">
        <w:rPr>
          <w:rFonts w:asciiTheme="minorHAnsi" w:hAnsiTheme="minorHAnsi" w:cstheme="minorHAnsi"/>
          <w:sz w:val="22"/>
          <w:szCs w:val="22"/>
        </w:rPr>
        <w:t xml:space="preserve"> </w:t>
      </w:r>
      <w:r w:rsidRPr="000A7693">
        <w:rPr>
          <w:rFonts w:asciiTheme="minorHAnsi" w:hAnsiTheme="minorHAnsi" w:cstheme="minorHAnsi"/>
          <w:sz w:val="22"/>
          <w:szCs w:val="22"/>
        </w:rPr>
        <w:t>gł. w łącznej kwocie 3 871,06 zł</w:t>
      </w:r>
    </w:p>
  </w:footnote>
  <w:footnote w:id="26">
    <w:p w14:paraId="4BCB7D0C" w14:textId="1F27F092"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decyzję nr 11/OPJ/2023 z dnia 7 grudnia 2023 r. ustalającą wysokość opłaty jednorazowej (za 20 lat) z bonifikatą w wysokości 98% doręczono stronie w dniu 22.12.2023 r. Zobowiązany wniósł opłatę 27 grudnia 2023 r. Korekty przypisów za lata 2019-2023 oraz przypisu opłaty jednorazowej dokonano 4 stycznia 2024 r.</w:t>
      </w:r>
    </w:p>
  </w:footnote>
  <w:footnote w:id="27">
    <w:p w14:paraId="58890CB9"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w zaświadczeniach wysyłanych po ustawowym terminie płatności opłaty rocznej wskazywano, że należy je uiścić w terminie 14 dni od daty odbiory zaświadczenia.</w:t>
      </w:r>
    </w:p>
  </w:footnote>
  <w:footnote w:id="28">
    <w:p w14:paraId="1CBA0D78" w14:textId="1BFC89BF"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00D623F2" w:rsidRPr="000A7693">
        <w:rPr>
          <w:rFonts w:asciiTheme="minorHAnsi" w:hAnsiTheme="minorHAnsi" w:cstheme="minorHAnsi"/>
          <w:sz w:val="22"/>
          <w:szCs w:val="22"/>
        </w:rPr>
        <w:t xml:space="preserve"> Dz. U. z 2024</w:t>
      </w:r>
      <w:r w:rsidRPr="000A7693">
        <w:rPr>
          <w:rFonts w:asciiTheme="minorHAnsi" w:hAnsiTheme="minorHAnsi" w:cstheme="minorHAnsi"/>
          <w:sz w:val="22"/>
          <w:szCs w:val="22"/>
        </w:rPr>
        <w:t xml:space="preserve"> r. poz. </w:t>
      </w:r>
      <w:r w:rsidR="00D623F2" w:rsidRPr="000A7693">
        <w:rPr>
          <w:rFonts w:asciiTheme="minorHAnsi" w:hAnsiTheme="minorHAnsi" w:cstheme="minorHAnsi"/>
          <w:sz w:val="22"/>
          <w:szCs w:val="22"/>
        </w:rPr>
        <w:t>1061</w:t>
      </w:r>
      <w:r w:rsidRPr="000A7693">
        <w:rPr>
          <w:rFonts w:asciiTheme="minorHAnsi" w:hAnsiTheme="minorHAnsi" w:cstheme="minorHAnsi"/>
          <w:sz w:val="22"/>
          <w:szCs w:val="22"/>
        </w:rPr>
        <w:t xml:space="preserve"> ze zm.</w:t>
      </w:r>
    </w:p>
  </w:footnote>
  <w:footnote w:id="29">
    <w:p w14:paraId="28A37C87"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Dz. U. z 2023 r. poz. 2505 ze zm.</w:t>
      </w:r>
    </w:p>
  </w:footnote>
  <w:footnote w:id="30">
    <w:p w14:paraId="22ED08E8"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Upomnienie do zobowiązanego wysyła się w terminie 30 dni od upływu terminu zapłaty należności lub do 31 stycznia roku następnego, w przypadku, gdy należność, wraz z odsetkami nie przekroczy 10-krotności kosztów upomnienia, tj. 160 zł.</w:t>
      </w:r>
    </w:p>
  </w:footnote>
  <w:footnote w:id="31">
    <w:p w14:paraId="7A7B7928"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zgodnie z którym tytuły wykonawcze powinny być wystawione przez wydział merytoryczny w terminie 30 dni od daty przekazania z wydziału budżetowo-księgowego kopii upomnienia wraz ze zwrotnym potwierdzeniem odbioru.</w:t>
      </w:r>
    </w:p>
  </w:footnote>
  <w:footnote w:id="32">
    <w:p w14:paraId="6DE3DB4E"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nr karty kontowej 1143 – wykazano zaległości w kwocie nal. gł. 434 405,36 zł wynikające z postanowienia SKO z 10 stycznia 2021 r., o dopłacie poinformowano zobowiązanego 18 września 2023 r. – opłaty zostały wniesione terminowo; nr karty kontowej 21183 - w 2023 r. dokonano odpisów należności w łącznej kwocie 83 492,38 zł, które wynikały z postanowienia SKO, informacje o dopłatach wysłano 19 czerwca 2024 r.</w:t>
      </w:r>
    </w:p>
    <w:p w14:paraId="59612F34"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Fonts w:asciiTheme="minorHAnsi" w:hAnsiTheme="minorHAnsi" w:cstheme="minorHAnsi"/>
          <w:sz w:val="22"/>
          <w:szCs w:val="22"/>
        </w:rPr>
        <w:t>nr karty kontowej 39912 – wykazano zaległości w kwocie 18 259,24 zł, zaświadczenia zostały odebrane 11 lipca 2023 r. – zmieniono terminy płatności na 25 lipca 2023 r.</w:t>
      </w:r>
    </w:p>
  </w:footnote>
  <w:footnote w:id="33">
    <w:p w14:paraId="005CBF14"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nr karty kontowej 1143 - upomnienie wysłano 30 maja 2023 r., tytuł wykonawczy sporządzono 30 sierpnia 2023 r.</w:t>
      </w:r>
    </w:p>
  </w:footnote>
  <w:footnote w:id="34">
    <w:p w14:paraId="011B05F0"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nr karty kontowej 855 –103 383,53 zł; nr karty kontowej 1240 - 96 738,07 zł; nr karty kontowej 1244 – 74 255,64 zł; nr karty kontowej 176 – 51 616,08 zł.</w:t>
      </w:r>
    </w:p>
  </w:footnote>
  <w:footnote w:id="35">
    <w:p w14:paraId="04BF66FD"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nr karty kontowej 47049.</w:t>
      </w:r>
    </w:p>
  </w:footnote>
  <w:footnote w:id="36">
    <w:p w14:paraId="3DDEAC7F"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nr karty kontowej 23230.</w:t>
      </w:r>
    </w:p>
  </w:footnote>
  <w:footnote w:id="37">
    <w:p w14:paraId="228C6638" w14:textId="77777777" w:rsidR="007E5ED7" w:rsidRPr="000A7693" w:rsidRDefault="007E5ED7" w:rsidP="000A7693">
      <w:pPr>
        <w:pStyle w:val="Tekstprzypisudolnego"/>
        <w:spacing w:before="20" w:after="20"/>
        <w:rPr>
          <w:rFonts w:asciiTheme="minorHAnsi" w:hAnsiTheme="minorHAnsi" w:cstheme="minorHAnsi"/>
          <w:sz w:val="22"/>
          <w:szCs w:val="22"/>
        </w:rPr>
      </w:pPr>
      <w:r w:rsidRPr="000A7693">
        <w:rPr>
          <w:rStyle w:val="Odwoanieprzypisudolnego"/>
          <w:rFonts w:asciiTheme="minorHAnsi" w:hAnsiTheme="minorHAnsi" w:cstheme="minorHAnsi"/>
          <w:sz w:val="22"/>
          <w:szCs w:val="22"/>
        </w:rPr>
        <w:footnoteRef/>
      </w:r>
      <w:r w:rsidRPr="000A7693">
        <w:rPr>
          <w:rFonts w:asciiTheme="minorHAnsi" w:hAnsiTheme="minorHAnsi" w:cstheme="minorHAnsi"/>
          <w:sz w:val="22"/>
          <w:szCs w:val="22"/>
        </w:rPr>
        <w:t xml:space="preserve"> 7 wniosków rozpatrzonych pozytywnie, 2 wnioski rozpatrzone negatywnie, w 1 przypadku zadłużenie spłacono przed rozpatrzeniem wniosku.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6DC1" w14:textId="77777777" w:rsidR="007E5ED7" w:rsidRDefault="000C4E2C">
    <w:pPr>
      <w:pStyle w:val="Nagwek"/>
    </w:pPr>
    <w:r>
      <w:rPr>
        <w:noProof/>
      </w:rPr>
      <w:drawing>
        <wp:inline distT="0" distB="0" distL="0" distR="0" wp14:anchorId="2830BB7A" wp14:editId="7094FF19">
          <wp:extent cx="5759450" cy="1081801"/>
          <wp:effectExtent l="0" t="0" r="0" b="444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081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7E4"/>
    <w:multiLevelType w:val="hybridMultilevel"/>
    <w:tmpl w:val="3B046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51D0B"/>
    <w:multiLevelType w:val="hybridMultilevel"/>
    <w:tmpl w:val="18F02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47B23"/>
    <w:multiLevelType w:val="hybridMultilevel"/>
    <w:tmpl w:val="76D2D93C"/>
    <w:lvl w:ilvl="0" w:tplc="0E4A8CF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 w15:restartNumberingAfterBreak="0">
    <w:nsid w:val="0AB90E1B"/>
    <w:multiLevelType w:val="hybridMultilevel"/>
    <w:tmpl w:val="CED66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AC2ECD"/>
    <w:multiLevelType w:val="hybridMultilevel"/>
    <w:tmpl w:val="2CB0B452"/>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3C6843"/>
    <w:multiLevelType w:val="hybridMultilevel"/>
    <w:tmpl w:val="68D41308"/>
    <w:lvl w:ilvl="0" w:tplc="04150017">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1B693411"/>
    <w:multiLevelType w:val="hybridMultilevel"/>
    <w:tmpl w:val="96140E6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B05776"/>
    <w:multiLevelType w:val="multilevel"/>
    <w:tmpl w:val="35324ACA"/>
    <w:lvl w:ilvl="0">
      <w:start w:val="18"/>
      <w:numFmt w:val="decimal"/>
      <w:lvlText w:val="%1"/>
      <w:lvlJc w:val="left"/>
      <w:rPr>
        <w:rFonts w:ascii="Arial" w:eastAsia="Arial" w:hAnsi="Arial" w:cs="Arial"/>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B688B"/>
    <w:multiLevelType w:val="hybridMultilevel"/>
    <w:tmpl w:val="E5FEE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943247"/>
    <w:multiLevelType w:val="hybridMultilevel"/>
    <w:tmpl w:val="E9D29F8A"/>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5E162E76"/>
    <w:multiLevelType w:val="hybridMultilevel"/>
    <w:tmpl w:val="BD749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992127"/>
    <w:multiLevelType w:val="hybridMultilevel"/>
    <w:tmpl w:val="ADDA0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4A46FC"/>
    <w:multiLevelType w:val="hybridMultilevel"/>
    <w:tmpl w:val="E01894C4"/>
    <w:lvl w:ilvl="0" w:tplc="4C48F516">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7E991871"/>
    <w:multiLevelType w:val="hybridMultilevel"/>
    <w:tmpl w:val="A456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43688299">
    <w:abstractNumId w:val="8"/>
  </w:num>
  <w:num w:numId="2" w16cid:durableId="1565681916">
    <w:abstractNumId w:val="13"/>
  </w:num>
  <w:num w:numId="3" w16cid:durableId="523327406">
    <w:abstractNumId w:val="2"/>
  </w:num>
  <w:num w:numId="4" w16cid:durableId="543828092">
    <w:abstractNumId w:val="9"/>
  </w:num>
  <w:num w:numId="5" w16cid:durableId="522206099">
    <w:abstractNumId w:val="1"/>
  </w:num>
  <w:num w:numId="6" w16cid:durableId="1595168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7843024">
    <w:abstractNumId w:val="7"/>
  </w:num>
  <w:num w:numId="8" w16cid:durableId="1179657105">
    <w:abstractNumId w:val="4"/>
  </w:num>
  <w:num w:numId="9" w16cid:durableId="1748765668">
    <w:abstractNumId w:val="6"/>
  </w:num>
  <w:num w:numId="10" w16cid:durableId="1543715360">
    <w:abstractNumId w:val="11"/>
  </w:num>
  <w:num w:numId="11" w16cid:durableId="914365421">
    <w:abstractNumId w:val="0"/>
  </w:num>
  <w:num w:numId="12" w16cid:durableId="1857962111">
    <w:abstractNumId w:val="12"/>
  </w:num>
  <w:num w:numId="13" w16cid:durableId="895121018">
    <w:abstractNumId w:val="10"/>
  </w:num>
  <w:num w:numId="14" w16cid:durableId="17824536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7B7"/>
    <w:rsid w:val="00000A4C"/>
    <w:rsid w:val="00000A8B"/>
    <w:rsid w:val="00000D3F"/>
    <w:rsid w:val="00001043"/>
    <w:rsid w:val="00001128"/>
    <w:rsid w:val="0000159A"/>
    <w:rsid w:val="0000184E"/>
    <w:rsid w:val="00001E9E"/>
    <w:rsid w:val="0000244B"/>
    <w:rsid w:val="00005728"/>
    <w:rsid w:val="00006AF7"/>
    <w:rsid w:val="000079B5"/>
    <w:rsid w:val="00007BB7"/>
    <w:rsid w:val="00010ACE"/>
    <w:rsid w:val="00012286"/>
    <w:rsid w:val="00013DFE"/>
    <w:rsid w:val="00014B02"/>
    <w:rsid w:val="00015661"/>
    <w:rsid w:val="0001782B"/>
    <w:rsid w:val="000179C9"/>
    <w:rsid w:val="00017FD3"/>
    <w:rsid w:val="00021226"/>
    <w:rsid w:val="0002273A"/>
    <w:rsid w:val="000238DB"/>
    <w:rsid w:val="0002416C"/>
    <w:rsid w:val="00024585"/>
    <w:rsid w:val="0002472E"/>
    <w:rsid w:val="00025380"/>
    <w:rsid w:val="00026B90"/>
    <w:rsid w:val="00030867"/>
    <w:rsid w:val="000313F0"/>
    <w:rsid w:val="000341F8"/>
    <w:rsid w:val="0003645A"/>
    <w:rsid w:val="00036760"/>
    <w:rsid w:val="00037D6A"/>
    <w:rsid w:val="000404F4"/>
    <w:rsid w:val="00040C9B"/>
    <w:rsid w:val="00041681"/>
    <w:rsid w:val="0004187A"/>
    <w:rsid w:val="00041DFB"/>
    <w:rsid w:val="00041F63"/>
    <w:rsid w:val="00043956"/>
    <w:rsid w:val="00045C46"/>
    <w:rsid w:val="00046526"/>
    <w:rsid w:val="00046D40"/>
    <w:rsid w:val="00047ED4"/>
    <w:rsid w:val="000527F0"/>
    <w:rsid w:val="00052BB8"/>
    <w:rsid w:val="00052DA6"/>
    <w:rsid w:val="00053373"/>
    <w:rsid w:val="0005396E"/>
    <w:rsid w:val="00053D93"/>
    <w:rsid w:val="0005522F"/>
    <w:rsid w:val="000554D8"/>
    <w:rsid w:val="000555FF"/>
    <w:rsid w:val="00055670"/>
    <w:rsid w:val="0005727A"/>
    <w:rsid w:val="0005799D"/>
    <w:rsid w:val="0006134A"/>
    <w:rsid w:val="00061C70"/>
    <w:rsid w:val="000620F9"/>
    <w:rsid w:val="00062141"/>
    <w:rsid w:val="0006255B"/>
    <w:rsid w:val="00062F26"/>
    <w:rsid w:val="00063B4F"/>
    <w:rsid w:val="000654BB"/>
    <w:rsid w:val="0006579E"/>
    <w:rsid w:val="00065DF1"/>
    <w:rsid w:val="0006699E"/>
    <w:rsid w:val="00067C0F"/>
    <w:rsid w:val="0007086D"/>
    <w:rsid w:val="00071996"/>
    <w:rsid w:val="00071E12"/>
    <w:rsid w:val="0007375A"/>
    <w:rsid w:val="000737FE"/>
    <w:rsid w:val="00073E82"/>
    <w:rsid w:val="0007475A"/>
    <w:rsid w:val="000747CE"/>
    <w:rsid w:val="00074C8A"/>
    <w:rsid w:val="00076A96"/>
    <w:rsid w:val="00076E7F"/>
    <w:rsid w:val="00076ED8"/>
    <w:rsid w:val="0008194F"/>
    <w:rsid w:val="000826B3"/>
    <w:rsid w:val="00082E93"/>
    <w:rsid w:val="00082F94"/>
    <w:rsid w:val="00083779"/>
    <w:rsid w:val="00084252"/>
    <w:rsid w:val="0008430F"/>
    <w:rsid w:val="00084A3F"/>
    <w:rsid w:val="0008668A"/>
    <w:rsid w:val="00087CE1"/>
    <w:rsid w:val="000927E8"/>
    <w:rsid w:val="000929B9"/>
    <w:rsid w:val="000934CF"/>
    <w:rsid w:val="000951C5"/>
    <w:rsid w:val="00095C62"/>
    <w:rsid w:val="00095E00"/>
    <w:rsid w:val="0009694F"/>
    <w:rsid w:val="00097354"/>
    <w:rsid w:val="00097B67"/>
    <w:rsid w:val="00097DC0"/>
    <w:rsid w:val="000A1962"/>
    <w:rsid w:val="000A221E"/>
    <w:rsid w:val="000A25BA"/>
    <w:rsid w:val="000A2EB8"/>
    <w:rsid w:val="000A3877"/>
    <w:rsid w:val="000A39DA"/>
    <w:rsid w:val="000A42AF"/>
    <w:rsid w:val="000A5951"/>
    <w:rsid w:val="000A5B12"/>
    <w:rsid w:val="000A6959"/>
    <w:rsid w:val="000A6B10"/>
    <w:rsid w:val="000A6C51"/>
    <w:rsid w:val="000A6DA6"/>
    <w:rsid w:val="000A6E55"/>
    <w:rsid w:val="000A7677"/>
    <w:rsid w:val="000A7693"/>
    <w:rsid w:val="000A773A"/>
    <w:rsid w:val="000A779A"/>
    <w:rsid w:val="000B05CB"/>
    <w:rsid w:val="000B0B6B"/>
    <w:rsid w:val="000B0D8F"/>
    <w:rsid w:val="000B2DC0"/>
    <w:rsid w:val="000B3E1D"/>
    <w:rsid w:val="000B47C8"/>
    <w:rsid w:val="000B5441"/>
    <w:rsid w:val="000B5598"/>
    <w:rsid w:val="000C0D91"/>
    <w:rsid w:val="000C3591"/>
    <w:rsid w:val="000C4785"/>
    <w:rsid w:val="000C4927"/>
    <w:rsid w:val="000C4E2C"/>
    <w:rsid w:val="000C4E54"/>
    <w:rsid w:val="000C4FE4"/>
    <w:rsid w:val="000C5D3E"/>
    <w:rsid w:val="000C5EBB"/>
    <w:rsid w:val="000C6152"/>
    <w:rsid w:val="000C6327"/>
    <w:rsid w:val="000C690C"/>
    <w:rsid w:val="000C7284"/>
    <w:rsid w:val="000D0F56"/>
    <w:rsid w:val="000D2443"/>
    <w:rsid w:val="000D2698"/>
    <w:rsid w:val="000D2C1C"/>
    <w:rsid w:val="000D304C"/>
    <w:rsid w:val="000D46EF"/>
    <w:rsid w:val="000D4741"/>
    <w:rsid w:val="000D49B9"/>
    <w:rsid w:val="000D4D98"/>
    <w:rsid w:val="000D7104"/>
    <w:rsid w:val="000D72A1"/>
    <w:rsid w:val="000E159C"/>
    <w:rsid w:val="000E36FC"/>
    <w:rsid w:val="000E44AD"/>
    <w:rsid w:val="000E50CD"/>
    <w:rsid w:val="000E6657"/>
    <w:rsid w:val="000E6D3E"/>
    <w:rsid w:val="000E70AA"/>
    <w:rsid w:val="000E7E45"/>
    <w:rsid w:val="000F00E3"/>
    <w:rsid w:val="000F1ACC"/>
    <w:rsid w:val="000F1AFF"/>
    <w:rsid w:val="000F1CB0"/>
    <w:rsid w:val="000F1FB1"/>
    <w:rsid w:val="000F24A9"/>
    <w:rsid w:val="000F2777"/>
    <w:rsid w:val="000F2886"/>
    <w:rsid w:val="000F2E74"/>
    <w:rsid w:val="000F3C70"/>
    <w:rsid w:val="000F4392"/>
    <w:rsid w:val="000F4CD5"/>
    <w:rsid w:val="000F5137"/>
    <w:rsid w:val="000F60C0"/>
    <w:rsid w:val="000F631A"/>
    <w:rsid w:val="000F6AEC"/>
    <w:rsid w:val="000F6F39"/>
    <w:rsid w:val="000F7412"/>
    <w:rsid w:val="00100800"/>
    <w:rsid w:val="00101582"/>
    <w:rsid w:val="001025C7"/>
    <w:rsid w:val="00103FAF"/>
    <w:rsid w:val="001046B6"/>
    <w:rsid w:val="0010518E"/>
    <w:rsid w:val="001054FE"/>
    <w:rsid w:val="00105521"/>
    <w:rsid w:val="0010595C"/>
    <w:rsid w:val="00106617"/>
    <w:rsid w:val="0010712A"/>
    <w:rsid w:val="0010759D"/>
    <w:rsid w:val="00107BDE"/>
    <w:rsid w:val="00107DEA"/>
    <w:rsid w:val="00110C74"/>
    <w:rsid w:val="001112BA"/>
    <w:rsid w:val="00115D89"/>
    <w:rsid w:val="0011610C"/>
    <w:rsid w:val="00116623"/>
    <w:rsid w:val="001166DC"/>
    <w:rsid w:val="00116DBA"/>
    <w:rsid w:val="0011702E"/>
    <w:rsid w:val="00117EAA"/>
    <w:rsid w:val="00120547"/>
    <w:rsid w:val="00120797"/>
    <w:rsid w:val="001209EC"/>
    <w:rsid w:val="00121BEB"/>
    <w:rsid w:val="0012234B"/>
    <w:rsid w:val="00122DD9"/>
    <w:rsid w:val="0012326E"/>
    <w:rsid w:val="00123F81"/>
    <w:rsid w:val="00124235"/>
    <w:rsid w:val="0012564C"/>
    <w:rsid w:val="00125B0F"/>
    <w:rsid w:val="001264AF"/>
    <w:rsid w:val="001274A1"/>
    <w:rsid w:val="00131FC6"/>
    <w:rsid w:val="001340A5"/>
    <w:rsid w:val="00134561"/>
    <w:rsid w:val="0013494D"/>
    <w:rsid w:val="00136165"/>
    <w:rsid w:val="00136D07"/>
    <w:rsid w:val="00136E29"/>
    <w:rsid w:val="0013728F"/>
    <w:rsid w:val="001374DA"/>
    <w:rsid w:val="00137FD4"/>
    <w:rsid w:val="00140462"/>
    <w:rsid w:val="0014111D"/>
    <w:rsid w:val="00142B38"/>
    <w:rsid w:val="001437EE"/>
    <w:rsid w:val="001448BD"/>
    <w:rsid w:val="00144D87"/>
    <w:rsid w:val="00147C8D"/>
    <w:rsid w:val="00147CA9"/>
    <w:rsid w:val="001507B9"/>
    <w:rsid w:val="00151A69"/>
    <w:rsid w:val="001533E9"/>
    <w:rsid w:val="0015448E"/>
    <w:rsid w:val="00154FA6"/>
    <w:rsid w:val="00155C6E"/>
    <w:rsid w:val="00155CED"/>
    <w:rsid w:val="00156FD1"/>
    <w:rsid w:val="0015705E"/>
    <w:rsid w:val="001602E4"/>
    <w:rsid w:val="00160B5E"/>
    <w:rsid w:val="00160FB2"/>
    <w:rsid w:val="001620AE"/>
    <w:rsid w:val="0016250C"/>
    <w:rsid w:val="00162933"/>
    <w:rsid w:val="0016336B"/>
    <w:rsid w:val="0016351A"/>
    <w:rsid w:val="00163744"/>
    <w:rsid w:val="00163E71"/>
    <w:rsid w:val="00163F53"/>
    <w:rsid w:val="001703A5"/>
    <w:rsid w:val="0017102F"/>
    <w:rsid w:val="001711E9"/>
    <w:rsid w:val="0017122E"/>
    <w:rsid w:val="0017186B"/>
    <w:rsid w:val="00171ACE"/>
    <w:rsid w:val="0017332D"/>
    <w:rsid w:val="001744DA"/>
    <w:rsid w:val="00174680"/>
    <w:rsid w:val="00174C5B"/>
    <w:rsid w:val="00174D75"/>
    <w:rsid w:val="001754C2"/>
    <w:rsid w:val="00175A18"/>
    <w:rsid w:val="00175CAC"/>
    <w:rsid w:val="00175CFC"/>
    <w:rsid w:val="0017673B"/>
    <w:rsid w:val="00176C67"/>
    <w:rsid w:val="0017795A"/>
    <w:rsid w:val="001814DC"/>
    <w:rsid w:val="00182C4D"/>
    <w:rsid w:val="0018400C"/>
    <w:rsid w:val="001845CD"/>
    <w:rsid w:val="00184C78"/>
    <w:rsid w:val="00185D2D"/>
    <w:rsid w:val="00186907"/>
    <w:rsid w:val="00186F2B"/>
    <w:rsid w:val="00190221"/>
    <w:rsid w:val="0019053E"/>
    <w:rsid w:val="00191576"/>
    <w:rsid w:val="00191C92"/>
    <w:rsid w:val="0019272D"/>
    <w:rsid w:val="0019369B"/>
    <w:rsid w:val="00194670"/>
    <w:rsid w:val="00196213"/>
    <w:rsid w:val="00196AD9"/>
    <w:rsid w:val="00197789"/>
    <w:rsid w:val="001A0FA0"/>
    <w:rsid w:val="001A12A0"/>
    <w:rsid w:val="001A3AE6"/>
    <w:rsid w:val="001A3E77"/>
    <w:rsid w:val="001A3FF2"/>
    <w:rsid w:val="001A5E19"/>
    <w:rsid w:val="001A77DF"/>
    <w:rsid w:val="001B07BE"/>
    <w:rsid w:val="001B1052"/>
    <w:rsid w:val="001B1E3B"/>
    <w:rsid w:val="001B33A3"/>
    <w:rsid w:val="001B5187"/>
    <w:rsid w:val="001B523A"/>
    <w:rsid w:val="001B65AA"/>
    <w:rsid w:val="001B71D1"/>
    <w:rsid w:val="001C0120"/>
    <w:rsid w:val="001C124F"/>
    <w:rsid w:val="001C2E40"/>
    <w:rsid w:val="001C2E6A"/>
    <w:rsid w:val="001C52A2"/>
    <w:rsid w:val="001C54CE"/>
    <w:rsid w:val="001C59B6"/>
    <w:rsid w:val="001C6365"/>
    <w:rsid w:val="001C68FC"/>
    <w:rsid w:val="001D09AA"/>
    <w:rsid w:val="001D0EB0"/>
    <w:rsid w:val="001D12DD"/>
    <w:rsid w:val="001D2120"/>
    <w:rsid w:val="001D2180"/>
    <w:rsid w:val="001D311A"/>
    <w:rsid w:val="001D31D6"/>
    <w:rsid w:val="001D33B7"/>
    <w:rsid w:val="001D3995"/>
    <w:rsid w:val="001D5126"/>
    <w:rsid w:val="001D5ABD"/>
    <w:rsid w:val="001D5E13"/>
    <w:rsid w:val="001D7909"/>
    <w:rsid w:val="001E0E24"/>
    <w:rsid w:val="001E15CF"/>
    <w:rsid w:val="001E2FC1"/>
    <w:rsid w:val="001E3413"/>
    <w:rsid w:val="001E3BD1"/>
    <w:rsid w:val="001E5F08"/>
    <w:rsid w:val="001E6439"/>
    <w:rsid w:val="001E684C"/>
    <w:rsid w:val="001E6D0D"/>
    <w:rsid w:val="001E705A"/>
    <w:rsid w:val="001E78BA"/>
    <w:rsid w:val="001F0B1F"/>
    <w:rsid w:val="001F1462"/>
    <w:rsid w:val="001F1AAE"/>
    <w:rsid w:val="001F72F0"/>
    <w:rsid w:val="001F73CB"/>
    <w:rsid w:val="001F7525"/>
    <w:rsid w:val="001F7D4D"/>
    <w:rsid w:val="0020048B"/>
    <w:rsid w:val="00200BF1"/>
    <w:rsid w:val="0020148F"/>
    <w:rsid w:val="00202BA6"/>
    <w:rsid w:val="00202E67"/>
    <w:rsid w:val="002032C7"/>
    <w:rsid w:val="002040B4"/>
    <w:rsid w:val="00204593"/>
    <w:rsid w:val="00204ACD"/>
    <w:rsid w:val="00204ECD"/>
    <w:rsid w:val="00206ACD"/>
    <w:rsid w:val="00207B1A"/>
    <w:rsid w:val="00207BA1"/>
    <w:rsid w:val="0021002A"/>
    <w:rsid w:val="00210632"/>
    <w:rsid w:val="00210B9B"/>
    <w:rsid w:val="00210FB0"/>
    <w:rsid w:val="002115AD"/>
    <w:rsid w:val="0021244B"/>
    <w:rsid w:val="002139DD"/>
    <w:rsid w:val="00214789"/>
    <w:rsid w:val="0021518F"/>
    <w:rsid w:val="00216812"/>
    <w:rsid w:val="00216E2F"/>
    <w:rsid w:val="00217ACD"/>
    <w:rsid w:val="00221E12"/>
    <w:rsid w:val="0022210E"/>
    <w:rsid w:val="00223E79"/>
    <w:rsid w:val="0022533F"/>
    <w:rsid w:val="00226154"/>
    <w:rsid w:val="002262A7"/>
    <w:rsid w:val="00226DE6"/>
    <w:rsid w:val="002307F1"/>
    <w:rsid w:val="00231724"/>
    <w:rsid w:val="00233C65"/>
    <w:rsid w:val="00234616"/>
    <w:rsid w:val="00234B6E"/>
    <w:rsid w:val="00234E10"/>
    <w:rsid w:val="00235720"/>
    <w:rsid w:val="00235915"/>
    <w:rsid w:val="00236611"/>
    <w:rsid w:val="0023764B"/>
    <w:rsid w:val="00242B98"/>
    <w:rsid w:val="00242CDB"/>
    <w:rsid w:val="00242D36"/>
    <w:rsid w:val="00244090"/>
    <w:rsid w:val="00244151"/>
    <w:rsid w:val="00244868"/>
    <w:rsid w:val="00244A99"/>
    <w:rsid w:val="00244E1E"/>
    <w:rsid w:val="00244FE4"/>
    <w:rsid w:val="00246F4A"/>
    <w:rsid w:val="0024718E"/>
    <w:rsid w:val="00247ABD"/>
    <w:rsid w:val="00247B6B"/>
    <w:rsid w:val="00247E36"/>
    <w:rsid w:val="002504A8"/>
    <w:rsid w:val="00250853"/>
    <w:rsid w:val="00251BA7"/>
    <w:rsid w:val="00252FE6"/>
    <w:rsid w:val="00254579"/>
    <w:rsid w:val="002545DF"/>
    <w:rsid w:val="00255742"/>
    <w:rsid w:val="002561E7"/>
    <w:rsid w:val="00257B17"/>
    <w:rsid w:val="00257F23"/>
    <w:rsid w:val="002602ED"/>
    <w:rsid w:val="00260402"/>
    <w:rsid w:val="00260E2E"/>
    <w:rsid w:val="00261035"/>
    <w:rsid w:val="00261183"/>
    <w:rsid w:val="00262AF9"/>
    <w:rsid w:val="002636D6"/>
    <w:rsid w:val="00263C19"/>
    <w:rsid w:val="00264247"/>
    <w:rsid w:val="00264683"/>
    <w:rsid w:val="0026519A"/>
    <w:rsid w:val="0026566C"/>
    <w:rsid w:val="002700E8"/>
    <w:rsid w:val="0027046B"/>
    <w:rsid w:val="0027067D"/>
    <w:rsid w:val="002709AC"/>
    <w:rsid w:val="00270ACA"/>
    <w:rsid w:val="0027143A"/>
    <w:rsid w:val="00271F6C"/>
    <w:rsid w:val="00272E80"/>
    <w:rsid w:val="002730F5"/>
    <w:rsid w:val="002732BA"/>
    <w:rsid w:val="00273582"/>
    <w:rsid w:val="00273913"/>
    <w:rsid w:val="00273A29"/>
    <w:rsid w:val="00273D78"/>
    <w:rsid w:val="00273F51"/>
    <w:rsid w:val="00274020"/>
    <w:rsid w:val="002744C9"/>
    <w:rsid w:val="00274F34"/>
    <w:rsid w:val="00275770"/>
    <w:rsid w:val="00275C94"/>
    <w:rsid w:val="00275D19"/>
    <w:rsid w:val="00276A91"/>
    <w:rsid w:val="00277903"/>
    <w:rsid w:val="00282557"/>
    <w:rsid w:val="002833A2"/>
    <w:rsid w:val="00283D21"/>
    <w:rsid w:val="00284C10"/>
    <w:rsid w:val="00284DAB"/>
    <w:rsid w:val="00284FF4"/>
    <w:rsid w:val="002859DB"/>
    <w:rsid w:val="002866A1"/>
    <w:rsid w:val="00286FEF"/>
    <w:rsid w:val="00287135"/>
    <w:rsid w:val="00290793"/>
    <w:rsid w:val="00291454"/>
    <w:rsid w:val="00291A55"/>
    <w:rsid w:val="00292107"/>
    <w:rsid w:val="00292E91"/>
    <w:rsid w:val="00293653"/>
    <w:rsid w:val="002939FC"/>
    <w:rsid w:val="0029429D"/>
    <w:rsid w:val="002942BF"/>
    <w:rsid w:val="00294CE8"/>
    <w:rsid w:val="002950C0"/>
    <w:rsid w:val="0029542E"/>
    <w:rsid w:val="0029551D"/>
    <w:rsid w:val="00295A25"/>
    <w:rsid w:val="00296D13"/>
    <w:rsid w:val="0029736D"/>
    <w:rsid w:val="002A0516"/>
    <w:rsid w:val="002A1576"/>
    <w:rsid w:val="002A2E49"/>
    <w:rsid w:val="002A5D2B"/>
    <w:rsid w:val="002A6A59"/>
    <w:rsid w:val="002A6D3B"/>
    <w:rsid w:val="002A72E9"/>
    <w:rsid w:val="002A75CE"/>
    <w:rsid w:val="002A7785"/>
    <w:rsid w:val="002B023B"/>
    <w:rsid w:val="002B05F8"/>
    <w:rsid w:val="002B08B6"/>
    <w:rsid w:val="002B09E4"/>
    <w:rsid w:val="002B17DB"/>
    <w:rsid w:val="002B26CF"/>
    <w:rsid w:val="002B2E9C"/>
    <w:rsid w:val="002B3425"/>
    <w:rsid w:val="002B3756"/>
    <w:rsid w:val="002B432A"/>
    <w:rsid w:val="002B5291"/>
    <w:rsid w:val="002B6235"/>
    <w:rsid w:val="002B6AAA"/>
    <w:rsid w:val="002B72D9"/>
    <w:rsid w:val="002B766C"/>
    <w:rsid w:val="002C075F"/>
    <w:rsid w:val="002C0D66"/>
    <w:rsid w:val="002C0FBC"/>
    <w:rsid w:val="002C147B"/>
    <w:rsid w:val="002C2A4F"/>
    <w:rsid w:val="002C2F9C"/>
    <w:rsid w:val="002C327F"/>
    <w:rsid w:val="002C4C41"/>
    <w:rsid w:val="002C4CAB"/>
    <w:rsid w:val="002C4FC3"/>
    <w:rsid w:val="002C4FFB"/>
    <w:rsid w:val="002C547C"/>
    <w:rsid w:val="002C757F"/>
    <w:rsid w:val="002D0B55"/>
    <w:rsid w:val="002D1600"/>
    <w:rsid w:val="002D1DEF"/>
    <w:rsid w:val="002D1F0E"/>
    <w:rsid w:val="002D2394"/>
    <w:rsid w:val="002D407C"/>
    <w:rsid w:val="002D46F9"/>
    <w:rsid w:val="002D4795"/>
    <w:rsid w:val="002D6A17"/>
    <w:rsid w:val="002D750B"/>
    <w:rsid w:val="002D7857"/>
    <w:rsid w:val="002E0CF6"/>
    <w:rsid w:val="002E0F43"/>
    <w:rsid w:val="002E1363"/>
    <w:rsid w:val="002E2653"/>
    <w:rsid w:val="002E3ADE"/>
    <w:rsid w:val="002E4174"/>
    <w:rsid w:val="002E4A4A"/>
    <w:rsid w:val="002E5C79"/>
    <w:rsid w:val="002E5F59"/>
    <w:rsid w:val="002E72DD"/>
    <w:rsid w:val="002E7A72"/>
    <w:rsid w:val="002F0E60"/>
    <w:rsid w:val="002F10F4"/>
    <w:rsid w:val="002F1154"/>
    <w:rsid w:val="002F18AA"/>
    <w:rsid w:val="002F290E"/>
    <w:rsid w:val="002F36A8"/>
    <w:rsid w:val="002F400D"/>
    <w:rsid w:val="002F45A9"/>
    <w:rsid w:val="002F5145"/>
    <w:rsid w:val="002F560F"/>
    <w:rsid w:val="002F5BAD"/>
    <w:rsid w:val="002F69F5"/>
    <w:rsid w:val="002F6BB3"/>
    <w:rsid w:val="002F77AB"/>
    <w:rsid w:val="002F77B9"/>
    <w:rsid w:val="00300369"/>
    <w:rsid w:val="003011E9"/>
    <w:rsid w:val="0030151C"/>
    <w:rsid w:val="00303637"/>
    <w:rsid w:val="003040E1"/>
    <w:rsid w:val="00304B94"/>
    <w:rsid w:val="0030529C"/>
    <w:rsid w:val="003052CF"/>
    <w:rsid w:val="0030535D"/>
    <w:rsid w:val="003068E3"/>
    <w:rsid w:val="00306D7B"/>
    <w:rsid w:val="00306F0A"/>
    <w:rsid w:val="0030719C"/>
    <w:rsid w:val="003071AE"/>
    <w:rsid w:val="00307F69"/>
    <w:rsid w:val="00310021"/>
    <w:rsid w:val="00310037"/>
    <w:rsid w:val="003104BA"/>
    <w:rsid w:val="00310D90"/>
    <w:rsid w:val="00311CA4"/>
    <w:rsid w:val="003129B4"/>
    <w:rsid w:val="00313324"/>
    <w:rsid w:val="00313391"/>
    <w:rsid w:val="00313893"/>
    <w:rsid w:val="003139EB"/>
    <w:rsid w:val="00315CE5"/>
    <w:rsid w:val="003173B0"/>
    <w:rsid w:val="0032102F"/>
    <w:rsid w:val="00321147"/>
    <w:rsid w:val="003213B7"/>
    <w:rsid w:val="00323CDA"/>
    <w:rsid w:val="00324C78"/>
    <w:rsid w:val="003250F0"/>
    <w:rsid w:val="00325705"/>
    <w:rsid w:val="00325966"/>
    <w:rsid w:val="00325C68"/>
    <w:rsid w:val="003268C3"/>
    <w:rsid w:val="003275FC"/>
    <w:rsid w:val="00327AC9"/>
    <w:rsid w:val="0033052B"/>
    <w:rsid w:val="00332878"/>
    <w:rsid w:val="00334535"/>
    <w:rsid w:val="00334BC0"/>
    <w:rsid w:val="003358FB"/>
    <w:rsid w:val="00336BF4"/>
    <w:rsid w:val="00336D20"/>
    <w:rsid w:val="00336F6C"/>
    <w:rsid w:val="00337E45"/>
    <w:rsid w:val="00340D41"/>
    <w:rsid w:val="003416AF"/>
    <w:rsid w:val="00341770"/>
    <w:rsid w:val="00342C10"/>
    <w:rsid w:val="00343FE9"/>
    <w:rsid w:val="003442D9"/>
    <w:rsid w:val="003454F9"/>
    <w:rsid w:val="00345CE6"/>
    <w:rsid w:val="00345E47"/>
    <w:rsid w:val="00346CAA"/>
    <w:rsid w:val="00346CE3"/>
    <w:rsid w:val="00347343"/>
    <w:rsid w:val="0034777F"/>
    <w:rsid w:val="00347808"/>
    <w:rsid w:val="00347C72"/>
    <w:rsid w:val="00350FC9"/>
    <w:rsid w:val="0035314C"/>
    <w:rsid w:val="00353244"/>
    <w:rsid w:val="0035358E"/>
    <w:rsid w:val="003538D6"/>
    <w:rsid w:val="00354EAF"/>
    <w:rsid w:val="0035526B"/>
    <w:rsid w:val="00355B90"/>
    <w:rsid w:val="0035633F"/>
    <w:rsid w:val="00360B4B"/>
    <w:rsid w:val="00362F59"/>
    <w:rsid w:val="003642CF"/>
    <w:rsid w:val="00364DC4"/>
    <w:rsid w:val="00366EB1"/>
    <w:rsid w:val="00367C5E"/>
    <w:rsid w:val="003700DF"/>
    <w:rsid w:val="00370785"/>
    <w:rsid w:val="00370E15"/>
    <w:rsid w:val="00371607"/>
    <w:rsid w:val="00372B13"/>
    <w:rsid w:val="00373272"/>
    <w:rsid w:val="0037359A"/>
    <w:rsid w:val="00373A79"/>
    <w:rsid w:val="0037571E"/>
    <w:rsid w:val="00375BA8"/>
    <w:rsid w:val="00375FA0"/>
    <w:rsid w:val="00376C51"/>
    <w:rsid w:val="0038035B"/>
    <w:rsid w:val="00380F51"/>
    <w:rsid w:val="00382B0D"/>
    <w:rsid w:val="003836CF"/>
    <w:rsid w:val="003846DE"/>
    <w:rsid w:val="00384753"/>
    <w:rsid w:val="003860BE"/>
    <w:rsid w:val="0038653B"/>
    <w:rsid w:val="0038706C"/>
    <w:rsid w:val="003875AE"/>
    <w:rsid w:val="00390E70"/>
    <w:rsid w:val="003910D6"/>
    <w:rsid w:val="00393802"/>
    <w:rsid w:val="003945FB"/>
    <w:rsid w:val="003947BF"/>
    <w:rsid w:val="00394AE3"/>
    <w:rsid w:val="00395A5E"/>
    <w:rsid w:val="00395B07"/>
    <w:rsid w:val="003967E0"/>
    <w:rsid w:val="003968CE"/>
    <w:rsid w:val="00396907"/>
    <w:rsid w:val="003971AA"/>
    <w:rsid w:val="003A0A81"/>
    <w:rsid w:val="003A138D"/>
    <w:rsid w:val="003A1E89"/>
    <w:rsid w:val="003A291A"/>
    <w:rsid w:val="003A4831"/>
    <w:rsid w:val="003A7241"/>
    <w:rsid w:val="003A7267"/>
    <w:rsid w:val="003A74E6"/>
    <w:rsid w:val="003B031C"/>
    <w:rsid w:val="003B0D9E"/>
    <w:rsid w:val="003B1173"/>
    <w:rsid w:val="003B189F"/>
    <w:rsid w:val="003B1A62"/>
    <w:rsid w:val="003B1BB1"/>
    <w:rsid w:val="003B1E37"/>
    <w:rsid w:val="003B3284"/>
    <w:rsid w:val="003B3634"/>
    <w:rsid w:val="003B3A9C"/>
    <w:rsid w:val="003B45F8"/>
    <w:rsid w:val="003B5BEB"/>
    <w:rsid w:val="003B6521"/>
    <w:rsid w:val="003B6739"/>
    <w:rsid w:val="003B69FC"/>
    <w:rsid w:val="003B7994"/>
    <w:rsid w:val="003B7CDF"/>
    <w:rsid w:val="003C0A28"/>
    <w:rsid w:val="003C13E7"/>
    <w:rsid w:val="003C1411"/>
    <w:rsid w:val="003C150B"/>
    <w:rsid w:val="003C2541"/>
    <w:rsid w:val="003C3191"/>
    <w:rsid w:val="003C47DD"/>
    <w:rsid w:val="003C5109"/>
    <w:rsid w:val="003C64C5"/>
    <w:rsid w:val="003D00EE"/>
    <w:rsid w:val="003D13D5"/>
    <w:rsid w:val="003D16F2"/>
    <w:rsid w:val="003D27E8"/>
    <w:rsid w:val="003D2948"/>
    <w:rsid w:val="003D3DC6"/>
    <w:rsid w:val="003D4452"/>
    <w:rsid w:val="003D4A98"/>
    <w:rsid w:val="003D4DF6"/>
    <w:rsid w:val="003D5729"/>
    <w:rsid w:val="003D5A40"/>
    <w:rsid w:val="003D5AA8"/>
    <w:rsid w:val="003D5C81"/>
    <w:rsid w:val="003E1A43"/>
    <w:rsid w:val="003E289D"/>
    <w:rsid w:val="003E2CAE"/>
    <w:rsid w:val="003E50C4"/>
    <w:rsid w:val="003E5DC1"/>
    <w:rsid w:val="003E6B2D"/>
    <w:rsid w:val="003F1A20"/>
    <w:rsid w:val="003F2F2C"/>
    <w:rsid w:val="003F2F77"/>
    <w:rsid w:val="003F6D47"/>
    <w:rsid w:val="003F75D3"/>
    <w:rsid w:val="003F7C20"/>
    <w:rsid w:val="00400B82"/>
    <w:rsid w:val="00401328"/>
    <w:rsid w:val="004022B5"/>
    <w:rsid w:val="00402C92"/>
    <w:rsid w:val="00403540"/>
    <w:rsid w:val="004037EA"/>
    <w:rsid w:val="00403BFF"/>
    <w:rsid w:val="004042C1"/>
    <w:rsid w:val="0040536A"/>
    <w:rsid w:val="004077FB"/>
    <w:rsid w:val="00407C75"/>
    <w:rsid w:val="0041068C"/>
    <w:rsid w:val="00410EE1"/>
    <w:rsid w:val="0041117E"/>
    <w:rsid w:val="00411DD8"/>
    <w:rsid w:val="00411E9F"/>
    <w:rsid w:val="00412FD1"/>
    <w:rsid w:val="004132A9"/>
    <w:rsid w:val="0041363F"/>
    <w:rsid w:val="00413C1F"/>
    <w:rsid w:val="00413DEB"/>
    <w:rsid w:val="00414CC5"/>
    <w:rsid w:val="00415402"/>
    <w:rsid w:val="00415ACA"/>
    <w:rsid w:val="0041675D"/>
    <w:rsid w:val="00416985"/>
    <w:rsid w:val="0041756B"/>
    <w:rsid w:val="00421122"/>
    <w:rsid w:val="0042114A"/>
    <w:rsid w:val="00421BF5"/>
    <w:rsid w:val="004230F3"/>
    <w:rsid w:val="00423618"/>
    <w:rsid w:val="00423623"/>
    <w:rsid w:val="00424085"/>
    <w:rsid w:val="00425010"/>
    <w:rsid w:val="0042688C"/>
    <w:rsid w:val="00427924"/>
    <w:rsid w:val="00430CDC"/>
    <w:rsid w:val="0043331D"/>
    <w:rsid w:val="0043462F"/>
    <w:rsid w:val="0043476C"/>
    <w:rsid w:val="00436184"/>
    <w:rsid w:val="0043761B"/>
    <w:rsid w:val="0044001C"/>
    <w:rsid w:val="0044201E"/>
    <w:rsid w:val="00443FF9"/>
    <w:rsid w:val="004444EC"/>
    <w:rsid w:val="004453D2"/>
    <w:rsid w:val="00445E98"/>
    <w:rsid w:val="00447781"/>
    <w:rsid w:val="00447BF9"/>
    <w:rsid w:val="004508AD"/>
    <w:rsid w:val="00451B93"/>
    <w:rsid w:val="00453AB8"/>
    <w:rsid w:val="004548A9"/>
    <w:rsid w:val="004549FE"/>
    <w:rsid w:val="0045526E"/>
    <w:rsid w:val="00455398"/>
    <w:rsid w:val="00455C6E"/>
    <w:rsid w:val="004562D2"/>
    <w:rsid w:val="004566C2"/>
    <w:rsid w:val="00457144"/>
    <w:rsid w:val="00457AB7"/>
    <w:rsid w:val="00460759"/>
    <w:rsid w:val="004607B8"/>
    <w:rsid w:val="00460F6D"/>
    <w:rsid w:val="00463DB5"/>
    <w:rsid w:val="00465467"/>
    <w:rsid w:val="0046655C"/>
    <w:rsid w:val="00466B1E"/>
    <w:rsid w:val="00466C10"/>
    <w:rsid w:val="00466F1A"/>
    <w:rsid w:val="0046716B"/>
    <w:rsid w:val="00467A20"/>
    <w:rsid w:val="00467D2F"/>
    <w:rsid w:val="00467F08"/>
    <w:rsid w:val="00470AD5"/>
    <w:rsid w:val="00470CDD"/>
    <w:rsid w:val="0047283A"/>
    <w:rsid w:val="004729AC"/>
    <w:rsid w:val="00474D8E"/>
    <w:rsid w:val="00475ECC"/>
    <w:rsid w:val="004769A0"/>
    <w:rsid w:val="00476F93"/>
    <w:rsid w:val="004771EA"/>
    <w:rsid w:val="00477823"/>
    <w:rsid w:val="00477B68"/>
    <w:rsid w:val="00477BF3"/>
    <w:rsid w:val="00481E8F"/>
    <w:rsid w:val="004825D5"/>
    <w:rsid w:val="0048277B"/>
    <w:rsid w:val="00485471"/>
    <w:rsid w:val="00485A31"/>
    <w:rsid w:val="00485C6D"/>
    <w:rsid w:val="004865BB"/>
    <w:rsid w:val="00486F61"/>
    <w:rsid w:val="004903BE"/>
    <w:rsid w:val="00490A91"/>
    <w:rsid w:val="00491A63"/>
    <w:rsid w:val="00491A8C"/>
    <w:rsid w:val="0049258D"/>
    <w:rsid w:val="00492E5F"/>
    <w:rsid w:val="00493542"/>
    <w:rsid w:val="0049388D"/>
    <w:rsid w:val="00494442"/>
    <w:rsid w:val="00494EE6"/>
    <w:rsid w:val="00495EC9"/>
    <w:rsid w:val="004963EB"/>
    <w:rsid w:val="0049645A"/>
    <w:rsid w:val="004965DD"/>
    <w:rsid w:val="004966BA"/>
    <w:rsid w:val="004A033F"/>
    <w:rsid w:val="004A1013"/>
    <w:rsid w:val="004A18A7"/>
    <w:rsid w:val="004A2698"/>
    <w:rsid w:val="004A4399"/>
    <w:rsid w:val="004A62B1"/>
    <w:rsid w:val="004A7DFB"/>
    <w:rsid w:val="004B0184"/>
    <w:rsid w:val="004B01A2"/>
    <w:rsid w:val="004B0988"/>
    <w:rsid w:val="004B109C"/>
    <w:rsid w:val="004B17F4"/>
    <w:rsid w:val="004B2901"/>
    <w:rsid w:val="004B2E4E"/>
    <w:rsid w:val="004B3021"/>
    <w:rsid w:val="004B39B3"/>
    <w:rsid w:val="004B430E"/>
    <w:rsid w:val="004B4AE3"/>
    <w:rsid w:val="004B5331"/>
    <w:rsid w:val="004B5929"/>
    <w:rsid w:val="004B6984"/>
    <w:rsid w:val="004C103D"/>
    <w:rsid w:val="004C187D"/>
    <w:rsid w:val="004C1C42"/>
    <w:rsid w:val="004C2556"/>
    <w:rsid w:val="004C26FA"/>
    <w:rsid w:val="004C36AB"/>
    <w:rsid w:val="004C4641"/>
    <w:rsid w:val="004C7951"/>
    <w:rsid w:val="004C7A0F"/>
    <w:rsid w:val="004D0799"/>
    <w:rsid w:val="004D0CB8"/>
    <w:rsid w:val="004D0DAE"/>
    <w:rsid w:val="004D0FD3"/>
    <w:rsid w:val="004D1101"/>
    <w:rsid w:val="004D14A3"/>
    <w:rsid w:val="004D1FBB"/>
    <w:rsid w:val="004D251A"/>
    <w:rsid w:val="004D3021"/>
    <w:rsid w:val="004D35E1"/>
    <w:rsid w:val="004D3D4A"/>
    <w:rsid w:val="004D4063"/>
    <w:rsid w:val="004D442B"/>
    <w:rsid w:val="004D4C89"/>
    <w:rsid w:val="004D4F4A"/>
    <w:rsid w:val="004D561A"/>
    <w:rsid w:val="004D593D"/>
    <w:rsid w:val="004D62B4"/>
    <w:rsid w:val="004D631B"/>
    <w:rsid w:val="004D65E0"/>
    <w:rsid w:val="004E01A3"/>
    <w:rsid w:val="004E01EF"/>
    <w:rsid w:val="004E109D"/>
    <w:rsid w:val="004E3113"/>
    <w:rsid w:val="004E3158"/>
    <w:rsid w:val="004E3814"/>
    <w:rsid w:val="004E4223"/>
    <w:rsid w:val="004E4259"/>
    <w:rsid w:val="004E5724"/>
    <w:rsid w:val="004E58A9"/>
    <w:rsid w:val="004E5A9F"/>
    <w:rsid w:val="004E6B8E"/>
    <w:rsid w:val="004F11EB"/>
    <w:rsid w:val="004F1E67"/>
    <w:rsid w:val="004F2E81"/>
    <w:rsid w:val="004F3024"/>
    <w:rsid w:val="004F4A47"/>
    <w:rsid w:val="004F587B"/>
    <w:rsid w:val="004F5ED4"/>
    <w:rsid w:val="004F6465"/>
    <w:rsid w:val="0050021E"/>
    <w:rsid w:val="00500CD6"/>
    <w:rsid w:val="00500D4E"/>
    <w:rsid w:val="00500DB1"/>
    <w:rsid w:val="00502A86"/>
    <w:rsid w:val="00502BBB"/>
    <w:rsid w:val="00502E94"/>
    <w:rsid w:val="005035D8"/>
    <w:rsid w:val="0050370D"/>
    <w:rsid w:val="00503E9E"/>
    <w:rsid w:val="005044FE"/>
    <w:rsid w:val="00504A1B"/>
    <w:rsid w:val="00505F25"/>
    <w:rsid w:val="0050740D"/>
    <w:rsid w:val="005075D3"/>
    <w:rsid w:val="00510760"/>
    <w:rsid w:val="00512DA8"/>
    <w:rsid w:val="005144EB"/>
    <w:rsid w:val="005175EA"/>
    <w:rsid w:val="0052087E"/>
    <w:rsid w:val="00520AD4"/>
    <w:rsid w:val="00521536"/>
    <w:rsid w:val="00521907"/>
    <w:rsid w:val="005219CA"/>
    <w:rsid w:val="005234CE"/>
    <w:rsid w:val="005236A5"/>
    <w:rsid w:val="00524F8B"/>
    <w:rsid w:val="00525070"/>
    <w:rsid w:val="005262ED"/>
    <w:rsid w:val="00526AD8"/>
    <w:rsid w:val="00526B6D"/>
    <w:rsid w:val="0052712E"/>
    <w:rsid w:val="00527998"/>
    <w:rsid w:val="00531469"/>
    <w:rsid w:val="00531883"/>
    <w:rsid w:val="00531C04"/>
    <w:rsid w:val="00533076"/>
    <w:rsid w:val="00534A18"/>
    <w:rsid w:val="00535BB4"/>
    <w:rsid w:val="00535E9C"/>
    <w:rsid w:val="00536269"/>
    <w:rsid w:val="005365E6"/>
    <w:rsid w:val="0053690A"/>
    <w:rsid w:val="005377B6"/>
    <w:rsid w:val="00541036"/>
    <w:rsid w:val="00541337"/>
    <w:rsid w:val="005418C4"/>
    <w:rsid w:val="00541DD4"/>
    <w:rsid w:val="00543014"/>
    <w:rsid w:val="00543715"/>
    <w:rsid w:val="005441DE"/>
    <w:rsid w:val="00544286"/>
    <w:rsid w:val="005446D1"/>
    <w:rsid w:val="00544A48"/>
    <w:rsid w:val="00544A86"/>
    <w:rsid w:val="00544DA2"/>
    <w:rsid w:val="005452ED"/>
    <w:rsid w:val="00545586"/>
    <w:rsid w:val="00545869"/>
    <w:rsid w:val="00545893"/>
    <w:rsid w:val="0054654B"/>
    <w:rsid w:val="005472EF"/>
    <w:rsid w:val="00547F3D"/>
    <w:rsid w:val="005500C4"/>
    <w:rsid w:val="00550A61"/>
    <w:rsid w:val="00550EB3"/>
    <w:rsid w:val="00551829"/>
    <w:rsid w:val="00552513"/>
    <w:rsid w:val="00553A04"/>
    <w:rsid w:val="0055459C"/>
    <w:rsid w:val="00554C4C"/>
    <w:rsid w:val="00555F6E"/>
    <w:rsid w:val="00556550"/>
    <w:rsid w:val="0055676F"/>
    <w:rsid w:val="00556966"/>
    <w:rsid w:val="00557203"/>
    <w:rsid w:val="00560718"/>
    <w:rsid w:val="005625F0"/>
    <w:rsid w:val="00563401"/>
    <w:rsid w:val="00563421"/>
    <w:rsid w:val="005634B3"/>
    <w:rsid w:val="00563D68"/>
    <w:rsid w:val="00565FF0"/>
    <w:rsid w:val="00567BD0"/>
    <w:rsid w:val="00567F44"/>
    <w:rsid w:val="00570F1A"/>
    <w:rsid w:val="00571334"/>
    <w:rsid w:val="00571DE9"/>
    <w:rsid w:val="0057220A"/>
    <w:rsid w:val="00573BDB"/>
    <w:rsid w:val="00573EA4"/>
    <w:rsid w:val="00574177"/>
    <w:rsid w:val="005745B5"/>
    <w:rsid w:val="00575364"/>
    <w:rsid w:val="0057622D"/>
    <w:rsid w:val="005768DA"/>
    <w:rsid w:val="00577A85"/>
    <w:rsid w:val="005802AE"/>
    <w:rsid w:val="00580399"/>
    <w:rsid w:val="00580597"/>
    <w:rsid w:val="005815E2"/>
    <w:rsid w:val="00581B80"/>
    <w:rsid w:val="00583267"/>
    <w:rsid w:val="00583388"/>
    <w:rsid w:val="00583451"/>
    <w:rsid w:val="00583656"/>
    <w:rsid w:val="00583910"/>
    <w:rsid w:val="00584BB1"/>
    <w:rsid w:val="0058555A"/>
    <w:rsid w:val="00590CD8"/>
    <w:rsid w:val="00590D9B"/>
    <w:rsid w:val="0059105B"/>
    <w:rsid w:val="005943E2"/>
    <w:rsid w:val="00594CA1"/>
    <w:rsid w:val="00596971"/>
    <w:rsid w:val="0059780E"/>
    <w:rsid w:val="00597FE4"/>
    <w:rsid w:val="005A0E31"/>
    <w:rsid w:val="005A16DE"/>
    <w:rsid w:val="005A2450"/>
    <w:rsid w:val="005A24CF"/>
    <w:rsid w:val="005A2B64"/>
    <w:rsid w:val="005A2C67"/>
    <w:rsid w:val="005A3C00"/>
    <w:rsid w:val="005A4265"/>
    <w:rsid w:val="005A4482"/>
    <w:rsid w:val="005A5414"/>
    <w:rsid w:val="005A62F2"/>
    <w:rsid w:val="005A65A6"/>
    <w:rsid w:val="005A6FBF"/>
    <w:rsid w:val="005B0B5F"/>
    <w:rsid w:val="005B1332"/>
    <w:rsid w:val="005B1D84"/>
    <w:rsid w:val="005B276D"/>
    <w:rsid w:val="005B3C70"/>
    <w:rsid w:val="005B4087"/>
    <w:rsid w:val="005B6F5C"/>
    <w:rsid w:val="005B76A2"/>
    <w:rsid w:val="005C0CAC"/>
    <w:rsid w:val="005C1584"/>
    <w:rsid w:val="005C2E65"/>
    <w:rsid w:val="005C2ECA"/>
    <w:rsid w:val="005C2FF6"/>
    <w:rsid w:val="005C3275"/>
    <w:rsid w:val="005C3808"/>
    <w:rsid w:val="005C395F"/>
    <w:rsid w:val="005C3E43"/>
    <w:rsid w:val="005C3E73"/>
    <w:rsid w:val="005C41B3"/>
    <w:rsid w:val="005C4FD4"/>
    <w:rsid w:val="005C6165"/>
    <w:rsid w:val="005C69D2"/>
    <w:rsid w:val="005D016D"/>
    <w:rsid w:val="005D0A6C"/>
    <w:rsid w:val="005D0D9D"/>
    <w:rsid w:val="005D117B"/>
    <w:rsid w:val="005D1DB9"/>
    <w:rsid w:val="005D1FF4"/>
    <w:rsid w:val="005D4309"/>
    <w:rsid w:val="005D4A7D"/>
    <w:rsid w:val="005D5B0F"/>
    <w:rsid w:val="005D6146"/>
    <w:rsid w:val="005D6665"/>
    <w:rsid w:val="005D67AF"/>
    <w:rsid w:val="005D7D95"/>
    <w:rsid w:val="005E0149"/>
    <w:rsid w:val="005E01CF"/>
    <w:rsid w:val="005E087F"/>
    <w:rsid w:val="005E0990"/>
    <w:rsid w:val="005E0C61"/>
    <w:rsid w:val="005E28E5"/>
    <w:rsid w:val="005E335F"/>
    <w:rsid w:val="005E34EE"/>
    <w:rsid w:val="005E3EB8"/>
    <w:rsid w:val="005E47E8"/>
    <w:rsid w:val="005E4BE3"/>
    <w:rsid w:val="005E6A4D"/>
    <w:rsid w:val="005F01AD"/>
    <w:rsid w:val="005F15F8"/>
    <w:rsid w:val="005F2676"/>
    <w:rsid w:val="005F2AE0"/>
    <w:rsid w:val="005F42C1"/>
    <w:rsid w:val="005F44EB"/>
    <w:rsid w:val="005F5044"/>
    <w:rsid w:val="005F53C2"/>
    <w:rsid w:val="005F5A39"/>
    <w:rsid w:val="005F5EB1"/>
    <w:rsid w:val="00600970"/>
    <w:rsid w:val="00600CE3"/>
    <w:rsid w:val="006016B6"/>
    <w:rsid w:val="00602BA0"/>
    <w:rsid w:val="00602C75"/>
    <w:rsid w:val="006030C3"/>
    <w:rsid w:val="00605785"/>
    <w:rsid w:val="0060642F"/>
    <w:rsid w:val="00606554"/>
    <w:rsid w:val="006067D4"/>
    <w:rsid w:val="00606BC0"/>
    <w:rsid w:val="00606CE8"/>
    <w:rsid w:val="0060754E"/>
    <w:rsid w:val="00607EAD"/>
    <w:rsid w:val="00610078"/>
    <w:rsid w:val="006124CB"/>
    <w:rsid w:val="00613994"/>
    <w:rsid w:val="006147FA"/>
    <w:rsid w:val="006154B0"/>
    <w:rsid w:val="00615581"/>
    <w:rsid w:val="00615A8C"/>
    <w:rsid w:val="006175BD"/>
    <w:rsid w:val="0061776C"/>
    <w:rsid w:val="00617ACF"/>
    <w:rsid w:val="00617EA9"/>
    <w:rsid w:val="00620DC1"/>
    <w:rsid w:val="00621107"/>
    <w:rsid w:val="00622B32"/>
    <w:rsid w:val="006235CF"/>
    <w:rsid w:val="00624012"/>
    <w:rsid w:val="00625414"/>
    <w:rsid w:val="00626519"/>
    <w:rsid w:val="00626775"/>
    <w:rsid w:val="006267C6"/>
    <w:rsid w:val="00626F17"/>
    <w:rsid w:val="00627C87"/>
    <w:rsid w:val="00627EF7"/>
    <w:rsid w:val="00630A31"/>
    <w:rsid w:val="0063145E"/>
    <w:rsid w:val="006325A7"/>
    <w:rsid w:val="00633DBC"/>
    <w:rsid w:val="0063459C"/>
    <w:rsid w:val="00634CE0"/>
    <w:rsid w:val="00634D68"/>
    <w:rsid w:val="00635908"/>
    <w:rsid w:val="00635C88"/>
    <w:rsid w:val="00636624"/>
    <w:rsid w:val="0063722C"/>
    <w:rsid w:val="006373A5"/>
    <w:rsid w:val="00640271"/>
    <w:rsid w:val="0064073E"/>
    <w:rsid w:val="00640804"/>
    <w:rsid w:val="006408CF"/>
    <w:rsid w:val="006412C3"/>
    <w:rsid w:val="00641AB7"/>
    <w:rsid w:val="00641BB9"/>
    <w:rsid w:val="00642391"/>
    <w:rsid w:val="00643529"/>
    <w:rsid w:val="00644103"/>
    <w:rsid w:val="006448AD"/>
    <w:rsid w:val="00645A3E"/>
    <w:rsid w:val="006466DD"/>
    <w:rsid w:val="00647728"/>
    <w:rsid w:val="006507BF"/>
    <w:rsid w:val="00650EFF"/>
    <w:rsid w:val="00651254"/>
    <w:rsid w:val="006516D8"/>
    <w:rsid w:val="00651723"/>
    <w:rsid w:val="00651836"/>
    <w:rsid w:val="00652BC4"/>
    <w:rsid w:val="00652C72"/>
    <w:rsid w:val="00652F2E"/>
    <w:rsid w:val="00653926"/>
    <w:rsid w:val="006540AC"/>
    <w:rsid w:val="0065490A"/>
    <w:rsid w:val="0065710F"/>
    <w:rsid w:val="00660941"/>
    <w:rsid w:val="006611E9"/>
    <w:rsid w:val="00661B19"/>
    <w:rsid w:val="006631FB"/>
    <w:rsid w:val="0066391C"/>
    <w:rsid w:val="00664698"/>
    <w:rsid w:val="00664B06"/>
    <w:rsid w:val="0066508E"/>
    <w:rsid w:val="006661A3"/>
    <w:rsid w:val="0066674A"/>
    <w:rsid w:val="006668A7"/>
    <w:rsid w:val="00666B08"/>
    <w:rsid w:val="00667032"/>
    <w:rsid w:val="0067024D"/>
    <w:rsid w:val="0067084F"/>
    <w:rsid w:val="00671596"/>
    <w:rsid w:val="00672A10"/>
    <w:rsid w:val="0067463E"/>
    <w:rsid w:val="00674A74"/>
    <w:rsid w:val="00676450"/>
    <w:rsid w:val="00677324"/>
    <w:rsid w:val="00677A31"/>
    <w:rsid w:val="00680333"/>
    <w:rsid w:val="00680A00"/>
    <w:rsid w:val="00681963"/>
    <w:rsid w:val="00681CCD"/>
    <w:rsid w:val="00681F53"/>
    <w:rsid w:val="00682F39"/>
    <w:rsid w:val="00683718"/>
    <w:rsid w:val="00683C75"/>
    <w:rsid w:val="0068519A"/>
    <w:rsid w:val="00685917"/>
    <w:rsid w:val="00685DBC"/>
    <w:rsid w:val="00686F7B"/>
    <w:rsid w:val="00687CB4"/>
    <w:rsid w:val="00687EDB"/>
    <w:rsid w:val="00690146"/>
    <w:rsid w:val="0069172C"/>
    <w:rsid w:val="0069283B"/>
    <w:rsid w:val="00693C9D"/>
    <w:rsid w:val="006948A5"/>
    <w:rsid w:val="006964A1"/>
    <w:rsid w:val="00696800"/>
    <w:rsid w:val="00697DF6"/>
    <w:rsid w:val="006A1B4E"/>
    <w:rsid w:val="006A273C"/>
    <w:rsid w:val="006A31F9"/>
    <w:rsid w:val="006A360A"/>
    <w:rsid w:val="006A360D"/>
    <w:rsid w:val="006A3EDE"/>
    <w:rsid w:val="006A3FCD"/>
    <w:rsid w:val="006A448A"/>
    <w:rsid w:val="006A456F"/>
    <w:rsid w:val="006A4843"/>
    <w:rsid w:val="006A4947"/>
    <w:rsid w:val="006A5692"/>
    <w:rsid w:val="006A6A94"/>
    <w:rsid w:val="006A7337"/>
    <w:rsid w:val="006B0E97"/>
    <w:rsid w:val="006B1A5B"/>
    <w:rsid w:val="006B208A"/>
    <w:rsid w:val="006B254C"/>
    <w:rsid w:val="006B25E2"/>
    <w:rsid w:val="006B3102"/>
    <w:rsid w:val="006B3EB8"/>
    <w:rsid w:val="006B46D9"/>
    <w:rsid w:val="006B4C6E"/>
    <w:rsid w:val="006B6872"/>
    <w:rsid w:val="006B6DC1"/>
    <w:rsid w:val="006B760B"/>
    <w:rsid w:val="006B7643"/>
    <w:rsid w:val="006B7926"/>
    <w:rsid w:val="006C0EE6"/>
    <w:rsid w:val="006C1277"/>
    <w:rsid w:val="006C1B6E"/>
    <w:rsid w:val="006C2818"/>
    <w:rsid w:val="006C2B3F"/>
    <w:rsid w:val="006C31D5"/>
    <w:rsid w:val="006C372A"/>
    <w:rsid w:val="006C3B98"/>
    <w:rsid w:val="006C4E73"/>
    <w:rsid w:val="006C69E2"/>
    <w:rsid w:val="006D0523"/>
    <w:rsid w:val="006D1276"/>
    <w:rsid w:val="006D1847"/>
    <w:rsid w:val="006D1A36"/>
    <w:rsid w:val="006D23A8"/>
    <w:rsid w:val="006D2F81"/>
    <w:rsid w:val="006D2F94"/>
    <w:rsid w:val="006D3C13"/>
    <w:rsid w:val="006D42BD"/>
    <w:rsid w:val="006D4373"/>
    <w:rsid w:val="006D4401"/>
    <w:rsid w:val="006D4C4E"/>
    <w:rsid w:val="006D53EE"/>
    <w:rsid w:val="006D603A"/>
    <w:rsid w:val="006D6BE4"/>
    <w:rsid w:val="006D7C4B"/>
    <w:rsid w:val="006E3330"/>
    <w:rsid w:val="006E33AA"/>
    <w:rsid w:val="006E435A"/>
    <w:rsid w:val="006E444E"/>
    <w:rsid w:val="006E7581"/>
    <w:rsid w:val="006F00DD"/>
    <w:rsid w:val="006F21F9"/>
    <w:rsid w:val="006F282B"/>
    <w:rsid w:val="006F28B0"/>
    <w:rsid w:val="006F2E90"/>
    <w:rsid w:val="006F479C"/>
    <w:rsid w:val="006F4EA2"/>
    <w:rsid w:val="006F6949"/>
    <w:rsid w:val="006F6A88"/>
    <w:rsid w:val="006F7B0C"/>
    <w:rsid w:val="0070096F"/>
    <w:rsid w:val="00701442"/>
    <w:rsid w:val="0070178F"/>
    <w:rsid w:val="007017F5"/>
    <w:rsid w:val="00701AD8"/>
    <w:rsid w:val="00701B50"/>
    <w:rsid w:val="00701F88"/>
    <w:rsid w:val="00702498"/>
    <w:rsid w:val="00702CF2"/>
    <w:rsid w:val="00704650"/>
    <w:rsid w:val="00704C96"/>
    <w:rsid w:val="00705D84"/>
    <w:rsid w:val="007061E1"/>
    <w:rsid w:val="0070757A"/>
    <w:rsid w:val="00710D22"/>
    <w:rsid w:val="0071154E"/>
    <w:rsid w:val="007122A8"/>
    <w:rsid w:val="007125B8"/>
    <w:rsid w:val="00714B38"/>
    <w:rsid w:val="00714DD6"/>
    <w:rsid w:val="007158B0"/>
    <w:rsid w:val="00716214"/>
    <w:rsid w:val="007176E9"/>
    <w:rsid w:val="007203C6"/>
    <w:rsid w:val="0072059A"/>
    <w:rsid w:val="00720F0F"/>
    <w:rsid w:val="00721587"/>
    <w:rsid w:val="0072272E"/>
    <w:rsid w:val="00723853"/>
    <w:rsid w:val="007243F3"/>
    <w:rsid w:val="007246E0"/>
    <w:rsid w:val="00724B2B"/>
    <w:rsid w:val="00726290"/>
    <w:rsid w:val="007262CE"/>
    <w:rsid w:val="00726E46"/>
    <w:rsid w:val="00727D1D"/>
    <w:rsid w:val="007304F4"/>
    <w:rsid w:val="00730A9A"/>
    <w:rsid w:val="00730BFE"/>
    <w:rsid w:val="00730F1F"/>
    <w:rsid w:val="00732388"/>
    <w:rsid w:val="00732F75"/>
    <w:rsid w:val="0073315E"/>
    <w:rsid w:val="00733A86"/>
    <w:rsid w:val="00734655"/>
    <w:rsid w:val="00736CB1"/>
    <w:rsid w:val="00736E27"/>
    <w:rsid w:val="007379B1"/>
    <w:rsid w:val="00741147"/>
    <w:rsid w:val="0074139C"/>
    <w:rsid w:val="00741BF5"/>
    <w:rsid w:val="00741FBA"/>
    <w:rsid w:val="00743771"/>
    <w:rsid w:val="007454A2"/>
    <w:rsid w:val="00745C4B"/>
    <w:rsid w:val="00745E81"/>
    <w:rsid w:val="007460A1"/>
    <w:rsid w:val="00747C1C"/>
    <w:rsid w:val="00747DE4"/>
    <w:rsid w:val="0075180C"/>
    <w:rsid w:val="00751DE7"/>
    <w:rsid w:val="00752416"/>
    <w:rsid w:val="00753178"/>
    <w:rsid w:val="00754D52"/>
    <w:rsid w:val="00755783"/>
    <w:rsid w:val="00755C45"/>
    <w:rsid w:val="0075777B"/>
    <w:rsid w:val="00757BE5"/>
    <w:rsid w:val="00757FA0"/>
    <w:rsid w:val="00760B9A"/>
    <w:rsid w:val="00760CC1"/>
    <w:rsid w:val="00760E2B"/>
    <w:rsid w:val="00761206"/>
    <w:rsid w:val="007616DD"/>
    <w:rsid w:val="00761A28"/>
    <w:rsid w:val="0076223B"/>
    <w:rsid w:val="0076378F"/>
    <w:rsid w:val="007638E7"/>
    <w:rsid w:val="00764AED"/>
    <w:rsid w:val="00765715"/>
    <w:rsid w:val="00766A20"/>
    <w:rsid w:val="00767C10"/>
    <w:rsid w:val="0077006D"/>
    <w:rsid w:val="007702B0"/>
    <w:rsid w:val="0077103D"/>
    <w:rsid w:val="00771377"/>
    <w:rsid w:val="007714F4"/>
    <w:rsid w:val="00772FC8"/>
    <w:rsid w:val="00773290"/>
    <w:rsid w:val="00775014"/>
    <w:rsid w:val="00775770"/>
    <w:rsid w:val="00776C78"/>
    <w:rsid w:val="00777865"/>
    <w:rsid w:val="007831E7"/>
    <w:rsid w:val="007854DE"/>
    <w:rsid w:val="00785628"/>
    <w:rsid w:val="007869A1"/>
    <w:rsid w:val="00792069"/>
    <w:rsid w:val="00793318"/>
    <w:rsid w:val="0079337A"/>
    <w:rsid w:val="0079338D"/>
    <w:rsid w:val="007942D7"/>
    <w:rsid w:val="00794741"/>
    <w:rsid w:val="0079776E"/>
    <w:rsid w:val="007977C0"/>
    <w:rsid w:val="007A0D07"/>
    <w:rsid w:val="007A136F"/>
    <w:rsid w:val="007A1564"/>
    <w:rsid w:val="007A26B4"/>
    <w:rsid w:val="007A2B75"/>
    <w:rsid w:val="007A2C66"/>
    <w:rsid w:val="007A2DA1"/>
    <w:rsid w:val="007A382D"/>
    <w:rsid w:val="007A4536"/>
    <w:rsid w:val="007A7CE8"/>
    <w:rsid w:val="007B04F1"/>
    <w:rsid w:val="007B05ED"/>
    <w:rsid w:val="007B3E50"/>
    <w:rsid w:val="007B5421"/>
    <w:rsid w:val="007B5FE5"/>
    <w:rsid w:val="007B641B"/>
    <w:rsid w:val="007B71C6"/>
    <w:rsid w:val="007C00C2"/>
    <w:rsid w:val="007C1060"/>
    <w:rsid w:val="007C179B"/>
    <w:rsid w:val="007C18D4"/>
    <w:rsid w:val="007C2E35"/>
    <w:rsid w:val="007C31BD"/>
    <w:rsid w:val="007C37FD"/>
    <w:rsid w:val="007C4318"/>
    <w:rsid w:val="007C5DA0"/>
    <w:rsid w:val="007C7053"/>
    <w:rsid w:val="007C795F"/>
    <w:rsid w:val="007C7FC9"/>
    <w:rsid w:val="007D0D1C"/>
    <w:rsid w:val="007D1602"/>
    <w:rsid w:val="007D18A4"/>
    <w:rsid w:val="007D25EA"/>
    <w:rsid w:val="007D3043"/>
    <w:rsid w:val="007D3CBD"/>
    <w:rsid w:val="007D3D5F"/>
    <w:rsid w:val="007D4631"/>
    <w:rsid w:val="007D4EBF"/>
    <w:rsid w:val="007D6D11"/>
    <w:rsid w:val="007D7EE1"/>
    <w:rsid w:val="007E1549"/>
    <w:rsid w:val="007E1E2D"/>
    <w:rsid w:val="007E3170"/>
    <w:rsid w:val="007E323B"/>
    <w:rsid w:val="007E3EE0"/>
    <w:rsid w:val="007E425C"/>
    <w:rsid w:val="007E4A3F"/>
    <w:rsid w:val="007E4F88"/>
    <w:rsid w:val="007E5ED7"/>
    <w:rsid w:val="007E6188"/>
    <w:rsid w:val="007E6F37"/>
    <w:rsid w:val="007E7280"/>
    <w:rsid w:val="007E7834"/>
    <w:rsid w:val="007E7C79"/>
    <w:rsid w:val="007F01EA"/>
    <w:rsid w:val="007F0640"/>
    <w:rsid w:val="007F1B74"/>
    <w:rsid w:val="007F1EFE"/>
    <w:rsid w:val="007F2165"/>
    <w:rsid w:val="007F244D"/>
    <w:rsid w:val="007F3B68"/>
    <w:rsid w:val="007F435E"/>
    <w:rsid w:val="007F4C18"/>
    <w:rsid w:val="007F4FFC"/>
    <w:rsid w:val="007F5590"/>
    <w:rsid w:val="007F55DD"/>
    <w:rsid w:val="007F56BD"/>
    <w:rsid w:val="007F6637"/>
    <w:rsid w:val="007F66C3"/>
    <w:rsid w:val="007F6955"/>
    <w:rsid w:val="007F6E8D"/>
    <w:rsid w:val="007F7CDA"/>
    <w:rsid w:val="008000B6"/>
    <w:rsid w:val="00802EBA"/>
    <w:rsid w:val="008034D4"/>
    <w:rsid w:val="00803592"/>
    <w:rsid w:val="00803D8C"/>
    <w:rsid w:val="00804192"/>
    <w:rsid w:val="008047F7"/>
    <w:rsid w:val="00804E55"/>
    <w:rsid w:val="008051E9"/>
    <w:rsid w:val="00805F47"/>
    <w:rsid w:val="008062E1"/>
    <w:rsid w:val="00806A59"/>
    <w:rsid w:val="00810375"/>
    <w:rsid w:val="00810B8C"/>
    <w:rsid w:val="00810CBF"/>
    <w:rsid w:val="00811C2C"/>
    <w:rsid w:val="008147FF"/>
    <w:rsid w:val="00814D56"/>
    <w:rsid w:val="008159FE"/>
    <w:rsid w:val="008164C5"/>
    <w:rsid w:val="008166BA"/>
    <w:rsid w:val="008166D7"/>
    <w:rsid w:val="008174E7"/>
    <w:rsid w:val="00817824"/>
    <w:rsid w:val="00820E6E"/>
    <w:rsid w:val="00821B0B"/>
    <w:rsid w:val="008220FF"/>
    <w:rsid w:val="00822264"/>
    <w:rsid w:val="008234EC"/>
    <w:rsid w:val="008245A5"/>
    <w:rsid w:val="008269F6"/>
    <w:rsid w:val="00826C78"/>
    <w:rsid w:val="00831203"/>
    <w:rsid w:val="008316CD"/>
    <w:rsid w:val="00831805"/>
    <w:rsid w:val="0083318E"/>
    <w:rsid w:val="00833349"/>
    <w:rsid w:val="00833534"/>
    <w:rsid w:val="008336D5"/>
    <w:rsid w:val="008341C6"/>
    <w:rsid w:val="00834711"/>
    <w:rsid w:val="00835A9A"/>
    <w:rsid w:val="00836A01"/>
    <w:rsid w:val="00837A2B"/>
    <w:rsid w:val="00840484"/>
    <w:rsid w:val="0084076C"/>
    <w:rsid w:val="00843107"/>
    <w:rsid w:val="008439FA"/>
    <w:rsid w:val="00843CF3"/>
    <w:rsid w:val="008441A6"/>
    <w:rsid w:val="00844B90"/>
    <w:rsid w:val="00844E5B"/>
    <w:rsid w:val="00846983"/>
    <w:rsid w:val="00847AF6"/>
    <w:rsid w:val="00851AC3"/>
    <w:rsid w:val="00852C1E"/>
    <w:rsid w:val="0085439B"/>
    <w:rsid w:val="00854847"/>
    <w:rsid w:val="00854C0C"/>
    <w:rsid w:val="00855B53"/>
    <w:rsid w:val="00855CFA"/>
    <w:rsid w:val="008571A7"/>
    <w:rsid w:val="00857754"/>
    <w:rsid w:val="00857FBC"/>
    <w:rsid w:val="0086088D"/>
    <w:rsid w:val="00861209"/>
    <w:rsid w:val="00861ED7"/>
    <w:rsid w:val="00861EFB"/>
    <w:rsid w:val="008627FF"/>
    <w:rsid w:val="00862BFC"/>
    <w:rsid w:val="008650BE"/>
    <w:rsid w:val="00865A80"/>
    <w:rsid w:val="00867731"/>
    <w:rsid w:val="00867E09"/>
    <w:rsid w:val="0087313F"/>
    <w:rsid w:val="00873297"/>
    <w:rsid w:val="008739E8"/>
    <w:rsid w:val="00873EFD"/>
    <w:rsid w:val="008747BE"/>
    <w:rsid w:val="00874D48"/>
    <w:rsid w:val="00875A8B"/>
    <w:rsid w:val="00876571"/>
    <w:rsid w:val="00876B33"/>
    <w:rsid w:val="00876D85"/>
    <w:rsid w:val="008823DD"/>
    <w:rsid w:val="00883033"/>
    <w:rsid w:val="00883184"/>
    <w:rsid w:val="00885493"/>
    <w:rsid w:val="00885681"/>
    <w:rsid w:val="0088576F"/>
    <w:rsid w:val="008873FB"/>
    <w:rsid w:val="00890444"/>
    <w:rsid w:val="00890D8D"/>
    <w:rsid w:val="008912F7"/>
    <w:rsid w:val="00891586"/>
    <w:rsid w:val="00893261"/>
    <w:rsid w:val="008956CC"/>
    <w:rsid w:val="00895891"/>
    <w:rsid w:val="008971C8"/>
    <w:rsid w:val="0089720A"/>
    <w:rsid w:val="008A0859"/>
    <w:rsid w:val="008A13BB"/>
    <w:rsid w:val="008A181F"/>
    <w:rsid w:val="008A2FC5"/>
    <w:rsid w:val="008A4757"/>
    <w:rsid w:val="008A51C2"/>
    <w:rsid w:val="008A5404"/>
    <w:rsid w:val="008A5ED9"/>
    <w:rsid w:val="008A6B00"/>
    <w:rsid w:val="008A6E5C"/>
    <w:rsid w:val="008A718B"/>
    <w:rsid w:val="008B079F"/>
    <w:rsid w:val="008B0FF7"/>
    <w:rsid w:val="008B178C"/>
    <w:rsid w:val="008B4D20"/>
    <w:rsid w:val="008B4EDE"/>
    <w:rsid w:val="008B5ED1"/>
    <w:rsid w:val="008C09EF"/>
    <w:rsid w:val="008C0BFC"/>
    <w:rsid w:val="008C12F3"/>
    <w:rsid w:val="008C15AB"/>
    <w:rsid w:val="008C233D"/>
    <w:rsid w:val="008C3548"/>
    <w:rsid w:val="008C3658"/>
    <w:rsid w:val="008C3B69"/>
    <w:rsid w:val="008C49AA"/>
    <w:rsid w:val="008C5482"/>
    <w:rsid w:val="008C5A91"/>
    <w:rsid w:val="008C6394"/>
    <w:rsid w:val="008D00BE"/>
    <w:rsid w:val="008D0115"/>
    <w:rsid w:val="008D0193"/>
    <w:rsid w:val="008D0AF3"/>
    <w:rsid w:val="008D0EF5"/>
    <w:rsid w:val="008D1127"/>
    <w:rsid w:val="008D199B"/>
    <w:rsid w:val="008D1C23"/>
    <w:rsid w:val="008D234C"/>
    <w:rsid w:val="008D23E6"/>
    <w:rsid w:val="008D284B"/>
    <w:rsid w:val="008D299F"/>
    <w:rsid w:val="008D2DB1"/>
    <w:rsid w:val="008D454B"/>
    <w:rsid w:val="008D4890"/>
    <w:rsid w:val="008D4DFC"/>
    <w:rsid w:val="008D53B8"/>
    <w:rsid w:val="008D54E3"/>
    <w:rsid w:val="008D56DA"/>
    <w:rsid w:val="008D586B"/>
    <w:rsid w:val="008D5F35"/>
    <w:rsid w:val="008D604A"/>
    <w:rsid w:val="008D697C"/>
    <w:rsid w:val="008D7669"/>
    <w:rsid w:val="008E090A"/>
    <w:rsid w:val="008E1FA0"/>
    <w:rsid w:val="008E1FF3"/>
    <w:rsid w:val="008E3123"/>
    <w:rsid w:val="008E32E2"/>
    <w:rsid w:val="008E44EA"/>
    <w:rsid w:val="008E45BF"/>
    <w:rsid w:val="008E5DF0"/>
    <w:rsid w:val="008E6C92"/>
    <w:rsid w:val="008E7212"/>
    <w:rsid w:val="008E744D"/>
    <w:rsid w:val="008F279F"/>
    <w:rsid w:val="008F2C64"/>
    <w:rsid w:val="008F4836"/>
    <w:rsid w:val="008F49B5"/>
    <w:rsid w:val="008F5FBA"/>
    <w:rsid w:val="00900658"/>
    <w:rsid w:val="00902280"/>
    <w:rsid w:val="00902D5F"/>
    <w:rsid w:val="009038DD"/>
    <w:rsid w:val="009041D4"/>
    <w:rsid w:val="009048C1"/>
    <w:rsid w:val="00905EA4"/>
    <w:rsid w:val="00906442"/>
    <w:rsid w:val="00907198"/>
    <w:rsid w:val="0090787B"/>
    <w:rsid w:val="0091009C"/>
    <w:rsid w:val="00910ADF"/>
    <w:rsid w:val="00911634"/>
    <w:rsid w:val="00912ED3"/>
    <w:rsid w:val="00914747"/>
    <w:rsid w:val="00915E6E"/>
    <w:rsid w:val="00916C10"/>
    <w:rsid w:val="0091715E"/>
    <w:rsid w:val="00917631"/>
    <w:rsid w:val="00923A02"/>
    <w:rsid w:val="00924105"/>
    <w:rsid w:val="00924DED"/>
    <w:rsid w:val="009250BD"/>
    <w:rsid w:val="00925FC8"/>
    <w:rsid w:val="0092624E"/>
    <w:rsid w:val="00926706"/>
    <w:rsid w:val="00926CF6"/>
    <w:rsid w:val="00930660"/>
    <w:rsid w:val="009307E5"/>
    <w:rsid w:val="00930D61"/>
    <w:rsid w:val="00931EB8"/>
    <w:rsid w:val="00932106"/>
    <w:rsid w:val="00932C9D"/>
    <w:rsid w:val="00932EC3"/>
    <w:rsid w:val="00933D7D"/>
    <w:rsid w:val="00934379"/>
    <w:rsid w:val="009343C1"/>
    <w:rsid w:val="00934CD0"/>
    <w:rsid w:val="00935050"/>
    <w:rsid w:val="009373FE"/>
    <w:rsid w:val="009415C3"/>
    <w:rsid w:val="00941FF4"/>
    <w:rsid w:val="00942334"/>
    <w:rsid w:val="00942F16"/>
    <w:rsid w:val="009434FD"/>
    <w:rsid w:val="00943DA0"/>
    <w:rsid w:val="00943E30"/>
    <w:rsid w:val="00944585"/>
    <w:rsid w:val="009446A4"/>
    <w:rsid w:val="00944E9E"/>
    <w:rsid w:val="00947082"/>
    <w:rsid w:val="00947140"/>
    <w:rsid w:val="00951EAA"/>
    <w:rsid w:val="009520B6"/>
    <w:rsid w:val="0095367A"/>
    <w:rsid w:val="00953BE4"/>
    <w:rsid w:val="00953EB7"/>
    <w:rsid w:val="009549DE"/>
    <w:rsid w:val="00955208"/>
    <w:rsid w:val="0095574D"/>
    <w:rsid w:val="00955C7B"/>
    <w:rsid w:val="00955D73"/>
    <w:rsid w:val="009560DC"/>
    <w:rsid w:val="0095646F"/>
    <w:rsid w:val="00960D4E"/>
    <w:rsid w:val="00961673"/>
    <w:rsid w:val="00962FB2"/>
    <w:rsid w:val="009632D4"/>
    <w:rsid w:val="00963F15"/>
    <w:rsid w:val="009664E0"/>
    <w:rsid w:val="00966593"/>
    <w:rsid w:val="009672B8"/>
    <w:rsid w:val="00967BF1"/>
    <w:rsid w:val="0097060F"/>
    <w:rsid w:val="00970A7F"/>
    <w:rsid w:val="0097162D"/>
    <w:rsid w:val="00971ED1"/>
    <w:rsid w:val="009724C7"/>
    <w:rsid w:val="0097358B"/>
    <w:rsid w:val="0097531E"/>
    <w:rsid w:val="009772C4"/>
    <w:rsid w:val="00977654"/>
    <w:rsid w:val="00980C64"/>
    <w:rsid w:val="00980E8B"/>
    <w:rsid w:val="00981479"/>
    <w:rsid w:val="009815B5"/>
    <w:rsid w:val="009825E0"/>
    <w:rsid w:val="009837DC"/>
    <w:rsid w:val="009843C0"/>
    <w:rsid w:val="009852B8"/>
    <w:rsid w:val="00985D6C"/>
    <w:rsid w:val="0099125A"/>
    <w:rsid w:val="00991852"/>
    <w:rsid w:val="00992E16"/>
    <w:rsid w:val="0099348E"/>
    <w:rsid w:val="009936E1"/>
    <w:rsid w:val="00993AA8"/>
    <w:rsid w:val="00993C25"/>
    <w:rsid w:val="00994832"/>
    <w:rsid w:val="00994A1E"/>
    <w:rsid w:val="009958F3"/>
    <w:rsid w:val="00995B15"/>
    <w:rsid w:val="00996B6C"/>
    <w:rsid w:val="009A06A2"/>
    <w:rsid w:val="009A1CDB"/>
    <w:rsid w:val="009A26CE"/>
    <w:rsid w:val="009A3BAD"/>
    <w:rsid w:val="009A61C9"/>
    <w:rsid w:val="009A6EC7"/>
    <w:rsid w:val="009B00E7"/>
    <w:rsid w:val="009B14B1"/>
    <w:rsid w:val="009B1742"/>
    <w:rsid w:val="009B7BEE"/>
    <w:rsid w:val="009B7C70"/>
    <w:rsid w:val="009C0303"/>
    <w:rsid w:val="009C2256"/>
    <w:rsid w:val="009C2B9B"/>
    <w:rsid w:val="009C46AA"/>
    <w:rsid w:val="009C4850"/>
    <w:rsid w:val="009C5817"/>
    <w:rsid w:val="009C5FA7"/>
    <w:rsid w:val="009C782A"/>
    <w:rsid w:val="009C7D94"/>
    <w:rsid w:val="009D0395"/>
    <w:rsid w:val="009D03E9"/>
    <w:rsid w:val="009D27A2"/>
    <w:rsid w:val="009D3588"/>
    <w:rsid w:val="009D3DA7"/>
    <w:rsid w:val="009D4300"/>
    <w:rsid w:val="009D4D3B"/>
    <w:rsid w:val="009D50C1"/>
    <w:rsid w:val="009D5C0F"/>
    <w:rsid w:val="009D5DEC"/>
    <w:rsid w:val="009D6B62"/>
    <w:rsid w:val="009D783E"/>
    <w:rsid w:val="009D78CA"/>
    <w:rsid w:val="009E08D1"/>
    <w:rsid w:val="009E1947"/>
    <w:rsid w:val="009E1D79"/>
    <w:rsid w:val="009E1ECF"/>
    <w:rsid w:val="009E2864"/>
    <w:rsid w:val="009E36E3"/>
    <w:rsid w:val="009E424C"/>
    <w:rsid w:val="009E4BDD"/>
    <w:rsid w:val="009E5056"/>
    <w:rsid w:val="009E5125"/>
    <w:rsid w:val="009E52E8"/>
    <w:rsid w:val="009E58EA"/>
    <w:rsid w:val="009E5A2B"/>
    <w:rsid w:val="009E5B5A"/>
    <w:rsid w:val="009E67FF"/>
    <w:rsid w:val="009E7F3D"/>
    <w:rsid w:val="009F0640"/>
    <w:rsid w:val="009F0838"/>
    <w:rsid w:val="009F09D4"/>
    <w:rsid w:val="009F1126"/>
    <w:rsid w:val="009F17D6"/>
    <w:rsid w:val="009F1A62"/>
    <w:rsid w:val="009F2054"/>
    <w:rsid w:val="009F247D"/>
    <w:rsid w:val="009F4670"/>
    <w:rsid w:val="009F4ACD"/>
    <w:rsid w:val="009F5555"/>
    <w:rsid w:val="009F5928"/>
    <w:rsid w:val="009F5ABE"/>
    <w:rsid w:val="009F5E15"/>
    <w:rsid w:val="009F6A29"/>
    <w:rsid w:val="009F7F77"/>
    <w:rsid w:val="00A00570"/>
    <w:rsid w:val="00A00959"/>
    <w:rsid w:val="00A00ACA"/>
    <w:rsid w:val="00A00C50"/>
    <w:rsid w:val="00A02C13"/>
    <w:rsid w:val="00A03B57"/>
    <w:rsid w:val="00A04855"/>
    <w:rsid w:val="00A050E9"/>
    <w:rsid w:val="00A05140"/>
    <w:rsid w:val="00A05936"/>
    <w:rsid w:val="00A10314"/>
    <w:rsid w:val="00A103AB"/>
    <w:rsid w:val="00A111E9"/>
    <w:rsid w:val="00A11861"/>
    <w:rsid w:val="00A120FF"/>
    <w:rsid w:val="00A12735"/>
    <w:rsid w:val="00A13961"/>
    <w:rsid w:val="00A14E38"/>
    <w:rsid w:val="00A1503A"/>
    <w:rsid w:val="00A155A6"/>
    <w:rsid w:val="00A16320"/>
    <w:rsid w:val="00A1705D"/>
    <w:rsid w:val="00A1777E"/>
    <w:rsid w:val="00A201C3"/>
    <w:rsid w:val="00A20849"/>
    <w:rsid w:val="00A20FCF"/>
    <w:rsid w:val="00A24204"/>
    <w:rsid w:val="00A259D0"/>
    <w:rsid w:val="00A260F0"/>
    <w:rsid w:val="00A27AD1"/>
    <w:rsid w:val="00A30B40"/>
    <w:rsid w:val="00A31785"/>
    <w:rsid w:val="00A31A9B"/>
    <w:rsid w:val="00A31B0C"/>
    <w:rsid w:val="00A33302"/>
    <w:rsid w:val="00A33D63"/>
    <w:rsid w:val="00A33DFB"/>
    <w:rsid w:val="00A342C6"/>
    <w:rsid w:val="00A34385"/>
    <w:rsid w:val="00A348BD"/>
    <w:rsid w:val="00A34CF8"/>
    <w:rsid w:val="00A35117"/>
    <w:rsid w:val="00A35623"/>
    <w:rsid w:val="00A35873"/>
    <w:rsid w:val="00A35E7F"/>
    <w:rsid w:val="00A365AA"/>
    <w:rsid w:val="00A36ADD"/>
    <w:rsid w:val="00A36B95"/>
    <w:rsid w:val="00A36BB4"/>
    <w:rsid w:val="00A3760A"/>
    <w:rsid w:val="00A40203"/>
    <w:rsid w:val="00A40286"/>
    <w:rsid w:val="00A43F32"/>
    <w:rsid w:val="00A443D0"/>
    <w:rsid w:val="00A44647"/>
    <w:rsid w:val="00A46B2F"/>
    <w:rsid w:val="00A46C89"/>
    <w:rsid w:val="00A47321"/>
    <w:rsid w:val="00A500D2"/>
    <w:rsid w:val="00A50218"/>
    <w:rsid w:val="00A525CC"/>
    <w:rsid w:val="00A52A56"/>
    <w:rsid w:val="00A5436F"/>
    <w:rsid w:val="00A54F9D"/>
    <w:rsid w:val="00A55840"/>
    <w:rsid w:val="00A55877"/>
    <w:rsid w:val="00A5619E"/>
    <w:rsid w:val="00A563A3"/>
    <w:rsid w:val="00A57117"/>
    <w:rsid w:val="00A57665"/>
    <w:rsid w:val="00A602D9"/>
    <w:rsid w:val="00A6036D"/>
    <w:rsid w:val="00A60E12"/>
    <w:rsid w:val="00A61173"/>
    <w:rsid w:val="00A61619"/>
    <w:rsid w:val="00A62F2F"/>
    <w:rsid w:val="00A63C3B"/>
    <w:rsid w:val="00A64FB8"/>
    <w:rsid w:val="00A6538C"/>
    <w:rsid w:val="00A65429"/>
    <w:rsid w:val="00A665B7"/>
    <w:rsid w:val="00A666D7"/>
    <w:rsid w:val="00A66A85"/>
    <w:rsid w:val="00A672F9"/>
    <w:rsid w:val="00A67AE7"/>
    <w:rsid w:val="00A70AE0"/>
    <w:rsid w:val="00A72A0F"/>
    <w:rsid w:val="00A72C23"/>
    <w:rsid w:val="00A72D62"/>
    <w:rsid w:val="00A73E28"/>
    <w:rsid w:val="00A7533B"/>
    <w:rsid w:val="00A76EAA"/>
    <w:rsid w:val="00A77528"/>
    <w:rsid w:val="00A77666"/>
    <w:rsid w:val="00A77E04"/>
    <w:rsid w:val="00A81B3C"/>
    <w:rsid w:val="00A82E4F"/>
    <w:rsid w:val="00A83915"/>
    <w:rsid w:val="00A83D25"/>
    <w:rsid w:val="00A842FA"/>
    <w:rsid w:val="00A84E34"/>
    <w:rsid w:val="00A85073"/>
    <w:rsid w:val="00A87B7D"/>
    <w:rsid w:val="00A87BC9"/>
    <w:rsid w:val="00A91B57"/>
    <w:rsid w:val="00A92A03"/>
    <w:rsid w:val="00A93206"/>
    <w:rsid w:val="00A95154"/>
    <w:rsid w:val="00A96D6A"/>
    <w:rsid w:val="00AA04D1"/>
    <w:rsid w:val="00AA0870"/>
    <w:rsid w:val="00AA1876"/>
    <w:rsid w:val="00AA20DD"/>
    <w:rsid w:val="00AA250F"/>
    <w:rsid w:val="00AA2587"/>
    <w:rsid w:val="00AA27E5"/>
    <w:rsid w:val="00AA2D40"/>
    <w:rsid w:val="00AA32E9"/>
    <w:rsid w:val="00AA38AF"/>
    <w:rsid w:val="00AA3AA9"/>
    <w:rsid w:val="00AA45D2"/>
    <w:rsid w:val="00AB0133"/>
    <w:rsid w:val="00AB0FA7"/>
    <w:rsid w:val="00AB2C33"/>
    <w:rsid w:val="00AB3035"/>
    <w:rsid w:val="00AB32CB"/>
    <w:rsid w:val="00AB342E"/>
    <w:rsid w:val="00AB4DC8"/>
    <w:rsid w:val="00AB77FE"/>
    <w:rsid w:val="00AB79DD"/>
    <w:rsid w:val="00AB7C9F"/>
    <w:rsid w:val="00AC104C"/>
    <w:rsid w:val="00AC1062"/>
    <w:rsid w:val="00AC1986"/>
    <w:rsid w:val="00AC1B59"/>
    <w:rsid w:val="00AC1BD4"/>
    <w:rsid w:val="00AC1D29"/>
    <w:rsid w:val="00AC1DCB"/>
    <w:rsid w:val="00AC202F"/>
    <w:rsid w:val="00AC4BDD"/>
    <w:rsid w:val="00AC59FC"/>
    <w:rsid w:val="00AC5F67"/>
    <w:rsid w:val="00AC6219"/>
    <w:rsid w:val="00AC663A"/>
    <w:rsid w:val="00AC74A2"/>
    <w:rsid w:val="00AC78EC"/>
    <w:rsid w:val="00AD0B6C"/>
    <w:rsid w:val="00AD2465"/>
    <w:rsid w:val="00AD30FA"/>
    <w:rsid w:val="00AD4950"/>
    <w:rsid w:val="00AD7391"/>
    <w:rsid w:val="00AD7DCC"/>
    <w:rsid w:val="00AE1021"/>
    <w:rsid w:val="00AE118D"/>
    <w:rsid w:val="00AE11A2"/>
    <w:rsid w:val="00AE2760"/>
    <w:rsid w:val="00AE29A2"/>
    <w:rsid w:val="00AE2BA6"/>
    <w:rsid w:val="00AE311B"/>
    <w:rsid w:val="00AE324E"/>
    <w:rsid w:val="00AE3427"/>
    <w:rsid w:val="00AE3D97"/>
    <w:rsid w:val="00AE4072"/>
    <w:rsid w:val="00AE4BA4"/>
    <w:rsid w:val="00AE4FEE"/>
    <w:rsid w:val="00AE5622"/>
    <w:rsid w:val="00AE5A6E"/>
    <w:rsid w:val="00AE5B9C"/>
    <w:rsid w:val="00AE61CA"/>
    <w:rsid w:val="00AF139D"/>
    <w:rsid w:val="00AF1B8E"/>
    <w:rsid w:val="00AF328B"/>
    <w:rsid w:val="00AF342B"/>
    <w:rsid w:val="00AF4058"/>
    <w:rsid w:val="00AF4A90"/>
    <w:rsid w:val="00AF4D58"/>
    <w:rsid w:val="00AF6539"/>
    <w:rsid w:val="00AF7E86"/>
    <w:rsid w:val="00B00437"/>
    <w:rsid w:val="00B03368"/>
    <w:rsid w:val="00B0400C"/>
    <w:rsid w:val="00B1230E"/>
    <w:rsid w:val="00B148DA"/>
    <w:rsid w:val="00B155A4"/>
    <w:rsid w:val="00B1577E"/>
    <w:rsid w:val="00B157A3"/>
    <w:rsid w:val="00B16492"/>
    <w:rsid w:val="00B16F09"/>
    <w:rsid w:val="00B21897"/>
    <w:rsid w:val="00B220C8"/>
    <w:rsid w:val="00B22214"/>
    <w:rsid w:val="00B2258C"/>
    <w:rsid w:val="00B243AD"/>
    <w:rsid w:val="00B2591F"/>
    <w:rsid w:val="00B2598D"/>
    <w:rsid w:val="00B25B85"/>
    <w:rsid w:val="00B25EA2"/>
    <w:rsid w:val="00B26BFE"/>
    <w:rsid w:val="00B27003"/>
    <w:rsid w:val="00B275D7"/>
    <w:rsid w:val="00B2794B"/>
    <w:rsid w:val="00B27D8D"/>
    <w:rsid w:val="00B27ED2"/>
    <w:rsid w:val="00B3116D"/>
    <w:rsid w:val="00B312EC"/>
    <w:rsid w:val="00B3160D"/>
    <w:rsid w:val="00B326C7"/>
    <w:rsid w:val="00B327B7"/>
    <w:rsid w:val="00B338D5"/>
    <w:rsid w:val="00B33D37"/>
    <w:rsid w:val="00B347F8"/>
    <w:rsid w:val="00B34C95"/>
    <w:rsid w:val="00B36747"/>
    <w:rsid w:val="00B37422"/>
    <w:rsid w:val="00B409DC"/>
    <w:rsid w:val="00B4153E"/>
    <w:rsid w:val="00B41876"/>
    <w:rsid w:val="00B42312"/>
    <w:rsid w:val="00B4291C"/>
    <w:rsid w:val="00B42A6A"/>
    <w:rsid w:val="00B43402"/>
    <w:rsid w:val="00B44612"/>
    <w:rsid w:val="00B45E20"/>
    <w:rsid w:val="00B474B4"/>
    <w:rsid w:val="00B47D31"/>
    <w:rsid w:val="00B56EAF"/>
    <w:rsid w:val="00B574D0"/>
    <w:rsid w:val="00B57F71"/>
    <w:rsid w:val="00B61286"/>
    <w:rsid w:val="00B61859"/>
    <w:rsid w:val="00B63EBA"/>
    <w:rsid w:val="00B651A5"/>
    <w:rsid w:val="00B65C8C"/>
    <w:rsid w:val="00B6669E"/>
    <w:rsid w:val="00B66945"/>
    <w:rsid w:val="00B66BED"/>
    <w:rsid w:val="00B672F3"/>
    <w:rsid w:val="00B67B51"/>
    <w:rsid w:val="00B70EC2"/>
    <w:rsid w:val="00B71097"/>
    <w:rsid w:val="00B74715"/>
    <w:rsid w:val="00B74888"/>
    <w:rsid w:val="00B768F0"/>
    <w:rsid w:val="00B7789B"/>
    <w:rsid w:val="00B77A2C"/>
    <w:rsid w:val="00B804B3"/>
    <w:rsid w:val="00B80A7F"/>
    <w:rsid w:val="00B820C5"/>
    <w:rsid w:val="00B822FC"/>
    <w:rsid w:val="00B837C7"/>
    <w:rsid w:val="00B851B6"/>
    <w:rsid w:val="00B86F0D"/>
    <w:rsid w:val="00B878BB"/>
    <w:rsid w:val="00B87A1F"/>
    <w:rsid w:val="00B907A3"/>
    <w:rsid w:val="00B90B53"/>
    <w:rsid w:val="00B91D63"/>
    <w:rsid w:val="00B925C2"/>
    <w:rsid w:val="00B92F00"/>
    <w:rsid w:val="00B9332E"/>
    <w:rsid w:val="00B94353"/>
    <w:rsid w:val="00B946DB"/>
    <w:rsid w:val="00B94938"/>
    <w:rsid w:val="00B95527"/>
    <w:rsid w:val="00B9565A"/>
    <w:rsid w:val="00B9672D"/>
    <w:rsid w:val="00BA07FF"/>
    <w:rsid w:val="00BA11CF"/>
    <w:rsid w:val="00BA2A36"/>
    <w:rsid w:val="00BA2F75"/>
    <w:rsid w:val="00BA3515"/>
    <w:rsid w:val="00BA3AF8"/>
    <w:rsid w:val="00BA41BE"/>
    <w:rsid w:val="00BA4725"/>
    <w:rsid w:val="00BA57F4"/>
    <w:rsid w:val="00BA5CF9"/>
    <w:rsid w:val="00BA6AC8"/>
    <w:rsid w:val="00BB1967"/>
    <w:rsid w:val="00BB371D"/>
    <w:rsid w:val="00BB3D52"/>
    <w:rsid w:val="00BB4F3F"/>
    <w:rsid w:val="00BB570B"/>
    <w:rsid w:val="00BB7FD8"/>
    <w:rsid w:val="00BC0070"/>
    <w:rsid w:val="00BC096E"/>
    <w:rsid w:val="00BC27C6"/>
    <w:rsid w:val="00BC2810"/>
    <w:rsid w:val="00BC2DAD"/>
    <w:rsid w:val="00BC2EED"/>
    <w:rsid w:val="00BC3027"/>
    <w:rsid w:val="00BC41AF"/>
    <w:rsid w:val="00BC4F42"/>
    <w:rsid w:val="00BC54BB"/>
    <w:rsid w:val="00BC57C1"/>
    <w:rsid w:val="00BC5B11"/>
    <w:rsid w:val="00BC6DBA"/>
    <w:rsid w:val="00BC7FD6"/>
    <w:rsid w:val="00BD0006"/>
    <w:rsid w:val="00BD09B8"/>
    <w:rsid w:val="00BD0FCD"/>
    <w:rsid w:val="00BD14AB"/>
    <w:rsid w:val="00BD172D"/>
    <w:rsid w:val="00BD1A88"/>
    <w:rsid w:val="00BD1D8D"/>
    <w:rsid w:val="00BD2782"/>
    <w:rsid w:val="00BD37D6"/>
    <w:rsid w:val="00BD5033"/>
    <w:rsid w:val="00BD517E"/>
    <w:rsid w:val="00BD5396"/>
    <w:rsid w:val="00BD5B24"/>
    <w:rsid w:val="00BD5E1B"/>
    <w:rsid w:val="00BD626D"/>
    <w:rsid w:val="00BE1CCB"/>
    <w:rsid w:val="00BE1FAA"/>
    <w:rsid w:val="00BE2300"/>
    <w:rsid w:val="00BE4BE5"/>
    <w:rsid w:val="00BE63B5"/>
    <w:rsid w:val="00BE7F76"/>
    <w:rsid w:val="00BF1E44"/>
    <w:rsid w:val="00BF3AF1"/>
    <w:rsid w:val="00BF3BF8"/>
    <w:rsid w:val="00BF434E"/>
    <w:rsid w:val="00BF4BDA"/>
    <w:rsid w:val="00BF54E1"/>
    <w:rsid w:val="00BF7F55"/>
    <w:rsid w:val="00C00439"/>
    <w:rsid w:val="00C00DA4"/>
    <w:rsid w:val="00C01765"/>
    <w:rsid w:val="00C019BB"/>
    <w:rsid w:val="00C04E60"/>
    <w:rsid w:val="00C053DE"/>
    <w:rsid w:val="00C0797F"/>
    <w:rsid w:val="00C12ACE"/>
    <w:rsid w:val="00C14A69"/>
    <w:rsid w:val="00C14C05"/>
    <w:rsid w:val="00C15195"/>
    <w:rsid w:val="00C1550E"/>
    <w:rsid w:val="00C15B17"/>
    <w:rsid w:val="00C161C2"/>
    <w:rsid w:val="00C16F98"/>
    <w:rsid w:val="00C1715B"/>
    <w:rsid w:val="00C1737F"/>
    <w:rsid w:val="00C1783F"/>
    <w:rsid w:val="00C21DC6"/>
    <w:rsid w:val="00C2303A"/>
    <w:rsid w:val="00C23140"/>
    <w:rsid w:val="00C23D3E"/>
    <w:rsid w:val="00C26126"/>
    <w:rsid w:val="00C26590"/>
    <w:rsid w:val="00C30543"/>
    <w:rsid w:val="00C30A3F"/>
    <w:rsid w:val="00C3183D"/>
    <w:rsid w:val="00C3281E"/>
    <w:rsid w:val="00C343FE"/>
    <w:rsid w:val="00C3469C"/>
    <w:rsid w:val="00C36245"/>
    <w:rsid w:val="00C36313"/>
    <w:rsid w:val="00C37618"/>
    <w:rsid w:val="00C41A91"/>
    <w:rsid w:val="00C431A4"/>
    <w:rsid w:val="00C43860"/>
    <w:rsid w:val="00C43EA3"/>
    <w:rsid w:val="00C44983"/>
    <w:rsid w:val="00C44FA5"/>
    <w:rsid w:val="00C45241"/>
    <w:rsid w:val="00C4630C"/>
    <w:rsid w:val="00C46691"/>
    <w:rsid w:val="00C4723C"/>
    <w:rsid w:val="00C5087D"/>
    <w:rsid w:val="00C51CFB"/>
    <w:rsid w:val="00C5235A"/>
    <w:rsid w:val="00C52E87"/>
    <w:rsid w:val="00C52E92"/>
    <w:rsid w:val="00C53727"/>
    <w:rsid w:val="00C539B8"/>
    <w:rsid w:val="00C53AC4"/>
    <w:rsid w:val="00C54BBD"/>
    <w:rsid w:val="00C55143"/>
    <w:rsid w:val="00C55270"/>
    <w:rsid w:val="00C562CA"/>
    <w:rsid w:val="00C57C20"/>
    <w:rsid w:val="00C57C23"/>
    <w:rsid w:val="00C6021A"/>
    <w:rsid w:val="00C6075C"/>
    <w:rsid w:val="00C60B7A"/>
    <w:rsid w:val="00C62A97"/>
    <w:rsid w:val="00C62FF4"/>
    <w:rsid w:val="00C63487"/>
    <w:rsid w:val="00C635FD"/>
    <w:rsid w:val="00C640D3"/>
    <w:rsid w:val="00C66972"/>
    <w:rsid w:val="00C6698F"/>
    <w:rsid w:val="00C66A65"/>
    <w:rsid w:val="00C6718B"/>
    <w:rsid w:val="00C67202"/>
    <w:rsid w:val="00C672C1"/>
    <w:rsid w:val="00C703BE"/>
    <w:rsid w:val="00C7260C"/>
    <w:rsid w:val="00C729C2"/>
    <w:rsid w:val="00C732AA"/>
    <w:rsid w:val="00C737C5"/>
    <w:rsid w:val="00C73F6F"/>
    <w:rsid w:val="00C74090"/>
    <w:rsid w:val="00C74788"/>
    <w:rsid w:val="00C747D1"/>
    <w:rsid w:val="00C768EF"/>
    <w:rsid w:val="00C770A2"/>
    <w:rsid w:val="00C80495"/>
    <w:rsid w:val="00C81EB7"/>
    <w:rsid w:val="00C81FFD"/>
    <w:rsid w:val="00C82AEA"/>
    <w:rsid w:val="00C83AC1"/>
    <w:rsid w:val="00C83C21"/>
    <w:rsid w:val="00C83E7A"/>
    <w:rsid w:val="00C8584C"/>
    <w:rsid w:val="00C86248"/>
    <w:rsid w:val="00C8661A"/>
    <w:rsid w:val="00C86989"/>
    <w:rsid w:val="00C87D87"/>
    <w:rsid w:val="00C90D7F"/>
    <w:rsid w:val="00C90DB9"/>
    <w:rsid w:val="00C918BA"/>
    <w:rsid w:val="00C91D16"/>
    <w:rsid w:val="00C92236"/>
    <w:rsid w:val="00C92ED3"/>
    <w:rsid w:val="00C941AD"/>
    <w:rsid w:val="00C94CFF"/>
    <w:rsid w:val="00C94F25"/>
    <w:rsid w:val="00C9504C"/>
    <w:rsid w:val="00C95A9A"/>
    <w:rsid w:val="00C95C5F"/>
    <w:rsid w:val="00C95D8F"/>
    <w:rsid w:val="00C96591"/>
    <w:rsid w:val="00C96CEF"/>
    <w:rsid w:val="00C97798"/>
    <w:rsid w:val="00CA0E12"/>
    <w:rsid w:val="00CA0ECD"/>
    <w:rsid w:val="00CA1C8C"/>
    <w:rsid w:val="00CA203A"/>
    <w:rsid w:val="00CA6121"/>
    <w:rsid w:val="00CA624A"/>
    <w:rsid w:val="00CA6F19"/>
    <w:rsid w:val="00CA72A8"/>
    <w:rsid w:val="00CB2162"/>
    <w:rsid w:val="00CB2C0E"/>
    <w:rsid w:val="00CB2F06"/>
    <w:rsid w:val="00CB3126"/>
    <w:rsid w:val="00CB325C"/>
    <w:rsid w:val="00CB35B8"/>
    <w:rsid w:val="00CB3661"/>
    <w:rsid w:val="00CB57FD"/>
    <w:rsid w:val="00CB7005"/>
    <w:rsid w:val="00CB78E2"/>
    <w:rsid w:val="00CB7B38"/>
    <w:rsid w:val="00CB7BF9"/>
    <w:rsid w:val="00CB7FDD"/>
    <w:rsid w:val="00CC0744"/>
    <w:rsid w:val="00CC1C3D"/>
    <w:rsid w:val="00CC2700"/>
    <w:rsid w:val="00CC3FA2"/>
    <w:rsid w:val="00CC4297"/>
    <w:rsid w:val="00CC4E92"/>
    <w:rsid w:val="00CC645B"/>
    <w:rsid w:val="00CC66C6"/>
    <w:rsid w:val="00CC761E"/>
    <w:rsid w:val="00CD00DB"/>
    <w:rsid w:val="00CD06B2"/>
    <w:rsid w:val="00CD1A53"/>
    <w:rsid w:val="00CD49D2"/>
    <w:rsid w:val="00CD56FB"/>
    <w:rsid w:val="00CD767A"/>
    <w:rsid w:val="00CD7AA2"/>
    <w:rsid w:val="00CD7B93"/>
    <w:rsid w:val="00CE04F7"/>
    <w:rsid w:val="00CE09E8"/>
    <w:rsid w:val="00CE0A33"/>
    <w:rsid w:val="00CE111F"/>
    <w:rsid w:val="00CE1B4B"/>
    <w:rsid w:val="00CE2493"/>
    <w:rsid w:val="00CE2A95"/>
    <w:rsid w:val="00CE552A"/>
    <w:rsid w:val="00CE6B93"/>
    <w:rsid w:val="00CF0824"/>
    <w:rsid w:val="00CF08F4"/>
    <w:rsid w:val="00CF1930"/>
    <w:rsid w:val="00CF2DA3"/>
    <w:rsid w:val="00CF3706"/>
    <w:rsid w:val="00CF4429"/>
    <w:rsid w:val="00CF448F"/>
    <w:rsid w:val="00CF470B"/>
    <w:rsid w:val="00CF4F99"/>
    <w:rsid w:val="00CF77E7"/>
    <w:rsid w:val="00CF7A8C"/>
    <w:rsid w:val="00CF7C7F"/>
    <w:rsid w:val="00D0069C"/>
    <w:rsid w:val="00D00F15"/>
    <w:rsid w:val="00D01413"/>
    <w:rsid w:val="00D01558"/>
    <w:rsid w:val="00D019F7"/>
    <w:rsid w:val="00D0247C"/>
    <w:rsid w:val="00D0442B"/>
    <w:rsid w:val="00D04992"/>
    <w:rsid w:val="00D04B7F"/>
    <w:rsid w:val="00D103D1"/>
    <w:rsid w:val="00D10E65"/>
    <w:rsid w:val="00D10F7A"/>
    <w:rsid w:val="00D114FE"/>
    <w:rsid w:val="00D11804"/>
    <w:rsid w:val="00D122F8"/>
    <w:rsid w:val="00D1307B"/>
    <w:rsid w:val="00D170AF"/>
    <w:rsid w:val="00D171F4"/>
    <w:rsid w:val="00D20038"/>
    <w:rsid w:val="00D20BD8"/>
    <w:rsid w:val="00D21305"/>
    <w:rsid w:val="00D21956"/>
    <w:rsid w:val="00D223C4"/>
    <w:rsid w:val="00D22A9B"/>
    <w:rsid w:val="00D23F24"/>
    <w:rsid w:val="00D25104"/>
    <w:rsid w:val="00D2674C"/>
    <w:rsid w:val="00D26E1C"/>
    <w:rsid w:val="00D27319"/>
    <w:rsid w:val="00D31283"/>
    <w:rsid w:val="00D330CE"/>
    <w:rsid w:val="00D35A8C"/>
    <w:rsid w:val="00D36025"/>
    <w:rsid w:val="00D37790"/>
    <w:rsid w:val="00D42E9F"/>
    <w:rsid w:val="00D435B5"/>
    <w:rsid w:val="00D435BC"/>
    <w:rsid w:val="00D43C6C"/>
    <w:rsid w:val="00D452B8"/>
    <w:rsid w:val="00D4596C"/>
    <w:rsid w:val="00D46A5C"/>
    <w:rsid w:val="00D46D5B"/>
    <w:rsid w:val="00D4769F"/>
    <w:rsid w:val="00D4785E"/>
    <w:rsid w:val="00D502F9"/>
    <w:rsid w:val="00D52B99"/>
    <w:rsid w:val="00D52C17"/>
    <w:rsid w:val="00D538C7"/>
    <w:rsid w:val="00D53F49"/>
    <w:rsid w:val="00D54AC2"/>
    <w:rsid w:val="00D553CB"/>
    <w:rsid w:val="00D56805"/>
    <w:rsid w:val="00D5730A"/>
    <w:rsid w:val="00D605A0"/>
    <w:rsid w:val="00D60A0C"/>
    <w:rsid w:val="00D60C67"/>
    <w:rsid w:val="00D61639"/>
    <w:rsid w:val="00D61687"/>
    <w:rsid w:val="00D623F2"/>
    <w:rsid w:val="00D62FEB"/>
    <w:rsid w:val="00D633FF"/>
    <w:rsid w:val="00D6392D"/>
    <w:rsid w:val="00D64BDA"/>
    <w:rsid w:val="00D66539"/>
    <w:rsid w:val="00D70095"/>
    <w:rsid w:val="00D7064B"/>
    <w:rsid w:val="00D70CC2"/>
    <w:rsid w:val="00D7217B"/>
    <w:rsid w:val="00D72FB1"/>
    <w:rsid w:val="00D73090"/>
    <w:rsid w:val="00D733BE"/>
    <w:rsid w:val="00D738DB"/>
    <w:rsid w:val="00D738DF"/>
    <w:rsid w:val="00D738FE"/>
    <w:rsid w:val="00D750DB"/>
    <w:rsid w:val="00D75A5D"/>
    <w:rsid w:val="00D75AC3"/>
    <w:rsid w:val="00D76F36"/>
    <w:rsid w:val="00D77724"/>
    <w:rsid w:val="00D808CA"/>
    <w:rsid w:val="00D809D6"/>
    <w:rsid w:val="00D81283"/>
    <w:rsid w:val="00D819A9"/>
    <w:rsid w:val="00D81E68"/>
    <w:rsid w:val="00D826E7"/>
    <w:rsid w:val="00D84501"/>
    <w:rsid w:val="00D86156"/>
    <w:rsid w:val="00D872BD"/>
    <w:rsid w:val="00D90742"/>
    <w:rsid w:val="00D91F1D"/>
    <w:rsid w:val="00D926B7"/>
    <w:rsid w:val="00D928D0"/>
    <w:rsid w:val="00D93B94"/>
    <w:rsid w:val="00D93BA5"/>
    <w:rsid w:val="00D93C60"/>
    <w:rsid w:val="00D94E4D"/>
    <w:rsid w:val="00D9601B"/>
    <w:rsid w:val="00D97A1E"/>
    <w:rsid w:val="00D97C4C"/>
    <w:rsid w:val="00DA13B7"/>
    <w:rsid w:val="00DA2CE7"/>
    <w:rsid w:val="00DA3410"/>
    <w:rsid w:val="00DA357F"/>
    <w:rsid w:val="00DA4961"/>
    <w:rsid w:val="00DA4EFA"/>
    <w:rsid w:val="00DA5A93"/>
    <w:rsid w:val="00DA5EF7"/>
    <w:rsid w:val="00DA6244"/>
    <w:rsid w:val="00DB0981"/>
    <w:rsid w:val="00DB12AF"/>
    <w:rsid w:val="00DB2608"/>
    <w:rsid w:val="00DB2DE4"/>
    <w:rsid w:val="00DB3097"/>
    <w:rsid w:val="00DB309D"/>
    <w:rsid w:val="00DB3276"/>
    <w:rsid w:val="00DB3368"/>
    <w:rsid w:val="00DB396B"/>
    <w:rsid w:val="00DB3AC6"/>
    <w:rsid w:val="00DB4337"/>
    <w:rsid w:val="00DB4E08"/>
    <w:rsid w:val="00DB56CC"/>
    <w:rsid w:val="00DB5982"/>
    <w:rsid w:val="00DB6C0C"/>
    <w:rsid w:val="00DC03AF"/>
    <w:rsid w:val="00DC0635"/>
    <w:rsid w:val="00DC1763"/>
    <w:rsid w:val="00DC1834"/>
    <w:rsid w:val="00DC2BDA"/>
    <w:rsid w:val="00DC2F4F"/>
    <w:rsid w:val="00DC3BFD"/>
    <w:rsid w:val="00DC3F39"/>
    <w:rsid w:val="00DC47F2"/>
    <w:rsid w:val="00DC55F9"/>
    <w:rsid w:val="00DC6029"/>
    <w:rsid w:val="00DC6355"/>
    <w:rsid w:val="00DC67E0"/>
    <w:rsid w:val="00DC6910"/>
    <w:rsid w:val="00DD0E28"/>
    <w:rsid w:val="00DD2A57"/>
    <w:rsid w:val="00DD50BC"/>
    <w:rsid w:val="00DD628E"/>
    <w:rsid w:val="00DD7FB1"/>
    <w:rsid w:val="00DE0114"/>
    <w:rsid w:val="00DE02E3"/>
    <w:rsid w:val="00DE0544"/>
    <w:rsid w:val="00DE16C1"/>
    <w:rsid w:val="00DE3AE5"/>
    <w:rsid w:val="00DE6440"/>
    <w:rsid w:val="00DE7771"/>
    <w:rsid w:val="00DE7E3A"/>
    <w:rsid w:val="00DE7E42"/>
    <w:rsid w:val="00DF1A83"/>
    <w:rsid w:val="00DF2295"/>
    <w:rsid w:val="00DF3793"/>
    <w:rsid w:val="00DF6D8C"/>
    <w:rsid w:val="00DF721E"/>
    <w:rsid w:val="00DF740E"/>
    <w:rsid w:val="00E01325"/>
    <w:rsid w:val="00E01439"/>
    <w:rsid w:val="00E040C3"/>
    <w:rsid w:val="00E04F26"/>
    <w:rsid w:val="00E10921"/>
    <w:rsid w:val="00E111EC"/>
    <w:rsid w:val="00E13CCE"/>
    <w:rsid w:val="00E15A6C"/>
    <w:rsid w:val="00E15BB7"/>
    <w:rsid w:val="00E15DAA"/>
    <w:rsid w:val="00E17094"/>
    <w:rsid w:val="00E17F25"/>
    <w:rsid w:val="00E20A22"/>
    <w:rsid w:val="00E212AA"/>
    <w:rsid w:val="00E21583"/>
    <w:rsid w:val="00E21F5E"/>
    <w:rsid w:val="00E224E3"/>
    <w:rsid w:val="00E228F4"/>
    <w:rsid w:val="00E22C38"/>
    <w:rsid w:val="00E23065"/>
    <w:rsid w:val="00E23A6B"/>
    <w:rsid w:val="00E23E11"/>
    <w:rsid w:val="00E2460D"/>
    <w:rsid w:val="00E25265"/>
    <w:rsid w:val="00E2574B"/>
    <w:rsid w:val="00E25C2F"/>
    <w:rsid w:val="00E2689C"/>
    <w:rsid w:val="00E27CD7"/>
    <w:rsid w:val="00E31601"/>
    <w:rsid w:val="00E3256A"/>
    <w:rsid w:val="00E32C65"/>
    <w:rsid w:val="00E35507"/>
    <w:rsid w:val="00E36043"/>
    <w:rsid w:val="00E3635F"/>
    <w:rsid w:val="00E36930"/>
    <w:rsid w:val="00E37AE7"/>
    <w:rsid w:val="00E40095"/>
    <w:rsid w:val="00E407F5"/>
    <w:rsid w:val="00E41301"/>
    <w:rsid w:val="00E413AB"/>
    <w:rsid w:val="00E42358"/>
    <w:rsid w:val="00E425DE"/>
    <w:rsid w:val="00E42CCD"/>
    <w:rsid w:val="00E42F8B"/>
    <w:rsid w:val="00E44430"/>
    <w:rsid w:val="00E4492E"/>
    <w:rsid w:val="00E45018"/>
    <w:rsid w:val="00E462B9"/>
    <w:rsid w:val="00E467E0"/>
    <w:rsid w:val="00E53D58"/>
    <w:rsid w:val="00E5527B"/>
    <w:rsid w:val="00E555D4"/>
    <w:rsid w:val="00E602EF"/>
    <w:rsid w:val="00E604E7"/>
    <w:rsid w:val="00E6076A"/>
    <w:rsid w:val="00E61250"/>
    <w:rsid w:val="00E614F4"/>
    <w:rsid w:val="00E615AC"/>
    <w:rsid w:val="00E6160D"/>
    <w:rsid w:val="00E61D43"/>
    <w:rsid w:val="00E62316"/>
    <w:rsid w:val="00E6379D"/>
    <w:rsid w:val="00E63C98"/>
    <w:rsid w:val="00E662CC"/>
    <w:rsid w:val="00E66C4F"/>
    <w:rsid w:val="00E672EE"/>
    <w:rsid w:val="00E701BA"/>
    <w:rsid w:val="00E7022E"/>
    <w:rsid w:val="00E703C3"/>
    <w:rsid w:val="00E71059"/>
    <w:rsid w:val="00E715B6"/>
    <w:rsid w:val="00E71957"/>
    <w:rsid w:val="00E7227C"/>
    <w:rsid w:val="00E73964"/>
    <w:rsid w:val="00E73DD6"/>
    <w:rsid w:val="00E73E27"/>
    <w:rsid w:val="00E74898"/>
    <w:rsid w:val="00E756C4"/>
    <w:rsid w:val="00E75A1C"/>
    <w:rsid w:val="00E75C97"/>
    <w:rsid w:val="00E75F70"/>
    <w:rsid w:val="00E772BC"/>
    <w:rsid w:val="00E7753C"/>
    <w:rsid w:val="00E775ED"/>
    <w:rsid w:val="00E77639"/>
    <w:rsid w:val="00E779ED"/>
    <w:rsid w:val="00E8004F"/>
    <w:rsid w:val="00E80205"/>
    <w:rsid w:val="00E814B0"/>
    <w:rsid w:val="00E81938"/>
    <w:rsid w:val="00E81FA0"/>
    <w:rsid w:val="00E82F0B"/>
    <w:rsid w:val="00E83705"/>
    <w:rsid w:val="00E85A91"/>
    <w:rsid w:val="00E85B43"/>
    <w:rsid w:val="00E86EB1"/>
    <w:rsid w:val="00E87688"/>
    <w:rsid w:val="00E87C9C"/>
    <w:rsid w:val="00E87DEA"/>
    <w:rsid w:val="00E90065"/>
    <w:rsid w:val="00E90CB8"/>
    <w:rsid w:val="00E90DEE"/>
    <w:rsid w:val="00E9181D"/>
    <w:rsid w:val="00E9207E"/>
    <w:rsid w:val="00E921AD"/>
    <w:rsid w:val="00E92980"/>
    <w:rsid w:val="00E93789"/>
    <w:rsid w:val="00E9441E"/>
    <w:rsid w:val="00E947FD"/>
    <w:rsid w:val="00E94B45"/>
    <w:rsid w:val="00E96D5A"/>
    <w:rsid w:val="00E977A8"/>
    <w:rsid w:val="00E97AB2"/>
    <w:rsid w:val="00EA068C"/>
    <w:rsid w:val="00EA1448"/>
    <w:rsid w:val="00EA2F79"/>
    <w:rsid w:val="00EA3302"/>
    <w:rsid w:val="00EA66F9"/>
    <w:rsid w:val="00EA6A5E"/>
    <w:rsid w:val="00EA7DCB"/>
    <w:rsid w:val="00EA7F71"/>
    <w:rsid w:val="00EB0CB7"/>
    <w:rsid w:val="00EB0E1C"/>
    <w:rsid w:val="00EB39A0"/>
    <w:rsid w:val="00EB3F70"/>
    <w:rsid w:val="00EB44F0"/>
    <w:rsid w:val="00EB55FC"/>
    <w:rsid w:val="00EB5851"/>
    <w:rsid w:val="00EB58C3"/>
    <w:rsid w:val="00EB6D1C"/>
    <w:rsid w:val="00EC0AA4"/>
    <w:rsid w:val="00EC0C14"/>
    <w:rsid w:val="00EC2286"/>
    <w:rsid w:val="00EC252D"/>
    <w:rsid w:val="00EC261F"/>
    <w:rsid w:val="00EC282B"/>
    <w:rsid w:val="00EC3597"/>
    <w:rsid w:val="00EC3D37"/>
    <w:rsid w:val="00EC4C0D"/>
    <w:rsid w:val="00EC6B8F"/>
    <w:rsid w:val="00EC7092"/>
    <w:rsid w:val="00EC73D1"/>
    <w:rsid w:val="00ED1907"/>
    <w:rsid w:val="00ED191D"/>
    <w:rsid w:val="00ED1CD3"/>
    <w:rsid w:val="00ED2143"/>
    <w:rsid w:val="00ED2A03"/>
    <w:rsid w:val="00ED5032"/>
    <w:rsid w:val="00ED6786"/>
    <w:rsid w:val="00EE0567"/>
    <w:rsid w:val="00EE0F59"/>
    <w:rsid w:val="00EE1855"/>
    <w:rsid w:val="00EE1A51"/>
    <w:rsid w:val="00EE2542"/>
    <w:rsid w:val="00EE29E9"/>
    <w:rsid w:val="00EE3D22"/>
    <w:rsid w:val="00EE404D"/>
    <w:rsid w:val="00EE4458"/>
    <w:rsid w:val="00EE4D8F"/>
    <w:rsid w:val="00EE5478"/>
    <w:rsid w:val="00EE608E"/>
    <w:rsid w:val="00EE7E95"/>
    <w:rsid w:val="00EF0649"/>
    <w:rsid w:val="00EF0D54"/>
    <w:rsid w:val="00EF16C2"/>
    <w:rsid w:val="00EF22DB"/>
    <w:rsid w:val="00EF3493"/>
    <w:rsid w:val="00EF3AEA"/>
    <w:rsid w:val="00EF3FD3"/>
    <w:rsid w:val="00EF50CD"/>
    <w:rsid w:val="00EF5260"/>
    <w:rsid w:val="00EF7A69"/>
    <w:rsid w:val="00EF7A98"/>
    <w:rsid w:val="00F020CD"/>
    <w:rsid w:val="00F03B93"/>
    <w:rsid w:val="00F04848"/>
    <w:rsid w:val="00F054A1"/>
    <w:rsid w:val="00F0638C"/>
    <w:rsid w:val="00F07F4F"/>
    <w:rsid w:val="00F1079B"/>
    <w:rsid w:val="00F1179A"/>
    <w:rsid w:val="00F11D73"/>
    <w:rsid w:val="00F121A0"/>
    <w:rsid w:val="00F12667"/>
    <w:rsid w:val="00F12FAA"/>
    <w:rsid w:val="00F133A6"/>
    <w:rsid w:val="00F1345D"/>
    <w:rsid w:val="00F136AB"/>
    <w:rsid w:val="00F13E7A"/>
    <w:rsid w:val="00F146CD"/>
    <w:rsid w:val="00F14814"/>
    <w:rsid w:val="00F149B3"/>
    <w:rsid w:val="00F16210"/>
    <w:rsid w:val="00F163DC"/>
    <w:rsid w:val="00F16772"/>
    <w:rsid w:val="00F17226"/>
    <w:rsid w:val="00F20B0B"/>
    <w:rsid w:val="00F25486"/>
    <w:rsid w:val="00F25C5E"/>
    <w:rsid w:val="00F25DA1"/>
    <w:rsid w:val="00F27730"/>
    <w:rsid w:val="00F30D6A"/>
    <w:rsid w:val="00F315A0"/>
    <w:rsid w:val="00F317B8"/>
    <w:rsid w:val="00F32484"/>
    <w:rsid w:val="00F32864"/>
    <w:rsid w:val="00F32A5C"/>
    <w:rsid w:val="00F33AF7"/>
    <w:rsid w:val="00F33EC0"/>
    <w:rsid w:val="00F33F8E"/>
    <w:rsid w:val="00F3448A"/>
    <w:rsid w:val="00F36314"/>
    <w:rsid w:val="00F36BCA"/>
    <w:rsid w:val="00F36BDD"/>
    <w:rsid w:val="00F374CE"/>
    <w:rsid w:val="00F40388"/>
    <w:rsid w:val="00F420D2"/>
    <w:rsid w:val="00F427FA"/>
    <w:rsid w:val="00F44F7E"/>
    <w:rsid w:val="00F456A3"/>
    <w:rsid w:val="00F45ADF"/>
    <w:rsid w:val="00F466F6"/>
    <w:rsid w:val="00F4674F"/>
    <w:rsid w:val="00F5094D"/>
    <w:rsid w:val="00F5165C"/>
    <w:rsid w:val="00F52345"/>
    <w:rsid w:val="00F526DE"/>
    <w:rsid w:val="00F52CF9"/>
    <w:rsid w:val="00F5370A"/>
    <w:rsid w:val="00F5553B"/>
    <w:rsid w:val="00F5662F"/>
    <w:rsid w:val="00F569B6"/>
    <w:rsid w:val="00F5743B"/>
    <w:rsid w:val="00F57B21"/>
    <w:rsid w:val="00F61DBC"/>
    <w:rsid w:val="00F6291A"/>
    <w:rsid w:val="00F62EA7"/>
    <w:rsid w:val="00F63290"/>
    <w:rsid w:val="00F63953"/>
    <w:rsid w:val="00F63E9B"/>
    <w:rsid w:val="00F6431C"/>
    <w:rsid w:val="00F6559A"/>
    <w:rsid w:val="00F65D54"/>
    <w:rsid w:val="00F66A98"/>
    <w:rsid w:val="00F67E0C"/>
    <w:rsid w:val="00F70800"/>
    <w:rsid w:val="00F71E89"/>
    <w:rsid w:val="00F72595"/>
    <w:rsid w:val="00F73D51"/>
    <w:rsid w:val="00F74535"/>
    <w:rsid w:val="00F749EC"/>
    <w:rsid w:val="00F74BE0"/>
    <w:rsid w:val="00F75066"/>
    <w:rsid w:val="00F755B1"/>
    <w:rsid w:val="00F764CC"/>
    <w:rsid w:val="00F76C7C"/>
    <w:rsid w:val="00F774D1"/>
    <w:rsid w:val="00F80861"/>
    <w:rsid w:val="00F8177F"/>
    <w:rsid w:val="00F839A0"/>
    <w:rsid w:val="00F83C2B"/>
    <w:rsid w:val="00F84251"/>
    <w:rsid w:val="00F84744"/>
    <w:rsid w:val="00F8589E"/>
    <w:rsid w:val="00F8602E"/>
    <w:rsid w:val="00F86086"/>
    <w:rsid w:val="00F8646A"/>
    <w:rsid w:val="00F8687C"/>
    <w:rsid w:val="00F86937"/>
    <w:rsid w:val="00F86979"/>
    <w:rsid w:val="00F90C1E"/>
    <w:rsid w:val="00F90DBE"/>
    <w:rsid w:val="00F90E53"/>
    <w:rsid w:val="00F91A84"/>
    <w:rsid w:val="00F92AC9"/>
    <w:rsid w:val="00F936CA"/>
    <w:rsid w:val="00F93A8E"/>
    <w:rsid w:val="00F93E5A"/>
    <w:rsid w:val="00F9419E"/>
    <w:rsid w:val="00F968B4"/>
    <w:rsid w:val="00F96BDE"/>
    <w:rsid w:val="00FA0159"/>
    <w:rsid w:val="00FA15AB"/>
    <w:rsid w:val="00FA3529"/>
    <w:rsid w:val="00FA4313"/>
    <w:rsid w:val="00FA5371"/>
    <w:rsid w:val="00FA649E"/>
    <w:rsid w:val="00FA75AA"/>
    <w:rsid w:val="00FB3175"/>
    <w:rsid w:val="00FB409D"/>
    <w:rsid w:val="00FB4312"/>
    <w:rsid w:val="00FB4570"/>
    <w:rsid w:val="00FB6CBE"/>
    <w:rsid w:val="00FC27A1"/>
    <w:rsid w:val="00FC2916"/>
    <w:rsid w:val="00FC2DB9"/>
    <w:rsid w:val="00FC3BC5"/>
    <w:rsid w:val="00FC42F5"/>
    <w:rsid w:val="00FC438F"/>
    <w:rsid w:val="00FC468F"/>
    <w:rsid w:val="00FC53ED"/>
    <w:rsid w:val="00FC558D"/>
    <w:rsid w:val="00FD0A9A"/>
    <w:rsid w:val="00FD0D15"/>
    <w:rsid w:val="00FD143B"/>
    <w:rsid w:val="00FD2929"/>
    <w:rsid w:val="00FD295B"/>
    <w:rsid w:val="00FD34A9"/>
    <w:rsid w:val="00FD6292"/>
    <w:rsid w:val="00FD76C6"/>
    <w:rsid w:val="00FE01E9"/>
    <w:rsid w:val="00FE0A26"/>
    <w:rsid w:val="00FE0A6E"/>
    <w:rsid w:val="00FE194D"/>
    <w:rsid w:val="00FE214D"/>
    <w:rsid w:val="00FE3B8C"/>
    <w:rsid w:val="00FE5251"/>
    <w:rsid w:val="00FE5B60"/>
    <w:rsid w:val="00FE5D16"/>
    <w:rsid w:val="00FE6846"/>
    <w:rsid w:val="00FE7B94"/>
    <w:rsid w:val="00FE7C3C"/>
    <w:rsid w:val="00FF068A"/>
    <w:rsid w:val="00FF11AE"/>
    <w:rsid w:val="00FF1DCB"/>
    <w:rsid w:val="00FF2611"/>
    <w:rsid w:val="00FF3062"/>
    <w:rsid w:val="00FF320E"/>
    <w:rsid w:val="00FF368E"/>
    <w:rsid w:val="00FF3ADA"/>
    <w:rsid w:val="00FF4065"/>
    <w:rsid w:val="00FF5418"/>
    <w:rsid w:val="00FF5B02"/>
    <w:rsid w:val="00FF71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ED7DD"/>
  <w15:docId w15:val="{69B603C3-E33E-44B6-A4BB-6CB95AE8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27B7"/>
    <w:pPr>
      <w:spacing w:after="0" w:line="240" w:lineRule="auto"/>
    </w:pPr>
    <w:rPr>
      <w:rFonts w:ascii="Arial" w:eastAsia="Times New Roman" w:hAnsi="Arial" w:cs="Arial"/>
      <w:sz w:val="24"/>
      <w:szCs w:val="24"/>
      <w:lang w:eastAsia="pl-PL"/>
    </w:rPr>
  </w:style>
  <w:style w:type="paragraph" w:styleId="Nagwek1">
    <w:name w:val="heading 1"/>
    <w:basedOn w:val="Normalny"/>
    <w:next w:val="Normalny"/>
    <w:link w:val="Nagwek1Znak"/>
    <w:qFormat/>
    <w:rsid w:val="00B327B7"/>
    <w:pPr>
      <w:keepNext/>
      <w:spacing w:before="240" w:after="60"/>
      <w:outlineLvl w:val="0"/>
    </w:pPr>
    <w:rPr>
      <w:rFonts w:asciiTheme="majorHAnsi" w:eastAsiaTheme="majorEastAsia" w:hAnsiTheme="majorHAnsi" w:cs="Times New Roman"/>
      <w:b/>
      <w:bCs/>
      <w:kern w:val="32"/>
      <w:sz w:val="32"/>
      <w:szCs w:val="32"/>
    </w:rPr>
  </w:style>
  <w:style w:type="paragraph" w:styleId="Nagwek2">
    <w:name w:val="heading 2"/>
    <w:basedOn w:val="Normalny"/>
    <w:next w:val="Normalny"/>
    <w:link w:val="Nagwek2Znak"/>
    <w:uiPriority w:val="9"/>
    <w:semiHidden/>
    <w:unhideWhenUsed/>
    <w:qFormat/>
    <w:rsid w:val="009D78C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EB58C3"/>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21536"/>
    <w:pPr>
      <w:keepNext/>
      <w:keepLines/>
      <w:spacing w:before="40"/>
      <w:outlineLvl w:val="5"/>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327B7"/>
    <w:rPr>
      <w:rFonts w:asciiTheme="majorHAnsi" w:eastAsiaTheme="majorEastAsia" w:hAnsiTheme="majorHAnsi" w:cs="Times New Roman"/>
      <w:b/>
      <w:bCs/>
      <w:kern w:val="32"/>
      <w:sz w:val="32"/>
      <w:szCs w:val="32"/>
      <w:lang w:eastAsia="pl-PL"/>
    </w:rPr>
  </w:style>
  <w:style w:type="paragraph" w:customStyle="1" w:styleId="1">
    <w:name w:val="1"/>
    <w:basedOn w:val="Tekstpodstawowywcity"/>
    <w:rsid w:val="00B327B7"/>
    <w:pPr>
      <w:spacing w:after="0"/>
      <w:ind w:left="0"/>
      <w:jc w:val="both"/>
    </w:pPr>
    <w:rPr>
      <w:b/>
      <w:sz w:val="26"/>
    </w:rPr>
  </w:style>
  <w:style w:type="paragraph" w:styleId="Tekstpodstawowywcity">
    <w:name w:val="Body Text Indent"/>
    <w:basedOn w:val="Normalny"/>
    <w:link w:val="TekstpodstawowywcityZnak"/>
    <w:rsid w:val="00B327B7"/>
    <w:pPr>
      <w:spacing w:after="120"/>
      <w:ind w:left="283"/>
    </w:pPr>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rsid w:val="00B327B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B327B7"/>
    <w:pPr>
      <w:spacing w:after="120" w:line="480" w:lineRule="auto"/>
    </w:pPr>
    <w:rPr>
      <w:rFonts w:ascii="Times New Roman" w:hAnsi="Times New Roman" w:cs="Times New Roman"/>
      <w:sz w:val="20"/>
      <w:szCs w:val="20"/>
    </w:rPr>
  </w:style>
  <w:style w:type="character" w:customStyle="1" w:styleId="Tekstpodstawowy2Znak">
    <w:name w:val="Tekst podstawowy 2 Znak"/>
    <w:basedOn w:val="Domylnaczcionkaakapitu"/>
    <w:link w:val="Tekstpodstawowy2"/>
    <w:rsid w:val="00B327B7"/>
    <w:rPr>
      <w:rFonts w:ascii="Times New Roman" w:eastAsia="Times New Roman" w:hAnsi="Times New Roman" w:cs="Times New Roman"/>
      <w:sz w:val="20"/>
      <w:szCs w:val="20"/>
      <w:lang w:eastAsia="pl-PL"/>
    </w:rPr>
  </w:style>
  <w:style w:type="paragraph" w:customStyle="1" w:styleId="FR1">
    <w:name w:val="FR1"/>
    <w:rsid w:val="00B327B7"/>
    <w:pPr>
      <w:widowControl w:val="0"/>
      <w:overflowPunct w:val="0"/>
      <w:autoSpaceDE w:val="0"/>
      <w:autoSpaceDN w:val="0"/>
      <w:adjustRightInd w:val="0"/>
      <w:spacing w:after="0" w:line="240" w:lineRule="auto"/>
      <w:jc w:val="right"/>
      <w:textAlignment w:val="baseline"/>
    </w:pPr>
    <w:rPr>
      <w:rFonts w:ascii="Arial" w:eastAsia="Times New Roman" w:hAnsi="Arial" w:cs="Times New Roman"/>
      <w:b/>
      <w:i/>
      <w:sz w:val="48"/>
      <w:szCs w:val="20"/>
      <w:lang w:eastAsia="pl-PL"/>
    </w:rPr>
  </w:style>
  <w:style w:type="paragraph" w:styleId="Zwykytekst">
    <w:name w:val="Plain Text"/>
    <w:basedOn w:val="Normalny"/>
    <w:link w:val="ZwykytekstZnak"/>
    <w:rsid w:val="00B327B7"/>
    <w:rPr>
      <w:rFonts w:ascii="Courier New" w:hAnsi="Courier New" w:cs="Times New Roman"/>
      <w:sz w:val="20"/>
      <w:szCs w:val="20"/>
    </w:rPr>
  </w:style>
  <w:style w:type="character" w:customStyle="1" w:styleId="ZwykytekstZnak">
    <w:name w:val="Zwykły tekst Znak"/>
    <w:basedOn w:val="Domylnaczcionkaakapitu"/>
    <w:link w:val="Zwykytekst"/>
    <w:rsid w:val="00B327B7"/>
    <w:rPr>
      <w:rFonts w:ascii="Courier New" w:eastAsia="Times New Roman" w:hAnsi="Courier New" w:cs="Times New Roman"/>
      <w:sz w:val="20"/>
      <w:szCs w:val="20"/>
      <w:lang w:eastAsia="pl-PL"/>
    </w:rPr>
  </w:style>
  <w:style w:type="paragraph" w:styleId="Tekstdymka">
    <w:name w:val="Balloon Text"/>
    <w:basedOn w:val="Normalny"/>
    <w:link w:val="TekstdymkaZnak"/>
    <w:uiPriority w:val="99"/>
    <w:semiHidden/>
    <w:unhideWhenUsed/>
    <w:rsid w:val="00B327B7"/>
    <w:rPr>
      <w:rFonts w:ascii="Tahoma" w:hAnsi="Tahoma" w:cs="Tahoma"/>
      <w:sz w:val="16"/>
      <w:szCs w:val="16"/>
    </w:rPr>
  </w:style>
  <w:style w:type="character" w:customStyle="1" w:styleId="TekstdymkaZnak">
    <w:name w:val="Tekst dymka Znak"/>
    <w:basedOn w:val="Domylnaczcionkaakapitu"/>
    <w:link w:val="Tekstdymka"/>
    <w:uiPriority w:val="99"/>
    <w:semiHidden/>
    <w:rsid w:val="00B327B7"/>
    <w:rPr>
      <w:rFonts w:ascii="Tahoma" w:eastAsia="Times New Roman" w:hAnsi="Tahoma" w:cs="Tahoma"/>
      <w:sz w:val="16"/>
      <w:szCs w:val="16"/>
      <w:lang w:eastAsia="pl-PL"/>
    </w:rPr>
  </w:style>
  <w:style w:type="paragraph" w:styleId="Nagwek">
    <w:name w:val="header"/>
    <w:basedOn w:val="Normalny"/>
    <w:link w:val="NagwekZnak"/>
    <w:uiPriority w:val="99"/>
    <w:unhideWhenUsed/>
    <w:rsid w:val="00B327B7"/>
    <w:pPr>
      <w:tabs>
        <w:tab w:val="center" w:pos="4536"/>
        <w:tab w:val="right" w:pos="9072"/>
      </w:tabs>
    </w:pPr>
  </w:style>
  <w:style w:type="character" w:customStyle="1" w:styleId="NagwekZnak">
    <w:name w:val="Nagłówek Znak"/>
    <w:basedOn w:val="Domylnaczcionkaakapitu"/>
    <w:link w:val="Nagwek"/>
    <w:uiPriority w:val="99"/>
    <w:rsid w:val="00B327B7"/>
    <w:rPr>
      <w:rFonts w:ascii="Arial" w:eastAsia="Times New Roman" w:hAnsi="Arial" w:cs="Arial"/>
      <w:sz w:val="24"/>
      <w:szCs w:val="24"/>
      <w:lang w:eastAsia="pl-PL"/>
    </w:rPr>
  </w:style>
  <w:style w:type="paragraph" w:styleId="Stopka">
    <w:name w:val="footer"/>
    <w:basedOn w:val="Normalny"/>
    <w:link w:val="StopkaZnak"/>
    <w:uiPriority w:val="99"/>
    <w:unhideWhenUsed/>
    <w:rsid w:val="00B327B7"/>
    <w:pPr>
      <w:tabs>
        <w:tab w:val="center" w:pos="4536"/>
        <w:tab w:val="right" w:pos="9072"/>
      </w:tabs>
    </w:pPr>
  </w:style>
  <w:style w:type="character" w:customStyle="1" w:styleId="StopkaZnak">
    <w:name w:val="Stopka Znak"/>
    <w:basedOn w:val="Domylnaczcionkaakapitu"/>
    <w:link w:val="Stopka"/>
    <w:uiPriority w:val="99"/>
    <w:rsid w:val="00B327B7"/>
    <w:rPr>
      <w:rFonts w:ascii="Arial" w:eastAsia="Times New Roman" w:hAnsi="Arial" w:cs="Arial"/>
      <w:sz w:val="24"/>
      <w:szCs w:val="24"/>
      <w:lang w:eastAsia="pl-PL"/>
    </w:rPr>
  </w:style>
  <w:style w:type="paragraph" w:styleId="Bezodstpw">
    <w:name w:val="No Spacing"/>
    <w:qFormat/>
    <w:rsid w:val="00633DBC"/>
    <w:pPr>
      <w:spacing w:after="0" w:line="240" w:lineRule="auto"/>
    </w:pPr>
    <w:rPr>
      <w:rFonts w:ascii="Calibri" w:eastAsia="Calibri" w:hAnsi="Calibri" w:cs="Times New Roman"/>
    </w:rPr>
  </w:style>
  <w:style w:type="paragraph" w:styleId="Akapitzlist">
    <w:name w:val="List Paragraph"/>
    <w:basedOn w:val="Normalny"/>
    <w:uiPriority w:val="34"/>
    <w:qFormat/>
    <w:rsid w:val="00741147"/>
    <w:pPr>
      <w:ind w:left="720"/>
      <w:contextualSpacing/>
    </w:pPr>
  </w:style>
  <w:style w:type="paragraph" w:styleId="Tekstprzypisudolnego">
    <w:name w:val="footnote text"/>
    <w:aliases w:val="Podrozdział,Footnote,Podrozdzia3"/>
    <w:basedOn w:val="Normalny"/>
    <w:link w:val="TekstprzypisudolnegoZnak"/>
    <w:unhideWhenUsed/>
    <w:qFormat/>
    <w:rsid w:val="008E5DF0"/>
    <w:rPr>
      <w:sz w:val="20"/>
      <w:szCs w:val="20"/>
    </w:rPr>
  </w:style>
  <w:style w:type="character" w:customStyle="1" w:styleId="TekstprzypisudolnegoZnak">
    <w:name w:val="Tekst przypisu dolnego Znak"/>
    <w:aliases w:val="Podrozdział Znak,Footnote Znak,Podrozdzia3 Znak"/>
    <w:basedOn w:val="Domylnaczcionkaakapitu"/>
    <w:link w:val="Tekstprzypisudolnego"/>
    <w:qFormat/>
    <w:rsid w:val="008E5DF0"/>
    <w:rPr>
      <w:rFonts w:ascii="Arial" w:eastAsia="Times New Roman" w:hAnsi="Arial" w:cs="Arial"/>
      <w:sz w:val="20"/>
      <w:szCs w:val="20"/>
      <w:lang w:eastAsia="pl-PL"/>
    </w:rPr>
  </w:style>
  <w:style w:type="character" w:styleId="Odwoanieprzypisudolnego">
    <w:name w:val="footnote reference"/>
    <w:aliases w:val="Odwo³anie przypisu,Odwołanie przypisu,FZ,Footnote symbol,Voetnootverwijzing,Footnote reference number"/>
    <w:basedOn w:val="Domylnaczcionkaakapitu"/>
    <w:uiPriority w:val="99"/>
    <w:unhideWhenUsed/>
    <w:qFormat/>
    <w:rsid w:val="008E5DF0"/>
    <w:rPr>
      <w:vertAlign w:val="superscript"/>
    </w:rPr>
  </w:style>
  <w:style w:type="character" w:styleId="Uwydatnienie">
    <w:name w:val="Emphasis"/>
    <w:basedOn w:val="Domylnaczcionkaakapitu"/>
    <w:uiPriority w:val="20"/>
    <w:qFormat/>
    <w:rsid w:val="00605785"/>
    <w:rPr>
      <w:i/>
      <w:iCs/>
    </w:rPr>
  </w:style>
  <w:style w:type="paragraph" w:styleId="Tekstprzypisukocowego">
    <w:name w:val="endnote text"/>
    <w:basedOn w:val="Normalny"/>
    <w:link w:val="TekstprzypisukocowegoZnak"/>
    <w:uiPriority w:val="99"/>
    <w:semiHidden/>
    <w:unhideWhenUsed/>
    <w:rsid w:val="00554C4C"/>
    <w:rPr>
      <w:sz w:val="20"/>
      <w:szCs w:val="20"/>
    </w:rPr>
  </w:style>
  <w:style w:type="character" w:customStyle="1" w:styleId="TekstprzypisukocowegoZnak">
    <w:name w:val="Tekst przypisu końcowego Znak"/>
    <w:basedOn w:val="Domylnaczcionkaakapitu"/>
    <w:link w:val="Tekstprzypisukocowego"/>
    <w:uiPriority w:val="99"/>
    <w:semiHidden/>
    <w:rsid w:val="00554C4C"/>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554C4C"/>
    <w:rPr>
      <w:vertAlign w:val="superscript"/>
    </w:rPr>
  </w:style>
  <w:style w:type="character" w:styleId="Odwoaniedokomentarza">
    <w:name w:val="annotation reference"/>
    <w:basedOn w:val="Domylnaczcionkaakapitu"/>
    <w:uiPriority w:val="99"/>
    <w:semiHidden/>
    <w:unhideWhenUsed/>
    <w:rsid w:val="004B0988"/>
    <w:rPr>
      <w:sz w:val="16"/>
      <w:szCs w:val="16"/>
    </w:rPr>
  </w:style>
  <w:style w:type="paragraph" w:styleId="Tekstkomentarza">
    <w:name w:val="annotation text"/>
    <w:basedOn w:val="Normalny"/>
    <w:link w:val="TekstkomentarzaZnak"/>
    <w:uiPriority w:val="99"/>
    <w:semiHidden/>
    <w:unhideWhenUsed/>
    <w:rsid w:val="004B0988"/>
    <w:rPr>
      <w:sz w:val="20"/>
      <w:szCs w:val="20"/>
    </w:rPr>
  </w:style>
  <w:style w:type="character" w:customStyle="1" w:styleId="TekstkomentarzaZnak">
    <w:name w:val="Tekst komentarza Znak"/>
    <w:basedOn w:val="Domylnaczcionkaakapitu"/>
    <w:link w:val="Tekstkomentarza"/>
    <w:uiPriority w:val="99"/>
    <w:semiHidden/>
    <w:rsid w:val="004B0988"/>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4B0988"/>
    <w:rPr>
      <w:b/>
      <w:bCs/>
    </w:rPr>
  </w:style>
  <w:style w:type="character" w:customStyle="1" w:styleId="TematkomentarzaZnak">
    <w:name w:val="Temat komentarza Znak"/>
    <w:basedOn w:val="TekstkomentarzaZnak"/>
    <w:link w:val="Tematkomentarza"/>
    <w:uiPriority w:val="99"/>
    <w:semiHidden/>
    <w:rsid w:val="004B0988"/>
    <w:rPr>
      <w:rFonts w:ascii="Arial" w:eastAsia="Times New Roman" w:hAnsi="Arial" w:cs="Arial"/>
      <w:b/>
      <w:bCs/>
      <w:sz w:val="20"/>
      <w:szCs w:val="20"/>
      <w:lang w:eastAsia="pl-PL"/>
    </w:rPr>
  </w:style>
  <w:style w:type="character" w:customStyle="1" w:styleId="Nagwek6Znak">
    <w:name w:val="Nagłówek 6 Znak"/>
    <w:basedOn w:val="Domylnaczcionkaakapitu"/>
    <w:link w:val="Nagwek6"/>
    <w:uiPriority w:val="9"/>
    <w:semiHidden/>
    <w:rsid w:val="00521536"/>
    <w:rPr>
      <w:rFonts w:asciiTheme="majorHAnsi" w:eastAsiaTheme="majorEastAsia" w:hAnsiTheme="majorHAnsi" w:cstheme="majorBidi"/>
      <w:color w:val="243F60" w:themeColor="accent1" w:themeShade="7F"/>
      <w:sz w:val="24"/>
      <w:szCs w:val="24"/>
      <w:lang w:eastAsia="pl-PL"/>
    </w:rPr>
  </w:style>
  <w:style w:type="character" w:styleId="Tekstzastpczy">
    <w:name w:val="Placeholder Text"/>
    <w:basedOn w:val="Domylnaczcionkaakapitu"/>
    <w:uiPriority w:val="99"/>
    <w:semiHidden/>
    <w:rsid w:val="00401328"/>
    <w:rPr>
      <w:color w:val="808080"/>
    </w:rPr>
  </w:style>
  <w:style w:type="paragraph" w:styleId="Tekstpodstawowywcity2">
    <w:name w:val="Body Text Indent 2"/>
    <w:basedOn w:val="Normalny"/>
    <w:link w:val="Tekstpodstawowywcity2Znak"/>
    <w:uiPriority w:val="99"/>
    <w:unhideWhenUsed/>
    <w:rsid w:val="00366EB1"/>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66EB1"/>
    <w:rPr>
      <w:rFonts w:ascii="Arial" w:eastAsia="Times New Roman" w:hAnsi="Arial" w:cs="Arial"/>
      <w:sz w:val="24"/>
      <w:szCs w:val="24"/>
      <w:lang w:eastAsia="pl-PL"/>
    </w:rPr>
  </w:style>
  <w:style w:type="character" w:customStyle="1" w:styleId="FontStyle14">
    <w:name w:val="Font Style14"/>
    <w:rsid w:val="002950C0"/>
    <w:rPr>
      <w:rFonts w:ascii="Arial" w:hAnsi="Arial" w:cs="Arial"/>
      <w:b/>
      <w:bCs/>
      <w:sz w:val="22"/>
      <w:szCs w:val="22"/>
    </w:rPr>
  </w:style>
  <w:style w:type="character" w:customStyle="1" w:styleId="Nagwek2Znak">
    <w:name w:val="Nagłówek 2 Znak"/>
    <w:basedOn w:val="Domylnaczcionkaakapitu"/>
    <w:link w:val="Nagwek2"/>
    <w:uiPriority w:val="9"/>
    <w:semiHidden/>
    <w:rsid w:val="009D78CA"/>
    <w:rPr>
      <w:rFonts w:asciiTheme="majorHAnsi" w:eastAsiaTheme="majorEastAsia" w:hAnsiTheme="majorHAnsi" w:cstheme="majorBidi"/>
      <w:color w:val="365F91" w:themeColor="accent1" w:themeShade="BF"/>
      <w:sz w:val="26"/>
      <w:szCs w:val="26"/>
      <w:lang w:eastAsia="pl-PL"/>
    </w:rPr>
  </w:style>
  <w:style w:type="character" w:styleId="Hipercze">
    <w:name w:val="Hyperlink"/>
    <w:basedOn w:val="Domylnaczcionkaakapitu"/>
    <w:uiPriority w:val="99"/>
    <w:unhideWhenUsed/>
    <w:rsid w:val="0076223B"/>
    <w:rPr>
      <w:color w:val="0000FF" w:themeColor="hyperlink"/>
      <w:u w:val="single"/>
    </w:rPr>
  </w:style>
  <w:style w:type="character" w:customStyle="1" w:styleId="Nagwek3Znak">
    <w:name w:val="Nagłówek 3 Znak"/>
    <w:basedOn w:val="Domylnaczcionkaakapitu"/>
    <w:link w:val="Nagwek3"/>
    <w:uiPriority w:val="9"/>
    <w:semiHidden/>
    <w:rsid w:val="00EB58C3"/>
    <w:rPr>
      <w:rFonts w:asciiTheme="majorHAnsi" w:eastAsiaTheme="majorEastAsia" w:hAnsiTheme="majorHAnsi" w:cstheme="majorBidi"/>
      <w:color w:val="243F60" w:themeColor="accent1" w:themeShade="7F"/>
      <w:sz w:val="24"/>
      <w:szCs w:val="24"/>
      <w:lang w:eastAsia="pl-PL"/>
    </w:rPr>
  </w:style>
  <w:style w:type="character" w:customStyle="1" w:styleId="Bodytext9pt">
    <w:name w:val="Body text + 9 pt"/>
    <w:basedOn w:val="Domylnaczcionkaakapitu"/>
    <w:rsid w:val="001D33B7"/>
    <w:rPr>
      <w:rFonts w:ascii="Calibri" w:eastAsia="Calibri" w:hAnsi="Calibri" w:cs="Calibri"/>
      <w:color w:val="000000"/>
      <w:spacing w:val="0"/>
      <w:w w:val="100"/>
      <w:position w:val="0"/>
      <w:sz w:val="18"/>
      <w:szCs w:val="18"/>
      <w:shd w:val="clear" w:color="auto" w:fill="FFFFFF"/>
      <w:lang w:val="pl-PL"/>
    </w:rPr>
  </w:style>
  <w:style w:type="character" w:customStyle="1" w:styleId="Footnote1">
    <w:name w:val="Footnote|1_"/>
    <w:basedOn w:val="Domylnaczcionkaakapitu"/>
    <w:link w:val="Footnote10"/>
    <w:rsid w:val="007B71C6"/>
    <w:rPr>
      <w:rFonts w:ascii="Arial" w:eastAsia="Arial" w:hAnsi="Arial" w:cs="Arial"/>
      <w:b/>
      <w:bCs/>
      <w:sz w:val="16"/>
      <w:szCs w:val="16"/>
      <w:shd w:val="clear" w:color="auto" w:fill="FFFFFF"/>
    </w:rPr>
  </w:style>
  <w:style w:type="character" w:customStyle="1" w:styleId="Footnote195ptNotBold">
    <w:name w:val="Footnote|1 + 9.5 pt;Not Bold"/>
    <w:basedOn w:val="Footnote1"/>
    <w:semiHidden/>
    <w:unhideWhenUsed/>
    <w:rsid w:val="007B71C6"/>
    <w:rPr>
      <w:rFonts w:ascii="Arial" w:eastAsia="Arial" w:hAnsi="Arial" w:cs="Arial"/>
      <w:b/>
      <w:bCs/>
      <w:color w:val="000000"/>
      <w:spacing w:val="0"/>
      <w:w w:val="100"/>
      <w:position w:val="0"/>
      <w:sz w:val="19"/>
      <w:szCs w:val="19"/>
      <w:shd w:val="clear" w:color="auto" w:fill="FFFFFF"/>
      <w:lang w:val="pl-PL" w:eastAsia="pl-PL" w:bidi="pl-PL"/>
    </w:rPr>
  </w:style>
  <w:style w:type="paragraph" w:customStyle="1" w:styleId="Footnote10">
    <w:name w:val="Footnote|1"/>
    <w:basedOn w:val="Normalny"/>
    <w:link w:val="Footnote1"/>
    <w:qFormat/>
    <w:rsid w:val="007B71C6"/>
    <w:pPr>
      <w:widowControl w:val="0"/>
      <w:shd w:val="clear" w:color="auto" w:fill="FFFFFF"/>
      <w:spacing w:line="235" w:lineRule="exact"/>
    </w:pPr>
    <w:rPr>
      <w:rFonts w:eastAsia="Arial"/>
      <w:b/>
      <w:bCs/>
      <w:sz w:val="16"/>
      <w:szCs w:val="16"/>
      <w:lang w:eastAsia="en-US"/>
    </w:rPr>
  </w:style>
  <w:style w:type="paragraph" w:styleId="Tekstpodstawowy">
    <w:name w:val="Body Text"/>
    <w:basedOn w:val="Normalny"/>
    <w:link w:val="TekstpodstawowyZnak"/>
    <w:rsid w:val="00B326C7"/>
    <w:pPr>
      <w:spacing w:after="120"/>
    </w:pPr>
    <w:rPr>
      <w:rFonts w:ascii="Times New Roman" w:hAnsi="Times New Roman" w:cs="Times New Roman"/>
    </w:rPr>
  </w:style>
  <w:style w:type="character" w:customStyle="1" w:styleId="TekstpodstawowyZnak">
    <w:name w:val="Tekst podstawowy Znak"/>
    <w:basedOn w:val="Domylnaczcionkaakapitu"/>
    <w:link w:val="Tekstpodstawowy"/>
    <w:rsid w:val="00B326C7"/>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505F25"/>
    <w:pPr>
      <w:spacing w:after="0" w:line="253" w:lineRule="auto"/>
      <w:ind w:left="14"/>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505F25"/>
    <w:rPr>
      <w:rFonts w:ascii="Calibri" w:eastAsia="Calibri" w:hAnsi="Calibri" w:cs="Calibri"/>
      <w:color w:val="000000"/>
      <w:sz w:val="20"/>
      <w:lang w:eastAsia="pl-PL"/>
    </w:rPr>
  </w:style>
  <w:style w:type="character" w:customStyle="1" w:styleId="footnotemark">
    <w:name w:val="footnote mark"/>
    <w:hidden/>
    <w:rsid w:val="00505F25"/>
    <w:rPr>
      <w:rFonts w:ascii="Calibri" w:eastAsia="Calibri" w:hAnsi="Calibri" w:cs="Calibri"/>
      <w:color w:val="000000"/>
      <w:sz w:val="14"/>
      <w:vertAlign w:val="superscript"/>
    </w:rPr>
  </w:style>
  <w:style w:type="character" w:customStyle="1" w:styleId="ng-binding">
    <w:name w:val="ng-binding"/>
    <w:basedOn w:val="Domylnaczcionkaakapitu"/>
    <w:rsid w:val="00680A00"/>
  </w:style>
  <w:style w:type="character" w:customStyle="1" w:styleId="normaltextrun">
    <w:name w:val="normaltextrun"/>
    <w:basedOn w:val="Domylnaczcionkaakapitu"/>
    <w:rsid w:val="005A4482"/>
  </w:style>
  <w:style w:type="paragraph" w:customStyle="1" w:styleId="Poleadresowe">
    <w:name w:val="Pole adresowe"/>
    <w:basedOn w:val="Normalny"/>
    <w:link w:val="PoleadresoweZnak"/>
    <w:qFormat/>
    <w:rsid w:val="00CF1930"/>
    <w:pPr>
      <w:spacing w:before="240" w:after="720"/>
      <w:contextualSpacing/>
    </w:pPr>
    <w:rPr>
      <w:rFonts w:asciiTheme="minorHAnsi" w:hAnsiTheme="minorHAnsi" w:cs="Times New Roman"/>
      <w:bCs/>
      <w:sz w:val="22"/>
    </w:rPr>
  </w:style>
  <w:style w:type="character" w:customStyle="1" w:styleId="PoleadresoweZnak">
    <w:name w:val="Pole adresowe Znak"/>
    <w:basedOn w:val="Domylnaczcionkaakapitu"/>
    <w:link w:val="Poleadresowe"/>
    <w:rsid w:val="00CF1930"/>
    <w:rPr>
      <w:rFonts w:eastAsia="Times New Roman" w:cs="Times New Roman"/>
      <w:bCs/>
      <w:szCs w:val="24"/>
      <w:lang w:eastAsia="pl-PL"/>
    </w:rPr>
  </w:style>
  <w:style w:type="character" w:customStyle="1" w:styleId="Bodytext">
    <w:name w:val="Body text_"/>
    <w:basedOn w:val="Domylnaczcionkaakapitu"/>
    <w:link w:val="Tekstpodstawowy20"/>
    <w:rsid w:val="00CF7C7F"/>
    <w:rPr>
      <w:rFonts w:ascii="Calibri" w:eastAsia="Calibri" w:hAnsi="Calibri" w:cs="Calibri"/>
      <w:sz w:val="21"/>
      <w:szCs w:val="21"/>
      <w:shd w:val="clear" w:color="auto" w:fill="FFFFFF"/>
    </w:rPr>
  </w:style>
  <w:style w:type="paragraph" w:customStyle="1" w:styleId="Tekstpodstawowy20">
    <w:name w:val="Tekst podstawowy2"/>
    <w:basedOn w:val="Normalny"/>
    <w:link w:val="Bodytext"/>
    <w:rsid w:val="00CF7C7F"/>
    <w:pPr>
      <w:widowControl w:val="0"/>
      <w:shd w:val="clear" w:color="auto" w:fill="FFFFFF"/>
      <w:spacing w:before="240" w:after="240" w:line="518" w:lineRule="exact"/>
      <w:ind w:hanging="400"/>
    </w:pPr>
    <w:rPr>
      <w:rFonts w:ascii="Calibri" w:eastAsia="Calibri" w:hAnsi="Calibri" w:cs="Calibri"/>
      <w:sz w:val="21"/>
      <w:szCs w:val="21"/>
      <w:lang w:eastAsia="en-US"/>
    </w:rPr>
  </w:style>
  <w:style w:type="character" w:customStyle="1" w:styleId="Bodytext5">
    <w:name w:val="Body text (5)"/>
    <w:basedOn w:val="Domylnaczcionkaakapitu"/>
    <w:rsid w:val="00CF7C7F"/>
    <w:rPr>
      <w:rFonts w:ascii="Calibri" w:eastAsia="Calibri" w:hAnsi="Calibri" w:cs="Calibri"/>
      <w:b w:val="0"/>
      <w:bCs w:val="0"/>
      <w:i w:val="0"/>
      <w:iCs w:val="0"/>
      <w:smallCaps w:val="0"/>
      <w:strike w:val="0"/>
      <w:color w:val="000000"/>
      <w:spacing w:val="0"/>
      <w:w w:val="100"/>
      <w:position w:val="0"/>
      <w:sz w:val="19"/>
      <w:szCs w:val="19"/>
      <w:u w:val="singl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407">
      <w:bodyDiv w:val="1"/>
      <w:marLeft w:val="0"/>
      <w:marRight w:val="0"/>
      <w:marTop w:val="0"/>
      <w:marBottom w:val="0"/>
      <w:divBdr>
        <w:top w:val="none" w:sz="0" w:space="0" w:color="auto"/>
        <w:left w:val="none" w:sz="0" w:space="0" w:color="auto"/>
        <w:bottom w:val="none" w:sz="0" w:space="0" w:color="auto"/>
        <w:right w:val="none" w:sz="0" w:space="0" w:color="auto"/>
      </w:divBdr>
    </w:div>
    <w:div w:id="123425555">
      <w:bodyDiv w:val="1"/>
      <w:marLeft w:val="0"/>
      <w:marRight w:val="0"/>
      <w:marTop w:val="0"/>
      <w:marBottom w:val="0"/>
      <w:divBdr>
        <w:top w:val="none" w:sz="0" w:space="0" w:color="auto"/>
        <w:left w:val="none" w:sz="0" w:space="0" w:color="auto"/>
        <w:bottom w:val="none" w:sz="0" w:space="0" w:color="auto"/>
        <w:right w:val="none" w:sz="0" w:space="0" w:color="auto"/>
      </w:divBdr>
    </w:div>
    <w:div w:id="183061410">
      <w:bodyDiv w:val="1"/>
      <w:marLeft w:val="0"/>
      <w:marRight w:val="0"/>
      <w:marTop w:val="0"/>
      <w:marBottom w:val="0"/>
      <w:divBdr>
        <w:top w:val="none" w:sz="0" w:space="0" w:color="auto"/>
        <w:left w:val="none" w:sz="0" w:space="0" w:color="auto"/>
        <w:bottom w:val="none" w:sz="0" w:space="0" w:color="auto"/>
        <w:right w:val="none" w:sz="0" w:space="0" w:color="auto"/>
      </w:divBdr>
    </w:div>
    <w:div w:id="260112450">
      <w:bodyDiv w:val="1"/>
      <w:marLeft w:val="0"/>
      <w:marRight w:val="0"/>
      <w:marTop w:val="0"/>
      <w:marBottom w:val="0"/>
      <w:divBdr>
        <w:top w:val="none" w:sz="0" w:space="0" w:color="auto"/>
        <w:left w:val="none" w:sz="0" w:space="0" w:color="auto"/>
        <w:bottom w:val="none" w:sz="0" w:space="0" w:color="auto"/>
        <w:right w:val="none" w:sz="0" w:space="0" w:color="auto"/>
      </w:divBdr>
    </w:div>
    <w:div w:id="277419978">
      <w:bodyDiv w:val="1"/>
      <w:marLeft w:val="0"/>
      <w:marRight w:val="0"/>
      <w:marTop w:val="0"/>
      <w:marBottom w:val="0"/>
      <w:divBdr>
        <w:top w:val="none" w:sz="0" w:space="0" w:color="auto"/>
        <w:left w:val="none" w:sz="0" w:space="0" w:color="auto"/>
        <w:bottom w:val="none" w:sz="0" w:space="0" w:color="auto"/>
        <w:right w:val="none" w:sz="0" w:space="0" w:color="auto"/>
      </w:divBdr>
    </w:div>
    <w:div w:id="304090425">
      <w:bodyDiv w:val="1"/>
      <w:marLeft w:val="0"/>
      <w:marRight w:val="0"/>
      <w:marTop w:val="0"/>
      <w:marBottom w:val="0"/>
      <w:divBdr>
        <w:top w:val="none" w:sz="0" w:space="0" w:color="auto"/>
        <w:left w:val="none" w:sz="0" w:space="0" w:color="auto"/>
        <w:bottom w:val="none" w:sz="0" w:space="0" w:color="auto"/>
        <w:right w:val="none" w:sz="0" w:space="0" w:color="auto"/>
      </w:divBdr>
    </w:div>
    <w:div w:id="307826499">
      <w:bodyDiv w:val="1"/>
      <w:marLeft w:val="0"/>
      <w:marRight w:val="0"/>
      <w:marTop w:val="0"/>
      <w:marBottom w:val="0"/>
      <w:divBdr>
        <w:top w:val="none" w:sz="0" w:space="0" w:color="auto"/>
        <w:left w:val="none" w:sz="0" w:space="0" w:color="auto"/>
        <w:bottom w:val="none" w:sz="0" w:space="0" w:color="auto"/>
        <w:right w:val="none" w:sz="0" w:space="0" w:color="auto"/>
      </w:divBdr>
    </w:div>
    <w:div w:id="362482183">
      <w:bodyDiv w:val="1"/>
      <w:marLeft w:val="0"/>
      <w:marRight w:val="0"/>
      <w:marTop w:val="0"/>
      <w:marBottom w:val="0"/>
      <w:divBdr>
        <w:top w:val="none" w:sz="0" w:space="0" w:color="auto"/>
        <w:left w:val="none" w:sz="0" w:space="0" w:color="auto"/>
        <w:bottom w:val="none" w:sz="0" w:space="0" w:color="auto"/>
        <w:right w:val="none" w:sz="0" w:space="0" w:color="auto"/>
      </w:divBdr>
    </w:div>
    <w:div w:id="533664168">
      <w:bodyDiv w:val="1"/>
      <w:marLeft w:val="0"/>
      <w:marRight w:val="0"/>
      <w:marTop w:val="0"/>
      <w:marBottom w:val="0"/>
      <w:divBdr>
        <w:top w:val="none" w:sz="0" w:space="0" w:color="auto"/>
        <w:left w:val="none" w:sz="0" w:space="0" w:color="auto"/>
        <w:bottom w:val="none" w:sz="0" w:space="0" w:color="auto"/>
        <w:right w:val="none" w:sz="0" w:space="0" w:color="auto"/>
      </w:divBdr>
    </w:div>
    <w:div w:id="562257763">
      <w:bodyDiv w:val="1"/>
      <w:marLeft w:val="0"/>
      <w:marRight w:val="0"/>
      <w:marTop w:val="0"/>
      <w:marBottom w:val="0"/>
      <w:divBdr>
        <w:top w:val="none" w:sz="0" w:space="0" w:color="auto"/>
        <w:left w:val="none" w:sz="0" w:space="0" w:color="auto"/>
        <w:bottom w:val="none" w:sz="0" w:space="0" w:color="auto"/>
        <w:right w:val="none" w:sz="0" w:space="0" w:color="auto"/>
      </w:divBdr>
    </w:div>
    <w:div w:id="587235205">
      <w:bodyDiv w:val="1"/>
      <w:marLeft w:val="0"/>
      <w:marRight w:val="0"/>
      <w:marTop w:val="0"/>
      <w:marBottom w:val="0"/>
      <w:divBdr>
        <w:top w:val="none" w:sz="0" w:space="0" w:color="auto"/>
        <w:left w:val="none" w:sz="0" w:space="0" w:color="auto"/>
        <w:bottom w:val="none" w:sz="0" w:space="0" w:color="auto"/>
        <w:right w:val="none" w:sz="0" w:space="0" w:color="auto"/>
      </w:divBdr>
    </w:div>
    <w:div w:id="695928591">
      <w:bodyDiv w:val="1"/>
      <w:marLeft w:val="0"/>
      <w:marRight w:val="0"/>
      <w:marTop w:val="0"/>
      <w:marBottom w:val="0"/>
      <w:divBdr>
        <w:top w:val="none" w:sz="0" w:space="0" w:color="auto"/>
        <w:left w:val="none" w:sz="0" w:space="0" w:color="auto"/>
        <w:bottom w:val="none" w:sz="0" w:space="0" w:color="auto"/>
        <w:right w:val="none" w:sz="0" w:space="0" w:color="auto"/>
      </w:divBdr>
    </w:div>
    <w:div w:id="718095872">
      <w:bodyDiv w:val="1"/>
      <w:marLeft w:val="0"/>
      <w:marRight w:val="0"/>
      <w:marTop w:val="0"/>
      <w:marBottom w:val="0"/>
      <w:divBdr>
        <w:top w:val="none" w:sz="0" w:space="0" w:color="auto"/>
        <w:left w:val="none" w:sz="0" w:space="0" w:color="auto"/>
        <w:bottom w:val="none" w:sz="0" w:space="0" w:color="auto"/>
        <w:right w:val="none" w:sz="0" w:space="0" w:color="auto"/>
      </w:divBdr>
    </w:div>
    <w:div w:id="852109718">
      <w:bodyDiv w:val="1"/>
      <w:marLeft w:val="0"/>
      <w:marRight w:val="0"/>
      <w:marTop w:val="0"/>
      <w:marBottom w:val="0"/>
      <w:divBdr>
        <w:top w:val="none" w:sz="0" w:space="0" w:color="auto"/>
        <w:left w:val="none" w:sz="0" w:space="0" w:color="auto"/>
        <w:bottom w:val="none" w:sz="0" w:space="0" w:color="auto"/>
        <w:right w:val="none" w:sz="0" w:space="0" w:color="auto"/>
      </w:divBdr>
    </w:div>
    <w:div w:id="857815007">
      <w:bodyDiv w:val="1"/>
      <w:marLeft w:val="0"/>
      <w:marRight w:val="0"/>
      <w:marTop w:val="0"/>
      <w:marBottom w:val="0"/>
      <w:divBdr>
        <w:top w:val="none" w:sz="0" w:space="0" w:color="auto"/>
        <w:left w:val="none" w:sz="0" w:space="0" w:color="auto"/>
        <w:bottom w:val="none" w:sz="0" w:space="0" w:color="auto"/>
        <w:right w:val="none" w:sz="0" w:space="0" w:color="auto"/>
      </w:divBdr>
    </w:div>
    <w:div w:id="858200483">
      <w:bodyDiv w:val="1"/>
      <w:marLeft w:val="0"/>
      <w:marRight w:val="0"/>
      <w:marTop w:val="0"/>
      <w:marBottom w:val="0"/>
      <w:divBdr>
        <w:top w:val="none" w:sz="0" w:space="0" w:color="auto"/>
        <w:left w:val="none" w:sz="0" w:space="0" w:color="auto"/>
        <w:bottom w:val="none" w:sz="0" w:space="0" w:color="auto"/>
        <w:right w:val="none" w:sz="0" w:space="0" w:color="auto"/>
      </w:divBdr>
    </w:div>
    <w:div w:id="917784221">
      <w:bodyDiv w:val="1"/>
      <w:marLeft w:val="0"/>
      <w:marRight w:val="0"/>
      <w:marTop w:val="0"/>
      <w:marBottom w:val="0"/>
      <w:divBdr>
        <w:top w:val="none" w:sz="0" w:space="0" w:color="auto"/>
        <w:left w:val="none" w:sz="0" w:space="0" w:color="auto"/>
        <w:bottom w:val="none" w:sz="0" w:space="0" w:color="auto"/>
        <w:right w:val="none" w:sz="0" w:space="0" w:color="auto"/>
      </w:divBdr>
    </w:div>
    <w:div w:id="1009333342">
      <w:bodyDiv w:val="1"/>
      <w:marLeft w:val="0"/>
      <w:marRight w:val="0"/>
      <w:marTop w:val="0"/>
      <w:marBottom w:val="0"/>
      <w:divBdr>
        <w:top w:val="none" w:sz="0" w:space="0" w:color="auto"/>
        <w:left w:val="none" w:sz="0" w:space="0" w:color="auto"/>
        <w:bottom w:val="none" w:sz="0" w:space="0" w:color="auto"/>
        <w:right w:val="none" w:sz="0" w:space="0" w:color="auto"/>
      </w:divBdr>
    </w:div>
    <w:div w:id="1016274804">
      <w:bodyDiv w:val="1"/>
      <w:marLeft w:val="0"/>
      <w:marRight w:val="0"/>
      <w:marTop w:val="0"/>
      <w:marBottom w:val="0"/>
      <w:divBdr>
        <w:top w:val="none" w:sz="0" w:space="0" w:color="auto"/>
        <w:left w:val="none" w:sz="0" w:space="0" w:color="auto"/>
        <w:bottom w:val="none" w:sz="0" w:space="0" w:color="auto"/>
        <w:right w:val="none" w:sz="0" w:space="0" w:color="auto"/>
      </w:divBdr>
    </w:div>
    <w:div w:id="1093473912">
      <w:bodyDiv w:val="1"/>
      <w:marLeft w:val="0"/>
      <w:marRight w:val="0"/>
      <w:marTop w:val="0"/>
      <w:marBottom w:val="0"/>
      <w:divBdr>
        <w:top w:val="none" w:sz="0" w:space="0" w:color="auto"/>
        <w:left w:val="none" w:sz="0" w:space="0" w:color="auto"/>
        <w:bottom w:val="none" w:sz="0" w:space="0" w:color="auto"/>
        <w:right w:val="none" w:sz="0" w:space="0" w:color="auto"/>
      </w:divBdr>
    </w:div>
    <w:div w:id="1124808000">
      <w:bodyDiv w:val="1"/>
      <w:marLeft w:val="0"/>
      <w:marRight w:val="0"/>
      <w:marTop w:val="0"/>
      <w:marBottom w:val="0"/>
      <w:divBdr>
        <w:top w:val="none" w:sz="0" w:space="0" w:color="auto"/>
        <w:left w:val="none" w:sz="0" w:space="0" w:color="auto"/>
        <w:bottom w:val="none" w:sz="0" w:space="0" w:color="auto"/>
        <w:right w:val="none" w:sz="0" w:space="0" w:color="auto"/>
      </w:divBdr>
    </w:div>
    <w:div w:id="1209681991">
      <w:bodyDiv w:val="1"/>
      <w:marLeft w:val="0"/>
      <w:marRight w:val="0"/>
      <w:marTop w:val="0"/>
      <w:marBottom w:val="0"/>
      <w:divBdr>
        <w:top w:val="none" w:sz="0" w:space="0" w:color="auto"/>
        <w:left w:val="none" w:sz="0" w:space="0" w:color="auto"/>
        <w:bottom w:val="none" w:sz="0" w:space="0" w:color="auto"/>
        <w:right w:val="none" w:sz="0" w:space="0" w:color="auto"/>
      </w:divBdr>
    </w:div>
    <w:div w:id="1231186042">
      <w:bodyDiv w:val="1"/>
      <w:marLeft w:val="0"/>
      <w:marRight w:val="0"/>
      <w:marTop w:val="0"/>
      <w:marBottom w:val="0"/>
      <w:divBdr>
        <w:top w:val="none" w:sz="0" w:space="0" w:color="auto"/>
        <w:left w:val="none" w:sz="0" w:space="0" w:color="auto"/>
        <w:bottom w:val="none" w:sz="0" w:space="0" w:color="auto"/>
        <w:right w:val="none" w:sz="0" w:space="0" w:color="auto"/>
      </w:divBdr>
    </w:div>
    <w:div w:id="1232035682">
      <w:bodyDiv w:val="1"/>
      <w:marLeft w:val="0"/>
      <w:marRight w:val="0"/>
      <w:marTop w:val="0"/>
      <w:marBottom w:val="0"/>
      <w:divBdr>
        <w:top w:val="none" w:sz="0" w:space="0" w:color="auto"/>
        <w:left w:val="none" w:sz="0" w:space="0" w:color="auto"/>
        <w:bottom w:val="none" w:sz="0" w:space="0" w:color="auto"/>
        <w:right w:val="none" w:sz="0" w:space="0" w:color="auto"/>
      </w:divBdr>
    </w:div>
    <w:div w:id="1254894450">
      <w:bodyDiv w:val="1"/>
      <w:marLeft w:val="0"/>
      <w:marRight w:val="0"/>
      <w:marTop w:val="0"/>
      <w:marBottom w:val="0"/>
      <w:divBdr>
        <w:top w:val="none" w:sz="0" w:space="0" w:color="auto"/>
        <w:left w:val="none" w:sz="0" w:space="0" w:color="auto"/>
        <w:bottom w:val="none" w:sz="0" w:space="0" w:color="auto"/>
        <w:right w:val="none" w:sz="0" w:space="0" w:color="auto"/>
      </w:divBdr>
    </w:div>
    <w:div w:id="1273629846">
      <w:bodyDiv w:val="1"/>
      <w:marLeft w:val="0"/>
      <w:marRight w:val="0"/>
      <w:marTop w:val="0"/>
      <w:marBottom w:val="0"/>
      <w:divBdr>
        <w:top w:val="none" w:sz="0" w:space="0" w:color="auto"/>
        <w:left w:val="none" w:sz="0" w:space="0" w:color="auto"/>
        <w:bottom w:val="none" w:sz="0" w:space="0" w:color="auto"/>
        <w:right w:val="none" w:sz="0" w:space="0" w:color="auto"/>
      </w:divBdr>
    </w:div>
    <w:div w:id="1290235286">
      <w:bodyDiv w:val="1"/>
      <w:marLeft w:val="0"/>
      <w:marRight w:val="0"/>
      <w:marTop w:val="0"/>
      <w:marBottom w:val="0"/>
      <w:divBdr>
        <w:top w:val="none" w:sz="0" w:space="0" w:color="auto"/>
        <w:left w:val="none" w:sz="0" w:space="0" w:color="auto"/>
        <w:bottom w:val="none" w:sz="0" w:space="0" w:color="auto"/>
        <w:right w:val="none" w:sz="0" w:space="0" w:color="auto"/>
      </w:divBdr>
    </w:div>
    <w:div w:id="1328316040">
      <w:bodyDiv w:val="1"/>
      <w:marLeft w:val="0"/>
      <w:marRight w:val="0"/>
      <w:marTop w:val="0"/>
      <w:marBottom w:val="0"/>
      <w:divBdr>
        <w:top w:val="none" w:sz="0" w:space="0" w:color="auto"/>
        <w:left w:val="none" w:sz="0" w:space="0" w:color="auto"/>
        <w:bottom w:val="none" w:sz="0" w:space="0" w:color="auto"/>
        <w:right w:val="none" w:sz="0" w:space="0" w:color="auto"/>
      </w:divBdr>
    </w:div>
    <w:div w:id="1415979316">
      <w:bodyDiv w:val="1"/>
      <w:marLeft w:val="0"/>
      <w:marRight w:val="0"/>
      <w:marTop w:val="0"/>
      <w:marBottom w:val="0"/>
      <w:divBdr>
        <w:top w:val="none" w:sz="0" w:space="0" w:color="auto"/>
        <w:left w:val="none" w:sz="0" w:space="0" w:color="auto"/>
        <w:bottom w:val="none" w:sz="0" w:space="0" w:color="auto"/>
        <w:right w:val="none" w:sz="0" w:space="0" w:color="auto"/>
      </w:divBdr>
    </w:div>
    <w:div w:id="1417820222">
      <w:bodyDiv w:val="1"/>
      <w:marLeft w:val="0"/>
      <w:marRight w:val="0"/>
      <w:marTop w:val="0"/>
      <w:marBottom w:val="0"/>
      <w:divBdr>
        <w:top w:val="none" w:sz="0" w:space="0" w:color="auto"/>
        <w:left w:val="none" w:sz="0" w:space="0" w:color="auto"/>
        <w:bottom w:val="none" w:sz="0" w:space="0" w:color="auto"/>
        <w:right w:val="none" w:sz="0" w:space="0" w:color="auto"/>
      </w:divBdr>
    </w:div>
    <w:div w:id="1494179684">
      <w:bodyDiv w:val="1"/>
      <w:marLeft w:val="0"/>
      <w:marRight w:val="0"/>
      <w:marTop w:val="0"/>
      <w:marBottom w:val="0"/>
      <w:divBdr>
        <w:top w:val="none" w:sz="0" w:space="0" w:color="auto"/>
        <w:left w:val="none" w:sz="0" w:space="0" w:color="auto"/>
        <w:bottom w:val="none" w:sz="0" w:space="0" w:color="auto"/>
        <w:right w:val="none" w:sz="0" w:space="0" w:color="auto"/>
      </w:divBdr>
    </w:div>
    <w:div w:id="1634941231">
      <w:bodyDiv w:val="1"/>
      <w:marLeft w:val="0"/>
      <w:marRight w:val="0"/>
      <w:marTop w:val="0"/>
      <w:marBottom w:val="0"/>
      <w:divBdr>
        <w:top w:val="none" w:sz="0" w:space="0" w:color="auto"/>
        <w:left w:val="none" w:sz="0" w:space="0" w:color="auto"/>
        <w:bottom w:val="none" w:sz="0" w:space="0" w:color="auto"/>
        <w:right w:val="none" w:sz="0" w:space="0" w:color="auto"/>
      </w:divBdr>
    </w:div>
    <w:div w:id="1666779147">
      <w:bodyDiv w:val="1"/>
      <w:marLeft w:val="0"/>
      <w:marRight w:val="0"/>
      <w:marTop w:val="0"/>
      <w:marBottom w:val="0"/>
      <w:divBdr>
        <w:top w:val="none" w:sz="0" w:space="0" w:color="auto"/>
        <w:left w:val="none" w:sz="0" w:space="0" w:color="auto"/>
        <w:bottom w:val="none" w:sz="0" w:space="0" w:color="auto"/>
        <w:right w:val="none" w:sz="0" w:space="0" w:color="auto"/>
      </w:divBdr>
    </w:div>
    <w:div w:id="1780299895">
      <w:bodyDiv w:val="1"/>
      <w:marLeft w:val="0"/>
      <w:marRight w:val="0"/>
      <w:marTop w:val="0"/>
      <w:marBottom w:val="0"/>
      <w:divBdr>
        <w:top w:val="none" w:sz="0" w:space="0" w:color="auto"/>
        <w:left w:val="none" w:sz="0" w:space="0" w:color="auto"/>
        <w:bottom w:val="none" w:sz="0" w:space="0" w:color="auto"/>
        <w:right w:val="none" w:sz="0" w:space="0" w:color="auto"/>
      </w:divBdr>
    </w:div>
    <w:div w:id="1792019982">
      <w:bodyDiv w:val="1"/>
      <w:marLeft w:val="0"/>
      <w:marRight w:val="0"/>
      <w:marTop w:val="0"/>
      <w:marBottom w:val="0"/>
      <w:divBdr>
        <w:top w:val="none" w:sz="0" w:space="0" w:color="auto"/>
        <w:left w:val="none" w:sz="0" w:space="0" w:color="auto"/>
        <w:bottom w:val="none" w:sz="0" w:space="0" w:color="auto"/>
        <w:right w:val="none" w:sz="0" w:space="0" w:color="auto"/>
      </w:divBdr>
    </w:div>
    <w:div w:id="1836070585">
      <w:bodyDiv w:val="1"/>
      <w:marLeft w:val="0"/>
      <w:marRight w:val="0"/>
      <w:marTop w:val="0"/>
      <w:marBottom w:val="0"/>
      <w:divBdr>
        <w:top w:val="none" w:sz="0" w:space="0" w:color="auto"/>
        <w:left w:val="none" w:sz="0" w:space="0" w:color="auto"/>
        <w:bottom w:val="none" w:sz="0" w:space="0" w:color="auto"/>
        <w:right w:val="none" w:sz="0" w:space="0" w:color="auto"/>
      </w:divBdr>
    </w:div>
    <w:div w:id="1959945472">
      <w:bodyDiv w:val="1"/>
      <w:marLeft w:val="0"/>
      <w:marRight w:val="0"/>
      <w:marTop w:val="0"/>
      <w:marBottom w:val="0"/>
      <w:divBdr>
        <w:top w:val="none" w:sz="0" w:space="0" w:color="auto"/>
        <w:left w:val="none" w:sz="0" w:space="0" w:color="auto"/>
        <w:bottom w:val="none" w:sz="0" w:space="0" w:color="auto"/>
        <w:right w:val="none" w:sz="0" w:space="0" w:color="auto"/>
      </w:divBdr>
    </w:div>
    <w:div w:id="1969044022">
      <w:bodyDiv w:val="1"/>
      <w:marLeft w:val="0"/>
      <w:marRight w:val="0"/>
      <w:marTop w:val="0"/>
      <w:marBottom w:val="0"/>
      <w:divBdr>
        <w:top w:val="none" w:sz="0" w:space="0" w:color="auto"/>
        <w:left w:val="none" w:sz="0" w:space="0" w:color="auto"/>
        <w:bottom w:val="none" w:sz="0" w:space="0" w:color="auto"/>
        <w:right w:val="none" w:sz="0" w:space="0" w:color="auto"/>
      </w:divBdr>
    </w:div>
    <w:div w:id="2014722378">
      <w:bodyDiv w:val="1"/>
      <w:marLeft w:val="0"/>
      <w:marRight w:val="0"/>
      <w:marTop w:val="0"/>
      <w:marBottom w:val="0"/>
      <w:divBdr>
        <w:top w:val="none" w:sz="0" w:space="0" w:color="auto"/>
        <w:left w:val="none" w:sz="0" w:space="0" w:color="auto"/>
        <w:bottom w:val="none" w:sz="0" w:space="0" w:color="auto"/>
        <w:right w:val="none" w:sz="0" w:space="0" w:color="auto"/>
      </w:divBdr>
    </w:div>
    <w:div w:id="2033022919">
      <w:bodyDiv w:val="1"/>
      <w:marLeft w:val="0"/>
      <w:marRight w:val="0"/>
      <w:marTop w:val="0"/>
      <w:marBottom w:val="0"/>
      <w:divBdr>
        <w:top w:val="none" w:sz="0" w:space="0" w:color="auto"/>
        <w:left w:val="none" w:sz="0" w:space="0" w:color="auto"/>
        <w:bottom w:val="none" w:sz="0" w:space="0" w:color="auto"/>
        <w:right w:val="none" w:sz="0" w:space="0" w:color="auto"/>
      </w:divBdr>
    </w:div>
    <w:div w:id="2057927518">
      <w:bodyDiv w:val="1"/>
      <w:marLeft w:val="0"/>
      <w:marRight w:val="0"/>
      <w:marTop w:val="0"/>
      <w:marBottom w:val="0"/>
      <w:divBdr>
        <w:top w:val="none" w:sz="0" w:space="0" w:color="auto"/>
        <w:left w:val="none" w:sz="0" w:space="0" w:color="auto"/>
        <w:bottom w:val="none" w:sz="0" w:space="0" w:color="auto"/>
        <w:right w:val="none" w:sz="0" w:space="0" w:color="auto"/>
      </w:divBdr>
      <w:divsChild>
        <w:div w:id="446508951">
          <w:marLeft w:val="0"/>
          <w:marRight w:val="0"/>
          <w:marTop w:val="240"/>
          <w:marBottom w:val="0"/>
          <w:divBdr>
            <w:top w:val="none" w:sz="0" w:space="0" w:color="auto"/>
            <w:left w:val="none" w:sz="0" w:space="0" w:color="auto"/>
            <w:bottom w:val="none" w:sz="0" w:space="0" w:color="auto"/>
            <w:right w:val="none" w:sz="0" w:space="0" w:color="auto"/>
          </w:divBdr>
        </w:div>
        <w:div w:id="1055082020">
          <w:marLeft w:val="0"/>
          <w:marRight w:val="0"/>
          <w:marTop w:val="240"/>
          <w:marBottom w:val="0"/>
          <w:divBdr>
            <w:top w:val="none" w:sz="0" w:space="0" w:color="auto"/>
            <w:left w:val="none" w:sz="0" w:space="0" w:color="auto"/>
            <w:bottom w:val="none" w:sz="0" w:space="0" w:color="auto"/>
            <w:right w:val="none" w:sz="0" w:space="0" w:color="auto"/>
          </w:divBdr>
        </w:div>
      </w:divsChild>
    </w:div>
    <w:div w:id="2070571285">
      <w:bodyDiv w:val="1"/>
      <w:marLeft w:val="0"/>
      <w:marRight w:val="0"/>
      <w:marTop w:val="0"/>
      <w:marBottom w:val="0"/>
      <w:divBdr>
        <w:top w:val="none" w:sz="0" w:space="0" w:color="auto"/>
        <w:left w:val="none" w:sz="0" w:space="0" w:color="auto"/>
        <w:bottom w:val="none" w:sz="0" w:space="0" w:color="auto"/>
        <w:right w:val="none" w:sz="0" w:space="0" w:color="auto"/>
      </w:divBdr>
    </w:div>
    <w:div w:id="2076199794">
      <w:bodyDiv w:val="1"/>
      <w:marLeft w:val="0"/>
      <w:marRight w:val="0"/>
      <w:marTop w:val="0"/>
      <w:marBottom w:val="0"/>
      <w:divBdr>
        <w:top w:val="none" w:sz="0" w:space="0" w:color="auto"/>
        <w:left w:val="none" w:sz="0" w:space="0" w:color="auto"/>
        <w:bottom w:val="none" w:sz="0" w:space="0" w:color="auto"/>
        <w:right w:val="none" w:sz="0" w:space="0" w:color="auto"/>
      </w:divBdr>
    </w:div>
    <w:div w:id="2120566071">
      <w:bodyDiv w:val="1"/>
      <w:marLeft w:val="0"/>
      <w:marRight w:val="0"/>
      <w:marTop w:val="0"/>
      <w:marBottom w:val="0"/>
      <w:divBdr>
        <w:top w:val="none" w:sz="0" w:space="0" w:color="auto"/>
        <w:left w:val="none" w:sz="0" w:space="0" w:color="auto"/>
        <w:bottom w:val="none" w:sz="0" w:space="0" w:color="auto"/>
        <w:right w:val="none" w:sz="0" w:space="0" w:color="auto"/>
      </w:divBdr>
    </w:div>
    <w:div w:id="213066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3F3BECC047D3499B498EDD372C616B" ma:contentTypeVersion="18" ma:contentTypeDescription="Utwórz nowy dokument." ma:contentTypeScope="" ma:versionID="68e36b9b187171b595502e0345dc456c">
  <xsd:schema xmlns:xsd="http://www.w3.org/2001/XMLSchema" xmlns:xs="http://www.w3.org/2001/XMLSchema" xmlns:p="http://schemas.microsoft.com/office/2006/metadata/properties" xmlns:ns1="http://schemas.microsoft.com/sharepoint/v3" xmlns:ns3="4266e71f-6052-414d-8493-fc2f460cf283" xmlns:ns4="943af88d-9070-42f1-9b0d-d9326542228a" targetNamespace="http://schemas.microsoft.com/office/2006/metadata/properties" ma:root="true" ma:fieldsID="83f84a5d05fcd111546b38c8794aa100" ns1:_="" ns3:_="" ns4:_="">
    <xsd:import namespace="http://schemas.microsoft.com/sharepoint/v3"/>
    <xsd:import namespace="4266e71f-6052-414d-8493-fc2f460cf283"/>
    <xsd:import namespace="943af88d-9070-42f1-9b0d-d932654222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6e71f-6052-414d-8493-fc2f460cf2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af88d-9070-42f1-9b0d-d9326542228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266e71f-6052-414d-8493-fc2f460cf2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4874-5D94-45BA-860F-76D7834B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6e71f-6052-414d-8493-fc2f460cf283"/>
    <ds:schemaRef ds:uri="943af88d-9070-42f1-9b0d-d9326542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887F9-A70E-4764-871A-E079BCFB26E9}">
  <ds:schemaRefs>
    <ds:schemaRef ds:uri="http://schemas.microsoft.com/office/2006/metadata/properties"/>
    <ds:schemaRef ds:uri="http://schemas.microsoft.com/office/infopath/2007/PartnerControls"/>
    <ds:schemaRef ds:uri="http://schemas.microsoft.com/sharepoint/v3"/>
    <ds:schemaRef ds:uri="4266e71f-6052-414d-8493-fc2f460cf283"/>
  </ds:schemaRefs>
</ds:datastoreItem>
</file>

<file path=customXml/itemProps3.xml><?xml version="1.0" encoding="utf-8"?>
<ds:datastoreItem xmlns:ds="http://schemas.openxmlformats.org/officeDocument/2006/customXml" ds:itemID="{5B640D7C-C645-477A-92E1-CDBF40DB3D3E}">
  <ds:schemaRefs>
    <ds:schemaRef ds:uri="http://schemas.microsoft.com/sharepoint/v3/contenttype/forms"/>
  </ds:schemaRefs>
</ds:datastoreItem>
</file>

<file path=customXml/itemProps4.xml><?xml version="1.0" encoding="utf-8"?>
<ds:datastoreItem xmlns:ds="http://schemas.openxmlformats.org/officeDocument/2006/customXml" ds:itemID="{DE2BA421-B670-460D-B5AC-59AF69DA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1</Pages>
  <Words>3789</Words>
  <Characters>22740</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creator>Anna Chudek</dc:creator>
  <cp:lastModifiedBy>Kowalczyk Monika (KW)</cp:lastModifiedBy>
  <cp:revision>6</cp:revision>
  <cp:lastPrinted>2024-10-03T12:19:00Z</cp:lastPrinted>
  <dcterms:created xsi:type="dcterms:W3CDTF">2024-10-03T12:10:00Z</dcterms:created>
  <dcterms:modified xsi:type="dcterms:W3CDTF">2024-10-29T08:39:00Z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0x010100563F3BECC047D3499B498EDD372C616B</vt:lpwstr>
  </property>
</Properties>
</file>