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C164C9" w:rsidRDefault="00105BF9" w:rsidP="00C164C9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</w:t>
      </w:r>
      <w:r w:rsidR="004A4601">
        <w:rPr>
          <w:rFonts w:asciiTheme="minorHAnsi" w:hAnsiTheme="minorHAnsi" w:cstheme="minorHAnsi"/>
          <w:b/>
          <w:color w:val="auto"/>
          <w:sz w:val="22"/>
          <w:szCs w:val="22"/>
        </w:rPr>
        <w:t>LXVII/2229/2022</w:t>
      </w:r>
      <w:r w:rsidR="00C164C9" w:rsidRPr="00C164C9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  <w:r w:rsidR="00C164C9" w:rsidRPr="00C164C9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4A4601">
        <w:rPr>
          <w:rFonts w:asciiTheme="minorHAnsi" w:hAnsiTheme="minorHAnsi" w:cstheme="minorHAnsi"/>
          <w:b/>
          <w:color w:val="auto"/>
          <w:sz w:val="22"/>
          <w:szCs w:val="22"/>
        </w:rPr>
        <w:t>7 lipca</w:t>
      </w: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</w:t>
      </w:r>
      <w:r w:rsidR="004A4601">
        <w:rPr>
          <w:rFonts w:asciiTheme="minorHAnsi" w:hAnsiTheme="minorHAnsi" w:cstheme="minorHAnsi"/>
          <w:b/>
          <w:color w:val="auto"/>
          <w:sz w:val="22"/>
          <w:szCs w:val="22"/>
        </w:rPr>
        <w:t>22</w:t>
      </w: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05BF9" w:rsidRPr="00C164C9" w:rsidRDefault="00105BF9" w:rsidP="00C164C9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64C9">
        <w:rPr>
          <w:rFonts w:asciiTheme="minorHAnsi" w:hAnsiTheme="minorHAnsi" w:cstheme="minorHAnsi"/>
          <w:b/>
          <w:color w:val="auto"/>
          <w:sz w:val="22"/>
          <w:szCs w:val="22"/>
        </w:rPr>
        <w:t>w sprawie rozpatrzenia petycji</w:t>
      </w:r>
      <w:r w:rsidR="00670FF9" w:rsidRPr="00C16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55DBA" w:rsidRPr="00C164C9">
        <w:rPr>
          <w:rFonts w:asciiTheme="minorHAnsi" w:hAnsiTheme="minorHAnsi" w:cstheme="minorHAnsi"/>
          <w:b/>
          <w:color w:val="auto"/>
          <w:sz w:val="22"/>
          <w:szCs w:val="22"/>
        </w:rPr>
        <w:t>Fundacji Nikoli Tesli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9906F5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 w:rsidR="00655DBA" w:rsidRPr="00655DBA">
        <w:t xml:space="preserve"> </w:t>
      </w:r>
      <w:r w:rsidR="00655DBA" w:rsidRPr="00655DBA">
        <w:rPr>
          <w:rFonts w:ascii="Calibri" w:hAnsi="Calibri" w:cs="Calibri"/>
          <w:bCs/>
          <w:sz w:val="22"/>
          <w:szCs w:val="22"/>
        </w:rPr>
        <w:t>Fundacji Nikoli Tesli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23E03">
        <w:rPr>
          <w:rFonts w:ascii="Calibri" w:hAnsi="Calibri" w:cs="Calibri"/>
          <w:bCs/>
          <w:sz w:val="22"/>
          <w:szCs w:val="22"/>
        </w:rPr>
        <w:t>dotyczącego</w:t>
      </w:r>
      <w:r w:rsidR="00536699">
        <w:rPr>
          <w:rFonts w:ascii="Calibri" w:hAnsi="Calibri" w:cs="Calibri"/>
          <w:bCs/>
          <w:sz w:val="22"/>
          <w:szCs w:val="22"/>
        </w:rPr>
        <w:t xml:space="preserve"> </w:t>
      </w:r>
      <w:r w:rsidR="00021AFB">
        <w:rPr>
          <w:rFonts w:ascii="Calibri" w:hAnsi="Calibri" w:cs="Calibri"/>
          <w:bCs/>
          <w:sz w:val="22"/>
          <w:szCs w:val="22"/>
        </w:rPr>
        <w:t>podjęcia</w:t>
      </w:r>
      <w:r w:rsidR="00021AFB" w:rsidRPr="00021AFB">
        <w:rPr>
          <w:rFonts w:ascii="Calibri" w:hAnsi="Calibri" w:cs="Calibri"/>
          <w:bCs/>
          <w:sz w:val="22"/>
          <w:szCs w:val="22"/>
        </w:rPr>
        <w:t xml:space="preserve"> przez Radę m.st. Warszawy działań mających na celu </w:t>
      </w:r>
      <w:r w:rsidR="009E176A" w:rsidRPr="009E176A">
        <w:rPr>
          <w:rFonts w:ascii="Calibri" w:hAnsi="Calibri" w:cs="Calibri"/>
          <w:bCs/>
          <w:sz w:val="22"/>
          <w:szCs w:val="22"/>
        </w:rPr>
        <w:t xml:space="preserve">m.in. </w:t>
      </w:r>
      <w:r w:rsidR="005B267D">
        <w:rPr>
          <w:rFonts w:ascii="Calibri" w:hAnsi="Calibri" w:cs="Calibri"/>
          <w:bCs/>
          <w:sz w:val="22"/>
          <w:szCs w:val="22"/>
        </w:rPr>
        <w:t>wykonywanie</w:t>
      </w:r>
      <w:r w:rsidR="00536699" w:rsidRPr="00536699">
        <w:rPr>
          <w:rFonts w:ascii="Calibri" w:hAnsi="Calibri" w:cs="Calibri"/>
          <w:bCs/>
          <w:sz w:val="22"/>
          <w:szCs w:val="22"/>
        </w:rPr>
        <w:t xml:space="preserve"> pomiarów częstotliwości wokó</w:t>
      </w:r>
      <w:r w:rsidR="00536699">
        <w:rPr>
          <w:rFonts w:ascii="Calibri" w:hAnsi="Calibri" w:cs="Calibri"/>
          <w:bCs/>
          <w:sz w:val="22"/>
          <w:szCs w:val="22"/>
        </w:rPr>
        <w:t>ł masztów telefonii komórkowej 1</w:t>
      </w:r>
      <w:r w:rsidR="00536699" w:rsidRPr="00536699">
        <w:rPr>
          <w:rFonts w:ascii="Calibri" w:hAnsi="Calibri" w:cs="Calibri"/>
          <w:bCs/>
          <w:sz w:val="22"/>
          <w:szCs w:val="22"/>
        </w:rPr>
        <w:t>G, 2G, 3G, 4G, 5G</w:t>
      </w:r>
      <w:r w:rsidR="005B267D">
        <w:rPr>
          <w:rFonts w:ascii="Calibri" w:hAnsi="Calibri" w:cs="Calibri"/>
          <w:bCs/>
          <w:sz w:val="22"/>
          <w:szCs w:val="22"/>
        </w:rPr>
        <w:t xml:space="preserve"> oraz ustalenie</w:t>
      </w:r>
      <w:r w:rsidR="00536699">
        <w:rPr>
          <w:rFonts w:ascii="Calibri" w:hAnsi="Calibri" w:cs="Calibri"/>
          <w:bCs/>
          <w:sz w:val="22"/>
          <w:szCs w:val="22"/>
        </w:rPr>
        <w:t xml:space="preserve"> sfer ochronnych</w:t>
      </w:r>
      <w:r w:rsidR="005B267D">
        <w:rPr>
          <w:rFonts w:ascii="Calibri" w:hAnsi="Calibri" w:cs="Calibri"/>
          <w:bCs/>
          <w:sz w:val="22"/>
          <w:szCs w:val="22"/>
        </w:rPr>
        <w:t xml:space="preserve"> dla anten nadawczo-odbiorczych 1</w:t>
      </w:r>
      <w:r w:rsidR="005B267D" w:rsidRPr="005B267D">
        <w:rPr>
          <w:rFonts w:ascii="Calibri" w:hAnsi="Calibri" w:cs="Calibri"/>
          <w:bCs/>
          <w:sz w:val="22"/>
          <w:szCs w:val="22"/>
        </w:rPr>
        <w:t>G, 2G, 3G, 4G i 5G</w:t>
      </w:r>
      <w:r w:rsidR="00D56234">
        <w:rPr>
          <w:rFonts w:ascii="Calibri" w:hAnsi="Calibri" w:cs="Calibri"/>
          <w:bCs/>
          <w:sz w:val="22"/>
          <w:szCs w:val="22"/>
        </w:rPr>
        <w:t>.</w:t>
      </w:r>
      <w:r w:rsidR="005B267D" w:rsidRPr="005B267D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>awy do poinformowania wnoszącą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1216D8">
      <w:pPr>
        <w:pStyle w:val="Tekstpodstawowy"/>
        <w:spacing w:after="60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417630" w:rsidRDefault="00417630" w:rsidP="00417630">
      <w:pPr>
        <w:pStyle w:val="Bezodstpw"/>
        <w:spacing w:line="300" w:lineRule="auto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Wiceprzewodnicząca</w:t>
      </w:r>
    </w:p>
    <w:p w:rsidR="00417630" w:rsidRDefault="00417630" w:rsidP="00417630">
      <w:pPr>
        <w:pStyle w:val="Bezodstpw"/>
        <w:spacing w:line="300" w:lineRule="auto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417630" w:rsidRDefault="00AC50DF" w:rsidP="00417630">
      <w:pPr>
        <w:pStyle w:val="Bezodstpw"/>
        <w:spacing w:line="300" w:lineRule="auto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:rsidR="00417630" w:rsidRDefault="00417630" w:rsidP="00417630">
      <w:pPr>
        <w:pStyle w:val="Bezodstpw"/>
        <w:spacing w:line="300" w:lineRule="auto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4A4601">
        <w:rPr>
          <w:rFonts w:ascii="Calibri" w:hAnsi="Calibri" w:cs="Calibri"/>
          <w:sz w:val="22"/>
          <w:szCs w:val="22"/>
        </w:rPr>
        <w:t>LXVII/2229/2022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4A4601">
        <w:rPr>
          <w:rFonts w:ascii="Calibri" w:hAnsi="Calibri" w:cs="Calibri"/>
          <w:sz w:val="22"/>
          <w:szCs w:val="22"/>
        </w:rPr>
        <w:t>7 lipca 2022 r.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E1281" w:rsidRPr="00A71A6C">
        <w:rPr>
          <w:rFonts w:ascii="Calibri" w:hAnsi="Calibri" w:cs="Calibri"/>
          <w:b/>
          <w:bCs/>
          <w:sz w:val="22"/>
          <w:szCs w:val="22"/>
        </w:rPr>
        <w:t>Fundacji Nikoli Tesli</w:t>
      </w:r>
    </w:p>
    <w:p w:rsidR="009E1281" w:rsidRPr="00A71A6C" w:rsidRDefault="00A41CD3" w:rsidP="009E128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8C3E22" w:rsidRPr="00A71A6C">
        <w:rPr>
          <w:rFonts w:ascii="Calibri" w:hAnsi="Calibri" w:cs="Calibri"/>
          <w:sz w:val="22"/>
          <w:szCs w:val="22"/>
        </w:rPr>
        <w:t xml:space="preserve">15 kwietnia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 xml:space="preserve">, </w:t>
      </w:r>
      <w:r w:rsidR="009E1281" w:rsidRPr="00A71A6C">
        <w:rPr>
          <w:rFonts w:asciiTheme="minorHAnsi" w:hAnsiTheme="minorHAnsi" w:cs="Calibri"/>
          <w:sz w:val="22"/>
          <w:szCs w:val="22"/>
        </w:rPr>
        <w:t>Fundacja</w:t>
      </w:r>
      <w:r w:rsidR="009E1281" w:rsidRPr="00A71A6C">
        <w:rPr>
          <w:rFonts w:ascii="Calibri" w:hAnsi="Calibri" w:cs="Calibri"/>
          <w:sz w:val="22"/>
          <w:szCs w:val="22"/>
        </w:rPr>
        <w:t xml:space="preserve"> Nikoli Tesli</w:t>
      </w:r>
      <w:r w:rsidR="00A43A85" w:rsidRPr="00A71A6C">
        <w:rPr>
          <w:rFonts w:ascii="Calibri" w:hAnsi="Calibri" w:cs="Calibri"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podjęcie przez Radę m.st. Warszawy </w:t>
      </w:r>
      <w:r w:rsidR="00B85AFA" w:rsidRPr="00A71A6C">
        <w:rPr>
          <w:rFonts w:ascii="Calibri" w:hAnsi="Calibri" w:cs="Calibri"/>
          <w:sz w:val="22"/>
          <w:szCs w:val="22"/>
        </w:rPr>
        <w:t xml:space="preserve">działań mających na celu </w:t>
      </w:r>
      <w:r w:rsidR="002804C8" w:rsidRPr="002804C8">
        <w:rPr>
          <w:rFonts w:ascii="Calibri" w:hAnsi="Calibri" w:cs="Calibri"/>
          <w:sz w:val="22"/>
          <w:szCs w:val="22"/>
        </w:rPr>
        <w:t xml:space="preserve">m.in. </w:t>
      </w:r>
      <w:r w:rsidR="00D56234">
        <w:rPr>
          <w:rFonts w:ascii="Calibri" w:hAnsi="Calibri" w:cs="Calibri"/>
          <w:sz w:val="22"/>
          <w:szCs w:val="22"/>
        </w:rPr>
        <w:t>wykonywanie</w:t>
      </w:r>
      <w:r w:rsidR="001A72D2" w:rsidRPr="00A71A6C">
        <w:rPr>
          <w:rFonts w:ascii="Calibri" w:hAnsi="Calibri" w:cs="Calibri"/>
          <w:sz w:val="22"/>
          <w:szCs w:val="22"/>
        </w:rPr>
        <w:t xml:space="preserve"> pomiarów częstotliwości wokół masztów telefonii komórkowej 1G, 2G, 3G, 4G, 5G oraz </w:t>
      </w:r>
      <w:r w:rsidR="00D56234" w:rsidRPr="00D56234">
        <w:rPr>
          <w:rFonts w:ascii="Calibri" w:hAnsi="Calibri" w:cs="Calibri"/>
          <w:sz w:val="22"/>
          <w:szCs w:val="22"/>
        </w:rPr>
        <w:t>ustalenie sfer ochronnych dla anten nadawczo-odbiorczych 1G, 2G, 3G, 4G i 5G.</w:t>
      </w:r>
      <w:r w:rsidR="001A229A" w:rsidRPr="00A71A6C">
        <w:rPr>
          <w:rFonts w:ascii="Calibri" w:hAnsi="Calibri" w:cs="Calibri"/>
          <w:sz w:val="22"/>
          <w:szCs w:val="22"/>
        </w:rPr>
        <w:t xml:space="preserve"> </w:t>
      </w:r>
    </w:p>
    <w:p w:rsidR="00B9218C" w:rsidRPr="00A71A6C" w:rsidRDefault="00105BF9" w:rsidP="00E45308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 w:cstheme="minorHAnsi"/>
          <w:sz w:val="22"/>
          <w:szCs w:val="22"/>
        </w:rPr>
        <w:t xml:space="preserve">Z informacji uzyskanych przez Radę m.st. Warszawy z pisma </w:t>
      </w:r>
      <w:r w:rsidR="001A229A" w:rsidRPr="00A71A6C">
        <w:rPr>
          <w:rFonts w:asciiTheme="minorHAnsi" w:hAnsiTheme="minorHAnsi" w:cstheme="minorHAnsi"/>
          <w:sz w:val="22"/>
          <w:szCs w:val="22"/>
        </w:rPr>
        <w:t xml:space="preserve">Dyrektora Koordynatora ds. zielonej </w:t>
      </w:r>
      <w:r w:rsidR="00507578" w:rsidRPr="00A71A6C">
        <w:rPr>
          <w:rFonts w:asciiTheme="minorHAnsi" w:hAnsiTheme="minorHAnsi" w:cstheme="minorHAnsi"/>
          <w:sz w:val="22"/>
          <w:szCs w:val="22"/>
        </w:rPr>
        <w:t xml:space="preserve">Warszawy </w:t>
      </w:r>
      <w:r w:rsidRPr="00A71A6C">
        <w:rPr>
          <w:rFonts w:asciiTheme="minorHAnsi" w:hAnsiTheme="minorHAnsi" w:cs="Calibri"/>
          <w:sz w:val="22"/>
          <w:szCs w:val="22"/>
        </w:rPr>
        <w:t>z dnia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</w:t>
      </w:r>
      <w:r w:rsidR="001A229A" w:rsidRPr="00A71A6C">
        <w:rPr>
          <w:rFonts w:asciiTheme="minorHAnsi" w:hAnsiTheme="minorHAnsi" w:cs="Calibri"/>
          <w:sz w:val="22"/>
          <w:szCs w:val="22"/>
        </w:rPr>
        <w:t xml:space="preserve">9 maja </w:t>
      </w:r>
      <w:r w:rsidR="00507578" w:rsidRPr="00A71A6C">
        <w:rPr>
          <w:rFonts w:asciiTheme="minorHAnsi" w:hAnsiTheme="minorHAnsi" w:cs="Calibri"/>
          <w:sz w:val="22"/>
          <w:szCs w:val="22"/>
        </w:rPr>
        <w:t>2022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Pr="00A71A6C">
        <w:rPr>
          <w:rFonts w:asciiTheme="minorHAnsi" w:hAnsiTheme="minorHAnsi" w:cs="Calibri"/>
          <w:sz w:val="22"/>
          <w:szCs w:val="22"/>
        </w:rPr>
        <w:t xml:space="preserve">., znak: </w:t>
      </w:r>
      <w:r w:rsidR="001A229A" w:rsidRPr="00A71A6C">
        <w:rPr>
          <w:rFonts w:asciiTheme="minorHAnsi" w:hAnsiTheme="minorHAnsi" w:cs="Calibri"/>
          <w:sz w:val="22"/>
          <w:szCs w:val="22"/>
        </w:rPr>
        <w:t xml:space="preserve">OŚ-I-150.1.2022.MRA </w:t>
      </w:r>
      <w:r w:rsidR="00EE272A" w:rsidRPr="00A71A6C">
        <w:rPr>
          <w:rFonts w:asciiTheme="minorHAnsi" w:hAnsiTheme="minorHAnsi" w:cs="Calibri"/>
          <w:sz w:val="22"/>
          <w:szCs w:val="22"/>
        </w:rPr>
        <w:t>wynika, że</w:t>
      </w:r>
      <w:r w:rsidR="0001391A" w:rsidRPr="00A71A6C">
        <w:rPr>
          <w:rFonts w:asciiTheme="minorHAnsi" w:hAnsiTheme="minorHAnsi"/>
          <w:sz w:val="22"/>
          <w:szCs w:val="22"/>
        </w:rPr>
        <w:t xml:space="preserve"> </w:t>
      </w:r>
      <w:r w:rsidR="00EC5410">
        <w:rPr>
          <w:rFonts w:asciiTheme="minorHAnsi" w:hAnsiTheme="minorHAnsi"/>
          <w:sz w:val="22"/>
          <w:szCs w:val="22"/>
        </w:rPr>
        <w:t>z</w:t>
      </w:r>
      <w:r w:rsidR="00B9218C" w:rsidRPr="00A71A6C">
        <w:rPr>
          <w:rFonts w:asciiTheme="minorHAnsi" w:hAnsiTheme="minorHAnsi"/>
          <w:sz w:val="22"/>
          <w:szCs w:val="22"/>
        </w:rPr>
        <w:t>godnie z ustawą z dnia 27 kwietnia 20</w:t>
      </w:r>
      <w:r w:rsidR="00E45308">
        <w:rPr>
          <w:rFonts w:asciiTheme="minorHAnsi" w:hAnsiTheme="minorHAnsi"/>
          <w:sz w:val="22"/>
          <w:szCs w:val="22"/>
        </w:rPr>
        <w:t>01 r. Prawo ochrony środowiska</w:t>
      </w:r>
      <w:r w:rsidR="00EC5410">
        <w:rPr>
          <w:rFonts w:asciiTheme="minorHAnsi" w:hAnsiTheme="minorHAnsi"/>
          <w:sz w:val="22"/>
          <w:szCs w:val="22"/>
        </w:rPr>
        <w:t xml:space="preserve"> (Dz. U. z 2021 r. poz. 1973, z </w:t>
      </w:r>
      <w:proofErr w:type="spellStart"/>
      <w:r w:rsidR="00EC5410">
        <w:rPr>
          <w:rFonts w:asciiTheme="minorHAnsi" w:hAnsiTheme="minorHAnsi"/>
          <w:sz w:val="22"/>
          <w:szCs w:val="22"/>
        </w:rPr>
        <w:t>późn</w:t>
      </w:r>
      <w:proofErr w:type="spellEnd"/>
      <w:r w:rsidR="00EC5410">
        <w:rPr>
          <w:rFonts w:asciiTheme="minorHAnsi" w:hAnsiTheme="minorHAnsi"/>
          <w:sz w:val="22"/>
          <w:szCs w:val="22"/>
        </w:rPr>
        <w:t>. zm.)</w:t>
      </w:r>
      <w:r w:rsidR="00B9218C" w:rsidRPr="00A71A6C">
        <w:rPr>
          <w:rFonts w:asciiTheme="minorHAnsi" w:hAnsiTheme="minorHAnsi"/>
          <w:sz w:val="22"/>
          <w:szCs w:val="22"/>
        </w:rPr>
        <w:t>, ochrona przed polami elektromagnetycznymi (PEM) polega na zapewnieniu jak najlep</w:t>
      </w:r>
      <w:r w:rsidR="00E45308">
        <w:rPr>
          <w:rFonts w:asciiTheme="minorHAnsi" w:hAnsiTheme="minorHAnsi"/>
          <w:sz w:val="22"/>
          <w:szCs w:val="22"/>
        </w:rPr>
        <w:t>szego stanu środowiska poprzez</w:t>
      </w:r>
      <w:r w:rsidR="00B9218C" w:rsidRPr="00A71A6C">
        <w:rPr>
          <w:rFonts w:asciiTheme="minorHAnsi" w:hAnsiTheme="minorHAnsi"/>
          <w:sz w:val="22"/>
          <w:szCs w:val="22"/>
        </w:rPr>
        <w:t xml:space="preserve">  utrzymanie poziomów pól elektromagnetycznych poniżej dopuszczalnych lub </w:t>
      </w:r>
      <w:r w:rsidR="00E45308">
        <w:rPr>
          <w:rFonts w:asciiTheme="minorHAnsi" w:hAnsiTheme="minorHAnsi"/>
          <w:sz w:val="22"/>
          <w:szCs w:val="22"/>
        </w:rPr>
        <w:t>co najmniej na tych poziomach,</w:t>
      </w:r>
      <w:r w:rsidR="00B9218C" w:rsidRPr="00A71A6C">
        <w:rPr>
          <w:rFonts w:asciiTheme="minorHAnsi" w:hAnsiTheme="minorHAnsi"/>
          <w:sz w:val="22"/>
          <w:szCs w:val="22"/>
        </w:rPr>
        <w:t xml:space="preserve"> zmniejszanie poziomów pól elektromagnetycznych co najmniej do dopuszczalnych, gdy nie są one dotrzymane. </w:t>
      </w:r>
    </w:p>
    <w:p w:rsidR="00B9218C" w:rsidRDefault="00B9218C" w:rsidP="00B9218C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/>
          <w:sz w:val="22"/>
          <w:szCs w:val="22"/>
        </w:rPr>
        <w:t xml:space="preserve">Dopuszczalne poziomy PEM zostały określone w </w:t>
      </w:r>
      <w:r w:rsidR="00513802">
        <w:rPr>
          <w:rFonts w:asciiTheme="minorHAnsi" w:hAnsiTheme="minorHAnsi"/>
          <w:sz w:val="22"/>
          <w:szCs w:val="22"/>
        </w:rPr>
        <w:t>r</w:t>
      </w:r>
      <w:r w:rsidRPr="00A71A6C">
        <w:rPr>
          <w:rFonts w:asciiTheme="minorHAnsi" w:hAnsiTheme="minorHAnsi"/>
          <w:sz w:val="22"/>
          <w:szCs w:val="22"/>
        </w:rPr>
        <w:t>ozporządzeniu Ministra Zdrowia z dnia 17 grudnia 2019 r. w sprawie dopuszczalnych poziomów pól ele</w:t>
      </w:r>
      <w:r w:rsidR="00E45308">
        <w:rPr>
          <w:rFonts w:asciiTheme="minorHAnsi" w:hAnsiTheme="minorHAnsi"/>
          <w:sz w:val="22"/>
          <w:szCs w:val="22"/>
        </w:rPr>
        <w:t>ktromagnetycznych w środowisku</w:t>
      </w:r>
      <w:r w:rsidR="00513802">
        <w:rPr>
          <w:rFonts w:asciiTheme="minorHAnsi" w:hAnsiTheme="minorHAnsi"/>
          <w:sz w:val="22"/>
          <w:szCs w:val="22"/>
        </w:rPr>
        <w:t xml:space="preserve"> (Dz. U z 2019 r. poz. 2448)</w:t>
      </w:r>
      <w:r w:rsidRPr="00A71A6C">
        <w:rPr>
          <w:rFonts w:asciiTheme="minorHAnsi" w:hAnsiTheme="minorHAnsi"/>
          <w:sz w:val="22"/>
          <w:szCs w:val="22"/>
        </w:rPr>
        <w:t>.</w:t>
      </w:r>
    </w:p>
    <w:p w:rsidR="00EC7258" w:rsidRPr="00A71A6C" w:rsidRDefault="00EC7258" w:rsidP="00B9218C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EC7258">
        <w:rPr>
          <w:rFonts w:asciiTheme="minorHAnsi" w:hAnsiTheme="minorHAnsi"/>
          <w:sz w:val="22"/>
          <w:szCs w:val="22"/>
        </w:rPr>
        <w:t>Działania służące ochronie przed oddziaływaniem PEM w Polsce trwają już od kilkudziesięciu lat. Należy podkreślić, że prawodawstwo polskie opiera się na Zaleceniu 1999/519/EC z dnia 12 lipca 1999 r.  stanowiącym podstawowy akt Unii Europejskiej odnoszący się do ochrony ludności przed PEM.  - ta z kolei kieruje się wytycznymi Światowej Organizacji Zdrowia.</w:t>
      </w:r>
    </w:p>
    <w:p w:rsidR="00B9218C" w:rsidRPr="00A71A6C" w:rsidRDefault="00B9218C" w:rsidP="00B9218C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/>
          <w:sz w:val="22"/>
          <w:szCs w:val="22"/>
        </w:rPr>
        <w:t>Powyższe regulacje prawne określają ramy możliwych do podjęcia działań w zakresie ochrony ludzi i środowiska przed znanymi niekorzystnymi efektami zdrowotnymi spowodowanymi oddziaływaniem PEM. Aktualnie nie funkcjonują inne rozwiązania legislacyjne, które dawałyby samorządom możliwość wprowadzenia dodatkowych ograniczeń narażenia na wpływ PEM.</w:t>
      </w:r>
    </w:p>
    <w:p w:rsidR="00105BF9" w:rsidRPr="00EC7258" w:rsidRDefault="00820397" w:rsidP="00EC7258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7FBF">
        <w:rPr>
          <w:rFonts w:asciiTheme="minorHAnsi" w:hAnsiTheme="minorHAnsi" w:cs="Calibri"/>
          <w:sz w:val="22"/>
          <w:szCs w:val="22"/>
        </w:rPr>
        <w:t xml:space="preserve">Komisja Ochrony Środowiska </w:t>
      </w:r>
      <w:r w:rsidR="007975C1" w:rsidRPr="00A71A6C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F97FBF">
        <w:rPr>
          <w:rFonts w:asciiTheme="minorHAnsi" w:hAnsiTheme="minorHAnsi" w:cs="Calibri"/>
          <w:sz w:val="22"/>
          <w:szCs w:val="22"/>
        </w:rPr>
        <w:t xml:space="preserve">6 czerwca </w:t>
      </w:r>
      <w:r w:rsidR="00780DC0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r. podjęła uchwałę, w której nie rekomenduje uwzględnienia wniosku zawartego w petycji.  </w:t>
      </w:r>
    </w:p>
    <w:p w:rsidR="00105BF9" w:rsidRPr="00A71A6C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A71A6C">
        <w:rPr>
          <w:rFonts w:ascii="Calibri" w:hAnsi="Calibri" w:cs="Calibri"/>
          <w:sz w:val="22"/>
          <w:szCs w:val="22"/>
        </w:rPr>
        <w:t>iać wniosku zawartego w petycji.</w:t>
      </w:r>
    </w:p>
    <w:sectPr w:rsidR="00105BF9" w:rsidRPr="00A71A6C" w:rsidSect="00A754D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52" w:rsidRDefault="00437A52" w:rsidP="00105BF9">
      <w:r>
        <w:separator/>
      </w:r>
    </w:p>
  </w:endnote>
  <w:endnote w:type="continuationSeparator" w:id="0">
    <w:p w:rsidR="00437A52" w:rsidRDefault="00437A52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01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52" w:rsidRDefault="00437A52" w:rsidP="00105BF9">
      <w:r>
        <w:separator/>
      </w:r>
    </w:p>
  </w:footnote>
  <w:footnote w:type="continuationSeparator" w:id="0">
    <w:p w:rsidR="00437A52" w:rsidRDefault="00437A52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7EA"/>
    <w:multiLevelType w:val="hybridMultilevel"/>
    <w:tmpl w:val="F68E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1391A"/>
    <w:rsid w:val="00016F56"/>
    <w:rsid w:val="00021AFB"/>
    <w:rsid w:val="00024C51"/>
    <w:rsid w:val="0002587B"/>
    <w:rsid w:val="00025B04"/>
    <w:rsid w:val="00031390"/>
    <w:rsid w:val="00036B75"/>
    <w:rsid w:val="00040F41"/>
    <w:rsid w:val="00051A8E"/>
    <w:rsid w:val="00082425"/>
    <w:rsid w:val="00086871"/>
    <w:rsid w:val="000933B7"/>
    <w:rsid w:val="000C1E58"/>
    <w:rsid w:val="000E5FAE"/>
    <w:rsid w:val="000E701E"/>
    <w:rsid w:val="000F08A5"/>
    <w:rsid w:val="000F2F9B"/>
    <w:rsid w:val="00105BF9"/>
    <w:rsid w:val="001170AE"/>
    <w:rsid w:val="00117DE8"/>
    <w:rsid w:val="001216D8"/>
    <w:rsid w:val="00121C8B"/>
    <w:rsid w:val="001337E0"/>
    <w:rsid w:val="00137AF4"/>
    <w:rsid w:val="001422A3"/>
    <w:rsid w:val="0014663B"/>
    <w:rsid w:val="00150D99"/>
    <w:rsid w:val="00154977"/>
    <w:rsid w:val="001877DD"/>
    <w:rsid w:val="00192D4F"/>
    <w:rsid w:val="00197FEE"/>
    <w:rsid w:val="001A229A"/>
    <w:rsid w:val="001A72D2"/>
    <w:rsid w:val="001D2692"/>
    <w:rsid w:val="001D5EF7"/>
    <w:rsid w:val="001F72C0"/>
    <w:rsid w:val="0021394B"/>
    <w:rsid w:val="0022211F"/>
    <w:rsid w:val="00223677"/>
    <w:rsid w:val="002336BB"/>
    <w:rsid w:val="0023410D"/>
    <w:rsid w:val="00251F26"/>
    <w:rsid w:val="00252169"/>
    <w:rsid w:val="00254334"/>
    <w:rsid w:val="002733BD"/>
    <w:rsid w:val="002752EE"/>
    <w:rsid w:val="002804C8"/>
    <w:rsid w:val="00283032"/>
    <w:rsid w:val="0029716C"/>
    <w:rsid w:val="002A1433"/>
    <w:rsid w:val="002B28E0"/>
    <w:rsid w:val="002B5FF9"/>
    <w:rsid w:val="002E26EC"/>
    <w:rsid w:val="002E703D"/>
    <w:rsid w:val="0030043F"/>
    <w:rsid w:val="00301D52"/>
    <w:rsid w:val="003270BC"/>
    <w:rsid w:val="00327B9D"/>
    <w:rsid w:val="003334EC"/>
    <w:rsid w:val="00346F69"/>
    <w:rsid w:val="003562E2"/>
    <w:rsid w:val="0036403D"/>
    <w:rsid w:val="0036504D"/>
    <w:rsid w:val="003677C6"/>
    <w:rsid w:val="00374866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52FD"/>
    <w:rsid w:val="003D3588"/>
    <w:rsid w:val="003F0F11"/>
    <w:rsid w:val="003F31A2"/>
    <w:rsid w:val="004025A2"/>
    <w:rsid w:val="00402D41"/>
    <w:rsid w:val="00406A88"/>
    <w:rsid w:val="0041258A"/>
    <w:rsid w:val="004149F7"/>
    <w:rsid w:val="00417630"/>
    <w:rsid w:val="00431928"/>
    <w:rsid w:val="00437A52"/>
    <w:rsid w:val="004402A5"/>
    <w:rsid w:val="0045231A"/>
    <w:rsid w:val="00455A0A"/>
    <w:rsid w:val="00457BFC"/>
    <w:rsid w:val="00473434"/>
    <w:rsid w:val="00477C72"/>
    <w:rsid w:val="00480191"/>
    <w:rsid w:val="00481892"/>
    <w:rsid w:val="00487A33"/>
    <w:rsid w:val="004A4601"/>
    <w:rsid w:val="004A66E1"/>
    <w:rsid w:val="004B0454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36699"/>
    <w:rsid w:val="00537C2A"/>
    <w:rsid w:val="00550E37"/>
    <w:rsid w:val="0055180D"/>
    <w:rsid w:val="00573B2D"/>
    <w:rsid w:val="005A38B1"/>
    <w:rsid w:val="005B267D"/>
    <w:rsid w:val="005C24A0"/>
    <w:rsid w:val="005C3294"/>
    <w:rsid w:val="005C5676"/>
    <w:rsid w:val="005D3585"/>
    <w:rsid w:val="005F6854"/>
    <w:rsid w:val="0060594A"/>
    <w:rsid w:val="006304D8"/>
    <w:rsid w:val="0064592C"/>
    <w:rsid w:val="00646B39"/>
    <w:rsid w:val="00655DBA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5466"/>
    <w:rsid w:val="006C7EA6"/>
    <w:rsid w:val="006D3633"/>
    <w:rsid w:val="006D6260"/>
    <w:rsid w:val="006F2B64"/>
    <w:rsid w:val="006F3B00"/>
    <w:rsid w:val="00704637"/>
    <w:rsid w:val="00711F55"/>
    <w:rsid w:val="00717CED"/>
    <w:rsid w:val="0072233F"/>
    <w:rsid w:val="00724272"/>
    <w:rsid w:val="00724AE7"/>
    <w:rsid w:val="00746F73"/>
    <w:rsid w:val="00766C67"/>
    <w:rsid w:val="007748A4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5DFE"/>
    <w:rsid w:val="007F5F05"/>
    <w:rsid w:val="00820397"/>
    <w:rsid w:val="0082578E"/>
    <w:rsid w:val="00844FBC"/>
    <w:rsid w:val="00853E9D"/>
    <w:rsid w:val="008578CA"/>
    <w:rsid w:val="008642C6"/>
    <w:rsid w:val="00870422"/>
    <w:rsid w:val="00870B12"/>
    <w:rsid w:val="00873E95"/>
    <w:rsid w:val="008753D3"/>
    <w:rsid w:val="00881019"/>
    <w:rsid w:val="00883FCC"/>
    <w:rsid w:val="00893ED5"/>
    <w:rsid w:val="008A45AB"/>
    <w:rsid w:val="008A75F4"/>
    <w:rsid w:val="008C3E22"/>
    <w:rsid w:val="008C6EA3"/>
    <w:rsid w:val="008D2DEC"/>
    <w:rsid w:val="008D3C19"/>
    <w:rsid w:val="008D5469"/>
    <w:rsid w:val="008E3258"/>
    <w:rsid w:val="008E39FC"/>
    <w:rsid w:val="008F3A77"/>
    <w:rsid w:val="008F6F45"/>
    <w:rsid w:val="00906D38"/>
    <w:rsid w:val="00922C16"/>
    <w:rsid w:val="009271F5"/>
    <w:rsid w:val="009362A7"/>
    <w:rsid w:val="00941B3D"/>
    <w:rsid w:val="009447B4"/>
    <w:rsid w:val="00946B51"/>
    <w:rsid w:val="009536D0"/>
    <w:rsid w:val="00963D3A"/>
    <w:rsid w:val="009649CB"/>
    <w:rsid w:val="00974F89"/>
    <w:rsid w:val="00983EFA"/>
    <w:rsid w:val="00983F52"/>
    <w:rsid w:val="009906F5"/>
    <w:rsid w:val="009A1931"/>
    <w:rsid w:val="009A761D"/>
    <w:rsid w:val="009C26CD"/>
    <w:rsid w:val="009C2E02"/>
    <w:rsid w:val="009E0D6D"/>
    <w:rsid w:val="009E1281"/>
    <w:rsid w:val="009E176A"/>
    <w:rsid w:val="009F0096"/>
    <w:rsid w:val="00A05C17"/>
    <w:rsid w:val="00A10790"/>
    <w:rsid w:val="00A210A6"/>
    <w:rsid w:val="00A238DA"/>
    <w:rsid w:val="00A27CBB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4E36"/>
    <w:rsid w:val="00A87AE3"/>
    <w:rsid w:val="00AB6DDE"/>
    <w:rsid w:val="00AC50DF"/>
    <w:rsid w:val="00AD54D3"/>
    <w:rsid w:val="00AD5FE7"/>
    <w:rsid w:val="00AF1351"/>
    <w:rsid w:val="00AF3B36"/>
    <w:rsid w:val="00AF3E05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A05E9"/>
    <w:rsid w:val="00BA73B1"/>
    <w:rsid w:val="00BB0F24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64C9"/>
    <w:rsid w:val="00C17806"/>
    <w:rsid w:val="00C23E03"/>
    <w:rsid w:val="00C30DD3"/>
    <w:rsid w:val="00C416F9"/>
    <w:rsid w:val="00C42AD0"/>
    <w:rsid w:val="00C438F3"/>
    <w:rsid w:val="00C50950"/>
    <w:rsid w:val="00C6421F"/>
    <w:rsid w:val="00C667E4"/>
    <w:rsid w:val="00C7053A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E3642"/>
    <w:rsid w:val="00CF4C89"/>
    <w:rsid w:val="00D1157D"/>
    <w:rsid w:val="00D11B35"/>
    <w:rsid w:val="00D15EF6"/>
    <w:rsid w:val="00D2005B"/>
    <w:rsid w:val="00D264E1"/>
    <w:rsid w:val="00D27607"/>
    <w:rsid w:val="00D34C59"/>
    <w:rsid w:val="00D42DF1"/>
    <w:rsid w:val="00D56234"/>
    <w:rsid w:val="00D61FB4"/>
    <w:rsid w:val="00D7184F"/>
    <w:rsid w:val="00D80B6A"/>
    <w:rsid w:val="00D97D5E"/>
    <w:rsid w:val="00DB4984"/>
    <w:rsid w:val="00DC25AF"/>
    <w:rsid w:val="00DD3332"/>
    <w:rsid w:val="00DD39FA"/>
    <w:rsid w:val="00DE1D43"/>
    <w:rsid w:val="00DE4D77"/>
    <w:rsid w:val="00DE64E7"/>
    <w:rsid w:val="00E056E2"/>
    <w:rsid w:val="00E222B9"/>
    <w:rsid w:val="00E36919"/>
    <w:rsid w:val="00E41988"/>
    <w:rsid w:val="00E45308"/>
    <w:rsid w:val="00E5401C"/>
    <w:rsid w:val="00E543E3"/>
    <w:rsid w:val="00E67A5E"/>
    <w:rsid w:val="00E92FFF"/>
    <w:rsid w:val="00E94293"/>
    <w:rsid w:val="00E94526"/>
    <w:rsid w:val="00EA33A8"/>
    <w:rsid w:val="00EC5410"/>
    <w:rsid w:val="00EC7258"/>
    <w:rsid w:val="00ED24CE"/>
    <w:rsid w:val="00ED7311"/>
    <w:rsid w:val="00EE272A"/>
    <w:rsid w:val="00EE450B"/>
    <w:rsid w:val="00EE5E59"/>
    <w:rsid w:val="00EE6470"/>
    <w:rsid w:val="00EF0C2B"/>
    <w:rsid w:val="00EF4433"/>
    <w:rsid w:val="00EF7CFF"/>
    <w:rsid w:val="00F0129B"/>
    <w:rsid w:val="00F03B86"/>
    <w:rsid w:val="00F124C3"/>
    <w:rsid w:val="00F1298A"/>
    <w:rsid w:val="00F1304E"/>
    <w:rsid w:val="00F25B6B"/>
    <w:rsid w:val="00F27F8A"/>
    <w:rsid w:val="00F371D2"/>
    <w:rsid w:val="00F37AF4"/>
    <w:rsid w:val="00F44A26"/>
    <w:rsid w:val="00F56432"/>
    <w:rsid w:val="00F70255"/>
    <w:rsid w:val="00F72D68"/>
    <w:rsid w:val="00F73596"/>
    <w:rsid w:val="00F812B4"/>
    <w:rsid w:val="00F878A1"/>
    <w:rsid w:val="00F97FBF"/>
    <w:rsid w:val="00FB681A"/>
    <w:rsid w:val="00FC0C43"/>
    <w:rsid w:val="00FC344E"/>
    <w:rsid w:val="00FC3804"/>
    <w:rsid w:val="00FD11C5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7D6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64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1525-45D9-4D02-8FE7-0ABAA04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2229 z 2022 r.</dc:title>
  <dc:subject/>
  <dc:creator>Windows User</dc:creator>
  <cp:keywords/>
  <dc:description/>
  <cp:lastModifiedBy>Polkowska Teresa</cp:lastModifiedBy>
  <cp:revision>45</cp:revision>
  <dcterms:created xsi:type="dcterms:W3CDTF">2022-06-09T13:03:00Z</dcterms:created>
  <dcterms:modified xsi:type="dcterms:W3CDTF">2022-07-12T08:23:00Z</dcterms:modified>
</cp:coreProperties>
</file>