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BF" w:rsidRDefault="002F69BF" w:rsidP="00EC0F8A">
      <w:pPr>
        <w:spacing w:after="0" w:line="240" w:lineRule="auto"/>
        <w:ind w:left="5245" w:right="-2" w:firstLine="425"/>
        <w:rPr>
          <w:rFonts w:ascii="Times New Roman" w:hAnsi="Times New Roman"/>
          <w:bCs/>
          <w:sz w:val="24"/>
        </w:rPr>
      </w:pPr>
      <w:r w:rsidRPr="002F69BF">
        <w:rPr>
          <w:rFonts w:ascii="Times New Roman" w:hAnsi="Times New Roman"/>
          <w:bCs/>
          <w:sz w:val="24"/>
        </w:rPr>
        <w:t xml:space="preserve">Załącznik </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 xml:space="preserve">do uchwały nr </w:t>
      </w:r>
      <w:r w:rsidR="000371AC">
        <w:rPr>
          <w:rFonts w:ascii="Times New Roman" w:hAnsi="Times New Roman"/>
          <w:bCs/>
          <w:sz w:val="24"/>
        </w:rPr>
        <w:t>X/204/2019</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Rady m.st. Warszawy</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 xml:space="preserve">z dnia </w:t>
      </w:r>
      <w:r w:rsidR="000371AC">
        <w:rPr>
          <w:rFonts w:ascii="Times New Roman" w:hAnsi="Times New Roman"/>
          <w:bCs/>
          <w:sz w:val="24"/>
        </w:rPr>
        <w:t>28 marca 2019 r.</w:t>
      </w:r>
      <w:bookmarkStart w:id="0" w:name="_GoBack"/>
      <w:bookmarkEnd w:id="0"/>
    </w:p>
    <w:p w:rsidR="002F69BF" w:rsidRDefault="002F69BF" w:rsidP="002F69BF">
      <w:pPr>
        <w:spacing w:after="0" w:line="240" w:lineRule="auto"/>
        <w:ind w:right="-142"/>
        <w:rPr>
          <w:rFonts w:ascii="Times New Roman" w:hAnsi="Times New Roman"/>
          <w:bCs/>
          <w:sz w:val="24"/>
        </w:rPr>
      </w:pPr>
    </w:p>
    <w:p w:rsidR="002F69BF" w:rsidRDefault="002F69BF" w:rsidP="002F69BF">
      <w:pPr>
        <w:spacing w:after="0" w:line="240" w:lineRule="auto"/>
        <w:ind w:right="-142"/>
        <w:rPr>
          <w:rFonts w:ascii="Times New Roman" w:hAnsi="Times New Roman"/>
          <w:bCs/>
          <w:sz w:val="24"/>
        </w:rPr>
      </w:pPr>
    </w:p>
    <w:p w:rsidR="002F69BF" w:rsidRPr="009E6ACE" w:rsidRDefault="002F69BF" w:rsidP="002F69BF">
      <w:pPr>
        <w:pStyle w:val="Akapitzlist"/>
        <w:numPr>
          <w:ilvl w:val="0"/>
          <w:numId w:val="9"/>
        </w:numPr>
        <w:spacing w:after="0" w:line="240" w:lineRule="auto"/>
        <w:ind w:left="426" w:hanging="426"/>
        <w:jc w:val="both"/>
        <w:rPr>
          <w:rFonts w:ascii="Times New Roman" w:hAnsi="Times New Roman"/>
          <w:b/>
          <w:color w:val="000000"/>
          <w:sz w:val="24"/>
          <w:szCs w:val="24"/>
        </w:rPr>
      </w:pPr>
      <w:r w:rsidRPr="009E6ACE">
        <w:rPr>
          <w:rFonts w:ascii="Times New Roman" w:hAnsi="Times New Roman"/>
          <w:b/>
          <w:color w:val="000000"/>
          <w:sz w:val="24"/>
          <w:szCs w:val="24"/>
        </w:rPr>
        <w:t>Cel, założenia kształcenia i program nauczania, który będzie realizowany w oddziale międzynarodowym.</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Kształcenie w oddziale międzynarodowym w pełni odpowiada koncepcji  holistycznej edukacji opartej na wzajemnym, międzykulturowym zrozumieniu i szacunku, z zachowaniem poczucia tożsamości kulturowej i narodowej każdego ucznia. </w:t>
      </w:r>
    </w:p>
    <w:p w:rsidR="002F69BF" w:rsidRDefault="002F69BF" w:rsidP="002F69BF">
      <w:pPr>
        <w:tabs>
          <w:tab w:val="left" w:pos="7290"/>
        </w:tabs>
        <w:spacing w:after="0" w:line="240" w:lineRule="auto"/>
        <w:jc w:val="both"/>
        <w:rPr>
          <w:rFonts w:ascii="Times New Roman" w:hAnsi="Times New Roman"/>
          <w:sz w:val="24"/>
          <w:szCs w:val="24"/>
        </w:rPr>
      </w:pPr>
    </w:p>
    <w:p w:rsidR="002F69BF" w:rsidRDefault="002F69BF" w:rsidP="002F69BF">
      <w:pPr>
        <w:spacing w:after="0" w:line="240" w:lineRule="auto"/>
        <w:jc w:val="both"/>
        <w:rPr>
          <w:rFonts w:ascii="Times New Roman" w:hAnsi="Times New Roman"/>
          <w:b/>
          <w:sz w:val="24"/>
          <w:szCs w:val="24"/>
        </w:rPr>
      </w:pPr>
      <w:r>
        <w:rPr>
          <w:rFonts w:ascii="Times New Roman" w:hAnsi="Times New Roman"/>
          <w:b/>
          <w:sz w:val="24"/>
          <w:szCs w:val="24"/>
        </w:rPr>
        <w:t>1. Cele</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Celem edukacji w oddziale międzynarodowym jest wykształcenie  dociekliwych, ambitnych  </w:t>
      </w:r>
      <w:r>
        <w:rPr>
          <w:rFonts w:ascii="Times New Roman" w:hAnsi="Times New Roman"/>
          <w:sz w:val="24"/>
          <w:szCs w:val="24"/>
        </w:rPr>
        <w:br/>
        <w:t>i opiekuńczych ludzi,  którzy szanują siebie i innych, dobrze radzą sobie z wyzwaniami, jakie stawia przed nimi życie w nowoczesnym i szybko zmieni</w:t>
      </w:r>
      <w:r w:rsidR="00C4381C">
        <w:rPr>
          <w:rFonts w:ascii="Times New Roman" w:hAnsi="Times New Roman"/>
          <w:sz w:val="24"/>
          <w:szCs w:val="24"/>
        </w:rPr>
        <w:t>ającym się świecie. Nauczanie i </w:t>
      </w:r>
      <w:r>
        <w:rPr>
          <w:rFonts w:ascii="Times New Roman" w:hAnsi="Times New Roman"/>
          <w:sz w:val="24"/>
          <w:szCs w:val="24"/>
        </w:rPr>
        <w:t>wychowanie ukierunkowane na wszechstronny rozwój  uczniów prowadzi do samodzielności i niezależności w myśleniu oraz ułatwia geograficzną i kulturową mobilność, bez względu na przynależność narodową czy państwową.  Ważnym celem procesu kształcenia jest zachęcenie do bycia aktywnym i empatycznym w codziennym życiu. Istotną rolę odgrywa przygotowanie młodzieży do uczenia się przez całe życie oraz podejmowanie wyzwań stawianych przez współczesny świat.</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Rolą oddziału międzynarodowego jest dobre wychowanie powierzonych przez rodziców dzieci i przekazanie im rzetelnej wiedzy o otaczającym świecie. Społeczność szkolna, której podstawę stanowi przyjazna atmosfera sprzyjająca uczeniu się, opiera się na wzajemnym szacunku uczniów, nauczycieli i rodziców. Młodzież jest partnere</w:t>
      </w:r>
      <w:r w:rsidR="00C4381C">
        <w:rPr>
          <w:rFonts w:ascii="Times New Roman" w:hAnsi="Times New Roman"/>
          <w:sz w:val="24"/>
          <w:szCs w:val="24"/>
        </w:rPr>
        <w:t>m w procesie kształcenia i </w:t>
      </w:r>
      <w:r>
        <w:rPr>
          <w:rFonts w:ascii="Times New Roman" w:hAnsi="Times New Roman"/>
          <w:sz w:val="24"/>
          <w:szCs w:val="24"/>
        </w:rPr>
        <w:t>wychowania, a jej potrzeby ukierunkowują sposób dział</w:t>
      </w:r>
      <w:r w:rsidR="00C4381C">
        <w:rPr>
          <w:rFonts w:ascii="Times New Roman" w:hAnsi="Times New Roman"/>
          <w:sz w:val="24"/>
          <w:szCs w:val="24"/>
        </w:rPr>
        <w:t>ania nauczycieli. Realizowany w </w:t>
      </w:r>
      <w:r>
        <w:rPr>
          <w:rFonts w:ascii="Times New Roman" w:hAnsi="Times New Roman"/>
          <w:sz w:val="24"/>
          <w:szCs w:val="24"/>
        </w:rPr>
        <w:t>oddziale międzynarodowym program nauczania, nakierowany na łączenie teorii z praktyką, umożliwia młodzieży realizację projektów badawczych i gwarantuje wszechstronne przygotowanie absolwentów do podjęcia dalszego kształcenia. Nauczyciele wspierają wszechstronny rozwój osobowy uczniów poprzez:</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kształtowanie postaw moralnych,  w szczególności uczciwości oraz odpowiedzialności   za siebie i innych,</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kultywowanie dziedzictwa kultury narodowej, w</w:t>
      </w:r>
      <w:r w:rsidR="00C4381C">
        <w:rPr>
          <w:rFonts w:ascii="Times New Roman" w:hAnsi="Times New Roman" w:cs="Times New Roman"/>
          <w:color w:val="auto"/>
          <w:sz w:val="24"/>
          <w:szCs w:val="24"/>
        </w:rPr>
        <w:t>prowadzenie w tradycję Europy i </w:t>
      </w:r>
      <w:r>
        <w:rPr>
          <w:rFonts w:ascii="Times New Roman" w:hAnsi="Times New Roman" w:cs="Times New Roman"/>
          <w:color w:val="auto"/>
          <w:sz w:val="24"/>
          <w:szCs w:val="24"/>
        </w:rPr>
        <w:t>dorobek duchowy ludzkości,</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ukazywanie wielokulturowości i różnorodności współczesnego świata, w tym rozumienia innych ludzi i ich poglądów,</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promowanie uczenia się przez całe życie, zdobywanie nowych kompetencji i osiąganie wyznaczonych celów,</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budowanie szacunku dla prawdy, rozwijanie dociekliwości poznawczej, przygotowanie do twórczego stosowania zdobytej wiedzy w różnorodnych sytuacjach, </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kształcenie w uczniach umiejętności współdziałania w grupie,  opartego na  poszanowaniu wolności innych w imię wspólnych celów oraz zasad dobrego wychowania,</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promowanie uczciwości i dobrych praktyk w zakresie nauczania, uczenia się i oceny.</w:t>
      </w:r>
    </w:p>
    <w:p w:rsidR="002F69BF" w:rsidRDefault="002F69BF" w:rsidP="002F69BF">
      <w:pPr>
        <w:pStyle w:val="Normalny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Oddział międzynarodowy uzupełnia ofertę edukacyjną szkoły i jest z nią kompatybilny. Kształci ludzi ambitnych, kompetentnych, dociekliwych i wrażliwych, którzy pomagają uczynić świat lepszym, sprawiedliwszym i bezpiecznym. Przygotowuje młodzież do uczestnictwa w życiu społeczności  lokalnych oraz szerszych:  kraju, Europy i świata. </w:t>
      </w:r>
    </w:p>
    <w:p w:rsidR="002F69BF" w:rsidRDefault="002F69BF" w:rsidP="002F69BF">
      <w:pPr>
        <w:pStyle w:val="Normalny1"/>
        <w:spacing w:line="240" w:lineRule="auto"/>
        <w:jc w:val="both"/>
        <w:rPr>
          <w:rFonts w:ascii="Times New Roman" w:hAnsi="Times New Roman" w:cs="Times New Roman"/>
          <w:color w:val="auto"/>
          <w:sz w:val="24"/>
          <w:szCs w:val="24"/>
        </w:rPr>
      </w:pPr>
    </w:p>
    <w:p w:rsidR="002F69BF" w:rsidRDefault="002F69BF" w:rsidP="002F69BF">
      <w:pPr>
        <w:pStyle w:val="Normalny1"/>
        <w:spacing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2. Założenia</w:t>
      </w:r>
      <w:r w:rsidR="00057E2D">
        <w:rPr>
          <w:rFonts w:ascii="Times New Roman" w:hAnsi="Times New Roman" w:cs="Times New Roman"/>
          <w:b/>
          <w:color w:val="auto"/>
          <w:sz w:val="24"/>
          <w:szCs w:val="24"/>
        </w:rPr>
        <w:t xml:space="preserve"> kształcenia</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Założenia programowe oddziału międzynarodowego stanowią kompromis pomiędzy systemem nauczania preferującym głęboką specjalizację, a nauczan</w:t>
      </w:r>
      <w:r w:rsidR="00C4381C">
        <w:rPr>
          <w:rFonts w:ascii="Times New Roman" w:hAnsi="Times New Roman"/>
          <w:sz w:val="24"/>
          <w:szCs w:val="24"/>
        </w:rPr>
        <w:t>iem ogólnym. Program poszerza i </w:t>
      </w:r>
      <w:r>
        <w:rPr>
          <w:rFonts w:ascii="Times New Roman" w:hAnsi="Times New Roman"/>
          <w:sz w:val="24"/>
          <w:szCs w:val="24"/>
        </w:rPr>
        <w:t>pogłębia wiedzę ucznia, rozwija go fizycznie, intelektualnie, e</w:t>
      </w:r>
      <w:r w:rsidR="00C4381C">
        <w:rPr>
          <w:rFonts w:ascii="Times New Roman" w:hAnsi="Times New Roman"/>
          <w:sz w:val="24"/>
          <w:szCs w:val="24"/>
        </w:rPr>
        <w:t>mocjonalnie i etycznie. Czyni z </w:t>
      </w:r>
      <w:r>
        <w:rPr>
          <w:rFonts w:ascii="Times New Roman" w:hAnsi="Times New Roman"/>
          <w:sz w:val="24"/>
          <w:szCs w:val="24"/>
        </w:rPr>
        <w:t>niego obywatela XXI wieku, który: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jest świadomy życiowej użyteczności zdobytej wiedzy i umiejętności przedmiotowych, </w:t>
      </w:r>
    </w:p>
    <w:p w:rsidR="002F69BF" w:rsidRDefault="002F69BF" w:rsidP="002F69BF">
      <w:pPr>
        <w:pStyle w:val="Akapitzlist"/>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przestrzega zasad uczciwości, dobrych praktyk w uczeniu się i zdobywaniu ocen,</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jest kreatywny, ambitny, kompetentny, dociekliwy i wrażliwy,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pomaga uczynić świat lepszym, sprawiedliwszym i bezpiecznym,</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posługuje się sprawnie językami obcymi oraz najnowszymi technikami informacyjnymi i komunikacyjnymi,</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jest otwarty na europejskie i światowe wartości kultury,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ma w sobie wewnętrzną odwagę do podejmowania wyzwań i świadczenia prawdy,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wie, gdzie szukać pomocy w rozwiązywaniu złożonych problemów.</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Dwuletni program nauczania realizowany jest w języku obcym (z wyjątkiem języka ojczystego), zakończony uzyskaniem dyplomu, który zgodnie z polskim prawem oświatowym jest równoznaczny z maturą. </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Zgodnie z założeniem programu  każdy uczeń uczy się sześciu przedmiotów akademickich, które wybiera z sześciu grup przedmiotów.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1 - język ojczysty; </w:t>
      </w:r>
    </w:p>
    <w:p w:rsidR="002F69BF" w:rsidRDefault="002F69BF" w:rsidP="002F69BF">
      <w:pPr>
        <w:pStyle w:val="Akapitzlist"/>
        <w:tabs>
          <w:tab w:val="left" w:pos="7290"/>
        </w:tabs>
        <w:spacing w:after="0" w:line="240" w:lineRule="auto"/>
        <w:ind w:left="0"/>
        <w:jc w:val="both"/>
        <w:rPr>
          <w:rFonts w:ascii="Times New Roman" w:hAnsi="Times New Roman" w:cs="Times New Roman"/>
          <w:color w:val="FF0000"/>
          <w:sz w:val="24"/>
          <w:szCs w:val="24"/>
        </w:rPr>
      </w:pPr>
      <w:r>
        <w:rPr>
          <w:rFonts w:ascii="Times New Roman" w:hAnsi="Times New Roman" w:cs="Times New Roman"/>
          <w:sz w:val="24"/>
          <w:szCs w:val="24"/>
        </w:rPr>
        <w:t>Grupa 2 - język angielski  (język i literatura),  język obcy;</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3 - historia, geografia, polityka globalna, EES (systemy społeczne i środowiskowe);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Grupa 4 - biologia, chemia, fizyka; EES (systemy społeczne i środowiskowe);</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5 - analiza matematyczna, zastosowanie matematyki;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Grupa 6 - przedmiot wcześniej nie wybrany z grupy 2, 3 lub 4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Program matury międzynarodowej wprowadza dodatkowe, obowiązkowe przedmioty:</w:t>
      </w:r>
    </w:p>
    <w:p w:rsidR="002F69BF" w:rsidRDefault="002F69BF" w:rsidP="002F69BF">
      <w:pPr>
        <w:pStyle w:val="Akapitzlist"/>
        <w:numPr>
          <w:ilvl w:val="1"/>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Teorię wiedzy </w:t>
      </w:r>
      <w:r w:rsidR="00057E2D">
        <w:rPr>
          <w:rFonts w:ascii="Times New Roman" w:hAnsi="Times New Roman" w:cs="Times New Roman"/>
          <w:sz w:val="24"/>
          <w:szCs w:val="24"/>
        </w:rPr>
        <w:t xml:space="preserve">- </w:t>
      </w:r>
      <w:r>
        <w:rPr>
          <w:rFonts w:ascii="Times New Roman" w:hAnsi="Times New Roman" w:cs="Times New Roman"/>
          <w:sz w:val="24"/>
          <w:szCs w:val="24"/>
        </w:rPr>
        <w:t xml:space="preserve">przedmiot uczący krytycznego myślenia, będącego podstawą procesu nauczania i  uczenia się ucznia. </w:t>
      </w:r>
    </w:p>
    <w:p w:rsidR="002F69BF" w:rsidRDefault="002F69BF" w:rsidP="002F69BF">
      <w:pPr>
        <w:pStyle w:val="Akapitzlist"/>
        <w:numPr>
          <w:ilvl w:val="1"/>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CAS (kreatywność, aktywność fizyczna, działalność charytatywna) - przedmiot polegający na działaniach we wskazanych obszarach.</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Dla uczniów będących obywatelami polskimi nauczanie języka polskiego oraz części historii dotyczącej historii Polski i części  geografii dotyczącej geograf</w:t>
      </w:r>
      <w:r w:rsidR="00C4381C">
        <w:rPr>
          <w:rFonts w:ascii="Times New Roman" w:hAnsi="Times New Roman"/>
          <w:sz w:val="24"/>
          <w:szCs w:val="24"/>
        </w:rPr>
        <w:t>ii  Polski odbywać się będzie w </w:t>
      </w:r>
      <w:r>
        <w:rPr>
          <w:rFonts w:ascii="Times New Roman" w:hAnsi="Times New Roman"/>
          <w:sz w:val="24"/>
          <w:szCs w:val="24"/>
        </w:rPr>
        <w:t xml:space="preserve">języku polskim, zgodnie z podstawą programową </w:t>
      </w:r>
      <w:r w:rsidR="00C4381C">
        <w:rPr>
          <w:rFonts w:ascii="Times New Roman" w:hAnsi="Times New Roman"/>
          <w:sz w:val="24"/>
          <w:szCs w:val="24"/>
        </w:rPr>
        <w:t>kształcenia ogólnego ustaloną w </w:t>
      </w:r>
      <w:r>
        <w:rPr>
          <w:rFonts w:ascii="Times New Roman" w:hAnsi="Times New Roman"/>
          <w:sz w:val="24"/>
          <w:szCs w:val="24"/>
        </w:rPr>
        <w:t>przepisach wydanych na podstawie art. 47 ust. 1 pkt 1 lit. c ustawy z dnia 14 grudnia 2016 r. - Prawo oświatowe.</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Uczniom niebędącym obywatelami polskimi szkoła zapewni nauczanie języka polskiego jako obcego.</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Zaliczenie programu matury międzynarodowej warunkuje napisanie przez ucznia pracy dyplomowej (tzw. Extended Essay) na wybrany przez siebie temat, poprzedzonej badaniami ucznia prowadzonymi pod kierunkiem promotora.</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Uczeń w ciągu dwóch lat realizacji programu musi zaliczyć 150 godzin zegarowych przedmiotu na poziomie podstawowym (SL) oraz 240 godzin zegarowych przedmiotu na poziomie rozszerzonym (HL). W przeliczeniu na godziny lekcyjne 45 minutowe daje to 200 na poziomie SL i odpowiednio 320 na poziomie HL godzin lekcyjnych. Tygodniowa liczba godzin przedmiotu HL wynosi 6, a przedmiotu SL 4. Uczeń wybiera nie mniej niż trzy przedmioty na poziomie HL i nie więcej niż trzy na niższym poziomie SL.</w:t>
      </w:r>
    </w:p>
    <w:p w:rsidR="002F69BF" w:rsidRDefault="002F69BF" w:rsidP="002F69BF">
      <w:pPr>
        <w:spacing w:after="0" w:line="240" w:lineRule="auto"/>
        <w:jc w:val="both"/>
        <w:rPr>
          <w:rFonts w:ascii="Times New Roman" w:eastAsiaTheme="minorHAnsi" w:hAnsi="Times New Roman"/>
          <w:sz w:val="24"/>
          <w:szCs w:val="24"/>
        </w:rPr>
      </w:pPr>
      <w:r>
        <w:rPr>
          <w:rFonts w:ascii="Times New Roman" w:hAnsi="Times New Roman"/>
          <w:sz w:val="24"/>
          <w:szCs w:val="24"/>
        </w:rPr>
        <w:t>Według założeń  realizowanego w oddziale międzynarodowym programu, nauka  odbywa się w małych grupach zgodnie z  deklaracjami uczniów dotyczącymi wyboru przedmiotów.</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shd w:val="clear" w:color="auto" w:fill="FFFFFF"/>
        </w:rPr>
        <w:t>Nauczyciele realizujący program matury międzynarodo</w:t>
      </w:r>
      <w:r w:rsidR="00C4381C">
        <w:rPr>
          <w:rFonts w:ascii="Times New Roman" w:hAnsi="Times New Roman"/>
          <w:sz w:val="24"/>
          <w:szCs w:val="24"/>
          <w:shd w:val="clear" w:color="auto" w:fill="FFFFFF"/>
        </w:rPr>
        <w:t>wej korelują treści nauczania i </w:t>
      </w:r>
      <w:r>
        <w:rPr>
          <w:rFonts w:ascii="Times New Roman" w:hAnsi="Times New Roman"/>
          <w:sz w:val="24"/>
          <w:szCs w:val="24"/>
          <w:shd w:val="clear" w:color="auto" w:fill="FFFFFF"/>
        </w:rPr>
        <w:t xml:space="preserve">wybierają  metody sprzyjające  łączeniu  informacji z różnych przedmiotów. Kładą nacisk na </w:t>
      </w:r>
      <w:r>
        <w:rPr>
          <w:rFonts w:ascii="Times New Roman" w:hAnsi="Times New Roman"/>
          <w:sz w:val="24"/>
          <w:szCs w:val="24"/>
          <w:shd w:val="clear" w:color="auto" w:fill="FFFFFF"/>
        </w:rPr>
        <w:lastRenderedPageBreak/>
        <w:t>zaangażowanie uczniów w proces uczenia się</w:t>
      </w:r>
      <w:r>
        <w:rPr>
          <w:rFonts w:ascii="Times New Roman" w:hAnsi="Times New Roman"/>
          <w:sz w:val="24"/>
          <w:szCs w:val="24"/>
        </w:rPr>
        <w:t xml:space="preserve"> poprzez tworzenie sytuacji dydaktycznych umożliwiających współpracę i współdziałanie uczniów  ze sobą, nawiązywanie relacji                             z otoczeniem oraz kontekstowe uczenie się. Dzięki temu młodzież nabywa umiejętność uczenia się od siebie nawzajem i jest otwarta na wymianę i konfrontację w</w:t>
      </w:r>
      <w:r w:rsidR="00C4381C">
        <w:rPr>
          <w:rFonts w:ascii="Times New Roman" w:hAnsi="Times New Roman"/>
          <w:sz w:val="24"/>
          <w:szCs w:val="24"/>
        </w:rPr>
        <w:t>yciągniętych wniosków z </w:t>
      </w:r>
      <w:r>
        <w:rPr>
          <w:rFonts w:ascii="Times New Roman" w:hAnsi="Times New Roman"/>
          <w:sz w:val="24"/>
          <w:szCs w:val="24"/>
        </w:rPr>
        <w:t>rozumowaniem innych. Uczniowie korzystają z bogatego środowiska, umożliwiającego im pełne zaangażowanie w proces uczenia się, a nauczyciele na zajęciach stosują metody nauczania o charakterze integracyjnym i holistycznym. W procesie</w:t>
      </w:r>
      <w:r w:rsidR="00C4381C">
        <w:rPr>
          <w:rFonts w:ascii="Times New Roman" w:hAnsi="Times New Roman"/>
          <w:sz w:val="24"/>
          <w:szCs w:val="24"/>
        </w:rPr>
        <w:t xml:space="preserve"> nauczania uczniowie i </w:t>
      </w:r>
      <w:r>
        <w:rPr>
          <w:rFonts w:ascii="Times New Roman" w:hAnsi="Times New Roman"/>
          <w:sz w:val="24"/>
          <w:szCs w:val="24"/>
        </w:rPr>
        <w:t>nauczyciele prowadzą dialog  na temat oczekiwań, potrzeb i  celów. Ważnym elementem zajęć jest refleksja nad procesem uczenia się, czyli potrzebami ucznia, motywacją, przyjętym podejściem, postępami oraz wpływem tych czynników na osobisty rozwój ucznia.</w:t>
      </w:r>
    </w:p>
    <w:p w:rsidR="002F69BF" w:rsidRDefault="002F69BF" w:rsidP="002F69B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Dopełniające się profile ucznia i nauczyciela oraz zaang</w:t>
      </w:r>
      <w:r w:rsidR="00C4381C">
        <w:rPr>
          <w:rFonts w:ascii="Times New Roman" w:eastAsia="Times New Roman" w:hAnsi="Times New Roman"/>
          <w:sz w:val="24"/>
          <w:szCs w:val="24"/>
        </w:rPr>
        <w:t>ażowanie rodziców sprawiają, że </w:t>
      </w:r>
      <w:r>
        <w:rPr>
          <w:rFonts w:ascii="Times New Roman" w:eastAsia="Times New Roman" w:hAnsi="Times New Roman"/>
          <w:sz w:val="24"/>
          <w:szCs w:val="24"/>
        </w:rPr>
        <w:t xml:space="preserve">filozofia oddziału międzynarodowego (zgodna z filozofią szkoły) jest spójna i akceptowana przez wszystkie jej podmioty. </w:t>
      </w:r>
    </w:p>
    <w:p w:rsidR="002F69BF" w:rsidRDefault="002F69BF" w:rsidP="002F69BF">
      <w:pPr>
        <w:spacing w:after="0" w:line="240" w:lineRule="auto"/>
        <w:jc w:val="both"/>
        <w:rPr>
          <w:rFonts w:ascii="Times New Roman" w:eastAsia="Times New Roman" w:hAnsi="Times New Roman"/>
          <w:sz w:val="24"/>
          <w:szCs w:val="24"/>
        </w:rPr>
      </w:pPr>
    </w:p>
    <w:p w:rsidR="002F69BF" w:rsidRDefault="002F69BF" w:rsidP="002F69BF">
      <w:pPr>
        <w:pStyle w:val="Normalny1"/>
        <w:spacing w:line="240" w:lineRule="auto"/>
        <w:jc w:val="both"/>
        <w:rPr>
          <w:rFonts w:ascii="Times New Roman" w:hAnsi="Times New Roman" w:cs="Times New Roman"/>
          <w:b/>
          <w:sz w:val="24"/>
          <w:szCs w:val="24"/>
        </w:rPr>
      </w:pPr>
      <w:r>
        <w:rPr>
          <w:rFonts w:ascii="Times New Roman" w:hAnsi="Times New Roman" w:cs="Times New Roman"/>
          <w:b/>
          <w:sz w:val="24"/>
          <w:szCs w:val="24"/>
        </w:rPr>
        <w:t>3. Program nauczania</w:t>
      </w:r>
    </w:p>
    <w:p w:rsidR="002F69BF" w:rsidRDefault="002F69BF" w:rsidP="002F69BF">
      <w:pPr>
        <w:spacing w:after="0" w:line="240" w:lineRule="auto"/>
        <w:jc w:val="both"/>
        <w:rPr>
          <w:rFonts w:ascii="Times New Roman" w:hAnsi="Times New Roman"/>
          <w:i/>
          <w:sz w:val="24"/>
          <w:szCs w:val="24"/>
        </w:rPr>
      </w:pPr>
      <w:r>
        <w:rPr>
          <w:rFonts w:ascii="Times New Roman" w:hAnsi="Times New Roman"/>
          <w:sz w:val="24"/>
          <w:szCs w:val="24"/>
        </w:rPr>
        <w:t xml:space="preserve">Program nauczania realizowany w oddziale międzynarodowym to  </w:t>
      </w:r>
      <w:r>
        <w:rPr>
          <w:rFonts w:ascii="Times New Roman" w:hAnsi="Times New Roman"/>
          <w:i/>
          <w:sz w:val="24"/>
          <w:szCs w:val="24"/>
        </w:rPr>
        <w:t>The International Baccalaureate Diploma Programme (IB DP).</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nauczania jasno precyzuje umiejętności, koncepcję, wiedzę i postawy, które mają być nauczane oraz wspiera rozwój młodzieży zgodnie z profilem ucznia preferowanym przez IBO. Uwzględnia dotychczasowe doświadczenia i przyszłe potrzeby edukacyjne uczniów, stawia wymagania stosowne do wieku i etapu rozwoju młodego człowieka oraz wdraża treści, które ich dotyczą. </w:t>
      </w:r>
    </w:p>
    <w:p w:rsidR="002F69BF" w:rsidRDefault="002F69BF" w:rsidP="002F69BF">
      <w:pPr>
        <w:spacing w:after="0" w:line="240" w:lineRule="auto"/>
        <w:jc w:val="both"/>
        <w:rPr>
          <w:rFonts w:ascii="Times New Roman" w:hAnsi="Times New Roman"/>
          <w:sz w:val="24"/>
          <w:szCs w:val="24"/>
        </w:rPr>
      </w:pPr>
      <w:r>
        <w:rPr>
          <w:rFonts w:ascii="Times New Roman" w:hAnsi="Times New Roman"/>
          <w:i/>
          <w:sz w:val="24"/>
          <w:szCs w:val="24"/>
        </w:rPr>
        <w:t>The International Baccalaureate Diploma Programme</w:t>
      </w:r>
      <w:r>
        <w:rPr>
          <w:rStyle w:val="Odwoanieprzypisudolnego"/>
          <w:rFonts w:ascii="Times New Roman" w:hAnsi="Times New Roman"/>
          <w:i/>
          <w:sz w:val="24"/>
          <w:szCs w:val="24"/>
        </w:rPr>
        <w:footnoteReference w:id="1"/>
      </w:r>
      <w:r>
        <w:rPr>
          <w:rFonts w:ascii="Times New Roman" w:hAnsi="Times New Roman"/>
          <w:sz w:val="24"/>
          <w:szCs w:val="24"/>
        </w:rPr>
        <w:t xml:space="preserve"> z</w:t>
      </w:r>
      <w:r w:rsidR="00C4381C">
        <w:rPr>
          <w:rFonts w:ascii="Times New Roman" w:hAnsi="Times New Roman"/>
          <w:sz w:val="24"/>
          <w:szCs w:val="24"/>
        </w:rPr>
        <w:t>achęca młodzież do poznawania i </w:t>
      </w:r>
      <w:r>
        <w:rPr>
          <w:rFonts w:ascii="Times New Roman" w:hAnsi="Times New Roman"/>
          <w:sz w:val="24"/>
          <w:szCs w:val="24"/>
        </w:rPr>
        <w:t>rozumienia problemów świata w wymiarze indywidualnym, lokal</w:t>
      </w:r>
      <w:r w:rsidR="00C4381C">
        <w:rPr>
          <w:rFonts w:ascii="Times New Roman" w:hAnsi="Times New Roman"/>
          <w:sz w:val="24"/>
          <w:szCs w:val="24"/>
        </w:rPr>
        <w:t>nym, państwowym i </w:t>
      </w:r>
      <w:r>
        <w:rPr>
          <w:rFonts w:ascii="Times New Roman" w:hAnsi="Times New Roman"/>
          <w:sz w:val="24"/>
          <w:szCs w:val="24"/>
        </w:rPr>
        <w:t xml:space="preserve">globalnym. Uwzględnia różnice kulturowe, etniczne, językowe, religijne oraz dotyczące płci. Uczy międzykulturowego zrozumienia i szacunku, z zachowaniem poczucia tożsamości kulturowej i narodowej każdego ucznia. Kładzie nacisk na kształcenie umiejętności opracowania przez młodzież własnej strategii uczenia się i oceny swoich postępów oraz podjęcia odpowiedzialności za ten proces. Stwarza </w:t>
      </w:r>
      <w:r w:rsidR="00C4381C">
        <w:rPr>
          <w:rFonts w:ascii="Times New Roman" w:hAnsi="Times New Roman"/>
          <w:sz w:val="24"/>
          <w:szCs w:val="24"/>
        </w:rPr>
        <w:t>możliwości pracy samodzielnej i </w:t>
      </w:r>
      <w:r>
        <w:rPr>
          <w:rFonts w:ascii="Times New Roman" w:hAnsi="Times New Roman"/>
          <w:sz w:val="24"/>
          <w:szCs w:val="24"/>
        </w:rPr>
        <w:t xml:space="preserve">zespołowej. Oferuje szeroki wachlarz możliwości prezentacji własnych poglądów. </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zachowuje równowagę przedmiotów oferowanych przez szkołę oraz wspiera rozwój języka ojczystego wszystkich uczniów. Treści programowe i metody nauczania umożliwiają młodzieży zdobycie pełnej wiedzy i umiejętności potrzebnych do aktywnego uczestnictwa w życiu społeczeństwa XXI wieku. </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Szkoła, zgodnie z ideą IB, wspiera kluczową rolę Teorii Wiedzy – przedmiotu, którego celem jest wskazanie uczniom logicznych i racjonalnych </w:t>
      </w:r>
      <w:r w:rsidR="00C4381C">
        <w:rPr>
          <w:rFonts w:ascii="Times New Roman" w:hAnsi="Times New Roman"/>
          <w:sz w:val="24"/>
          <w:szCs w:val="24"/>
        </w:rPr>
        <w:t>podstaw wiedzy, subiektywnych i </w:t>
      </w:r>
      <w:r>
        <w:rPr>
          <w:rFonts w:ascii="Times New Roman" w:hAnsi="Times New Roman"/>
          <w:sz w:val="24"/>
          <w:szCs w:val="24"/>
        </w:rPr>
        <w:t>ideologicznych przesłanek przekonań oraz krytyczna refleksja  poznania i uczenia się. Wiedzę akademicką wspiera zróżnicowany program CAS rozumiany j</w:t>
      </w:r>
      <w:r w:rsidR="00C4381C">
        <w:rPr>
          <w:rFonts w:ascii="Times New Roman" w:hAnsi="Times New Roman"/>
          <w:sz w:val="24"/>
          <w:szCs w:val="24"/>
        </w:rPr>
        <w:t>ako praca na rzecz środowiska i </w:t>
      </w:r>
      <w:r>
        <w:rPr>
          <w:rFonts w:ascii="Times New Roman" w:hAnsi="Times New Roman"/>
          <w:sz w:val="24"/>
          <w:szCs w:val="24"/>
        </w:rPr>
        <w:t>własnego rozwoju. Każdy uczeń zobligowany jest do niesienia pomocy osobom potrzebującym. Każda forma pracy jest oparta o ideę wolontariatu, kontrolowana przez nauczyciela (koordynatora CAS) i musi być udokumentowana raportami zawierającymi  opis podejmowanych działań i samoocenę.</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Ważną rolę w programie nauczania odgrywa doradztwo zawodowe rozumiane zarówno jako informacja dotycząca realizowanego programu IB DP,  postępów w nauce,  jak i udzielanie porad w zakresie wyboru kursów kształcenia oraz możliwości wyboru ścieżki kariery zawodowej.</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W celu wspierania procesu uczenia się, zgodnie z programem nauczania, szkoła współpracuje </w:t>
      </w:r>
      <w:r>
        <w:rPr>
          <w:rFonts w:ascii="Times New Roman" w:hAnsi="Times New Roman"/>
          <w:sz w:val="24"/>
          <w:szCs w:val="24"/>
        </w:rPr>
        <w:br/>
        <w:t>z lokalnymi organizacjami społecznymi oraz korzysta z wiedzy i doświadczenia dorosłych członków społeczności, w tym ośrodków akademickich.</w:t>
      </w:r>
    </w:p>
    <w:p w:rsidR="002F69BF" w:rsidRDefault="002F69BF" w:rsidP="002F69BF">
      <w:pPr>
        <w:spacing w:after="0" w:line="240" w:lineRule="auto"/>
        <w:jc w:val="both"/>
        <w:rPr>
          <w:rFonts w:ascii="Times New Roman" w:hAnsi="Times New Roman"/>
          <w:sz w:val="24"/>
          <w:szCs w:val="24"/>
        </w:rPr>
      </w:pPr>
    </w:p>
    <w:p w:rsidR="002F69BF" w:rsidRDefault="002F69BF" w:rsidP="002F69BF">
      <w:pPr>
        <w:pStyle w:val="Akapitzlist"/>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II. Organizacja kształcenia w oddziale międzynarodowym i stosowany system oceniania, klasyfikowania i egzaminowania</w:t>
      </w:r>
    </w:p>
    <w:p w:rsidR="002F69BF" w:rsidRDefault="002F69BF" w:rsidP="002F69BF">
      <w:pPr>
        <w:tabs>
          <w:tab w:val="left" w:pos="7290"/>
        </w:tabs>
        <w:spacing w:after="0" w:line="240" w:lineRule="auto"/>
        <w:jc w:val="both"/>
        <w:rPr>
          <w:rFonts w:ascii="Times New Roman" w:hAnsi="Times New Roman"/>
          <w:sz w:val="24"/>
          <w:szCs w:val="24"/>
        </w:rPr>
      </w:pPr>
      <w:r w:rsidRPr="00057E2D">
        <w:rPr>
          <w:rFonts w:ascii="Times New Roman" w:hAnsi="Times New Roman"/>
          <w:sz w:val="24"/>
          <w:szCs w:val="24"/>
        </w:rPr>
        <w:t>Klasa pierwsza liceum trzyletniego</w:t>
      </w:r>
      <w:r>
        <w:rPr>
          <w:rFonts w:ascii="Times New Roman" w:hAnsi="Times New Roman"/>
          <w:sz w:val="24"/>
          <w:szCs w:val="24"/>
        </w:rPr>
        <w:t xml:space="preserve"> (a od 1 września 2019 roku 1 i 2 klasa liceum czteroletniego) jest tzw. klasą wstępną pre-IB, która </w:t>
      </w:r>
      <w:r w:rsidR="00C4381C">
        <w:rPr>
          <w:rFonts w:ascii="Times New Roman" w:hAnsi="Times New Roman"/>
          <w:sz w:val="24"/>
          <w:szCs w:val="24"/>
        </w:rPr>
        <w:t>realizuje podstawę programową z </w:t>
      </w:r>
      <w:r>
        <w:rPr>
          <w:rFonts w:ascii="Times New Roman" w:hAnsi="Times New Roman"/>
          <w:sz w:val="24"/>
          <w:szCs w:val="24"/>
        </w:rPr>
        <w:t>przedmiotów obowiązkowych w liceum ogólnokształcącym klasy dwujęzycznej. Klasyfikowanie w klasie pierwszej (a w czteroletnim liceum w klasie 1 i 2)  odbywa się zgodnie z polskim prawem oświatowym (skala 1-6).</w:t>
      </w:r>
    </w:p>
    <w:p w:rsidR="002F69BF" w:rsidRDefault="002F69BF" w:rsidP="002F69BF">
      <w:pPr>
        <w:tabs>
          <w:tab w:val="left" w:pos="7290"/>
        </w:tabs>
        <w:spacing w:after="0" w:line="240" w:lineRule="auto"/>
        <w:jc w:val="both"/>
        <w:rPr>
          <w:rFonts w:ascii="Times New Roman" w:hAnsi="Times New Roman"/>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Organizacja kształcenia w oddziale międzynarodowym</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w:t>
      </w:r>
      <w:r>
        <w:rPr>
          <w:rFonts w:ascii="Times New Roman" w:hAnsi="Times New Roman"/>
          <w:b/>
          <w:i/>
          <w:sz w:val="24"/>
          <w:szCs w:val="24"/>
        </w:rPr>
        <w:t xml:space="preserve">The International Baccalaureate Diploma Programme </w:t>
      </w:r>
      <w:r>
        <w:rPr>
          <w:rFonts w:ascii="Times New Roman" w:hAnsi="Times New Roman"/>
          <w:sz w:val="24"/>
          <w:szCs w:val="24"/>
        </w:rPr>
        <w:t>realizowany jest w dwóch ostatnich klasach liceum i kończy się egzaminami umożliwiającymi uzyskanie dyplomu, który zgodnie z polskim prawem oświatowym odpowiada maturze. Absolwent oddziału międzynarodowego szkoły może przystąpić do egzaminu maturalnego.</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Nauka w oddziale międzynarodowym odbywa się w małych grupach zgodnie z deklaracjami wyboru przedmiotów w klasie. Grupy i poziomy nauczania tworzy się uwzględniając możliwości kadrowe i organizacyjne szkoły, a minimalna liczba uczniów w danej grupie wynosi 6. Na lekcji przedmiotu realizowanego na poziomie HL liczba uczniów w grupie nie może przekroczyć 15. Przedmiot teoria wiedzy (ze względu na jego wagę w programie IB DP) prowadzony jest także w grupie do 15 uczniów.  Dzięki temu uczeń ma zagwarantowane indywidualne podejście, a grupy składają się z silnie zmotywowanych uczniów. </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Uczniowie, rozpoczynając naukę w oddziale międzynarodowym, podlegają szerokiej diagnozie dot. percepcji postrzegania, preferowanych stylów</w:t>
      </w:r>
      <w:r w:rsidR="00C4381C">
        <w:rPr>
          <w:rFonts w:ascii="Times New Roman" w:hAnsi="Times New Roman" w:cs="Times New Roman"/>
          <w:color w:val="auto"/>
          <w:sz w:val="24"/>
          <w:szCs w:val="24"/>
        </w:rPr>
        <w:t xml:space="preserve"> uczenia się, poziomów wiedzy i </w:t>
      </w:r>
      <w:r>
        <w:rPr>
          <w:rFonts w:ascii="Times New Roman" w:hAnsi="Times New Roman" w:cs="Times New Roman"/>
          <w:color w:val="auto"/>
          <w:sz w:val="24"/>
          <w:szCs w:val="24"/>
        </w:rPr>
        <w:t>umiejętności z poprzedniego etapu kształcenia. Nauczyciele w oparciu o powyższe diagnozy dostosowują formy i metody pracy do indywidualnych potrzeb i możliwości ucznia. Ważną rolę w procesie nauczania i uczenia się odgrywa stawianie przed uczniem problemów do rozwiązania, w których niezbędne jest wykorzystanie rozumienia konceptualnego, zintegrowanej wiedzy i licznych kontekstów, wynikaj</w:t>
      </w:r>
      <w:r w:rsidR="00C4381C">
        <w:rPr>
          <w:rFonts w:ascii="Times New Roman" w:hAnsi="Times New Roman" w:cs="Times New Roman"/>
          <w:color w:val="auto"/>
          <w:sz w:val="24"/>
          <w:szCs w:val="24"/>
        </w:rPr>
        <w:t>ących ze specyfiki przedmiotu i </w:t>
      </w:r>
      <w:r>
        <w:rPr>
          <w:rFonts w:ascii="Times New Roman" w:hAnsi="Times New Roman" w:cs="Times New Roman"/>
          <w:color w:val="auto"/>
          <w:sz w:val="24"/>
          <w:szCs w:val="24"/>
        </w:rPr>
        <w:t>doświadczeń ucznia. Proces zakłada  przejście od uczenia się indywidualnego do uczenia organizacyjnego (knowledge-driver). Uczeń przechodzi 4-etapowy proces uczenia się: pozyskiwanie wiedzy - wykorzystywanie wiedzy - weryfikacja wiedzy - rozwijanie wiedzy. Ocena (weryfikacja wiedzy) odbywa się zgodnie z ustalo</w:t>
      </w:r>
      <w:r w:rsidR="00C4381C">
        <w:rPr>
          <w:rFonts w:ascii="Times New Roman" w:hAnsi="Times New Roman" w:cs="Times New Roman"/>
          <w:color w:val="auto"/>
          <w:sz w:val="24"/>
          <w:szCs w:val="24"/>
        </w:rPr>
        <w:t>nymi kryteriami, wynikającymi z </w:t>
      </w:r>
      <w:r>
        <w:rPr>
          <w:rFonts w:ascii="Times New Roman" w:hAnsi="Times New Roman" w:cs="Times New Roman"/>
          <w:color w:val="auto"/>
          <w:sz w:val="24"/>
          <w:szCs w:val="24"/>
        </w:rPr>
        <w:t>zasad oceniania kształtującego.  Ocena ma  charakter motywujący, tak aby proces uczenia się wzmacniał świadomość ucznia, jego odpowiedzialność i zaangażowanie. Proces uczenia się podlega monitorowaniu i ewaluacji.</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Nauczyciel prowadzi z uczniami dialog nt. najbardziej efektywnych sposobów uczenia się. Otrzymana informacja zwrotna pozwala uczniowi doskonalić swoje umiejętności i ocenić poziom własnych zasobów (wiedzy i umiejętności) oraz zrozumieć, co należy zrobić, aby osiągnąć założony cel edukacyjny. Narzędziem pomocniczym w tym obszarze jest ocena koleżeńska. </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Ważną rolę w procesie edukacyjnym odgrywa nauczyciel-mentor, który wspiera aktywność ucznia i pomaga mu odnosić się do wcześniejszych doświadczeń. Buduje zdolność ucznia do refleksji „w”  i  „po” działaniu. Zajęcia prowadzone przez  nauczyciela systematycznie podlegają obserwacjom przez zespół kierowniczy, a w razie potrzeb także przez doradcę metodycznego. Po zajęciach następuje analiza działań nauczyciela i związanych z nimi zachowań uczniów. Nauczanie w oddziale międzynarodo</w:t>
      </w:r>
      <w:r w:rsidR="00C4381C">
        <w:rPr>
          <w:rFonts w:ascii="Times New Roman" w:hAnsi="Times New Roman" w:cs="Times New Roman"/>
          <w:color w:val="auto"/>
          <w:sz w:val="24"/>
          <w:szCs w:val="24"/>
        </w:rPr>
        <w:t>wym sprzyja uczniom, ponieważ z </w:t>
      </w:r>
      <w:r>
        <w:rPr>
          <w:rFonts w:ascii="Times New Roman" w:hAnsi="Times New Roman" w:cs="Times New Roman"/>
          <w:color w:val="auto"/>
          <w:sz w:val="24"/>
          <w:szCs w:val="24"/>
        </w:rPr>
        <w:t xml:space="preserve">jednej strony promuje ich samodzielność i kreatywność, a z drugiej daje się ująć w formie </w:t>
      </w:r>
      <w:r>
        <w:rPr>
          <w:rFonts w:ascii="Times New Roman" w:hAnsi="Times New Roman" w:cs="Times New Roman"/>
          <w:color w:val="auto"/>
          <w:sz w:val="24"/>
          <w:szCs w:val="24"/>
        </w:rPr>
        <w:lastRenderedPageBreak/>
        <w:t>instytucjonalnej.</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Zgodnie z wymogami IBO uczeń IB DP wybiera po jednym przedmiocie z każdej grupy przedmiotów, z zastrzeżeniem, że trzy przedmioty realizuje na poziomie wyższym (HL). Wszyscy uczniowie realizują przedmiot Theory of Knowledge (teoria wiedzy) na jednym poziomie.</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Znajdujące się w szkole biblioteka i czytelnia multimedialna wspierają realizację zadań dydaktyczno-wychowawczych i profilaktycznych oraz wspomagają doskonalenie zawodowe nauczycieli. Pełnią funkcję ośrodka informacji o szkole, realizowanych programach, projektach oraz ofercie edukacyjno-kulturalnej środowiska lokalnego. Zasoby biblioteki wykorzystywane są także na zajęciach lekcyjnych i pozalekcyjnych. Nauczyciele bibliotekarze realizują działania rozwijające zainteresowania uczniów, wyrabianie i pogłębianie u nich nawyku czytania i uczenia się, które  rozwijają wrażliwość kulturową i społeczną. </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W przypadku decyzji rodziców ucznia lub ucznia pełno</w:t>
      </w:r>
      <w:r w:rsidR="00C4381C">
        <w:rPr>
          <w:rFonts w:ascii="Times New Roman" w:hAnsi="Times New Roman"/>
          <w:sz w:val="24"/>
          <w:szCs w:val="24"/>
        </w:rPr>
        <w:t>letniego o rezygnacji z nauki w </w:t>
      </w:r>
      <w:r>
        <w:rPr>
          <w:rFonts w:ascii="Times New Roman" w:hAnsi="Times New Roman"/>
          <w:sz w:val="24"/>
          <w:szCs w:val="24"/>
        </w:rPr>
        <w:t>oddziale międzynarodowym szkoła zapewnia uczniowi możliwość przejścia do kształcenia realizowanego zgodnie z programem nauczania, o którym mowa w art. 14 ust. 1 pkt. 4 lit.a ustawy z dnia 14 grudnia 2016 r. - Prawo oświatowe.</w:t>
      </w:r>
    </w:p>
    <w:p w:rsidR="002F69BF" w:rsidRDefault="002F69BF" w:rsidP="002F69BF">
      <w:pPr>
        <w:pStyle w:val="Normalny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przyjęcie do oddziału międzynarodowego może ubiegać się uczeń po ukończeniu pierwszej klasy (a w liceum czteroletnim po 2 klasie) XXXV Liceum Ogólnokształcącego z Oddziałami Dwujęzycznymi im. Bolesława Prusa, innych liceów oraz uczeń powracający z zagranicy. Postępowanie rekrutacyjne do oddziału międzynarodowego prowadzi komisja powołana przez dyrektora XXXV Liceum Ogólnokształcącego z Oddziałami Dwujęzycznymi im. Bolesława Prusa w Warszawie, zgodnie z przyjętymi w szkole zasadami rekrutacji. Rodzicom kandydata  przysługuje  prawo odwołania od decyzji komisji przeprowadzającej postępowanie rekrutacyjne do programu matury międzynarodowej w terminie do 3 dni od ich ogłoszenia.  Odwołanie rozpatruje i podejmuje ostateczną decyzję dyrektor szkoły. O przyjęciu do oddziału międzynarodowego ucznia powracającego z zagranicy decyduje dyrektor szkoły. </w:t>
      </w:r>
    </w:p>
    <w:p w:rsidR="002F69BF" w:rsidRDefault="002F69BF" w:rsidP="002F69BF">
      <w:pPr>
        <w:pStyle w:val="Normalny1"/>
        <w:spacing w:line="240" w:lineRule="auto"/>
        <w:jc w:val="both"/>
        <w:rPr>
          <w:rFonts w:ascii="Times New Roman" w:hAnsi="Times New Roman" w:cs="Times New Roman"/>
          <w:color w:val="auto"/>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Stosowany system oceniania, klasyfikowania i egzaminowania </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System oceniania, klasyfikowania i oceniania stosowany w oddziale międzynarodowym został ujęty w dokumencie „Zasady oceniania obowiązujące w klasach realizujących dwuletni program międzynarodowej matury w XXXV Liceum Ogólnokształcącym z Oddziałami Dwujęzycznymi im. Bolesława Prusa w Warszawie” zgodnym z wymaganiami IBO. Zg</w:t>
      </w:r>
      <w:r w:rsidR="00C4381C">
        <w:rPr>
          <w:rFonts w:ascii="Times New Roman" w:hAnsi="Times New Roman"/>
          <w:sz w:val="24"/>
          <w:szCs w:val="24"/>
        </w:rPr>
        <w:t>odnie z </w:t>
      </w:r>
      <w:r>
        <w:rPr>
          <w:rFonts w:ascii="Times New Roman" w:hAnsi="Times New Roman"/>
          <w:sz w:val="24"/>
          <w:szCs w:val="24"/>
        </w:rPr>
        <w:t xml:space="preserve">przyjętym programem nauczania uczniowie w ciągu dwuletniego programu matury międzynarodowej zobowiązani są: </w:t>
      </w:r>
    </w:p>
    <w:p w:rsidR="002F69BF" w:rsidRDefault="002F69BF" w:rsidP="002F69BF">
      <w:pPr>
        <w:numPr>
          <w:ilvl w:val="0"/>
          <w:numId w:val="5"/>
        </w:numPr>
        <w:spacing w:after="0" w:line="240" w:lineRule="auto"/>
        <w:ind w:left="851" w:hanging="425"/>
        <w:contextualSpacing/>
        <w:rPr>
          <w:rFonts w:ascii="Times New Roman" w:hAnsi="Times New Roman"/>
          <w:sz w:val="24"/>
          <w:szCs w:val="24"/>
        </w:rPr>
      </w:pPr>
      <w:r>
        <w:rPr>
          <w:rFonts w:ascii="Times New Roman" w:hAnsi="Times New Roman"/>
          <w:sz w:val="24"/>
          <w:szCs w:val="24"/>
        </w:rPr>
        <w:t>zrealizować 6 przedmiotów z co najmniej 5 ścieżek wyznaczonych przez IBO,</w:t>
      </w:r>
    </w:p>
    <w:p w:rsidR="002F69BF" w:rsidRDefault="002F69BF" w:rsidP="002F69BF">
      <w:pPr>
        <w:numPr>
          <w:ilvl w:val="0"/>
          <w:numId w:val="5"/>
        </w:numPr>
        <w:spacing w:after="0" w:line="240" w:lineRule="auto"/>
        <w:ind w:left="851" w:hanging="425"/>
        <w:contextualSpacing/>
        <w:rPr>
          <w:rFonts w:ascii="Times New Roman" w:hAnsi="Times New Roman"/>
          <w:sz w:val="24"/>
          <w:szCs w:val="24"/>
        </w:rPr>
      </w:pPr>
      <w:r>
        <w:rPr>
          <w:rFonts w:ascii="Times New Roman" w:hAnsi="Times New Roman"/>
          <w:sz w:val="24"/>
          <w:szCs w:val="24"/>
        </w:rPr>
        <w:t>uzyskać pozytywną ocenę z matury z każdego z wybranych przedmiotów,</w:t>
      </w:r>
    </w:p>
    <w:p w:rsidR="002F69BF" w:rsidRDefault="002F69BF" w:rsidP="002F69BF">
      <w:pPr>
        <w:numPr>
          <w:ilvl w:val="0"/>
          <w:numId w:val="5"/>
        </w:numPr>
        <w:spacing w:after="0" w:line="240" w:lineRule="auto"/>
        <w:ind w:left="851" w:hanging="425"/>
        <w:contextualSpacing/>
        <w:rPr>
          <w:rFonts w:ascii="Times New Roman" w:hAnsi="Times New Roman"/>
          <w:sz w:val="24"/>
          <w:szCs w:val="24"/>
          <w:lang w:val="en-US"/>
        </w:rPr>
      </w:pPr>
      <w:r>
        <w:rPr>
          <w:rFonts w:ascii="Times New Roman" w:hAnsi="Times New Roman"/>
          <w:sz w:val="24"/>
          <w:szCs w:val="24"/>
          <w:lang w:val="en-US"/>
        </w:rPr>
        <w:t xml:space="preserve">zaliczyć CORE:  TOK, CAS, Extended Essay.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Matura uczniów oceniana jest wewnętrznie i zewnętrznie, według kryteriów ustalonych przez IBO w sylabusach dla poszczególnych przedmiotów. Ocena wewnętrzna matury ucznia (internal assessment) – dokonywana przez nauczyciela uczącego przedmiotu, podlegająca kontroli zewnętrznej przez moderatorów IBO – stanowi o</w:t>
      </w:r>
      <w:r w:rsidR="00C4381C">
        <w:rPr>
          <w:rFonts w:ascii="Times New Roman" w:hAnsi="Times New Roman"/>
          <w:sz w:val="24"/>
          <w:szCs w:val="24"/>
        </w:rPr>
        <w:t>koło 20-30% oceny końcowej, a z </w:t>
      </w:r>
      <w:r>
        <w:rPr>
          <w:rFonts w:ascii="Times New Roman" w:hAnsi="Times New Roman"/>
          <w:sz w:val="24"/>
          <w:szCs w:val="24"/>
        </w:rPr>
        <w:t>niektórych przedmiotów nawet 50%. Oceniane mogą być:</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prace i zadania pisemne,</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odpowiedzi ustne, prezentacje,</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doświadczenia i prace badawcze.</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Uzyskanie oceny wewnętrznej w wyznaczonym terminie jest warunkiem dopuszczenia do matury zewnętrznej z danego przedmiotu. Ocena zewnętrzna </w:t>
      </w:r>
      <w:r w:rsidR="00C4381C">
        <w:rPr>
          <w:rFonts w:ascii="Times New Roman" w:hAnsi="Times New Roman"/>
          <w:sz w:val="24"/>
          <w:szCs w:val="24"/>
        </w:rPr>
        <w:t>(external assessment) – ocena z </w:t>
      </w:r>
      <w:r>
        <w:rPr>
          <w:rFonts w:ascii="Times New Roman" w:hAnsi="Times New Roman"/>
          <w:sz w:val="24"/>
          <w:szCs w:val="24"/>
        </w:rPr>
        <w:t>egzaminu dokonywana przez egzaminatorów zewnętrznych IBO stanowi około 70-80% oceny końcowej.</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W dwuletnim programie matury międzynarodowej stosuje się dwa główne rodzaje oceniania wewnątrzszkolnego: </w:t>
      </w:r>
    </w:p>
    <w:p w:rsidR="002F69BF" w:rsidRDefault="002F69BF" w:rsidP="002F69BF">
      <w:pPr>
        <w:numPr>
          <w:ilvl w:val="0"/>
          <w:numId w:val="7"/>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Ocenianie cząstkowe, uwzględniające elementy  oceniania kształtującego, którego celem jest poinformowanie uczniów o postępach, jakie cz</w:t>
      </w:r>
      <w:r w:rsidR="00C4381C">
        <w:rPr>
          <w:rFonts w:ascii="Times New Roman" w:hAnsi="Times New Roman"/>
          <w:sz w:val="24"/>
          <w:szCs w:val="24"/>
        </w:rPr>
        <w:t>ynią, celach, jakie osiągnęli i </w:t>
      </w:r>
      <w:r>
        <w:rPr>
          <w:rFonts w:ascii="Times New Roman" w:hAnsi="Times New Roman"/>
          <w:sz w:val="24"/>
          <w:szCs w:val="24"/>
        </w:rPr>
        <w:t xml:space="preserve">potencjalnych błędach, które powinny zostać naprawione oraz nauczenie młodzieży  wyciągania wniosków z błędów popełnianych w procesie uczenia się. </w:t>
      </w:r>
      <w:bookmarkStart w:id="1" w:name="_gjdgxs"/>
      <w:bookmarkEnd w:id="1"/>
      <w:r>
        <w:rPr>
          <w:rFonts w:ascii="Times New Roman" w:hAnsi="Times New Roman"/>
          <w:sz w:val="24"/>
          <w:szCs w:val="24"/>
        </w:rPr>
        <w:t xml:space="preserve">Ocenianie cząstkowe stosuje się  do bieżącej oceny wiedzy i umiejętności z poszczególnych przedmiotów. Ten rodzaj oceniania stosuje się w sposób ciągły w czasie każdego półrocza. </w:t>
      </w:r>
    </w:p>
    <w:p w:rsidR="002F69BF" w:rsidRDefault="002F69BF" w:rsidP="002F69BF">
      <w:pPr>
        <w:numPr>
          <w:ilvl w:val="0"/>
          <w:numId w:val="7"/>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Ocenianie podsumowujące, którego celem jest podsumowanie postępów osiągniętych przez uczniów, przed poznaniem kolejnej dziedziny, działu materiału lub modułu. Oceny podsumowujące są informacją na temat poziomu zaawansowania ucznia po danym etapie nauczania, uczenia się z każdego realizowanego przedmiotu.</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 ocenianiu stosuje się skalę obowiązującą w dokumentach IBO  wyrażoną cyframi 1–7, gdzie 1 jest oceną najniższą, a 7 najwyższą. </w:t>
      </w:r>
    </w:p>
    <w:p w:rsidR="0082396B" w:rsidRDefault="0082396B" w:rsidP="002F69BF">
      <w:pPr>
        <w:spacing w:after="0" w:line="240" w:lineRule="auto"/>
        <w:contextualSpacing/>
        <w:jc w:val="both"/>
        <w:rPr>
          <w:rFonts w:ascii="Times New Roman" w:hAnsi="Times New Roman"/>
          <w:sz w:val="24"/>
          <w:szCs w:val="24"/>
        </w:rPr>
      </w:pPr>
    </w:p>
    <w:tbl>
      <w:tblPr>
        <w:tblW w:w="4230" w:type="dxa"/>
        <w:tblInd w:w="1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64"/>
        <w:gridCol w:w="1588"/>
        <w:gridCol w:w="1678"/>
      </w:tblGrid>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Symbol </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Ocena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Minimalny próg zaliczenia</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Bardzo słabo</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Słabo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Średnio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Zadawalająco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Dobrze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75%</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Bardzo dobrze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85%</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Znakomicie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95%</w:t>
            </w:r>
          </w:p>
        </w:tc>
      </w:tr>
    </w:tbl>
    <w:p w:rsidR="0082396B" w:rsidRDefault="0082396B" w:rsidP="002F69BF">
      <w:pPr>
        <w:spacing w:after="0" w:line="240" w:lineRule="auto"/>
        <w:jc w:val="both"/>
        <w:rPr>
          <w:rFonts w:ascii="Times New Roman" w:hAnsi="Times New Roman"/>
          <w:sz w:val="24"/>
          <w:szCs w:val="24"/>
        </w:rPr>
      </w:pPr>
      <w:bookmarkStart w:id="2" w:name="_30j0zll"/>
      <w:bookmarkEnd w:id="2"/>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Ocena z Teorii Wiedzy  (TOK - Theory of Knowledge) oraz z Pracy Badawczej (EE - Extended Essay) dokonywana jest w systemie literowym wg następującej skali:</w:t>
      </w:r>
    </w:p>
    <w:p w:rsidR="0082396B" w:rsidRDefault="0082396B" w:rsidP="002F69BF">
      <w:pPr>
        <w:spacing w:after="0" w:line="240" w:lineRule="auto"/>
        <w:jc w:val="both"/>
        <w:rPr>
          <w:rFonts w:ascii="Times New Roman" w:hAnsi="Times New Roman"/>
          <w:sz w:val="24"/>
          <w:szCs w:val="24"/>
        </w:rPr>
      </w:pPr>
    </w:p>
    <w:tbl>
      <w:tblPr>
        <w:tblW w:w="3405" w:type="dxa"/>
        <w:tblInd w:w="1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6"/>
        <w:gridCol w:w="2529"/>
      </w:tblGrid>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N</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Brak oceny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E</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Poziom podstawowy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D</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Średnio</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C</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Zadowalająco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Dobrze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A</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Znakomicie </w:t>
            </w:r>
          </w:p>
        </w:tc>
      </w:tr>
    </w:tbl>
    <w:p w:rsidR="0082396B" w:rsidRDefault="0082396B" w:rsidP="002F69BF">
      <w:pPr>
        <w:spacing w:after="0" w:line="240" w:lineRule="auto"/>
        <w:contextualSpacing/>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Uczeń dokonuje ewaluacji swoich wyników przez cały czas trwania programu IB DP w celu monitorowania swoich postępów i podwyższania wyników z kolejnych testów, projektów, prac badawczych. Liczbę i formę wypowiedzi ustnych oraz pisemnych określają przewodniki właściwe dla poszczególnych przedmiotów publikowane przez IBO. Prace klasowe są obowiązkowe.</w:t>
      </w:r>
    </w:p>
    <w:p w:rsidR="0082396B"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Uczeń zobowiązany jest dotrzymywać wszelkich terminów, dostarczać prace na czas oraz brać odpowiedzialność za ewentualne niedociągnięcia. Nieobecności ucznia na zajęciach lekcyjnych, wynikające z udziału w obowiązkowych projektach przewidzianych w programie IB, wymianach, wycieczce lub innych formach zajęć organizowanych przez szkołę, nie wlicza się do puli nieobecności. W przypadku opuszczenia przez ucznia 25% i więcej zajęć edukacyjnych z danego przedmiotu nauczyciel ma prawo przeprowadzić pisemny sprawdzian frekwencyjny.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Pod koniec każdego półrocza oceny są konwertowane ze skali</w:t>
      </w:r>
      <w:r w:rsidR="00C4381C">
        <w:rPr>
          <w:rFonts w:ascii="Times New Roman" w:hAnsi="Times New Roman"/>
          <w:sz w:val="24"/>
          <w:szCs w:val="24"/>
        </w:rPr>
        <w:t xml:space="preserve"> 1-7 na oceny w obowiązującej w </w:t>
      </w:r>
      <w:r>
        <w:rPr>
          <w:rFonts w:ascii="Times New Roman" w:hAnsi="Times New Roman"/>
          <w:sz w:val="24"/>
          <w:szCs w:val="24"/>
        </w:rPr>
        <w:t>szkole skali od 1 do 6. Konwersja ocen wygląda następująco:</w:t>
      </w:r>
    </w:p>
    <w:p w:rsidR="0082396B" w:rsidRDefault="0082396B" w:rsidP="002F69BF">
      <w:pPr>
        <w:spacing w:after="0" w:line="240" w:lineRule="auto"/>
        <w:contextualSpacing/>
        <w:jc w:val="both"/>
        <w:rPr>
          <w:rFonts w:ascii="Times New Roman" w:hAnsi="Times New Roman"/>
          <w:sz w:val="24"/>
          <w:szCs w:val="24"/>
        </w:rPr>
      </w:pPr>
    </w:p>
    <w:tbl>
      <w:tblPr>
        <w:tblW w:w="4110" w:type="dxa"/>
        <w:tblInd w:w="30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6"/>
        <w:gridCol w:w="2304"/>
      </w:tblGrid>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Ocena w klasie IB</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Odpowiednik w skali wewnątrzszkolnej</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r>
    </w:tbl>
    <w:p w:rsidR="002F69BF" w:rsidRDefault="002F69BF" w:rsidP="002F69BF">
      <w:pPr>
        <w:spacing w:after="0" w:line="240" w:lineRule="auto"/>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 szczególnie uzasadnionych przypadkach (np. przewlekła choroba, zmiana miejsca zamieszkania) uczeń może zwrócić się do Dyrektora szkoły z podaniem o umożliwienie powtórzenia jednego roku realizacji programu.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Uczeń w programie IB może nie być dopuszczony do sesji egzaminacyjnej, jeżeli zespół nauczycieli prowadzących zajęcia w oddziale uzna, iż uczeń nie spełnia wymagań uzyskania dyplomu IB.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Jeżeli brak jest podstaw do ustalenia śródrocznej lub rocznej oceny klasyfikacyjnej z powodu nieobecności ucznia na danych zajęciach edukacyjnych przekraczającej połowę czasu przeznaczonego na te zajęcia w szkolnym planie nauczania, uczeń może być nieklasyfikowany z tych zajęć. W takim przypadku w dokumentacji przebiegu nauczania zamiast oceny klasyfikacyjnej wpisuje się „nieklasyfikowany” lub „nieklasyfikowana”. Uczeń niesklasyfikowany z powodu usprawiedliwionej nieobecności może zdawać egzamin klasyfikacyjny. W przypadku, gdy uczeń jest nieklasyfikowany z powodu nieusprawiedliwionej nieobecności, może złożyć sam lub jego rodzice (prawni opiekunowie) do rady pedagogicznej wniosek, w którym deklaruje wolę przystąpienia do egzaminu klasyfikacyjnego. Rada pedagogiczna może wyrazić zgodę na egzamin klasyfikacyjny. Podanie powinno być złożone przed posiedzeniem klasyfikacyjnym rady pedagogicznej.</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Egzamin klasyfikacyjny przeprowadza się w formie pisemnej i ustnej w terminie uzgodnionym z uczniem i jego rodzicami (prawnymi opiekunami) najpóźniej w dniu poprzedzającym dzień zakończenia rocznych zajęć dydaktyczno-wychowawczych. Szczegółowe zasady egzaminu określone są w przedmiotowych zasadach oceniania. Jeżeli z przyczyn losowych uczeń nie przystąpił do egzaminu klasyfikacyjnego w wyznaczonym terminie, może przystąpić do niego w dodatkowym terminie wyznaczonym przez dyrektora szkoły.</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Sesja egzaminacyjna odbywa się w maju, w szkole ucznia. Uczeń zdaje  6 wybranych przez siebie  przedmiotów, na poziomie, na którym  je realizował. Z egzaminów może uzyskać maksymalnie 42 punkty. Dodatkowe, maksymalnie 3 punkty, uczeń może uzyskać za wspólny wynik z Extended Essay (Pracę Badawczą) i TOK. Punkty te są przeliczane wg następującej skali: </w:t>
      </w:r>
    </w:p>
    <w:p w:rsidR="002F69BF" w:rsidRDefault="002F69BF" w:rsidP="002F69BF">
      <w:pPr>
        <w:spacing w:after="0" w:line="240" w:lineRule="auto"/>
        <w:contextualSpacing/>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noProof/>
        </w:rPr>
        <w:lastRenderedPageBreak/>
        <w:drawing>
          <wp:inline distT="0" distB="0" distL="0" distR="0" wp14:anchorId="4840D583" wp14:editId="7A4BEAD0">
            <wp:extent cx="4355465" cy="2983865"/>
            <wp:effectExtent l="0" t="0" r="6985" b="6985"/>
            <wp:docPr id="1" name="image2.png" descr="chart.png"/>
            <wp:cNvGraphicFramePr/>
            <a:graphic xmlns:a="http://schemas.openxmlformats.org/drawingml/2006/main">
              <a:graphicData uri="http://schemas.openxmlformats.org/drawingml/2006/picture">
                <pic:pic xmlns:pic="http://schemas.openxmlformats.org/drawingml/2006/picture">
                  <pic:nvPicPr>
                    <pic:cNvPr id="1" name="image2.png" descr="chart.png"/>
                    <pic:cNvPicPr/>
                  </pic:nvPicPr>
                  <pic:blipFill>
                    <a:blip r:embed="rId8"/>
                    <a:srcRect/>
                    <a:stretch>
                      <a:fillRect/>
                    </a:stretch>
                  </pic:blipFill>
                  <pic:spPr>
                    <a:xfrm>
                      <a:off x="0" y="0"/>
                      <a:ext cx="4355465" cy="2983865"/>
                    </a:xfrm>
                    <a:prstGeom prst="rect">
                      <a:avLst/>
                    </a:prstGeom>
                    <a:ln/>
                  </pic:spPr>
                </pic:pic>
              </a:graphicData>
            </a:graphic>
          </wp:inline>
        </w:drawing>
      </w:r>
    </w:p>
    <w:p w:rsidR="002F69BF" w:rsidRDefault="002F69BF" w:rsidP="002F69BF">
      <w:pPr>
        <w:spacing w:after="0" w:line="240" w:lineRule="auto"/>
        <w:jc w:val="both"/>
        <w:rPr>
          <w:rFonts w:ascii="Times New Roman" w:hAnsi="Times New Roman"/>
          <w:sz w:val="24"/>
          <w:szCs w:val="24"/>
        </w:rPr>
      </w:pPr>
      <w:r>
        <w:rPr>
          <w:rFonts w:ascii="Times New Roman" w:hAnsi="Times New Roman"/>
          <w:color w:val="FF0000"/>
          <w:sz w:val="24"/>
          <w:szCs w:val="24"/>
        </w:rPr>
        <w:br/>
      </w:r>
      <w:r>
        <w:rPr>
          <w:rFonts w:ascii="Times New Roman" w:hAnsi="Times New Roman"/>
          <w:sz w:val="24"/>
          <w:szCs w:val="24"/>
        </w:rPr>
        <w:t>Warunkiem zdania matury i uzyskania dyplomu IB jest  uzy</w:t>
      </w:r>
      <w:r w:rsidR="00D52FB3">
        <w:rPr>
          <w:rFonts w:ascii="Times New Roman" w:hAnsi="Times New Roman"/>
          <w:sz w:val="24"/>
          <w:szCs w:val="24"/>
        </w:rPr>
        <w:t>skanie co najmniej 24 punktów z </w:t>
      </w:r>
      <w:r>
        <w:rPr>
          <w:rFonts w:ascii="Times New Roman" w:hAnsi="Times New Roman"/>
          <w:sz w:val="24"/>
          <w:szCs w:val="24"/>
        </w:rPr>
        <w:t>egzaminów i spełnienie następujących wymogów:</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zaliczenie programu CAS,</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z TOK, EE i 6 przedmiotów ocen innych niż N (N -brak realizacji zadania),</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z TOK i/lub  EE oceny wyższej niż E,</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oceny wyższej niż 1 z każdego przedmiotu,</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 xml:space="preserve">uzyskanie co najwyżej dwóch ocen 2 na poziomie HL lub SL i </w:t>
      </w:r>
      <w:r w:rsidR="00D52FB3">
        <w:rPr>
          <w:rFonts w:ascii="Times New Roman" w:hAnsi="Times New Roman"/>
          <w:sz w:val="24"/>
          <w:szCs w:val="24"/>
        </w:rPr>
        <w:t>uzyskanie oceny 3 co </w:t>
      </w:r>
      <w:r>
        <w:rPr>
          <w:rFonts w:ascii="Times New Roman" w:hAnsi="Times New Roman"/>
          <w:sz w:val="24"/>
          <w:szCs w:val="24"/>
        </w:rPr>
        <w:t>najwyżej  trzy razy na poziomie HL lub SL,</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co najmniej 12 punktów z trzech przedmiotów realizowanych na poziomie HL (w przypadku uczniów zarejestrowanych do zdawania czterech przedmiotów na poziomie HL, pod uwagę brane są trzy najwyższe wyniki) i 9 punktów z przedmiotów realizowanych na poziomie SL (z zastrzeżeniem</w:t>
      </w:r>
      <w:r w:rsidR="00D52FB3">
        <w:rPr>
          <w:rFonts w:ascii="Times New Roman" w:hAnsi="Times New Roman"/>
          <w:sz w:val="24"/>
          <w:szCs w:val="24"/>
        </w:rPr>
        <w:t>, że od uczniów realizujących 2 </w:t>
      </w:r>
      <w:r>
        <w:rPr>
          <w:rFonts w:ascii="Times New Roman" w:hAnsi="Times New Roman"/>
          <w:sz w:val="24"/>
          <w:szCs w:val="24"/>
        </w:rPr>
        <w:t xml:space="preserve">przedmioty na poziomie SL wymaga się uzyskania co najmniej 5 punktów), </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brak kary za nieuczciwość akademicką z ramienia Głównej Komisji Oceniającej (Final Award Committee).</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Wyróżnienie w postaci dyplomu i nagrody otrzymuje uczeń kończący program, który ma </w:t>
      </w:r>
      <w:r>
        <w:rPr>
          <w:rFonts w:ascii="Times New Roman" w:hAnsi="Times New Roman"/>
          <w:sz w:val="24"/>
          <w:szCs w:val="24"/>
        </w:rPr>
        <w:br/>
        <w:t>co najmniej bardzo dobrą ocenę zachowania i uzyskał 34 punkty lub więcej z realizowanych przez siebie przedmiotów.</w:t>
      </w:r>
    </w:p>
    <w:p w:rsidR="002F69BF" w:rsidRDefault="002F69BF" w:rsidP="002F69BF">
      <w:pPr>
        <w:spacing w:after="0" w:line="240" w:lineRule="auto"/>
        <w:contextualSpacing/>
        <w:jc w:val="both"/>
        <w:rPr>
          <w:rFonts w:ascii="Times New Roman" w:hAnsi="Times New Roman"/>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Data rozpoczęcia funkcjonowania oddziału międzynarodowego: 1 września 2019 roku.</w:t>
      </w:r>
    </w:p>
    <w:p w:rsidR="002F69BF" w:rsidRPr="002F69BF" w:rsidRDefault="002F69BF" w:rsidP="002F69BF">
      <w:pPr>
        <w:spacing w:after="0" w:line="240" w:lineRule="auto"/>
        <w:ind w:right="-142"/>
        <w:rPr>
          <w:rFonts w:ascii="Times New Roman" w:hAnsi="Times New Roman"/>
          <w:bCs/>
          <w:sz w:val="24"/>
        </w:rPr>
      </w:pPr>
    </w:p>
    <w:sectPr w:rsidR="002F69BF" w:rsidRPr="002F69BF" w:rsidSect="00EC0F8A">
      <w:footerReference w:type="default" r:id="rId9"/>
      <w:pgSz w:w="11906" w:h="16838"/>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B3" w:rsidRDefault="00456CB3" w:rsidP="00333271">
      <w:pPr>
        <w:spacing w:after="0" w:line="240" w:lineRule="auto"/>
      </w:pPr>
      <w:r>
        <w:separator/>
      </w:r>
    </w:p>
  </w:endnote>
  <w:endnote w:type="continuationSeparator" w:id="0">
    <w:p w:rsidR="00456CB3" w:rsidRDefault="00456CB3" w:rsidP="0033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266303"/>
      <w:docPartObj>
        <w:docPartGallery w:val="Page Numbers (Bottom of Page)"/>
        <w:docPartUnique/>
      </w:docPartObj>
    </w:sdtPr>
    <w:sdtEndPr/>
    <w:sdtContent>
      <w:p w:rsidR="00ED6D8A" w:rsidRDefault="00ED6D8A">
        <w:pPr>
          <w:pStyle w:val="Stopka"/>
          <w:jc w:val="center"/>
        </w:pPr>
        <w:r>
          <w:fldChar w:fldCharType="begin"/>
        </w:r>
        <w:r>
          <w:instrText>PAGE   \* MERGEFORMAT</w:instrText>
        </w:r>
        <w:r>
          <w:fldChar w:fldCharType="separate"/>
        </w:r>
        <w:r w:rsidR="000371AC">
          <w:rPr>
            <w:noProof/>
          </w:rPr>
          <w:t>2</w:t>
        </w:r>
        <w:r>
          <w:fldChar w:fldCharType="end"/>
        </w:r>
      </w:p>
    </w:sdtContent>
  </w:sdt>
  <w:p w:rsidR="00ED6D8A" w:rsidRDefault="00ED6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B3" w:rsidRDefault="00456CB3" w:rsidP="00333271">
      <w:pPr>
        <w:spacing w:after="0" w:line="240" w:lineRule="auto"/>
      </w:pPr>
      <w:r>
        <w:separator/>
      </w:r>
    </w:p>
  </w:footnote>
  <w:footnote w:type="continuationSeparator" w:id="0">
    <w:p w:rsidR="00456CB3" w:rsidRDefault="00456CB3" w:rsidP="00333271">
      <w:pPr>
        <w:spacing w:after="0" w:line="240" w:lineRule="auto"/>
      </w:pPr>
      <w:r>
        <w:continuationSeparator/>
      </w:r>
    </w:p>
  </w:footnote>
  <w:footnote w:id="1">
    <w:p w:rsidR="002F69BF" w:rsidRDefault="002F69BF" w:rsidP="002F69BF">
      <w:pPr>
        <w:spacing w:after="0" w:line="360" w:lineRule="auto"/>
        <w:jc w:val="both"/>
        <w:rPr>
          <w:rFonts w:asciiTheme="majorHAnsi" w:hAnsiTheme="majorHAnsi" w:cstheme="majorHAnsi"/>
          <w:sz w:val="16"/>
          <w:szCs w:val="16"/>
        </w:rPr>
      </w:pPr>
      <w:r>
        <w:rPr>
          <w:rStyle w:val="Odwoanieprzypisudolnego"/>
        </w:rPr>
        <w:footnoteRef/>
      </w:r>
      <w:r>
        <w:t xml:space="preserve"> </w:t>
      </w:r>
      <w:r>
        <w:rPr>
          <w:rFonts w:asciiTheme="majorHAnsi" w:hAnsiTheme="majorHAnsi" w:cstheme="majorHAnsi"/>
          <w:sz w:val="16"/>
          <w:szCs w:val="16"/>
        </w:rPr>
        <w:t>Szczegóły realizacji programu  regulują odrębne przepisy opracowane przez International Baccalaureate Organization z siedzibą w Genewie w Szwajcarii.</w:t>
      </w:r>
    </w:p>
    <w:p w:rsidR="002F69BF" w:rsidRDefault="002F69BF" w:rsidP="002F69B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AFC"/>
    <w:multiLevelType w:val="multilevel"/>
    <w:tmpl w:val="41280F0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142D2619"/>
    <w:multiLevelType w:val="hybridMultilevel"/>
    <w:tmpl w:val="8B06CB2E"/>
    <w:lvl w:ilvl="0" w:tplc="04150011">
      <w:start w:val="1"/>
      <w:numFmt w:val="decimal"/>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 w15:restartNumberingAfterBreak="0">
    <w:nsid w:val="20383C0C"/>
    <w:multiLevelType w:val="multilevel"/>
    <w:tmpl w:val="A2A4E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7334F6"/>
    <w:multiLevelType w:val="hybridMultilevel"/>
    <w:tmpl w:val="15A82130"/>
    <w:lvl w:ilvl="0" w:tplc="04150011">
      <w:start w:val="1"/>
      <w:numFmt w:val="decimal"/>
      <w:lvlText w:val="%1)"/>
      <w:lvlJc w:val="left"/>
      <w:pPr>
        <w:ind w:left="180" w:hanging="360"/>
      </w:p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4" w15:restartNumberingAfterBreak="0">
    <w:nsid w:val="238443AC"/>
    <w:multiLevelType w:val="hybridMultilevel"/>
    <w:tmpl w:val="DCD43394"/>
    <w:lvl w:ilvl="0" w:tplc="871E12C8">
      <w:start w:val="1"/>
      <w:numFmt w:val="decimal"/>
      <w:lvlText w:val="%1."/>
      <w:lvlJc w:val="left"/>
      <w:pPr>
        <w:ind w:left="1080" w:hanging="360"/>
      </w:pPr>
    </w:lvl>
    <w:lvl w:ilvl="1" w:tplc="04150011">
      <w:start w:val="1"/>
      <w:numFmt w:val="decimal"/>
      <w:lvlText w:val="%2)"/>
      <w:lvlJc w:val="left"/>
      <w:pPr>
        <w:ind w:left="644"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DDD26B6"/>
    <w:multiLevelType w:val="hybridMultilevel"/>
    <w:tmpl w:val="063A5592"/>
    <w:lvl w:ilvl="0" w:tplc="C88A07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193B8D"/>
    <w:multiLevelType w:val="multilevel"/>
    <w:tmpl w:val="AF04AA42"/>
    <w:lvl w:ilvl="0">
      <w:start w:val="1"/>
      <w:numFmt w:val="decimal"/>
      <w:lvlText w:val="%1)"/>
      <w:lvlJc w:val="left"/>
      <w:pPr>
        <w:ind w:left="1800" w:hanging="360"/>
      </w:pPr>
      <w:rPr>
        <w:rFonts w:ascii="Arial" w:eastAsia="Arial" w:hAnsi="Arial" w:cs="Arial"/>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10E11BB"/>
    <w:multiLevelType w:val="hybridMultilevel"/>
    <w:tmpl w:val="BE987FC4"/>
    <w:lvl w:ilvl="0" w:tplc="F12EFD0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59A7270F"/>
    <w:multiLevelType w:val="multilevel"/>
    <w:tmpl w:val="6548D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2A"/>
    <w:rsid w:val="000129BC"/>
    <w:rsid w:val="000179B9"/>
    <w:rsid w:val="000224A7"/>
    <w:rsid w:val="00023E88"/>
    <w:rsid w:val="000371AC"/>
    <w:rsid w:val="000415FE"/>
    <w:rsid w:val="00050135"/>
    <w:rsid w:val="00057E2D"/>
    <w:rsid w:val="00071EE7"/>
    <w:rsid w:val="000756FC"/>
    <w:rsid w:val="000910FB"/>
    <w:rsid w:val="00097771"/>
    <w:rsid w:val="000D3ECB"/>
    <w:rsid w:val="000D7B43"/>
    <w:rsid w:val="000F3875"/>
    <w:rsid w:val="00106E53"/>
    <w:rsid w:val="00113D94"/>
    <w:rsid w:val="00137551"/>
    <w:rsid w:val="00147941"/>
    <w:rsid w:val="00155A0F"/>
    <w:rsid w:val="00175D53"/>
    <w:rsid w:val="00176F35"/>
    <w:rsid w:val="00181E1E"/>
    <w:rsid w:val="00195452"/>
    <w:rsid w:val="001B181B"/>
    <w:rsid w:val="00221804"/>
    <w:rsid w:val="002228CC"/>
    <w:rsid w:val="00255564"/>
    <w:rsid w:val="002A21A3"/>
    <w:rsid w:val="002C4A98"/>
    <w:rsid w:val="002F69BF"/>
    <w:rsid w:val="00316AE4"/>
    <w:rsid w:val="00333271"/>
    <w:rsid w:val="003409F2"/>
    <w:rsid w:val="00347E5D"/>
    <w:rsid w:val="00384DD7"/>
    <w:rsid w:val="003861DB"/>
    <w:rsid w:val="00390415"/>
    <w:rsid w:val="003A4FB2"/>
    <w:rsid w:val="003E25B0"/>
    <w:rsid w:val="00411A25"/>
    <w:rsid w:val="0043015F"/>
    <w:rsid w:val="0043133C"/>
    <w:rsid w:val="00436DBF"/>
    <w:rsid w:val="00456CB3"/>
    <w:rsid w:val="00461D87"/>
    <w:rsid w:val="00475B1E"/>
    <w:rsid w:val="0048196A"/>
    <w:rsid w:val="004B6397"/>
    <w:rsid w:val="004E17C3"/>
    <w:rsid w:val="004F23F6"/>
    <w:rsid w:val="00573B6F"/>
    <w:rsid w:val="00575AE8"/>
    <w:rsid w:val="00594D78"/>
    <w:rsid w:val="005C4410"/>
    <w:rsid w:val="005E08BA"/>
    <w:rsid w:val="00603FB6"/>
    <w:rsid w:val="006160D0"/>
    <w:rsid w:val="006613E6"/>
    <w:rsid w:val="00667C11"/>
    <w:rsid w:val="006A2863"/>
    <w:rsid w:val="006C5AAC"/>
    <w:rsid w:val="006D12B2"/>
    <w:rsid w:val="0071662B"/>
    <w:rsid w:val="00721B0A"/>
    <w:rsid w:val="0072218A"/>
    <w:rsid w:val="007241FF"/>
    <w:rsid w:val="00731E64"/>
    <w:rsid w:val="00743413"/>
    <w:rsid w:val="00744ADA"/>
    <w:rsid w:val="00766FD5"/>
    <w:rsid w:val="00775D8A"/>
    <w:rsid w:val="00782FA7"/>
    <w:rsid w:val="007B7C8C"/>
    <w:rsid w:val="007C6C35"/>
    <w:rsid w:val="007D281B"/>
    <w:rsid w:val="007D73D7"/>
    <w:rsid w:val="007E6B4F"/>
    <w:rsid w:val="007F21AB"/>
    <w:rsid w:val="007F4D4C"/>
    <w:rsid w:val="0082396B"/>
    <w:rsid w:val="00842893"/>
    <w:rsid w:val="00854D7A"/>
    <w:rsid w:val="008649F3"/>
    <w:rsid w:val="00875B6B"/>
    <w:rsid w:val="008A3FDE"/>
    <w:rsid w:val="008B0132"/>
    <w:rsid w:val="008B02E4"/>
    <w:rsid w:val="008C1BA8"/>
    <w:rsid w:val="008D458C"/>
    <w:rsid w:val="008D556C"/>
    <w:rsid w:val="00910073"/>
    <w:rsid w:val="00910B8D"/>
    <w:rsid w:val="009236D4"/>
    <w:rsid w:val="009639FB"/>
    <w:rsid w:val="00980237"/>
    <w:rsid w:val="009A27DC"/>
    <w:rsid w:val="009B4E05"/>
    <w:rsid w:val="009B60C0"/>
    <w:rsid w:val="009C7492"/>
    <w:rsid w:val="009D20CF"/>
    <w:rsid w:val="009D3492"/>
    <w:rsid w:val="009F04B2"/>
    <w:rsid w:val="00A00C63"/>
    <w:rsid w:val="00A777FE"/>
    <w:rsid w:val="00A7792C"/>
    <w:rsid w:val="00A93966"/>
    <w:rsid w:val="00AB4893"/>
    <w:rsid w:val="00AD51AB"/>
    <w:rsid w:val="00B03571"/>
    <w:rsid w:val="00B674B0"/>
    <w:rsid w:val="00B742CC"/>
    <w:rsid w:val="00B865C3"/>
    <w:rsid w:val="00BB031A"/>
    <w:rsid w:val="00BB1814"/>
    <w:rsid w:val="00BC24F9"/>
    <w:rsid w:val="00BC6FC0"/>
    <w:rsid w:val="00BF737C"/>
    <w:rsid w:val="00C01A1A"/>
    <w:rsid w:val="00C17499"/>
    <w:rsid w:val="00C21028"/>
    <w:rsid w:val="00C4381C"/>
    <w:rsid w:val="00C7643F"/>
    <w:rsid w:val="00CA1B4F"/>
    <w:rsid w:val="00CB3BF4"/>
    <w:rsid w:val="00CB46A9"/>
    <w:rsid w:val="00D35BED"/>
    <w:rsid w:val="00D52FB3"/>
    <w:rsid w:val="00D60D4A"/>
    <w:rsid w:val="00DC6A88"/>
    <w:rsid w:val="00DD0E2A"/>
    <w:rsid w:val="00E553CB"/>
    <w:rsid w:val="00E6758E"/>
    <w:rsid w:val="00E77CC6"/>
    <w:rsid w:val="00EC0F8A"/>
    <w:rsid w:val="00EC4000"/>
    <w:rsid w:val="00ED6D8A"/>
    <w:rsid w:val="00ED746E"/>
    <w:rsid w:val="00EE6832"/>
    <w:rsid w:val="00F0776F"/>
    <w:rsid w:val="00F313D0"/>
    <w:rsid w:val="00F52C96"/>
    <w:rsid w:val="00F73FBC"/>
    <w:rsid w:val="00FB405F"/>
    <w:rsid w:val="00FB7D4A"/>
    <w:rsid w:val="00FE0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0053"/>
  <w15:docId w15:val="{E83EB98F-EEB5-48F4-8E32-0929AB8D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551"/>
    <w:pPr>
      <w:ind w:left="720"/>
      <w:contextualSpacing/>
    </w:pPr>
  </w:style>
  <w:style w:type="paragraph" w:styleId="Tekstdymka">
    <w:name w:val="Balloon Text"/>
    <w:basedOn w:val="Normalny"/>
    <w:link w:val="TekstdymkaZnak"/>
    <w:uiPriority w:val="99"/>
    <w:semiHidden/>
    <w:unhideWhenUsed/>
    <w:rsid w:val="00B742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2CC"/>
    <w:rPr>
      <w:rFonts w:ascii="Tahoma" w:hAnsi="Tahoma" w:cs="Tahoma"/>
      <w:sz w:val="16"/>
      <w:szCs w:val="16"/>
    </w:rPr>
  </w:style>
  <w:style w:type="paragraph" w:customStyle="1" w:styleId="Default">
    <w:name w:val="Default"/>
    <w:rsid w:val="00ED74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przypisudolnegoZnak">
    <w:name w:val="Tekst przypisu dolnego Znak"/>
    <w:link w:val="Tekstprzypisudolnego"/>
    <w:uiPriority w:val="99"/>
    <w:semiHidden/>
    <w:locked/>
    <w:rsid w:val="00333271"/>
  </w:style>
  <w:style w:type="paragraph" w:styleId="Tekstprzypisudolnego">
    <w:name w:val="footnote text"/>
    <w:basedOn w:val="Normalny"/>
    <w:link w:val="TekstprzypisudolnegoZnak"/>
    <w:uiPriority w:val="99"/>
    <w:semiHidden/>
    <w:rsid w:val="00333271"/>
    <w:pPr>
      <w:spacing w:after="0" w:line="240" w:lineRule="auto"/>
      <w:ind w:firstLine="403"/>
      <w:jc w:val="both"/>
    </w:pPr>
  </w:style>
  <w:style w:type="character" w:customStyle="1" w:styleId="TekstprzypisudolnegoZnak1">
    <w:name w:val="Tekst przypisu dolnego Znak1"/>
    <w:basedOn w:val="Domylnaczcionkaakapitu"/>
    <w:uiPriority w:val="99"/>
    <w:semiHidden/>
    <w:rsid w:val="00333271"/>
    <w:rPr>
      <w:sz w:val="20"/>
      <w:szCs w:val="20"/>
    </w:rPr>
  </w:style>
  <w:style w:type="character" w:styleId="Odwoanieprzypisudolnego">
    <w:name w:val="footnote reference"/>
    <w:uiPriority w:val="99"/>
    <w:semiHidden/>
    <w:rsid w:val="00333271"/>
    <w:rPr>
      <w:vertAlign w:val="superscript"/>
    </w:rPr>
  </w:style>
  <w:style w:type="paragraph" w:styleId="NormalnyWeb">
    <w:name w:val="Normal (Web)"/>
    <w:basedOn w:val="Normalny"/>
    <w:rsid w:val="00BB031A"/>
    <w:pPr>
      <w:spacing w:before="100" w:beforeAutospacing="1" w:after="119" w:line="240" w:lineRule="auto"/>
    </w:pPr>
    <w:rPr>
      <w:rFonts w:ascii="Times New Roman" w:eastAsia="Times New Roman" w:hAnsi="Times New Roman" w:cs="Times New Roman"/>
      <w:sz w:val="24"/>
      <w:szCs w:val="24"/>
    </w:rPr>
  </w:style>
  <w:style w:type="character" w:customStyle="1" w:styleId="size">
    <w:name w:val="size"/>
    <w:rsid w:val="006D12B2"/>
  </w:style>
  <w:style w:type="paragraph" w:customStyle="1" w:styleId="Normalny1">
    <w:name w:val="Normalny1"/>
    <w:rsid w:val="002F69BF"/>
    <w:pPr>
      <w:spacing w:after="0"/>
    </w:pPr>
    <w:rPr>
      <w:rFonts w:ascii="Arial" w:eastAsia="Arial" w:hAnsi="Arial" w:cs="Arial"/>
      <w:color w:val="000000"/>
    </w:rPr>
  </w:style>
  <w:style w:type="paragraph" w:styleId="Nagwek">
    <w:name w:val="header"/>
    <w:basedOn w:val="Normalny"/>
    <w:link w:val="NagwekZnak"/>
    <w:uiPriority w:val="99"/>
    <w:unhideWhenUsed/>
    <w:rsid w:val="00ED6D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D8A"/>
  </w:style>
  <w:style w:type="paragraph" w:styleId="Stopka">
    <w:name w:val="footer"/>
    <w:basedOn w:val="Normalny"/>
    <w:link w:val="StopkaZnak"/>
    <w:uiPriority w:val="99"/>
    <w:unhideWhenUsed/>
    <w:rsid w:val="00ED6D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CC7A-F10E-4AD6-B52C-D07E9136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3307</Words>
  <Characters>19845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jdzido</dc:creator>
  <cp:lastModifiedBy>Gubis Małgorzata</cp:lastModifiedBy>
  <cp:revision>4</cp:revision>
  <cp:lastPrinted>2019-03-11T10:21:00Z</cp:lastPrinted>
  <dcterms:created xsi:type="dcterms:W3CDTF">2019-03-21T15:01:00Z</dcterms:created>
  <dcterms:modified xsi:type="dcterms:W3CDTF">2019-03-29T10:56:00Z</dcterms:modified>
</cp:coreProperties>
</file>