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8B" w:rsidRPr="00517001" w:rsidRDefault="004D7A8B" w:rsidP="004D7A8B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4D7A8B" w:rsidRDefault="004D7A8B" w:rsidP="004D7A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LIV/1363/2017 Rady m.st. Warszawy w sprawie zmiany nazwy ulicy w Dzielnicy Mokotów m.st. Warszawy (druk nr 1563) </w:t>
      </w:r>
      <w:r w:rsidRPr="00611775">
        <w:rPr>
          <w:rFonts w:ascii="Arial" w:eastAsia="Times New Roman" w:hAnsi="Arial" w:cs="Arial"/>
          <w:bCs/>
          <w:i/>
        </w:rPr>
        <w:t>/dot. ul. G. Bruna/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2"/>
        <w:gridCol w:w="2218"/>
        <w:gridCol w:w="2415"/>
        <w:gridCol w:w="2337"/>
      </w:tblGrid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D7A8B" w:rsidRDefault="004D7A8B" w:rsidP="004D7A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D7A8B" w:rsidRDefault="004D7A8B" w:rsidP="004D7A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4D7A8B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A8B" w:rsidRDefault="004D7A8B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D7A8B" w:rsidRDefault="004D7A8B" w:rsidP="004D7A8B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4D7A8B"/>
    <w:rsid w:val="004D7A8B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4D7A8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2017-09-01T12:25:00Z</dcterms:modified>
</cp:coreProperties>
</file>