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0D5183" w:rsidRPr="00B93650" w:rsidRDefault="000D5183" w:rsidP="000D5183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B93650">
        <w:rPr>
          <w:rFonts w:ascii="Calibri" w:hAnsi="Calibri" w:cs="Calibri"/>
          <w:b/>
          <w:bCs/>
          <w:sz w:val="22"/>
          <w:szCs w:val="22"/>
        </w:rPr>
        <w:t>Uchwała nr XLII/1279/2020 Rady m.st. Warszawy w sprawie Wieloletniej Prognozy Finansowej na lata 2021-2050 – druk nr 1300 wraz z autopoprawkami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40</w:t>
      </w:r>
      <w:r w:rsidRPr="00B93650">
        <w:rPr>
          <w:rFonts w:ascii="Calibri" w:hAnsi="Calibri" w:cs="Calibri"/>
          <w:sz w:val="22"/>
          <w:szCs w:val="22"/>
        </w:rPr>
        <w:br/>
        <w:t>Przeciw: 17</w:t>
      </w:r>
      <w:r w:rsidRPr="00B93650">
        <w:rPr>
          <w:rFonts w:ascii="Calibri" w:hAnsi="Calibri" w:cs="Calibri"/>
          <w:sz w:val="22"/>
          <w:szCs w:val="22"/>
        </w:rPr>
        <w:br/>
        <w:t>Wstrzymało się: 2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</w:tr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</w:tr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0D5183" w:rsidRPr="00B93650" w:rsidRDefault="000D5183" w:rsidP="000D5183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</w:tr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</w:tr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0D5183" w:rsidRPr="00B93650" w:rsidRDefault="000D5183" w:rsidP="000D5183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  <w:r w:rsidRPr="00B93650">
        <w:rPr>
          <w:rFonts w:ascii="Calibri" w:hAnsi="Calibri" w:cs="Calibr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D5183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Monika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5183" w:rsidRPr="00B93650" w:rsidRDefault="000D5183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0D5183" w:rsidRPr="00B93650" w:rsidRDefault="000D5183" w:rsidP="000D5183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F42244">
      <w:pPr>
        <w:rPr>
          <w:rFonts w:ascii="Calibri" w:hAnsi="Calibri" w:cs="Calibri"/>
          <w:b/>
          <w:bCs/>
          <w:sz w:val="22"/>
          <w:szCs w:val="22"/>
        </w:rPr>
      </w:pPr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3320B8"/>
    <w:rsid w:val="004F438B"/>
    <w:rsid w:val="005545EC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609D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2020-12-14T08:25:00Z</dcterms:created>
  <dcterms:modified xsi:type="dcterms:W3CDTF">2020-12-14T08:25:00Z</dcterms:modified>
</cp:coreProperties>
</file>