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30" w:rsidRPr="00E4738A" w:rsidRDefault="00506F30" w:rsidP="0046233C">
      <w:pPr>
        <w:ind w:left="5670"/>
        <w:rPr>
          <w:bCs/>
        </w:rPr>
      </w:pPr>
      <w:r>
        <w:rPr>
          <w:bCs/>
        </w:rPr>
        <w:t>Za</w:t>
      </w:r>
      <w:r w:rsidRPr="00E4738A">
        <w:rPr>
          <w:bCs/>
        </w:rPr>
        <w:t>łącznik nr 1</w:t>
      </w:r>
    </w:p>
    <w:p w:rsidR="00506F30" w:rsidRPr="00E4738A" w:rsidRDefault="00506F30" w:rsidP="0046233C">
      <w:pPr>
        <w:ind w:left="5670"/>
        <w:rPr>
          <w:bCs/>
        </w:rPr>
      </w:pPr>
      <w:r w:rsidRPr="00E4738A">
        <w:rPr>
          <w:bCs/>
        </w:rPr>
        <w:t xml:space="preserve">do uchwały nr </w:t>
      </w:r>
      <w:r w:rsidR="0046233C">
        <w:rPr>
          <w:bCs/>
        </w:rPr>
        <w:t>XXI/531/2015</w:t>
      </w:r>
    </w:p>
    <w:p w:rsidR="00506F30" w:rsidRPr="00E4738A" w:rsidRDefault="00506F30" w:rsidP="0046233C">
      <w:pPr>
        <w:ind w:left="5670"/>
        <w:rPr>
          <w:bCs/>
        </w:rPr>
      </w:pPr>
      <w:r w:rsidRPr="00E4738A">
        <w:rPr>
          <w:bCs/>
        </w:rPr>
        <w:t xml:space="preserve">Rady m.st. Warszawy </w:t>
      </w:r>
    </w:p>
    <w:p w:rsidR="00506F30" w:rsidRPr="00E4738A" w:rsidRDefault="00506F30" w:rsidP="0046233C">
      <w:pPr>
        <w:ind w:left="5670"/>
        <w:rPr>
          <w:bCs/>
        </w:rPr>
      </w:pPr>
      <w:r w:rsidRPr="00E4738A">
        <w:rPr>
          <w:bCs/>
        </w:rPr>
        <w:t xml:space="preserve">z dnia </w:t>
      </w:r>
      <w:r w:rsidR="0046233C">
        <w:rPr>
          <w:bCs/>
        </w:rPr>
        <w:t>10 grudnia 2015 r.</w:t>
      </w:r>
    </w:p>
    <w:p w:rsidR="00506F30" w:rsidRPr="00E4738A" w:rsidRDefault="00506F30" w:rsidP="00506F30">
      <w:pPr>
        <w:ind w:left="6300"/>
        <w:rPr>
          <w:bCs/>
        </w:rPr>
      </w:pPr>
    </w:p>
    <w:p w:rsidR="00506F30" w:rsidRPr="00E4738A" w:rsidRDefault="00506F30" w:rsidP="00506F30">
      <w:pPr>
        <w:jc w:val="center"/>
        <w:rPr>
          <w:b/>
        </w:rPr>
      </w:pPr>
      <w:r w:rsidRPr="00E4738A">
        <w:rPr>
          <w:b/>
          <w:bCs/>
        </w:rPr>
        <w:t>PROGRAM PRZECIWDZIAŁANIA NARKOMANII</w:t>
      </w:r>
      <w:r w:rsidRPr="00E4738A">
        <w:rPr>
          <w:b/>
        </w:rPr>
        <w:t xml:space="preserve"> NA LATA 201</w:t>
      </w:r>
      <w:r>
        <w:rPr>
          <w:b/>
        </w:rPr>
        <w:t>6</w:t>
      </w:r>
      <w:r w:rsidRPr="00E4738A">
        <w:rPr>
          <w:b/>
        </w:rPr>
        <w:t xml:space="preserve"> – 20</w:t>
      </w:r>
      <w:r>
        <w:rPr>
          <w:b/>
        </w:rPr>
        <w:t>18</w:t>
      </w:r>
    </w:p>
    <w:p w:rsidR="00506F30" w:rsidRDefault="00506F30" w:rsidP="00506F30">
      <w:pPr>
        <w:ind w:left="1080"/>
        <w:jc w:val="both"/>
        <w:rPr>
          <w:b/>
        </w:rPr>
      </w:pPr>
      <w:bookmarkStart w:id="0" w:name="_Ref428519718"/>
    </w:p>
    <w:p w:rsidR="00506F30" w:rsidRDefault="00506F30" w:rsidP="00506F3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Wprowadzenie</w:t>
      </w:r>
      <w:bookmarkEnd w:id="0"/>
    </w:p>
    <w:p w:rsidR="00506F30" w:rsidRDefault="00506F30" w:rsidP="00506F30">
      <w:pPr>
        <w:ind w:firstLine="708"/>
        <w:jc w:val="both"/>
      </w:pPr>
    </w:p>
    <w:p w:rsidR="00506F30" w:rsidRDefault="00506F30" w:rsidP="00506F30">
      <w:pPr>
        <w:ind w:firstLine="708"/>
        <w:jc w:val="both"/>
      </w:pPr>
    </w:p>
    <w:p w:rsidR="00506F30" w:rsidRPr="00716F02" w:rsidRDefault="00506F30" w:rsidP="00506F30">
      <w:pPr>
        <w:ind w:firstLine="708"/>
        <w:jc w:val="both"/>
      </w:pPr>
      <w:r w:rsidRPr="00E4738A">
        <w:t xml:space="preserve">Problem używania nielegalnych substancji psychoaktywnych i konsekwencji z tym faktem związanych dotyczy większości społeczeństw współczesnego świata. Problem uzależnienia od narkotyków jest w naszym kraju dostrzegalnym zjawiskiem. Jest on znaczący zarówno w skali ogólnokrajowej, jak i lokalnej. Najskuteczniej problemy społeczne są rozwiązywane na szczeblu lokalnym, gdzie działające instytucje czy organizacje pozarządowe są w stanie trafnie określić charakter problemu, jego skalę oraz </w:t>
      </w:r>
      <w:r w:rsidRPr="00716F02">
        <w:t>podjąć adekwatne środki zaradcze. Narkomania nie jest zjawiskiem jednowymiarowym</w:t>
      </w:r>
      <w:r>
        <w:t xml:space="preserve"> </w:t>
      </w:r>
      <w:r w:rsidRPr="00716F02">
        <w:t xml:space="preserve">– </w:t>
      </w:r>
      <w:r>
        <w:t xml:space="preserve">można bowiem wyróżnić zarówno </w:t>
      </w:r>
      <w:r w:rsidRPr="00716F02">
        <w:t xml:space="preserve">uzależnienie, jak i problemowe używanie narkotyków. Jedno i drugie jest problemem zdrowotnym, bowiem niesie za sobą poważne ryzyko dla zdrowia publicznego, szczególnie w kontekście chorób infekcyjnych (HIV, żółtaczka, choroby weneryczne). Stanowi też problem prawny czy kulturowy. Ale narkomania to także, i chyba przede wszystkim kwestia społeczna. Przyjmowanie substancji psychoaktywnych może prowadzić do uzależnienia, które powoduje wykluczenie społeczne, jest ściśle związane z wieloma innymi problemami społecznymi, a w skrajnych przypadkach problemami </w:t>
      </w:r>
      <w:r>
        <w:t>tj.</w:t>
      </w:r>
      <w:r w:rsidRPr="00716F02">
        <w:t xml:space="preserve"> przestępczość, bezrobocie, bezdomność czy prostytucja. Narkomania jest chorobą dotyczącą wszystkich grup społecznych, niezależnie od wieku, wykształcenia i statusu materialnego.</w:t>
      </w:r>
    </w:p>
    <w:p w:rsidR="00506F30" w:rsidRPr="00716F02" w:rsidRDefault="00506F30" w:rsidP="00506F30">
      <w:pPr>
        <w:jc w:val="both"/>
      </w:pPr>
      <w:r w:rsidRPr="00716F02">
        <w:t>Zjawisko używania narkotyków ma z reguły także określone negatywne konsekwencje dla najbliższego otoczenia oraz zakłóca prawidłowe funkcjonowanie całego społeczeństwa, rodząc szereg szkód i kosztów. Dlatego też używanie narkotyków nie może być kwestią społecznie obojętną.</w:t>
      </w:r>
    </w:p>
    <w:p w:rsidR="00506F30" w:rsidRPr="00716F02" w:rsidRDefault="00506F30" w:rsidP="00506F30">
      <w:pPr>
        <w:ind w:firstLine="708"/>
        <w:jc w:val="both"/>
      </w:pPr>
      <w:r w:rsidRPr="00716F02">
        <w:t xml:space="preserve">Liczba osób uzależnionych od substancji psychoaktywnych w Warszawie jest trudna do dokładnego określenia. Liczbę okazjonalnych użytkowników narkotyków w Warszawie szacuje się na około 110 tys. osób, w tym 70 tys. (63%) w wieku 16 – 24 lata. Liczba problemowych użytkowników narkotyków wg różnych szacunków kształtuje się na poziomie 4000 – 10 000 osób. </w:t>
      </w:r>
    </w:p>
    <w:p w:rsidR="00506F30" w:rsidRPr="00716F02" w:rsidRDefault="00506F30" w:rsidP="00506F30">
      <w:pPr>
        <w:jc w:val="both"/>
      </w:pPr>
      <w:r w:rsidRPr="00716F02">
        <w:t xml:space="preserve">Według danych Krajowego Biura ds. Przeciwdziałania Narkomanii dotyczących liczby osób przyjmujących narkotyki drogą iniekcji - IDU (oszacowanie na podstawie danych z 2012, dotyczących roku 2011), liczba ta jest szacowana na 7170 osób. Może być jednak ona znacznie wyższa z powodu znacznego wzrostu odsetka iniekcyjnego używania, wśród konsumentów </w:t>
      </w:r>
      <w:proofErr w:type="spellStart"/>
      <w:r w:rsidRPr="00716F02">
        <w:t>mefedronu</w:t>
      </w:r>
      <w:proofErr w:type="spellEnd"/>
      <w:r w:rsidRPr="00716F02">
        <w:t xml:space="preserve"> (skok w latach 2010-2012 z 20% do 90%).</w:t>
      </w:r>
    </w:p>
    <w:p w:rsidR="00506F30" w:rsidRPr="00716F02" w:rsidRDefault="00506F30" w:rsidP="00506F30">
      <w:pPr>
        <w:ind w:firstLine="708"/>
        <w:jc w:val="both"/>
      </w:pPr>
      <w:r w:rsidRPr="00716F02">
        <w:t xml:space="preserve">Wyniki badania ESPAD z 2011 r. wskazały, że najbardziej popularne substancje nielegalne, po które sięga młodzież, to marihuana i haszysz. Do używania przetworów konopi przyznało się 24,3% 15-16-latków  i 37,3% 17-18-latków. W obu przypadkach stanowiło to wzrost względem wyników z 2007 r. </w:t>
      </w:r>
    </w:p>
    <w:p w:rsidR="00506F30" w:rsidRPr="00716F02" w:rsidRDefault="00506F30" w:rsidP="00506F30">
      <w:pPr>
        <w:pStyle w:val="Tekstkomentarza"/>
        <w:jc w:val="both"/>
        <w:rPr>
          <w:sz w:val="24"/>
          <w:szCs w:val="24"/>
        </w:rPr>
      </w:pPr>
      <w:r w:rsidRPr="00716F02">
        <w:rPr>
          <w:sz w:val="24"/>
          <w:szCs w:val="24"/>
        </w:rPr>
        <w:t>Badania ESPAD wśród uczniów III klas gimnazjów wykazują, że w latach 2007</w:t>
      </w:r>
      <w:r>
        <w:rPr>
          <w:sz w:val="24"/>
          <w:szCs w:val="24"/>
        </w:rPr>
        <w:t xml:space="preserve"> </w:t>
      </w:r>
      <w:r w:rsidRPr="00716F0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16F02">
        <w:rPr>
          <w:sz w:val="24"/>
          <w:szCs w:val="24"/>
        </w:rPr>
        <w:t xml:space="preserve">2011, liczba użytkowników konopi, wzrosła z 11% do 21%. Badania mokotowskie z 2012 r. przeprowadzone w analogicznej grupie mówią o 18% młodzieży mającej okazjonalny lub częsty kontakt z narkotykami. W badanej populacji kontakt z konopiami deklarowało 16% osób, 1% sięgał po dopalacze, a 2,5% po leki uspokajające i nasenne, w tym </w:t>
      </w:r>
      <w:proofErr w:type="spellStart"/>
      <w:r w:rsidRPr="00716F02">
        <w:rPr>
          <w:sz w:val="24"/>
          <w:szCs w:val="24"/>
        </w:rPr>
        <w:t>benzodiazepiny</w:t>
      </w:r>
      <w:proofErr w:type="spellEnd"/>
      <w:r w:rsidRPr="00716F02">
        <w:rPr>
          <w:sz w:val="24"/>
          <w:szCs w:val="24"/>
        </w:rPr>
        <w:t xml:space="preserve"> czy lek opioidowy </w:t>
      </w:r>
      <w:proofErr w:type="spellStart"/>
      <w:r w:rsidRPr="00716F02">
        <w:rPr>
          <w:sz w:val="24"/>
          <w:szCs w:val="24"/>
        </w:rPr>
        <w:t>Acodin</w:t>
      </w:r>
      <w:proofErr w:type="spellEnd"/>
      <w:r w:rsidRPr="00716F02">
        <w:rPr>
          <w:sz w:val="24"/>
          <w:szCs w:val="24"/>
        </w:rPr>
        <w:t>.</w:t>
      </w:r>
    </w:p>
    <w:p w:rsidR="00506F30" w:rsidRPr="00716F02" w:rsidRDefault="00506F30" w:rsidP="00506F30">
      <w:pPr>
        <w:jc w:val="both"/>
      </w:pPr>
      <w:r w:rsidRPr="00716F02">
        <w:t xml:space="preserve">Z kolei z badań przeprowadzonych przez Fundację CBOS z roku 2015 na zlecenie Funduszu Rozwiązywania Problemów Hazardowych wynika, że wśród osób dorosłych najwyższe </w:t>
      </w:r>
      <w:r w:rsidRPr="00716F02">
        <w:lastRenderedPageBreak/>
        <w:t>odsetki użytkowników narkotyków odnotowano wśród badanych w wieku 25–34 lat. Prawie co trzeci respondent, w ciągu ostatnich 12 miesięcy, z tej grupy sięgał po przetwory konopi (30,8%), a wśród osób w wieku 15–24 – co czwarty (25,3%).</w:t>
      </w:r>
    </w:p>
    <w:p w:rsidR="00506F30" w:rsidRDefault="00506F30" w:rsidP="00506F30">
      <w:pPr>
        <w:jc w:val="both"/>
      </w:pPr>
      <w:r w:rsidRPr="00716F02">
        <w:t xml:space="preserve">Z przeprowadzonego badania „Monitorowanie </w:t>
      </w:r>
      <w:proofErr w:type="spellStart"/>
      <w:r w:rsidRPr="00716F02">
        <w:t>zachowań</w:t>
      </w:r>
      <w:proofErr w:type="spellEnd"/>
      <w:r w:rsidRPr="00716F02">
        <w:t xml:space="preserve"> ryzykownych i problemów zd</w:t>
      </w:r>
      <w:r>
        <w:t xml:space="preserve">rowia psychicznego młodzieży – badanie mokotowskie” przeprowadzonego w 2012 r. wynika, że  najbardziej popularne substancje nielegalne, po które sięga młodzież, to marihuana i haszysz. </w:t>
      </w:r>
    </w:p>
    <w:p w:rsidR="00506F30" w:rsidRPr="00DC2580" w:rsidRDefault="00506F30" w:rsidP="00506F30">
      <w:pPr>
        <w:autoSpaceDE w:val="0"/>
        <w:autoSpaceDN w:val="0"/>
        <w:adjustRightInd w:val="0"/>
        <w:spacing w:before="340" w:after="160" w:line="181" w:lineRule="atLeast"/>
        <w:jc w:val="both"/>
        <w:rPr>
          <w:rFonts w:ascii="Sharik Sans" w:hAnsi="Sharik Sans" w:cs="Sharik Sans"/>
          <w:b/>
          <w:color w:val="000000"/>
          <w:sz w:val="20"/>
          <w:szCs w:val="20"/>
        </w:rPr>
      </w:pPr>
      <w:r w:rsidRPr="00DC2580">
        <w:rPr>
          <w:rFonts w:cs="Sharik Sans"/>
          <w:b/>
          <w:color w:val="000000"/>
          <w:sz w:val="20"/>
          <w:szCs w:val="20"/>
        </w:rPr>
        <w:t xml:space="preserve">Tabela nr 1 Rodzaje substancji psychoaktywnych używanych przez młodzież w ostatnim </w:t>
      </w:r>
      <w:r>
        <w:rPr>
          <w:rFonts w:cs="Sharik Sans"/>
          <w:b/>
          <w:color w:val="000000"/>
          <w:sz w:val="20"/>
          <w:szCs w:val="20"/>
        </w:rPr>
        <w:t xml:space="preserve">w 2012 </w:t>
      </w:r>
      <w:r w:rsidRPr="00DC2580">
        <w:rPr>
          <w:rFonts w:cs="Sharik Sans"/>
          <w:b/>
          <w:color w:val="000000"/>
          <w:sz w:val="20"/>
          <w:szCs w:val="20"/>
        </w:rPr>
        <w:t xml:space="preserve">roku (odsetki).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EEECE1"/>
            <w:vAlign w:val="center"/>
          </w:tcPr>
          <w:p w:rsidR="00506F30" w:rsidRPr="002459B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340" w:after="160"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Rodzaje substancji psychoaktywnych</w:t>
            </w:r>
          </w:p>
        </w:tc>
        <w:tc>
          <w:tcPr>
            <w:tcW w:w="2260" w:type="dxa"/>
            <w:shd w:val="clear" w:color="auto" w:fill="EEECE1"/>
            <w:vAlign w:val="center"/>
          </w:tcPr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Dziewczęta</w:t>
            </w:r>
          </w:p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N=449</w:t>
            </w:r>
          </w:p>
        </w:tc>
        <w:tc>
          <w:tcPr>
            <w:tcW w:w="2260" w:type="dxa"/>
            <w:shd w:val="clear" w:color="auto" w:fill="EEECE1"/>
            <w:vAlign w:val="center"/>
          </w:tcPr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Chłopcy</w:t>
            </w:r>
          </w:p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N=471</w:t>
            </w:r>
          </w:p>
        </w:tc>
        <w:tc>
          <w:tcPr>
            <w:tcW w:w="2260" w:type="dxa"/>
            <w:shd w:val="clear" w:color="auto" w:fill="EEECE1"/>
            <w:vAlign w:val="center"/>
          </w:tcPr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b/>
                <w:bCs/>
                <w:color w:val="000000"/>
                <w:sz w:val="20"/>
                <w:szCs w:val="20"/>
              </w:rPr>
              <w:t>N=935</w:t>
            </w:r>
          </w:p>
        </w:tc>
      </w:tr>
      <w:tr w:rsidR="00506F30" w:rsidRPr="002459B7" w:rsidTr="00211D0C">
        <w:trPr>
          <w:trHeight w:val="505"/>
        </w:trPr>
        <w:tc>
          <w:tcPr>
            <w:tcW w:w="2259" w:type="dxa"/>
            <w:shd w:val="clear" w:color="auto" w:fill="auto"/>
            <w:vAlign w:val="center"/>
          </w:tcPr>
          <w:p w:rsidR="00506F30" w:rsidRPr="002459B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340" w:after="160"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Marihuana lub haszysz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auto"/>
            <w:vAlign w:val="center"/>
          </w:tcPr>
          <w:p w:rsidR="00506F30" w:rsidRPr="002459B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340" w:after="160"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Substancje wziewne (kleje)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auto"/>
            <w:vAlign w:val="center"/>
          </w:tcPr>
          <w:p w:rsidR="00506F30" w:rsidRPr="002459B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340" w:after="160"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Leki psychotropowe i us</w:t>
            </w:r>
            <w:r w:rsidRPr="00D07C37">
              <w:rPr>
                <w:color w:val="000000"/>
                <w:sz w:val="20"/>
                <w:szCs w:val="20"/>
              </w:rPr>
              <w:softHyphen/>
              <w:t>pokajające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auto"/>
            <w:vAlign w:val="center"/>
          </w:tcPr>
          <w:p w:rsidR="00506F30" w:rsidRPr="002459B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340" w:after="160"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Amfetamina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auto"/>
            <w:vAlign w:val="center"/>
          </w:tcPr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7C37">
              <w:rPr>
                <w:color w:val="000000"/>
                <w:sz w:val="20"/>
                <w:szCs w:val="20"/>
              </w:rPr>
              <w:t>Ecstasy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auto"/>
            <w:vAlign w:val="center"/>
          </w:tcPr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Dopalacze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506F30" w:rsidRPr="002459B7" w:rsidTr="00211D0C">
        <w:trPr>
          <w:trHeight w:val="914"/>
        </w:trPr>
        <w:tc>
          <w:tcPr>
            <w:tcW w:w="2259" w:type="dxa"/>
            <w:shd w:val="clear" w:color="auto" w:fill="auto"/>
            <w:vAlign w:val="center"/>
          </w:tcPr>
          <w:p w:rsidR="00506F30" w:rsidRPr="00D07C37" w:rsidRDefault="00506F30" w:rsidP="00211D0C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 xml:space="preserve">Inne (np. </w:t>
            </w:r>
            <w:proofErr w:type="spellStart"/>
            <w:r w:rsidRPr="00D07C37">
              <w:rPr>
                <w:color w:val="000000"/>
                <w:sz w:val="20"/>
                <w:szCs w:val="20"/>
              </w:rPr>
              <w:t>acodin</w:t>
            </w:r>
            <w:proofErr w:type="spellEnd"/>
            <w:r w:rsidRPr="00D07C37">
              <w:rPr>
                <w:color w:val="000000"/>
                <w:sz w:val="20"/>
                <w:szCs w:val="20"/>
              </w:rPr>
              <w:t>, tabaka)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06F30" w:rsidRPr="00D07C37" w:rsidRDefault="00506F30" w:rsidP="00211D0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181" w:lineRule="atLeast"/>
              <w:jc w:val="center"/>
              <w:rPr>
                <w:color w:val="000000"/>
                <w:sz w:val="20"/>
                <w:szCs w:val="20"/>
              </w:rPr>
            </w:pPr>
            <w:r w:rsidRPr="00D07C37">
              <w:rPr>
                <w:color w:val="000000"/>
                <w:sz w:val="20"/>
                <w:szCs w:val="20"/>
              </w:rPr>
              <w:t>1,8</w:t>
            </w:r>
          </w:p>
        </w:tc>
      </w:tr>
    </w:tbl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  <w:r>
        <w:t>Wzrost popularności tych substancji na przestrzeni lat 1992-2012 pokazuje poniższa tabela.</w:t>
      </w: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  <w:rPr>
          <w:b/>
          <w:sz w:val="20"/>
          <w:szCs w:val="20"/>
        </w:rPr>
      </w:pPr>
      <w:r w:rsidRPr="00DC2580">
        <w:rPr>
          <w:b/>
          <w:sz w:val="20"/>
          <w:szCs w:val="20"/>
        </w:rPr>
        <w:t>Tabela nr 2 Rodzaje substancji psychoaktywnych używanych podczas młodzieżowych spotkań towarzyskich. Trendy w latach 1992–2012</w:t>
      </w:r>
    </w:p>
    <w:p w:rsidR="00506F30" w:rsidRPr="00DC2580" w:rsidRDefault="00506F30" w:rsidP="00506F30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292"/>
        <w:gridCol w:w="1288"/>
        <w:gridCol w:w="1288"/>
        <w:gridCol w:w="1288"/>
        <w:gridCol w:w="1288"/>
        <w:gridCol w:w="1280"/>
      </w:tblGrid>
      <w:tr w:rsidR="00506F30" w:rsidRPr="002459B7" w:rsidTr="00211D0C">
        <w:tc>
          <w:tcPr>
            <w:tcW w:w="9286" w:type="dxa"/>
            <w:gridSpan w:val="7"/>
            <w:tcBorders>
              <w:bottom w:val="single" w:sz="4" w:space="0" w:color="auto"/>
            </w:tcBorders>
            <w:shd w:val="clear" w:color="auto" w:fill="EEECE1"/>
          </w:tcPr>
          <w:p w:rsidR="00506F30" w:rsidRPr="002459B7" w:rsidRDefault="00506F30" w:rsidP="00211D0C">
            <w:pPr>
              <w:widowControl w:val="0"/>
              <w:suppressAutoHyphens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5"/>
            </w:tblGrid>
            <w:tr w:rsidR="00506F30" w:rsidRPr="00DF4597" w:rsidTr="00211D0C">
              <w:trPr>
                <w:trHeight w:val="122"/>
              </w:trPr>
              <w:tc>
                <w:tcPr>
                  <w:tcW w:w="8705" w:type="dxa"/>
                  <w:vAlign w:val="center"/>
                </w:tcPr>
                <w:p w:rsidR="00506F30" w:rsidRPr="002459B7" w:rsidRDefault="00506F30" w:rsidP="00211D0C">
                  <w:pPr>
                    <w:pStyle w:val="Pa2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59B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Odsetki uczniów, którzy wymieniali poszczególne substancje psychoaktywne</w:t>
                  </w:r>
                </w:p>
                <w:p w:rsidR="00506F30" w:rsidRPr="002459B7" w:rsidRDefault="00506F30" w:rsidP="00211D0C">
                  <w:pPr>
                    <w:pStyle w:val="Pa2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459B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używane w czasie tych spotkań towarzyskich</w:t>
                  </w:r>
                </w:p>
                <w:p w:rsidR="00506F30" w:rsidRPr="002459B7" w:rsidRDefault="00506F30" w:rsidP="00211D0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06F30" w:rsidRPr="002459B7" w:rsidRDefault="00506F30" w:rsidP="00211D0C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506F30" w:rsidRPr="002459B7" w:rsidTr="00211D0C">
        <w:tc>
          <w:tcPr>
            <w:tcW w:w="1562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Rodzaje substancji używanych w czasie tych spotkań</w:t>
            </w:r>
          </w:p>
        </w:tc>
        <w:tc>
          <w:tcPr>
            <w:tcW w:w="1292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1992</w:t>
            </w:r>
          </w:p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N=1712</w:t>
            </w:r>
          </w:p>
        </w:tc>
        <w:tc>
          <w:tcPr>
            <w:tcW w:w="1288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1996</w:t>
            </w:r>
          </w:p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N=2024</w:t>
            </w:r>
          </w:p>
        </w:tc>
        <w:tc>
          <w:tcPr>
            <w:tcW w:w="1288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2000</w:t>
            </w:r>
          </w:p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N=2027</w:t>
            </w:r>
          </w:p>
        </w:tc>
        <w:tc>
          <w:tcPr>
            <w:tcW w:w="1288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2004</w:t>
            </w:r>
          </w:p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N=1330</w:t>
            </w:r>
          </w:p>
        </w:tc>
        <w:tc>
          <w:tcPr>
            <w:tcW w:w="1288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2008</w:t>
            </w:r>
          </w:p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N=1099</w:t>
            </w:r>
          </w:p>
        </w:tc>
        <w:tc>
          <w:tcPr>
            <w:tcW w:w="1280" w:type="dxa"/>
            <w:shd w:val="clear" w:color="auto" w:fill="A6A6A6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2012</w:t>
            </w:r>
          </w:p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N=935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Marihuana lub </w:t>
            </w: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haszysz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10,3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30,2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Substancje wziewne (kleje)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LSD i inne halucynog</w:t>
            </w: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eny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Leki psychotropowe i uspokajające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7,2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Amfetamina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Opiaty (w tym „kom</w:t>
            </w: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pot” i heroina)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Kokaina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3,0`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Ecstasy</w:t>
            </w:r>
            <w:proofErr w:type="spellEnd"/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Nie było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Sterydy anaboliczne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Nie było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Kodeina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brak takiej kategorii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Dopalacze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brak takiej kategorii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06F30" w:rsidRPr="002459B7" w:rsidTr="00211D0C">
        <w:tc>
          <w:tcPr>
            <w:tcW w:w="1562" w:type="dxa"/>
            <w:vAlign w:val="center"/>
          </w:tcPr>
          <w:p w:rsidR="00506F30" w:rsidRPr="002459B7" w:rsidRDefault="00506F30" w:rsidP="00211D0C">
            <w:pPr>
              <w:pStyle w:val="Pa22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Inne (np. </w:t>
            </w:r>
            <w:proofErr w:type="spellStart"/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acodin</w:t>
            </w:r>
            <w:proofErr w:type="spellEnd"/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, taba</w:t>
            </w: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ka, oraz trudne do in</w:t>
            </w: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terpretacji, nieznane)</w:t>
            </w:r>
          </w:p>
        </w:tc>
        <w:tc>
          <w:tcPr>
            <w:tcW w:w="1292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88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80" w:type="dxa"/>
            <w:vAlign w:val="center"/>
          </w:tcPr>
          <w:p w:rsidR="00506F30" w:rsidRPr="002459B7" w:rsidRDefault="00506F30" w:rsidP="00211D0C">
            <w:pPr>
              <w:pStyle w:val="Pa24"/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59B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</w:tr>
    </w:tbl>
    <w:p w:rsidR="00506F30" w:rsidRDefault="00506F30" w:rsidP="00506F30">
      <w:pPr>
        <w:jc w:val="both"/>
      </w:pPr>
    </w:p>
    <w:p w:rsidR="00506F30" w:rsidRPr="00716F02" w:rsidRDefault="00506F30" w:rsidP="00506F30">
      <w:pPr>
        <w:autoSpaceDE w:val="0"/>
        <w:autoSpaceDN w:val="0"/>
        <w:adjustRightInd w:val="0"/>
        <w:jc w:val="both"/>
      </w:pPr>
      <w:r w:rsidRPr="00716F02">
        <w:t xml:space="preserve">Rekomendacja Raportu Krajowego z 2013 r. mówi, że „z uwagi na zwiększającą się liczbę osób zgłaszających się do lecznictwa z powodu problemowego używania przetworów konopi, rozwijanie i upowszechnianie oferty leczniczej adekwatnej do potrzeb tej grupy użytkowników (np. program </w:t>
      </w:r>
      <w:proofErr w:type="spellStart"/>
      <w:r w:rsidRPr="00716F02">
        <w:t>Candis</w:t>
      </w:r>
      <w:proofErr w:type="spellEnd"/>
      <w:r w:rsidRPr="00716F02">
        <w:t>) powinno być kontynuowane. Ważna jest dalsza promocja programu zarówno wśród problemowych użytkowników konopi jak i wśród terapeutów, przedstawicieli wymiaru sprawiedliwości, pomocy społecznej, placówek służby zdrowia i edukacji”.</w:t>
      </w:r>
    </w:p>
    <w:p w:rsidR="00506F30" w:rsidRDefault="00506F30" w:rsidP="00506F30">
      <w:pPr>
        <w:ind w:firstLine="708"/>
        <w:jc w:val="both"/>
      </w:pPr>
      <w:r>
        <w:t>N</w:t>
      </w:r>
      <w:r w:rsidRPr="0063040E">
        <w:t xml:space="preserve">iepokojącym zjawiskiem jest wzrost liczby zatruć dopalaczami. Według Ośrodka Kontroli Zatruć w Warszawie, w 2011 roku odnotowano 176 zatruć, w 2012 roku </w:t>
      </w:r>
      <w:smartTag w:uri="urn:schemas-microsoft-com:office:smarttags" w:element="metricconverter">
        <w:smartTagPr>
          <w:attr w:name="ProductID" w:val="279, a"/>
        </w:smartTagPr>
        <w:r w:rsidRPr="0063040E">
          <w:t>279, a</w:t>
        </w:r>
      </w:smartTag>
      <w:r w:rsidRPr="0063040E">
        <w:t xml:space="preserve"> w 2013 aż 1027. W 2014 roku, tylko do lipca odnotowano 1100 takich przypadków.</w:t>
      </w:r>
      <w:r>
        <w:t xml:space="preserve"> Ostatnio w całym kraju rośnie liczba zatruć tymi środkami.</w:t>
      </w:r>
    </w:p>
    <w:p w:rsidR="00506F30" w:rsidRPr="00E4738A" w:rsidRDefault="00506F30" w:rsidP="00506F30">
      <w:pPr>
        <w:ind w:firstLine="708"/>
        <w:jc w:val="both"/>
      </w:pPr>
      <w:r>
        <w:t>Dopalacze</w:t>
      </w:r>
      <w:r w:rsidRPr="00E4738A">
        <w:t xml:space="preserve"> pojawiły się na polskiej scenie narkotykowej w 2008 r., a już w 2009 roku była to najpopularniejsza substancja psychoa</w:t>
      </w:r>
      <w:r>
        <w:t>ktywna - była stosunkowo tania,</w:t>
      </w:r>
      <w:r w:rsidRPr="00E4738A">
        <w:t xml:space="preserve"> łatwo dostępna i nie nielegalna. </w:t>
      </w:r>
    </w:p>
    <w:p w:rsidR="00506F30" w:rsidRDefault="00506F30" w:rsidP="00506F30">
      <w:pPr>
        <w:jc w:val="both"/>
      </w:pPr>
      <w:r>
        <w:t xml:space="preserve">W odpowiedzi na zaistniały problem wprowadzano kolejne nowelizacje ustawy o przeciwdziałaniu narkomanii, mające na celu ograniczenie używania dopalaczy. Wprowadzane zmiany nie wpłynęły jednak znacząco na ograniczenie tego zjawiska. </w:t>
      </w:r>
      <w:r>
        <w:br/>
        <w:t xml:space="preserve">W dniu </w:t>
      </w:r>
      <w:r w:rsidRPr="00F0199E">
        <w:t xml:space="preserve">2 października 2010 r. Główny Inspektor Sanitarny wydał decyzję o zamknięciu sklepów, hurtowni oraz miejsc produkcji tzw. dopalaczy na podstawie przepisów ustawy o państwowej inspekcji sanitarnej. W ramach przeprowadzonej </w:t>
      </w:r>
      <w:r>
        <w:t xml:space="preserve">akcji zamknięto 1378 sklepów z </w:t>
      </w:r>
      <w:r w:rsidRPr="00F0199E">
        <w:t>dopalaczami.</w:t>
      </w:r>
    </w:p>
    <w:p w:rsidR="00506F30" w:rsidRDefault="00506F30" w:rsidP="00506F30">
      <w:pPr>
        <w:jc w:val="both"/>
      </w:pPr>
      <w:r>
        <w:t>Gwałtownie rosnąca podaż substancji mogących stanowić alternatywę dla narkotyków oraz informacje o zatruciach spowodowały w tamtym okresie silną reakcję społeczną w postaci zarówno lokalnych jak i ogólnokrajowych protestów.</w:t>
      </w:r>
    </w:p>
    <w:p w:rsidR="00506F30" w:rsidRDefault="00506F30" w:rsidP="00506F30">
      <w:pPr>
        <w:jc w:val="both"/>
      </w:pPr>
    </w:p>
    <w:p w:rsidR="00506F30" w:rsidRDefault="00506F30" w:rsidP="00506F30">
      <w:pPr>
        <w:ind w:firstLine="708"/>
        <w:jc w:val="both"/>
      </w:pPr>
      <w:r>
        <w:lastRenderedPageBreak/>
        <w:t>Z danych Ministerstwa Pracy i Polityki Społecznej wynika, że z powodu problemów z narkotykami pomoc społeczna została udzielona największej liczbie rodzin na Mazowszu. W Warszawie w roku 2014 pomoc społeczną z tego tytułu otrzymało 449 osób.</w:t>
      </w:r>
    </w:p>
    <w:p w:rsidR="00506F30" w:rsidRDefault="00506F30" w:rsidP="00506F30">
      <w:pPr>
        <w:jc w:val="both"/>
        <w:rPr>
          <w:b/>
          <w:bCs/>
        </w:rPr>
      </w:pPr>
    </w:p>
    <w:p w:rsidR="00506F30" w:rsidRDefault="00506F30" w:rsidP="00506F30">
      <w:pPr>
        <w:jc w:val="both"/>
        <w:rPr>
          <w:b/>
          <w:bCs/>
        </w:rPr>
      </w:pPr>
    </w:p>
    <w:p w:rsidR="00506F30" w:rsidRDefault="00506F30" w:rsidP="00506F30">
      <w:pPr>
        <w:jc w:val="both"/>
      </w:pPr>
      <w:r w:rsidRPr="002A6AB0">
        <w:rPr>
          <w:b/>
          <w:bCs/>
        </w:rPr>
        <w:t>Pomoc społeczna z powodu narkotyków</w:t>
      </w:r>
    </w:p>
    <w:p w:rsidR="00506F30" w:rsidRDefault="00506F30" w:rsidP="00506F3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5937885" cy="3886835"/>
            <wp:effectExtent l="0" t="0" r="0" b="3810"/>
            <wp:wrapNone/>
            <wp:docPr id="1" name="Wyk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jc w:val="both"/>
        <w:rPr>
          <w:sz w:val="18"/>
          <w:szCs w:val="18"/>
        </w:rPr>
      </w:pPr>
      <w:r w:rsidRPr="002A6AB0">
        <w:rPr>
          <w:sz w:val="18"/>
          <w:szCs w:val="18"/>
        </w:rPr>
        <w:t>Wykres nr</w:t>
      </w:r>
      <w:r>
        <w:rPr>
          <w:sz w:val="18"/>
          <w:szCs w:val="18"/>
        </w:rPr>
        <w:t xml:space="preserve"> 1.Dane </w:t>
      </w:r>
      <w:proofErr w:type="spellStart"/>
      <w:r>
        <w:rPr>
          <w:sz w:val="18"/>
          <w:szCs w:val="18"/>
        </w:rPr>
        <w:t>MPiPS</w:t>
      </w:r>
      <w:proofErr w:type="spellEnd"/>
    </w:p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Pr="00E4738A" w:rsidRDefault="00506F30" w:rsidP="00506F30">
      <w:pPr>
        <w:ind w:firstLine="708"/>
        <w:jc w:val="both"/>
      </w:pPr>
      <w:r w:rsidRPr="00E4738A">
        <w:t>Istotną sprawą są wytyczne Unii Europejskiej dotyczące zapobiegania narkomanii i redukcji szkód z nią związanych opierające się na założeniu, że jednym z podstawowych praw obywatela jest dostęp do opieki specjalistycznej na najwyższym poziomie. W przypadku osoby uzależnionej od narkotyków czy innych środków psychoaktywnych, jego prawem jest dostęp do odpowiedniej dla niego formy terapii uzależnień. Dla</w:t>
      </w:r>
      <w:r>
        <w:t>tego właśnie od kilku lat m.st.</w:t>
      </w:r>
      <w:r w:rsidRPr="00E4738A">
        <w:t xml:space="preserve"> Warszawa stara się zapewniać zróżnicowaną ofertę w wymienionych obszarach dla osób uzależnionych i współuzależnionych oraz eksperymentujących.</w:t>
      </w:r>
    </w:p>
    <w:p w:rsidR="00506F30" w:rsidRPr="00E4738A" w:rsidRDefault="00506F30" w:rsidP="00506F30">
      <w:pPr>
        <w:jc w:val="both"/>
      </w:pPr>
      <w:r w:rsidRPr="00E4738A">
        <w:t>Program Przeciwdziałania Narkomanii na lata 201</w:t>
      </w:r>
      <w:r>
        <w:t>6</w:t>
      </w:r>
      <w:r w:rsidRPr="00E4738A">
        <w:t>-201</w:t>
      </w:r>
      <w:r>
        <w:t>8</w:t>
      </w:r>
      <w:r w:rsidRPr="00E4738A">
        <w:t xml:space="preserve"> zakłada </w:t>
      </w:r>
      <w:r>
        <w:t xml:space="preserve">realizację </w:t>
      </w:r>
      <w:r w:rsidRPr="00E4738A">
        <w:t>działań</w:t>
      </w:r>
      <w:r>
        <w:t>,</w:t>
      </w:r>
      <w:r w:rsidRPr="00E4738A">
        <w:t xml:space="preserve"> które są zgodne </w:t>
      </w:r>
      <w:r>
        <w:t xml:space="preserve">zarówno z kierunkami zawartymi </w:t>
      </w:r>
      <w:r w:rsidRPr="00E4738A">
        <w:t>w ustawie o przeciwdziałaniu narkomanii, rozporządzeniu w sprawie Krajowego Programu Przeciwdziałan</w:t>
      </w:r>
      <w:r>
        <w:t>ia Narkomanii na lata 2011-2016.</w:t>
      </w:r>
    </w:p>
    <w:p w:rsidR="00506F30" w:rsidRPr="00716F02" w:rsidRDefault="00506F30" w:rsidP="00506F30">
      <w:pPr>
        <w:jc w:val="both"/>
        <w:rPr>
          <w:b/>
        </w:rPr>
      </w:pPr>
      <w:r w:rsidRPr="00716F02">
        <w:t xml:space="preserve">Ważną i podnoszoną kwestią jest tworzenie form pośrednich pomiędzy poradnią leczenia uzależnień a ośrodkiem stacjonarnym. Formy pośrednie to oddziały dzienne, punkty dziennego pobytu, kluby integracji społecznej, wzmocnione opieką </w:t>
      </w:r>
      <w:proofErr w:type="spellStart"/>
      <w:r w:rsidRPr="00716F02">
        <w:t>hostelową</w:t>
      </w:r>
      <w:proofErr w:type="spellEnd"/>
      <w:r w:rsidRPr="00716F02">
        <w:t>. Formy pośrednie powinny być zorientowane przede wszystkim na dwie grupy: osoby używające narkotyków problemowo (jako nieuzależnione, najczęściej nie kwalifikujące się do leczenia w formach stacjonarnych, a tradycyjne, niewyspecjalizowane na ogół formy ambulatoryjne są narzędziem zbyt słabym), oraz na osoby mające problemy z utrzymaniem się w terapii w systemach tradycyjnych.</w:t>
      </w:r>
    </w:p>
    <w:p w:rsidR="00506F30" w:rsidRDefault="00506F30" w:rsidP="00506F30">
      <w:pPr>
        <w:jc w:val="both"/>
        <w:rPr>
          <w:b/>
        </w:rPr>
      </w:pPr>
    </w:p>
    <w:p w:rsidR="00506F30" w:rsidRDefault="00506F30" w:rsidP="00506F30">
      <w:pPr>
        <w:jc w:val="both"/>
        <w:rPr>
          <w:b/>
        </w:rPr>
      </w:pPr>
    </w:p>
    <w:p w:rsidR="00506F30" w:rsidRPr="00E4738A" w:rsidRDefault="00506F30" w:rsidP="00506F30">
      <w:pPr>
        <w:jc w:val="both"/>
        <w:rPr>
          <w:b/>
        </w:rPr>
      </w:pPr>
      <w:r w:rsidRPr="00E4738A">
        <w:rPr>
          <w:b/>
        </w:rPr>
        <w:lastRenderedPageBreak/>
        <w:t>II. Cele Programu</w:t>
      </w:r>
    </w:p>
    <w:p w:rsidR="00506F30" w:rsidRDefault="00506F30" w:rsidP="00506F30">
      <w:pPr>
        <w:jc w:val="both"/>
        <w:rPr>
          <w:bCs/>
          <w:iCs/>
        </w:rPr>
      </w:pPr>
    </w:p>
    <w:p w:rsidR="00506F30" w:rsidRPr="00650822" w:rsidRDefault="00506F30" w:rsidP="00506F30">
      <w:pPr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650822">
        <w:rPr>
          <w:bCs/>
          <w:iCs/>
        </w:rPr>
        <w:t>Punktem wyjścia do opracowania niniejszego Programu było rekomendowane w Społecznej Strategii Warszawy podejście strategiczne do rozwiązywania problemów społecznych. Wskazuje się w nim na potrzebę uwzględniania, we wszelkich działaniach skierowanych do środowisk społecznych Warszawy, następujących założeń organizacyjnych:</w:t>
      </w:r>
    </w:p>
    <w:p w:rsidR="00506F30" w:rsidRPr="00650822" w:rsidRDefault="00506F30" w:rsidP="00506F30">
      <w:pPr>
        <w:numPr>
          <w:ilvl w:val="0"/>
          <w:numId w:val="4"/>
        </w:numPr>
        <w:jc w:val="both"/>
        <w:rPr>
          <w:bCs/>
          <w:iCs/>
        </w:rPr>
      </w:pPr>
      <w:proofErr w:type="spellStart"/>
      <w:r w:rsidRPr="00650822">
        <w:rPr>
          <w:bCs/>
          <w:iCs/>
        </w:rPr>
        <w:t>wielosektorowość</w:t>
      </w:r>
      <w:proofErr w:type="spellEnd"/>
      <w:r w:rsidRPr="00650822">
        <w:rPr>
          <w:bCs/>
          <w:iCs/>
        </w:rPr>
        <w:t xml:space="preserve"> i interdyscyplinarność traktowana jako prowadzenie kluczowych działań programu w oparciu o różne systemy (edukacji, pomocy społecznej, opieki zdrowotnej, wymiar sprawiedliwości) i branże: edukacja, kultura, zdrowie, sport itp.,</w:t>
      </w:r>
    </w:p>
    <w:p w:rsidR="00506F30" w:rsidRPr="00650822" w:rsidRDefault="00506F30" w:rsidP="00506F30">
      <w:pPr>
        <w:numPr>
          <w:ilvl w:val="0"/>
          <w:numId w:val="4"/>
        </w:numPr>
        <w:jc w:val="both"/>
        <w:rPr>
          <w:bCs/>
          <w:iCs/>
        </w:rPr>
      </w:pPr>
      <w:r w:rsidRPr="00650822">
        <w:rPr>
          <w:bCs/>
          <w:iCs/>
        </w:rPr>
        <w:t>spójność, która uwzględnia zakres i obszary oddziaływań innych kluczowych projektów miejskich w sferze polityki społecznej, również terytorialna,</w:t>
      </w:r>
    </w:p>
    <w:p w:rsidR="00506F30" w:rsidRPr="00650822" w:rsidRDefault="00506F30" w:rsidP="00506F30">
      <w:pPr>
        <w:numPr>
          <w:ilvl w:val="0"/>
          <w:numId w:val="4"/>
        </w:numPr>
        <w:jc w:val="both"/>
        <w:rPr>
          <w:bCs/>
          <w:iCs/>
        </w:rPr>
      </w:pPr>
      <w:r w:rsidRPr="00650822">
        <w:rPr>
          <w:bCs/>
          <w:iCs/>
        </w:rPr>
        <w:t>polityka oparta na dowodach polegająca na koncentracji na precyzyjnej diagnozie problemów oraz na działaniach o udowodnionej skuteczności i efektywności,</w:t>
      </w:r>
    </w:p>
    <w:p w:rsidR="00506F30" w:rsidRPr="00650822" w:rsidRDefault="00506F30" w:rsidP="00506F30">
      <w:pPr>
        <w:numPr>
          <w:ilvl w:val="0"/>
          <w:numId w:val="4"/>
        </w:numPr>
        <w:jc w:val="both"/>
        <w:rPr>
          <w:bCs/>
          <w:iCs/>
        </w:rPr>
      </w:pPr>
      <w:r w:rsidRPr="00650822">
        <w:rPr>
          <w:bCs/>
          <w:iCs/>
        </w:rPr>
        <w:t>partnerstwo wyrażane wzmocnioną współpracą z organizacjami pozarządowymi,</w:t>
      </w:r>
    </w:p>
    <w:p w:rsidR="00506F30" w:rsidRPr="00650822" w:rsidRDefault="00506F30" w:rsidP="00506F30">
      <w:pPr>
        <w:numPr>
          <w:ilvl w:val="0"/>
          <w:numId w:val="4"/>
        </w:numPr>
        <w:jc w:val="both"/>
        <w:rPr>
          <w:bCs/>
          <w:iCs/>
        </w:rPr>
      </w:pPr>
      <w:r w:rsidRPr="00650822">
        <w:rPr>
          <w:bCs/>
          <w:iCs/>
        </w:rPr>
        <w:t>dialog społeczny, który rozumiany jest jako proces konsultacji społecznych, prowadzonych na różnych etapach opracowywania i realizacji programu, ale także jako procedury komunikacji społecznej w zakresie skutecznej artykulacji potrzeb społecznych oraz pozyskiwania informacji o potrzebach i inicjatywach obywatelskich.</w:t>
      </w:r>
    </w:p>
    <w:p w:rsidR="00506F30" w:rsidRDefault="00506F30" w:rsidP="00506F30">
      <w:pPr>
        <w:jc w:val="both"/>
        <w:rPr>
          <w:b/>
          <w:bCs/>
          <w:iCs/>
        </w:rPr>
      </w:pPr>
    </w:p>
    <w:p w:rsidR="00506F30" w:rsidRPr="00E4738A" w:rsidRDefault="00506F30" w:rsidP="00506F30">
      <w:pPr>
        <w:jc w:val="both"/>
        <w:rPr>
          <w:bCs/>
          <w:iCs/>
        </w:rPr>
      </w:pPr>
      <w:r w:rsidRPr="00E4738A">
        <w:rPr>
          <w:bCs/>
          <w:iCs/>
        </w:rPr>
        <w:t xml:space="preserve">Strategicznym celem Programu jest </w:t>
      </w:r>
      <w:r w:rsidRPr="005F6F48">
        <w:rPr>
          <w:bCs/>
          <w:iCs/>
        </w:rPr>
        <w:t xml:space="preserve">rozwój i doskonalenie istniejącego systemu przeciwdziałania uzależnieniom </w:t>
      </w:r>
      <w:r>
        <w:rPr>
          <w:bCs/>
          <w:iCs/>
        </w:rPr>
        <w:t>od</w:t>
      </w:r>
      <w:r w:rsidRPr="00E4738A">
        <w:rPr>
          <w:bCs/>
          <w:iCs/>
        </w:rPr>
        <w:t xml:space="preserve"> narkotyków i innych środków psychoaktywnych </w:t>
      </w:r>
      <w:r w:rsidRPr="005F6F48">
        <w:rPr>
          <w:bCs/>
          <w:iCs/>
        </w:rPr>
        <w:t>dostosowanego do zmieniających się potrzeb i zagrożeń, a także ograniczanie negatywnych skutków społecznych, będących konsekwencją tych zjawisk</w:t>
      </w:r>
      <w:r>
        <w:rPr>
          <w:bCs/>
          <w:iCs/>
        </w:rPr>
        <w:t>.</w:t>
      </w:r>
    </w:p>
    <w:p w:rsidR="00506F30" w:rsidRPr="00716F02" w:rsidRDefault="00506F30" w:rsidP="00506F30">
      <w:pPr>
        <w:jc w:val="both"/>
      </w:pPr>
      <w:r w:rsidRPr="00E4738A">
        <w:t xml:space="preserve">Cel strategiczny </w:t>
      </w:r>
      <w:r w:rsidRPr="00E4738A">
        <w:rPr>
          <w:bCs/>
        </w:rPr>
        <w:t>Programu Przeciwdziałania Narkomanii na lata 201</w:t>
      </w:r>
      <w:r>
        <w:rPr>
          <w:bCs/>
        </w:rPr>
        <w:t>6</w:t>
      </w:r>
      <w:r w:rsidRPr="00E4738A">
        <w:rPr>
          <w:bCs/>
        </w:rPr>
        <w:t>-20</w:t>
      </w:r>
      <w:r>
        <w:rPr>
          <w:bCs/>
        </w:rPr>
        <w:t>18</w:t>
      </w:r>
      <w:r w:rsidRPr="00E4738A">
        <w:rPr>
          <w:bCs/>
        </w:rPr>
        <w:t xml:space="preserve"> </w:t>
      </w:r>
      <w:r w:rsidRPr="00E4738A">
        <w:t>realizowany będzie w trzech następ</w:t>
      </w:r>
      <w:r w:rsidRPr="00716F02">
        <w:t>ujących obszarach:</w:t>
      </w:r>
    </w:p>
    <w:p w:rsidR="00506F30" w:rsidRPr="00716F02" w:rsidRDefault="00506F30" w:rsidP="00506F30">
      <w:pPr>
        <w:numPr>
          <w:ilvl w:val="0"/>
          <w:numId w:val="1"/>
        </w:numPr>
        <w:jc w:val="both"/>
      </w:pPr>
      <w:r w:rsidRPr="00716F02">
        <w:t>profilaktyka, ed</w:t>
      </w:r>
      <w:r>
        <w:t>ukacja i działania informacyjne;</w:t>
      </w:r>
    </w:p>
    <w:p w:rsidR="00506F30" w:rsidRPr="00716F02" w:rsidRDefault="00506F30" w:rsidP="00506F30">
      <w:pPr>
        <w:numPr>
          <w:ilvl w:val="0"/>
          <w:numId w:val="1"/>
        </w:numPr>
        <w:jc w:val="both"/>
      </w:pPr>
      <w:r w:rsidRPr="00716F02">
        <w:t>leczenie, rehabilitacja i ograni</w:t>
      </w:r>
      <w:r>
        <w:t>czanie szkód zdrowotnych;</w:t>
      </w:r>
    </w:p>
    <w:p w:rsidR="00506F30" w:rsidRPr="00716F02" w:rsidRDefault="00506F30" w:rsidP="00506F30">
      <w:pPr>
        <w:numPr>
          <w:ilvl w:val="0"/>
          <w:numId w:val="1"/>
        </w:numPr>
        <w:jc w:val="both"/>
      </w:pPr>
      <w:proofErr w:type="spellStart"/>
      <w:r w:rsidRPr="00716F02">
        <w:t>postrehabilitacja</w:t>
      </w:r>
      <w:proofErr w:type="spellEnd"/>
      <w:r w:rsidRPr="00716F02">
        <w:t xml:space="preserve"> i pomoc socjalna.</w:t>
      </w:r>
    </w:p>
    <w:p w:rsidR="00506F30" w:rsidRPr="00716F02" w:rsidRDefault="00506F30" w:rsidP="00506F30">
      <w:pPr>
        <w:ind w:left="708"/>
        <w:jc w:val="both"/>
        <w:rPr>
          <w:i/>
          <w:iCs/>
        </w:rPr>
      </w:pPr>
    </w:p>
    <w:p w:rsidR="00506F30" w:rsidRPr="00716F02" w:rsidRDefault="00506F30" w:rsidP="00506F30">
      <w:pPr>
        <w:jc w:val="both"/>
        <w:rPr>
          <w:lang w:eastAsia="ar-SA"/>
        </w:rPr>
      </w:pPr>
      <w:r w:rsidRPr="00120D59">
        <w:rPr>
          <w:lang w:eastAsia="ar-SA"/>
        </w:rPr>
        <w:t>2.</w:t>
      </w:r>
      <w:r w:rsidRPr="00716F02">
        <w:rPr>
          <w:lang w:eastAsia="ar-SA"/>
        </w:rPr>
        <w:t xml:space="preserve"> Celami operacyjnymi Programu są:</w:t>
      </w:r>
    </w:p>
    <w:p w:rsidR="00506F30" w:rsidRPr="00716F02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716F02">
        <w:rPr>
          <w:lang w:eastAsia="ar-SA"/>
        </w:rPr>
        <w:t xml:space="preserve">zwiększenie efektywności działań profilaktycznych prowadzonych w szkołach </w:t>
      </w:r>
      <w:r w:rsidRPr="00716F02">
        <w:rPr>
          <w:lang w:eastAsia="ar-SA"/>
        </w:rPr>
        <w:br/>
        <w:t>i placówkach systemu oświaty oraz placówkach opiekuńczo-wychowawczych</w:t>
      </w:r>
      <w:r>
        <w:rPr>
          <w:lang w:eastAsia="ar-SA"/>
        </w:rPr>
        <w:t>;</w:t>
      </w:r>
    </w:p>
    <w:p w:rsidR="00506F30" w:rsidRPr="00716F02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716F02">
        <w:t xml:space="preserve">ograniczenie ryzykownych </w:t>
      </w:r>
      <w:proofErr w:type="spellStart"/>
      <w:r w:rsidRPr="00716F02">
        <w:t>zachowań</w:t>
      </w:r>
      <w:proofErr w:type="spellEnd"/>
      <w:r w:rsidRPr="00716F02">
        <w:t xml:space="preserve"> dzieci i młodzieży </w:t>
      </w:r>
      <w:r>
        <w:t xml:space="preserve">oraz </w:t>
      </w:r>
      <w:r w:rsidRPr="00646338">
        <w:t xml:space="preserve">młodych dorosłych </w:t>
      </w:r>
      <w:r w:rsidRPr="00716F02">
        <w:t>związanych z używaniem narkotyków i innych środków psychoaktywnych</w:t>
      </w:r>
      <w:r>
        <w:rPr>
          <w:lang w:eastAsia="ar-SA"/>
        </w:rPr>
        <w:t>;</w:t>
      </w:r>
    </w:p>
    <w:p w:rsidR="00506F30" w:rsidRPr="00716F02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716F02">
        <w:rPr>
          <w:lang w:eastAsia="ar-SA"/>
        </w:rPr>
        <w:t xml:space="preserve">podnoszenie poziomu wiedzy mieszkańców m.st. Warszawy na temat problemów związanych z używaniem środków psychoaktywnych oraz przeciwdziałaniem narkomanii, modyfikacja postaw społecznych poprzez prowadzenie profilaktycznej działalności </w:t>
      </w:r>
      <w:smartTag w:uri="urn:schemas-microsoft-com:office:smarttags" w:element="PersonName">
        <w:r w:rsidRPr="00716F02">
          <w:rPr>
            <w:lang w:eastAsia="ar-SA"/>
          </w:rPr>
          <w:t>info</w:t>
        </w:r>
      </w:smartTag>
      <w:r w:rsidRPr="00716F02">
        <w:rPr>
          <w:lang w:eastAsia="ar-SA"/>
        </w:rPr>
        <w:t>rmacyjnej i edukacyjnej,</w:t>
      </w:r>
      <w:r>
        <w:rPr>
          <w:lang w:eastAsia="ar-SA"/>
        </w:rPr>
        <w:t xml:space="preserve"> w tym kampanii społecznych;</w:t>
      </w:r>
    </w:p>
    <w:p w:rsidR="00506F30" w:rsidRPr="00E4738A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E4738A">
        <w:rPr>
          <w:lang w:eastAsia="ar-SA"/>
        </w:rPr>
        <w:t>zapewnienie</w:t>
      </w:r>
      <w:r>
        <w:rPr>
          <w:lang w:eastAsia="ar-SA"/>
        </w:rPr>
        <w:t xml:space="preserve"> </w:t>
      </w:r>
      <w:r w:rsidRPr="00E4738A">
        <w:rPr>
          <w:lang w:eastAsia="ar-SA"/>
        </w:rPr>
        <w:t xml:space="preserve">dostępu do </w:t>
      </w:r>
      <w:smartTag w:uri="urn:schemas-microsoft-com:office:smarttags" w:element="PersonName">
        <w:r w:rsidRPr="00E4738A">
          <w:rPr>
            <w:lang w:eastAsia="ar-SA"/>
          </w:rPr>
          <w:t>info</w:t>
        </w:r>
      </w:smartTag>
      <w:r w:rsidRPr="00E4738A">
        <w:rPr>
          <w:lang w:eastAsia="ar-SA"/>
        </w:rPr>
        <w:t xml:space="preserve">rmacji i </w:t>
      </w:r>
      <w:r>
        <w:rPr>
          <w:lang w:eastAsia="ar-SA"/>
        </w:rPr>
        <w:t xml:space="preserve">bezpłatnego </w:t>
      </w:r>
      <w:r w:rsidRPr="00E4738A">
        <w:rPr>
          <w:lang w:eastAsia="ar-SA"/>
        </w:rPr>
        <w:t>poradnictwa z zakresu przeciwdziałania narko</w:t>
      </w:r>
      <w:r>
        <w:rPr>
          <w:lang w:eastAsia="ar-SA"/>
        </w:rPr>
        <w:t>manii;</w:t>
      </w:r>
    </w:p>
    <w:p w:rsidR="00506F30" w:rsidRPr="00E4738A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E4738A">
        <w:rPr>
          <w:lang w:eastAsia="ar-SA"/>
        </w:rPr>
        <w:t>zapewnienie</w:t>
      </w:r>
      <w:r>
        <w:rPr>
          <w:lang w:eastAsia="ar-SA"/>
        </w:rPr>
        <w:t xml:space="preserve"> zintegrowanej i kompleksowej</w:t>
      </w:r>
      <w:r w:rsidRPr="00E4738A">
        <w:rPr>
          <w:lang w:eastAsia="ar-SA"/>
        </w:rPr>
        <w:t xml:space="preserve"> pomocy terapeutycznej, rehabilitacyjnej i </w:t>
      </w:r>
      <w:proofErr w:type="spellStart"/>
      <w:r w:rsidRPr="00E4738A">
        <w:rPr>
          <w:lang w:eastAsia="ar-SA"/>
        </w:rPr>
        <w:t>postrehabilitacyjnej</w:t>
      </w:r>
      <w:proofErr w:type="spellEnd"/>
      <w:r w:rsidRPr="00E4738A">
        <w:rPr>
          <w:lang w:eastAsia="ar-SA"/>
        </w:rPr>
        <w:t xml:space="preserve"> dla osób uzależnionych od substancji psycho</w:t>
      </w:r>
      <w:r>
        <w:rPr>
          <w:lang w:eastAsia="ar-SA"/>
        </w:rPr>
        <w:t>aktywnych i członków ich rodzin;</w:t>
      </w:r>
    </w:p>
    <w:p w:rsidR="00506F30" w:rsidRPr="00E4738A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E4738A">
        <w:rPr>
          <w:lang w:eastAsia="ar-SA"/>
        </w:rPr>
        <w:t>ograniczanie szkód zdrowotnych spowodowanych używaniem środków psycho</w:t>
      </w:r>
      <w:r>
        <w:rPr>
          <w:lang w:eastAsia="ar-SA"/>
        </w:rPr>
        <w:t>aktywnych;</w:t>
      </w:r>
    </w:p>
    <w:p w:rsidR="00506F30" w:rsidRPr="00E4738A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E4738A">
        <w:rPr>
          <w:lang w:eastAsia="ar-SA"/>
        </w:rPr>
        <w:t xml:space="preserve">zapewnienie ciągłości terapii w programach </w:t>
      </w:r>
      <w:proofErr w:type="spellStart"/>
      <w:r w:rsidRPr="00E4738A">
        <w:rPr>
          <w:lang w:eastAsia="ar-SA"/>
        </w:rPr>
        <w:t>postrehabilitacji</w:t>
      </w:r>
      <w:proofErr w:type="spellEnd"/>
      <w:r w:rsidRPr="00E4738A">
        <w:rPr>
          <w:lang w:eastAsia="ar-SA"/>
        </w:rPr>
        <w:t xml:space="preserve"> i reintegracji</w:t>
      </w:r>
      <w:r>
        <w:rPr>
          <w:lang w:eastAsia="ar-SA"/>
        </w:rPr>
        <w:t xml:space="preserve"> społecznej;</w:t>
      </w:r>
    </w:p>
    <w:p w:rsidR="00506F30" w:rsidRPr="00E4738A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E4738A">
        <w:rPr>
          <w:lang w:eastAsia="ar-SA"/>
        </w:rPr>
        <w:t>zapewnienie kompleksowej oferty pomocowej poprzez wspomaganie działalności instytucji, stowarzyszeń i fundacji oraz osób fizycznych służącej rozwiązywaniu problemów osób uzależnionych od substancji psycho</w:t>
      </w:r>
      <w:r>
        <w:rPr>
          <w:lang w:eastAsia="ar-SA"/>
        </w:rPr>
        <w:t>aktywnych i członków ich rodzin;</w:t>
      </w:r>
    </w:p>
    <w:p w:rsidR="00506F30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 w:rsidRPr="00E4738A">
        <w:rPr>
          <w:lang w:eastAsia="ar-SA"/>
        </w:rPr>
        <w:lastRenderedPageBreak/>
        <w:t xml:space="preserve">poszerzanie wiedzy pracowników oświaty, pomocy społecznej, administracji samorządowej m.st. Warszawy, służby zdrowia, policji, straży miejskiej, wymiaru sprawiedliwości, organizacji pozarządowych, członków Komisji Rozwiązywania Problemów Alkoholowych i Dzielnicowych Zespołów oraz liderów grup samopomocowych i środowisk lokalnych w zakresie oddziaływań profilaktycznych, znajomości przepisów prawa, podejmowania interwencji </w:t>
      </w:r>
      <w:r w:rsidRPr="00E4738A">
        <w:rPr>
          <w:lang w:eastAsia="ar-SA"/>
        </w:rPr>
        <w:br/>
        <w:t>w sytuacjach problemowych oraz</w:t>
      </w:r>
      <w:r>
        <w:rPr>
          <w:lang w:eastAsia="ar-SA"/>
        </w:rPr>
        <w:t xml:space="preserve"> umiejętności psychospołecznych;</w:t>
      </w:r>
    </w:p>
    <w:p w:rsidR="00506F30" w:rsidRPr="00716F02" w:rsidRDefault="00506F30" w:rsidP="00506F30">
      <w:pPr>
        <w:pStyle w:val="Tekstpodstawowy"/>
        <w:widowControl w:val="0"/>
        <w:numPr>
          <w:ilvl w:val="0"/>
          <w:numId w:val="2"/>
        </w:numPr>
        <w:tabs>
          <w:tab w:val="num" w:pos="1440"/>
        </w:tabs>
        <w:suppressAutoHyphens/>
        <w:spacing w:after="0"/>
        <w:jc w:val="both"/>
        <w:rPr>
          <w:lang w:eastAsia="ar-SA"/>
        </w:rPr>
      </w:pPr>
      <w:r>
        <w:rPr>
          <w:lang w:eastAsia="ar-SA"/>
        </w:rPr>
        <w:t>w</w:t>
      </w:r>
      <w:r w:rsidRPr="00716F02">
        <w:rPr>
          <w:lang w:eastAsia="ar-SA"/>
        </w:rPr>
        <w:t>spółpraca z instytucjami publicznymi i samorządowymi, w tym z organami samorządu wojewódzkiego, w celu tworzenia odpowiedniego zaplecza dla działań redukcji szkód i działań z zakresu readaptacji społecznej dla osób uzależnionych – mieszkańców m.st. Warszawy</w:t>
      </w:r>
      <w:r w:rsidRPr="00120D59">
        <w:rPr>
          <w:lang w:eastAsia="ar-SA"/>
        </w:rPr>
        <w:t>.</w:t>
      </w:r>
    </w:p>
    <w:p w:rsidR="00506F30" w:rsidRPr="0066661C" w:rsidRDefault="00506F30" w:rsidP="00506F30">
      <w:pPr>
        <w:pStyle w:val="Tekstpodstawowy"/>
        <w:widowControl w:val="0"/>
        <w:suppressAutoHyphens/>
        <w:ind w:left="708"/>
        <w:jc w:val="both"/>
        <w:rPr>
          <w:lang w:eastAsia="ar-SA"/>
        </w:rPr>
      </w:pPr>
    </w:p>
    <w:p w:rsidR="00506F30" w:rsidRPr="00E4738A" w:rsidRDefault="00506F30" w:rsidP="00506F30">
      <w:pPr>
        <w:jc w:val="both"/>
        <w:rPr>
          <w:b/>
        </w:rPr>
      </w:pPr>
      <w:r w:rsidRPr="00E4738A">
        <w:rPr>
          <w:b/>
        </w:rPr>
        <w:t>III. Podmioty realizujące program</w:t>
      </w:r>
    </w:p>
    <w:p w:rsidR="00506F30" w:rsidRPr="00E4738A" w:rsidRDefault="00506F30" w:rsidP="00506F30">
      <w:pPr>
        <w:autoSpaceDE w:val="0"/>
        <w:autoSpaceDN w:val="0"/>
        <w:adjustRightInd w:val="0"/>
        <w:ind w:firstLine="708"/>
        <w:jc w:val="both"/>
      </w:pPr>
      <w:r w:rsidRPr="00E4738A">
        <w:t>W realizacji programu mogą uczestniczyć organizacje pozarządowe i inne podmioty, których działalność statutowa obejmuje zadania należące do sfery zadań publicznych w zakresie ochrony i promocji zdrowia, pomocy społecznej, działalności charytatywnej, nauki, edukacji, oświaty i wychowania, kultury fizycznej, porządku i bezpieczeństwa publicznego lub przeciwdziałania patologiom społecznym, promocji i organizacji wolontariatu, a także samorządy zawodów medycznych, rodziny osób uzależnionych, oraz grupy samopomocy osób uzależnionych i ich rodzin.</w:t>
      </w:r>
    </w:p>
    <w:p w:rsidR="00506F30" w:rsidRPr="00E4738A" w:rsidRDefault="00506F30" w:rsidP="00506F30">
      <w:pPr>
        <w:jc w:val="both"/>
      </w:pPr>
      <w:r w:rsidRPr="00E4738A">
        <w:t xml:space="preserve">W celu jak najlepszej realizacji działań z obszaru przeciwdziałania narkomanii </w:t>
      </w:r>
      <w:r>
        <w:t>m.st.</w:t>
      </w:r>
      <w:r w:rsidRPr="00E4738A">
        <w:t xml:space="preserve"> Warszawa zleca realizację zadań publicznych organizacjom pozarządowym</w:t>
      </w:r>
      <w:r>
        <w:t>, które</w:t>
      </w:r>
      <w:r w:rsidRPr="00E4738A">
        <w:t xml:space="preserve"> realizują zadania z obszaru profilaktyki skierowanej do różnych grup społecznych, leczenia, </w:t>
      </w:r>
      <w:proofErr w:type="spellStart"/>
      <w:r w:rsidRPr="00E4738A">
        <w:t>rehabilitacjii</w:t>
      </w:r>
      <w:proofErr w:type="spellEnd"/>
      <w:r w:rsidRPr="00E4738A">
        <w:t xml:space="preserve"> ograniczania szkód oraz </w:t>
      </w:r>
      <w:proofErr w:type="spellStart"/>
      <w:r w:rsidRPr="00E4738A">
        <w:t>postrehabilitacji</w:t>
      </w:r>
      <w:proofErr w:type="spellEnd"/>
      <w:r w:rsidRPr="00E4738A">
        <w:t xml:space="preserve"> i pomocy socjalnej. Miasto stołeczne Warszawa współpracuje również z podmiotami leczniczymi. Ważnym partnerem merytorycznym jest Krajowe Biuro ds. Przeciwdziałania Narkomanii.</w:t>
      </w:r>
    </w:p>
    <w:p w:rsidR="00506F30" w:rsidRPr="00E4738A" w:rsidRDefault="00506F30" w:rsidP="00506F30">
      <w:pPr>
        <w:jc w:val="both"/>
      </w:pPr>
      <w:r w:rsidRPr="00E4738A">
        <w:t>Ponadto w realizacji Programu mogą uczestniczyć inne biura Urzędu m.st. Warszawy, wydziały dla dzielnic m.st. Warszawy, oraz partnerzy zewnętrzni zapraszani do współpracy przez realizatorów, w zależności od celu i rodzaju zadania (osoby fizyczne, instytucje i podmioty publiczne i niepubliczne</w:t>
      </w:r>
      <w:r>
        <w:t>, kościoły i związki wyznaniowe).</w:t>
      </w:r>
    </w:p>
    <w:p w:rsidR="00506F30" w:rsidRPr="00E4738A" w:rsidRDefault="00506F30" w:rsidP="00506F30">
      <w:pPr>
        <w:tabs>
          <w:tab w:val="num" w:pos="720"/>
        </w:tabs>
        <w:jc w:val="both"/>
      </w:pPr>
    </w:p>
    <w:p w:rsidR="00506F30" w:rsidRPr="00DE4F57" w:rsidRDefault="00506F30" w:rsidP="00506F30">
      <w:pPr>
        <w:tabs>
          <w:tab w:val="num" w:pos="720"/>
        </w:tabs>
        <w:jc w:val="both"/>
        <w:rPr>
          <w:b/>
        </w:rPr>
      </w:pPr>
      <w:r w:rsidRPr="00DE4F57">
        <w:rPr>
          <w:b/>
        </w:rPr>
        <w:t>IV. Finansowanie Programu</w:t>
      </w:r>
    </w:p>
    <w:p w:rsidR="00506F30" w:rsidRPr="00E4738A" w:rsidRDefault="00506F30" w:rsidP="00506F30">
      <w:pPr>
        <w:tabs>
          <w:tab w:val="num" w:pos="720"/>
        </w:tabs>
        <w:jc w:val="both"/>
      </w:pPr>
      <w:r>
        <w:tab/>
      </w:r>
      <w:r w:rsidRPr="00E4738A">
        <w:t xml:space="preserve">Środki na realizację </w:t>
      </w:r>
      <w:r w:rsidRPr="00E4738A">
        <w:rPr>
          <w:bCs/>
        </w:rPr>
        <w:t xml:space="preserve">Programu </w:t>
      </w:r>
      <w:r w:rsidRPr="00E4738A">
        <w:t xml:space="preserve">pochodzą z budżetu m.st. Warszawy. </w:t>
      </w:r>
    </w:p>
    <w:p w:rsidR="00506F30" w:rsidRPr="00E4738A" w:rsidRDefault="00506F30" w:rsidP="00506F30">
      <w:pPr>
        <w:jc w:val="both"/>
      </w:pPr>
      <w:r w:rsidRPr="00E4738A">
        <w:t>Zadania realizowane w ramach Programu mogą być finansowane również z dotacji celowych Wojewody Mazowieckiego, a także z darowizn, zapisów i innych wpływów od osób prawnych i fizycznych oraz funduszy strukturalnych Unii Europejskiej.</w:t>
      </w:r>
    </w:p>
    <w:p w:rsidR="00506F30" w:rsidRPr="00E4738A" w:rsidRDefault="00506F30" w:rsidP="00506F30">
      <w:pPr>
        <w:jc w:val="both"/>
      </w:pPr>
    </w:p>
    <w:p w:rsidR="00506F30" w:rsidRDefault="00506F30" w:rsidP="00506F30">
      <w:pPr>
        <w:sectPr w:rsidR="00506F30" w:rsidSect="00A31B96">
          <w:footerReference w:type="default" r:id="rId9"/>
          <w:footerReference w:type="first" r:id="rId10"/>
          <w:pgSz w:w="11906" w:h="16838" w:code="9"/>
          <w:pgMar w:top="1079" w:right="1418" w:bottom="1258" w:left="1418" w:header="709" w:footer="709" w:gutter="0"/>
          <w:pgNumType w:start="1"/>
          <w:cols w:space="708"/>
          <w:titlePg/>
          <w:docGrid w:linePitch="360"/>
        </w:sectPr>
      </w:pPr>
    </w:p>
    <w:p w:rsidR="00506F30" w:rsidRPr="00DA651A" w:rsidRDefault="00506F30" w:rsidP="00506F30">
      <w:pPr>
        <w:ind w:left="9900"/>
        <w:jc w:val="both"/>
        <w:rPr>
          <w:bCs/>
          <w:sz w:val="23"/>
          <w:szCs w:val="23"/>
        </w:rPr>
      </w:pPr>
      <w:bookmarkStart w:id="1" w:name="OLE_LINK1"/>
      <w:r w:rsidRPr="00DA651A">
        <w:rPr>
          <w:bCs/>
          <w:sz w:val="23"/>
          <w:szCs w:val="23"/>
        </w:rPr>
        <w:lastRenderedPageBreak/>
        <w:t>Załącznik nr 2</w:t>
      </w:r>
    </w:p>
    <w:p w:rsidR="00506F30" w:rsidRPr="00DA651A" w:rsidRDefault="00506F30" w:rsidP="00506F30">
      <w:pPr>
        <w:ind w:left="9900"/>
        <w:rPr>
          <w:bCs/>
          <w:sz w:val="23"/>
          <w:szCs w:val="23"/>
        </w:rPr>
      </w:pPr>
      <w:r w:rsidRPr="00DA651A">
        <w:rPr>
          <w:bCs/>
          <w:sz w:val="23"/>
          <w:szCs w:val="23"/>
        </w:rPr>
        <w:t xml:space="preserve">do uchwały nr </w:t>
      </w:r>
      <w:r w:rsidR="00BC2BE7">
        <w:rPr>
          <w:bCs/>
          <w:sz w:val="23"/>
          <w:szCs w:val="23"/>
        </w:rPr>
        <w:t>XXI/531/2015</w:t>
      </w:r>
    </w:p>
    <w:p w:rsidR="00506F30" w:rsidRPr="00DA651A" w:rsidRDefault="00506F30" w:rsidP="00506F30">
      <w:pPr>
        <w:ind w:left="9900"/>
        <w:rPr>
          <w:bCs/>
          <w:sz w:val="23"/>
          <w:szCs w:val="23"/>
        </w:rPr>
      </w:pPr>
      <w:r w:rsidRPr="00DA651A">
        <w:rPr>
          <w:bCs/>
          <w:sz w:val="23"/>
          <w:szCs w:val="23"/>
        </w:rPr>
        <w:t xml:space="preserve">Rady m.st. Warszawy </w:t>
      </w:r>
    </w:p>
    <w:p w:rsidR="00506F30" w:rsidRPr="00DA651A" w:rsidRDefault="00506F30" w:rsidP="00506F30">
      <w:pPr>
        <w:ind w:left="9900"/>
        <w:rPr>
          <w:bCs/>
          <w:sz w:val="23"/>
          <w:szCs w:val="23"/>
        </w:rPr>
      </w:pPr>
      <w:r w:rsidRPr="00DA651A">
        <w:rPr>
          <w:bCs/>
          <w:sz w:val="23"/>
          <w:szCs w:val="23"/>
        </w:rPr>
        <w:t xml:space="preserve">z dnia </w:t>
      </w:r>
      <w:r w:rsidR="00BC2BE7">
        <w:rPr>
          <w:bCs/>
          <w:sz w:val="23"/>
          <w:szCs w:val="23"/>
        </w:rPr>
        <w:t xml:space="preserve">10 grudnia 2015 </w:t>
      </w:r>
      <w:bookmarkStart w:id="2" w:name="_GoBack"/>
      <w:bookmarkEnd w:id="2"/>
      <w:r w:rsidR="00BC2BE7">
        <w:rPr>
          <w:bCs/>
          <w:sz w:val="23"/>
          <w:szCs w:val="23"/>
        </w:rPr>
        <w:t>r.</w:t>
      </w:r>
    </w:p>
    <w:p w:rsidR="00506F30" w:rsidRPr="00E4738A" w:rsidRDefault="00506F30" w:rsidP="00506F30">
      <w:pPr>
        <w:ind w:left="5400"/>
        <w:jc w:val="both"/>
      </w:pPr>
    </w:p>
    <w:p w:rsidR="00506F30" w:rsidRPr="00E4738A" w:rsidRDefault="00506F30" w:rsidP="00506F30">
      <w:pPr>
        <w:tabs>
          <w:tab w:val="left" w:pos="709"/>
        </w:tabs>
        <w:ind w:left="360"/>
        <w:jc w:val="center"/>
        <w:rPr>
          <w:b/>
        </w:rPr>
      </w:pPr>
      <w:r>
        <w:rPr>
          <w:b/>
        </w:rPr>
        <w:t>SZCZEGÓŁOWE ZADANIA, REALIZATORZY,</w:t>
      </w:r>
      <w:r w:rsidRPr="00E4738A">
        <w:rPr>
          <w:b/>
        </w:rPr>
        <w:t xml:space="preserve"> WSKAŹNIKI</w:t>
      </w:r>
      <w:r>
        <w:rPr>
          <w:b/>
        </w:rPr>
        <w:t xml:space="preserve"> I ODBIORCY PROGRAMU</w:t>
      </w:r>
    </w:p>
    <w:p w:rsidR="00506F30" w:rsidRPr="00E4738A" w:rsidRDefault="00506F30" w:rsidP="00506F30">
      <w:pPr>
        <w:tabs>
          <w:tab w:val="left" w:pos="709"/>
        </w:tabs>
        <w:ind w:left="360"/>
        <w:jc w:val="center"/>
        <w:rPr>
          <w:b/>
        </w:rPr>
      </w:pPr>
    </w:p>
    <w:tbl>
      <w:tblPr>
        <w:tblW w:w="12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413"/>
        <w:gridCol w:w="2486"/>
        <w:gridCol w:w="4567"/>
      </w:tblGrid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  <w:rPr>
                <w:b/>
              </w:rPr>
            </w:pPr>
            <w:r w:rsidRPr="00921C03">
              <w:rPr>
                <w:b/>
              </w:rPr>
              <w:t>Zadania do realizacji</w:t>
            </w:r>
          </w:p>
        </w:tc>
        <w:tc>
          <w:tcPr>
            <w:tcW w:w="2413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  <w:rPr>
                <w:b/>
              </w:rPr>
            </w:pPr>
            <w:r w:rsidRPr="00921C03">
              <w:rPr>
                <w:b/>
              </w:rPr>
              <w:t>Realizatorzy i partnerzy</w:t>
            </w:r>
          </w:p>
        </w:tc>
        <w:tc>
          <w:tcPr>
            <w:tcW w:w="2486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  <w:rPr>
                <w:b/>
              </w:rPr>
            </w:pPr>
            <w:r w:rsidRPr="00921C03">
              <w:rPr>
                <w:b/>
              </w:rPr>
              <w:t>Odbiorcy</w:t>
            </w:r>
          </w:p>
        </w:tc>
        <w:tc>
          <w:tcPr>
            <w:tcW w:w="4567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  <w:rPr>
                <w:b/>
              </w:rPr>
            </w:pPr>
            <w:r w:rsidRPr="00921C03">
              <w:rPr>
                <w:b/>
              </w:rPr>
              <w:t>Wskaźniki</w:t>
            </w:r>
          </w:p>
        </w:tc>
      </w:tr>
      <w:tr w:rsidR="00506F30" w:rsidRPr="00921C03" w:rsidTr="00211D0C">
        <w:trPr>
          <w:trHeight w:val="734"/>
          <w:jc w:val="center"/>
        </w:trPr>
        <w:tc>
          <w:tcPr>
            <w:tcW w:w="12706" w:type="dxa"/>
            <w:gridSpan w:val="4"/>
            <w:shd w:val="clear" w:color="auto" w:fill="F2DBDB"/>
            <w:vAlign w:val="center"/>
          </w:tcPr>
          <w:p w:rsidR="00506F30" w:rsidRDefault="00506F30" w:rsidP="00211D0C">
            <w:pPr>
              <w:widowControl w:val="0"/>
              <w:suppressAutoHyphens/>
              <w:ind w:left="720"/>
              <w:jc w:val="center"/>
            </w:pPr>
          </w:p>
          <w:p w:rsidR="00506F30" w:rsidRPr="00F92A42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  <w:r w:rsidRPr="00F92A42">
              <w:rPr>
                <w:b/>
                <w:sz w:val="28"/>
                <w:szCs w:val="28"/>
              </w:rPr>
              <w:t>PROFILAKTYKA</w:t>
            </w:r>
          </w:p>
          <w:p w:rsidR="00506F30" w:rsidRPr="00E4738A" w:rsidRDefault="00506F30" w:rsidP="00211D0C">
            <w:pPr>
              <w:widowControl w:val="0"/>
              <w:suppressAutoHyphens/>
              <w:ind w:left="720"/>
              <w:jc w:val="center"/>
            </w:pP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  <w:r w:rsidRPr="00E4738A">
              <w:t>Realizacja programów</w:t>
            </w:r>
            <w:r>
              <w:t xml:space="preserve"> o potwierdzonej skuteczności*</w:t>
            </w:r>
            <w:r w:rsidRPr="00E4738A">
              <w:t xml:space="preserve">, profilaktycznych </w:t>
            </w:r>
            <w:r w:rsidRPr="00E4738A">
              <w:br/>
              <w:t>w szkołach i placówkach systemu oświaty</w:t>
            </w:r>
          </w:p>
        </w:tc>
        <w:tc>
          <w:tcPr>
            <w:tcW w:w="2413" w:type="dxa"/>
            <w:vMerge w:val="restart"/>
            <w:vAlign w:val="center"/>
          </w:tcPr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Zarządy dzielnic</w:t>
            </w:r>
            <w:r>
              <w:rPr>
                <w:sz w:val="22"/>
                <w:szCs w:val="22"/>
              </w:rPr>
              <w:t>,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Biuro Pomocy i Projektów Społecznych,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 xml:space="preserve">organizacje pozarządowe, 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inni partnerzy zewnętrzni zapraszani do współpracy w zależności od celu i rodzaju zadania,</w:t>
            </w:r>
          </w:p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Dzielnicowe Zespoły i Komisja Rozwiązywania</w:t>
            </w:r>
            <w:r>
              <w:rPr>
                <w:sz w:val="22"/>
                <w:szCs w:val="22"/>
              </w:rPr>
              <w:t xml:space="preserve"> Problemów Alkoholowych m.st. Warszawy</w:t>
            </w: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 xml:space="preserve">Dzieci i młodzież w wieku szkolnym 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 xml:space="preserve">Liczba </w:t>
            </w:r>
            <w:r>
              <w:t>rekomendowanych</w:t>
            </w:r>
            <w:r w:rsidRPr="00E4738A">
              <w:t xml:space="preserve"> programów </w:t>
            </w:r>
            <w:r>
              <w:t xml:space="preserve">profilaktyki uniwersalnej 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szkół i placówek biorących udział w przedsięwzięciach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uczestników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  <w:r w:rsidRPr="00E4738A">
              <w:t xml:space="preserve">Realizacja pozaszkolnych programów profilaktycznych </w:t>
            </w:r>
            <w:r>
              <w:t>o potwierdzonej skuteczności</w:t>
            </w:r>
            <w:r w:rsidRPr="00E4738A">
              <w:t xml:space="preserve"> adresowanych do dzieci i młodzieży, w tym studentów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Dzieci i młodzież w wieku szkolnym i młodzież akademicka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programów i konkursów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szkół i uczelni biorących udział w przedsięwzięciach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uczestników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  <w:r>
              <w:t xml:space="preserve">Objęcie dzieci, </w:t>
            </w:r>
            <w:r w:rsidRPr="0023505C">
              <w:t>młodzieży</w:t>
            </w:r>
            <w:r>
              <w:t xml:space="preserve"> i</w:t>
            </w:r>
            <w:r w:rsidRPr="0023505C">
              <w:t xml:space="preserve"> </w:t>
            </w:r>
            <w:r w:rsidRPr="00646338">
              <w:t xml:space="preserve">młodych dorosłych </w:t>
            </w:r>
            <w:r w:rsidRPr="0023505C">
              <w:t>pomocą świadczoną przez streetworkerów/pedagogów podwórkowych/pedagogów ulicznych (wg opracowan</w:t>
            </w:r>
            <w:r>
              <w:t>ego standardu pracy środowiskowej</w:t>
            </w:r>
            <w:r w:rsidRPr="0023505C">
              <w:t>)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Dzieci i młodzież w wieku szkolnym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 xml:space="preserve">Liczba programów 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uczestników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23505C">
              <w:t xml:space="preserve">Programy zagospodarowania czasu wolnego skierowane do dzieci z placówek wsparcia dziennego w ramach lokalnego systemu wsparcia zgodnie ze </w:t>
            </w:r>
            <w:r w:rsidRPr="0023505C">
              <w:lastRenderedPageBreak/>
              <w:t>standardem</w:t>
            </w:r>
          </w:p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Dzieci i młodzież w wieku szkolnym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wyjazdów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uczestników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  <w:r w:rsidRPr="00E4738A">
              <w:lastRenderedPageBreak/>
              <w:t>Działania informacyjne i edukacyjne prowadzone w formalnych i nieformalnych miejscach spotkań młodzieży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Młodzież ucząca się i pracująca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akcji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odbiorców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i rodzaj materiałów, wydawnictw</w:t>
            </w:r>
          </w:p>
          <w:p w:rsidR="00506F30" w:rsidRPr="00E4738A" w:rsidRDefault="00506F30" w:rsidP="00211D0C">
            <w:pPr>
              <w:widowControl w:val="0"/>
              <w:tabs>
                <w:tab w:val="num" w:pos="342"/>
              </w:tabs>
              <w:suppressAutoHyphens/>
              <w:ind w:left="360" w:hanging="662"/>
            </w:pP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  <w:r>
              <w:t xml:space="preserve">Realizacja kampanii </w:t>
            </w:r>
            <w:smartTag w:uri="urn:schemas-microsoft-com:office:smarttags" w:element="PersonName">
              <w:r w:rsidRPr="00E4738A">
                <w:t>info</w:t>
              </w:r>
            </w:smartTag>
            <w:r w:rsidRPr="00E4738A">
              <w:t>rmacyjno-edukacyjnych o zasięgu lokalnym lub ogólnopolskim</w:t>
            </w:r>
          </w:p>
        </w:tc>
        <w:tc>
          <w:tcPr>
            <w:tcW w:w="2413" w:type="dxa"/>
            <w:vMerge w:val="restart"/>
            <w:vAlign w:val="center"/>
          </w:tcPr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Zarządy dzielnic</w:t>
            </w:r>
            <w:r>
              <w:rPr>
                <w:sz w:val="22"/>
                <w:szCs w:val="22"/>
              </w:rPr>
              <w:t>,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Biuro Pomocy i Projektów Społecznych,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 xml:space="preserve">organizacje pozarządowe, 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inni partnerzy zewnętrzni zapraszani do współpracy w zależności od celu i rodzaju zadania,</w:t>
            </w:r>
          </w:p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Dzielnicowe Zespoły i Komisja Rozwiązywania</w:t>
            </w:r>
            <w:r>
              <w:rPr>
                <w:sz w:val="22"/>
                <w:szCs w:val="22"/>
              </w:rPr>
              <w:t xml:space="preserve"> Problemów Alkoholowych m. st. Warszawy</w:t>
            </w: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Mieszkańcy m.st. Warszawy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kampanii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b/>
              </w:rPr>
            </w:pPr>
            <w:r w:rsidRPr="00E4738A">
              <w:t xml:space="preserve">Zwiększanie dostępu do </w:t>
            </w:r>
            <w:smartTag w:uri="urn:schemas-microsoft-com:office:smarttags" w:element="PersonName">
              <w:r w:rsidRPr="00E4738A">
                <w:t>info</w:t>
              </w:r>
            </w:smartTag>
            <w:r w:rsidRPr="00E4738A">
              <w:t>rmacji z zakresu przeciwdziałania narkomanii za pośrednictwem Punktów Informacyjno-Konsultacyjnych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Mieszkańcy m.st. Warszawy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PIK realizujących zadania z obszaru przeciwdziałania narkomanii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odbiorców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>Organizowanie szkoleń dla osób realizujących zadania z zakresu przeciwdziałania narkomanii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realizujące zadania z zakresu przeciwdziałania narkomanii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szkoleń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odbiorców</w:t>
            </w:r>
          </w:p>
        </w:tc>
      </w:tr>
      <w:tr w:rsidR="00506F30" w:rsidRPr="00921C03" w:rsidTr="00211D0C">
        <w:trPr>
          <w:jc w:val="center"/>
        </w:trPr>
        <w:tc>
          <w:tcPr>
            <w:tcW w:w="12706" w:type="dxa"/>
            <w:gridSpan w:val="4"/>
            <w:shd w:val="clear" w:color="auto" w:fill="F2DBDB"/>
            <w:vAlign w:val="center"/>
          </w:tcPr>
          <w:p w:rsidR="00506F30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</w:p>
          <w:p w:rsidR="00506F30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  <w:r w:rsidRPr="00F92A42">
              <w:rPr>
                <w:b/>
                <w:sz w:val="28"/>
                <w:szCs w:val="28"/>
              </w:rPr>
              <w:t xml:space="preserve">LECZENIE, REHABILITACJA </w:t>
            </w:r>
            <w:r>
              <w:rPr>
                <w:b/>
                <w:sz w:val="28"/>
                <w:szCs w:val="28"/>
              </w:rPr>
              <w:t>I</w:t>
            </w:r>
            <w:r w:rsidRPr="00F92A42">
              <w:rPr>
                <w:b/>
                <w:sz w:val="28"/>
                <w:szCs w:val="28"/>
              </w:rPr>
              <w:t xml:space="preserve"> REDUKCJA SZKÓD</w:t>
            </w:r>
          </w:p>
          <w:p w:rsidR="00506F30" w:rsidRPr="00F92A42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 xml:space="preserve">Realizacja programów poszerzających ofertę terapeutyczną </w:t>
            </w:r>
            <w:r w:rsidRPr="00E4738A">
              <w:br/>
              <w:t xml:space="preserve">i rehabilitacyjną w placówkach działających w systemie opieki ambulatoryjnej </w:t>
            </w:r>
            <w:r w:rsidRPr="00E4738A">
              <w:br/>
              <w:t>i stacjonarnej, w tym programy krótkoterminowe i interwencyjne dla niepełnoletnich</w:t>
            </w:r>
            <w:r>
              <w:t>, prowadzenie oddziałów dziennych dla osób uzależnionych od substancji</w:t>
            </w:r>
            <w:r w:rsidRPr="00E4738A">
              <w:t xml:space="preserve"> </w:t>
            </w:r>
            <w:r>
              <w:lastRenderedPageBreak/>
              <w:t>psychoaktywnych</w:t>
            </w:r>
          </w:p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</w:p>
        </w:tc>
        <w:tc>
          <w:tcPr>
            <w:tcW w:w="2413" w:type="dxa"/>
            <w:vMerge w:val="restart"/>
            <w:vAlign w:val="center"/>
          </w:tcPr>
          <w:p w:rsidR="00506F30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  <w:p w:rsidR="00506F30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21C03">
              <w:rPr>
                <w:sz w:val="22"/>
                <w:szCs w:val="22"/>
              </w:rPr>
              <w:t xml:space="preserve">iuro </w:t>
            </w:r>
            <w:r w:rsidRPr="0023505C">
              <w:rPr>
                <w:sz w:val="22"/>
                <w:szCs w:val="22"/>
              </w:rPr>
              <w:t>Pomocy i Projektów Społecznych</w:t>
            </w:r>
            <w:r w:rsidRPr="00921C03">
              <w:rPr>
                <w:sz w:val="22"/>
                <w:szCs w:val="22"/>
              </w:rPr>
              <w:t xml:space="preserve">, publiczne i niepubliczne zakłady opieki zdrowotnej, organizacje </w:t>
            </w:r>
            <w:r>
              <w:rPr>
                <w:sz w:val="22"/>
                <w:szCs w:val="22"/>
              </w:rPr>
              <w:t>pozarządowe</w:t>
            </w:r>
          </w:p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921C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używające środki psychoaktywne i eksperymentujące, osoby uzależnione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placówek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pacjentów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646338">
              <w:lastRenderedPageBreak/>
              <w:t>Realizacja adekwatnej (z uwzględnieniem potrzeb, wieku, stanu zdrowia i innych ważnych w tym obszarze zmiennych) oferty terapeutycznej w systemie opieki ambulatoryjnej przeznaczonej dla użytkowników substancji psychoaktywnych, w tym min.: interwencje, programy krótkoterminowe i długoterminowe, wsparcie grupowe, wsparcie rodzin i bliskich, podnoszenie kompetencji społecznych, osobistych i zawodowych, pomoc socjalna i prawna.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uzależnione od środków psychoaktywnych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ofert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pacjentów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placówek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 xml:space="preserve">Praca </w:t>
            </w:r>
            <w:r>
              <w:t>środowiskowa</w:t>
            </w:r>
            <w:r w:rsidRPr="00E4738A">
              <w:t xml:space="preserve"> prowadzon</w:t>
            </w:r>
            <w:r>
              <w:t>a</w:t>
            </w:r>
            <w:r w:rsidRPr="00E4738A">
              <w:t xml:space="preserve"> w środowisku osób uzależnionych od </w:t>
            </w:r>
            <w:r>
              <w:t>substancji psychoaktywnych</w:t>
            </w:r>
          </w:p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uzależnione od środków psychoaktywnych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streetworkerów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odbiorców</w:t>
            </w:r>
          </w:p>
          <w:p w:rsidR="00506F30" w:rsidRPr="00E4738A" w:rsidRDefault="00506F30" w:rsidP="00211D0C">
            <w:pPr>
              <w:widowControl w:val="0"/>
              <w:tabs>
                <w:tab w:val="num" w:pos="342"/>
              </w:tabs>
              <w:suppressAutoHyphens/>
              <w:ind w:left="360" w:hanging="662"/>
            </w:pP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>
              <w:t xml:space="preserve">Realizacja programów </w:t>
            </w:r>
            <w:r w:rsidRPr="00E4738A">
              <w:t>rehabilitacyjnych i socjalnych kierowanych do uczestników programów substytucyjnych i ich rodzin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Pacjenci programów substytucyjnych i ich rodziny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 xml:space="preserve">Liczba odbiorców 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>Realizacja ambulatoryjnych i stacjonarnych programów ograniczania szkód zdrowotnych</w:t>
            </w:r>
            <w:r>
              <w:t xml:space="preserve"> i społecznych 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uzależnione od środków psychoaktywnych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odbiorców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 xml:space="preserve">Prowadzenie punktów doraźnej pomocy medycznej i </w:t>
            </w:r>
            <w:r w:rsidRPr="00E4738A">
              <w:lastRenderedPageBreak/>
              <w:t xml:space="preserve">socjalnej dla osób </w:t>
            </w:r>
            <w:r>
              <w:t>substancji psychoaktywnych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</w:p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 xml:space="preserve">Osoby uzależnione od </w:t>
            </w:r>
            <w:r w:rsidRPr="00E4738A">
              <w:lastRenderedPageBreak/>
              <w:t>środków psychoaktywnych</w:t>
            </w:r>
          </w:p>
        </w:tc>
        <w:tc>
          <w:tcPr>
            <w:tcW w:w="4567" w:type="dxa"/>
            <w:vAlign w:val="center"/>
          </w:tcPr>
          <w:p w:rsidR="00506F30" w:rsidRDefault="00506F30" w:rsidP="00211D0C">
            <w:pPr>
              <w:widowControl w:val="0"/>
              <w:suppressAutoHyphens/>
            </w:pPr>
          </w:p>
          <w:p w:rsidR="00506F30" w:rsidRPr="00E4738A" w:rsidRDefault="00506F30" w:rsidP="00211D0C">
            <w:pPr>
              <w:widowControl w:val="0"/>
              <w:suppressAutoHyphens/>
            </w:pPr>
            <w:r w:rsidRPr="00E4738A">
              <w:t>Liczba punktów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lastRenderedPageBreak/>
              <w:t>Liczba odbiorców</w:t>
            </w:r>
          </w:p>
          <w:p w:rsidR="00506F30" w:rsidRPr="00E4738A" w:rsidRDefault="00506F30" w:rsidP="00211D0C">
            <w:pPr>
              <w:widowControl w:val="0"/>
              <w:tabs>
                <w:tab w:val="num" w:pos="342"/>
              </w:tabs>
              <w:suppressAutoHyphens/>
              <w:ind w:left="360" w:hanging="662"/>
            </w:pPr>
          </w:p>
        </w:tc>
      </w:tr>
      <w:tr w:rsidR="00506F30" w:rsidRPr="00F92A42" w:rsidTr="00211D0C">
        <w:trPr>
          <w:jc w:val="center"/>
        </w:trPr>
        <w:tc>
          <w:tcPr>
            <w:tcW w:w="12706" w:type="dxa"/>
            <w:gridSpan w:val="4"/>
            <w:shd w:val="clear" w:color="auto" w:fill="F2DBDB"/>
            <w:vAlign w:val="center"/>
          </w:tcPr>
          <w:p w:rsidR="00506F30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</w:p>
          <w:p w:rsidR="00506F30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  <w:r w:rsidRPr="00F92A42">
              <w:rPr>
                <w:b/>
                <w:sz w:val="28"/>
                <w:szCs w:val="28"/>
              </w:rPr>
              <w:t>POSTREHABILITACJA I POMOC SOCJALNA</w:t>
            </w:r>
          </w:p>
          <w:p w:rsidR="00506F30" w:rsidRPr="00F92A42" w:rsidRDefault="00506F30" w:rsidP="00211D0C">
            <w:pPr>
              <w:widowControl w:val="0"/>
              <w:suppressAutoHyphens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>Realizacja działań ukierunkowanych na utrwalenie efektów terapii i podnoszenie umiejętności społecznych prowadzonych w mieszkaniach chronionych, placówkach ambulatoryjnych, schroniskach</w:t>
            </w:r>
          </w:p>
        </w:tc>
        <w:tc>
          <w:tcPr>
            <w:tcW w:w="2413" w:type="dxa"/>
            <w:vMerge w:val="restart"/>
            <w:vAlign w:val="center"/>
          </w:tcPr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>Biuro Pomocy i Projektów Społecznych,</w:t>
            </w:r>
          </w:p>
          <w:p w:rsidR="00506F30" w:rsidRPr="0023505C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23505C">
              <w:rPr>
                <w:sz w:val="22"/>
                <w:szCs w:val="22"/>
              </w:rPr>
              <w:t xml:space="preserve">organizacje pozarządowe, </w:t>
            </w:r>
          </w:p>
          <w:p w:rsidR="00506F30" w:rsidRPr="00921C03" w:rsidRDefault="00506F30" w:rsidP="00211D0C">
            <w:pPr>
              <w:widowControl w:val="0"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utrzymujące abstynencję od środków psychoaktywnych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mieszkań/schronisk</w:t>
            </w:r>
          </w:p>
          <w:p w:rsidR="00506F30" w:rsidRDefault="00506F30" w:rsidP="00211D0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odbiorców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>
              <w:t>Liczba osób które utrzymują abstynencję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>Realizacja działań na rzecz rozwiązywania problemów socjalno-bytowych osób uzależnionych, utrzymujących abstynencję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suppressAutoHyphens/>
              <w:jc w:val="center"/>
            </w:pPr>
            <w:r w:rsidRPr="00E4738A">
              <w:t>Osoby utrzymujące abstynencję od środków psychoaktywnych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left="342" w:hanging="284"/>
            </w:pPr>
            <w:r w:rsidRPr="00E4738A">
              <w:t>Liczba odbiorców</w:t>
            </w:r>
          </w:p>
        </w:tc>
      </w:tr>
      <w:tr w:rsidR="00506F30" w:rsidRPr="00921C03" w:rsidTr="00211D0C">
        <w:trPr>
          <w:jc w:val="center"/>
        </w:trPr>
        <w:tc>
          <w:tcPr>
            <w:tcW w:w="3240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</w:pPr>
            <w:r w:rsidRPr="00E4738A">
              <w:t>Realizacja programów aktywizacji zawodowej osób uzależnionych, utrzymujących abstynencję</w:t>
            </w:r>
          </w:p>
        </w:tc>
        <w:tc>
          <w:tcPr>
            <w:tcW w:w="2413" w:type="dxa"/>
            <w:vMerge/>
            <w:vAlign w:val="center"/>
          </w:tcPr>
          <w:p w:rsidR="00506F30" w:rsidRPr="00921C03" w:rsidRDefault="00506F30" w:rsidP="00211D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506F30" w:rsidRPr="00E4738A" w:rsidRDefault="00506F30" w:rsidP="00211D0C">
            <w:pPr>
              <w:widowControl w:val="0"/>
              <w:tabs>
                <w:tab w:val="left" w:pos="709"/>
              </w:tabs>
              <w:suppressAutoHyphens/>
              <w:jc w:val="center"/>
            </w:pPr>
            <w:r w:rsidRPr="00E4738A">
              <w:t>Osoby utrzymujące abstynencję od środków psychoaktywnych</w:t>
            </w:r>
          </w:p>
        </w:tc>
        <w:tc>
          <w:tcPr>
            <w:tcW w:w="4567" w:type="dxa"/>
            <w:vAlign w:val="center"/>
          </w:tcPr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programów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odbiorców</w:t>
            </w:r>
          </w:p>
          <w:p w:rsidR="00506F30" w:rsidRPr="00E4738A" w:rsidRDefault="00506F30" w:rsidP="00211D0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2"/>
              </w:tabs>
              <w:suppressAutoHyphens/>
              <w:ind w:hanging="662"/>
            </w:pPr>
            <w:r w:rsidRPr="00E4738A">
              <w:t>Liczba zatrudnionych</w:t>
            </w:r>
          </w:p>
        </w:tc>
      </w:tr>
    </w:tbl>
    <w:p w:rsidR="00506F30" w:rsidRDefault="00506F30" w:rsidP="00506F30">
      <w:pPr>
        <w:jc w:val="both"/>
      </w:pPr>
    </w:p>
    <w:p w:rsidR="00506F30" w:rsidRDefault="00506F30" w:rsidP="00506F30">
      <w:pPr>
        <w:jc w:val="both"/>
      </w:pPr>
    </w:p>
    <w:p w:rsidR="00506F30" w:rsidRDefault="00506F30" w:rsidP="00506F30">
      <w:pPr>
        <w:numPr>
          <w:ilvl w:val="0"/>
          <w:numId w:val="16"/>
        </w:numPr>
        <w:ind w:left="0" w:firstLine="0"/>
        <w:jc w:val="both"/>
      </w:pPr>
      <w:r>
        <w:t xml:space="preserve">Jak wykazują badania naukowe prowadzone w obszarze skuteczności różnorodnych oddziaływań w profilaktyce uniwersalnej, a więc adresowanej do całej populacji uczniów, takie rodzaje działań jak festyny, konkursy, zajęcia sportowe, alternatywne formy spędzania czasu itp. </w:t>
      </w:r>
      <w:r w:rsidRPr="00716F02">
        <w:rPr>
          <w:b/>
          <w:u w:val="single"/>
        </w:rPr>
        <w:t>jako samodzielna strategia profilaktyczna nie mają potwierdzonej skuteczności</w:t>
      </w:r>
      <w:r>
        <w:t xml:space="preserve"> w zakresie ograniczania spożywania substancji psychoaktywnych przez młodych ludzi. Tego typu działania oraz jednorazowe wydarzenia typu pogadanki, spotkania profilaktyczne, konkursy profilaktyczne nie powinny być finansowane w ramach realizacji niniejszego Programu.</w:t>
      </w:r>
    </w:p>
    <w:p w:rsidR="00506F30" w:rsidRDefault="00506F30" w:rsidP="00506F30">
      <w:pPr>
        <w:ind w:left="720"/>
        <w:jc w:val="both"/>
      </w:pPr>
      <w:r>
        <w:t>Należy dążyć do tego, aby w ramach działań profilaktycznych zwiększać udział tych programów, które mają potwierdzoną skuteczność.</w:t>
      </w:r>
      <w:r>
        <w:rPr>
          <w:rStyle w:val="Odwoanieprzypisudolnego"/>
        </w:rPr>
        <w:footnoteReference w:id="1"/>
      </w:r>
      <w:bookmarkEnd w:id="1"/>
    </w:p>
    <w:p w:rsidR="00506F30" w:rsidRDefault="00506F30" w:rsidP="00506F30">
      <w:pPr>
        <w:sectPr w:rsidR="00506F30" w:rsidSect="00A31B96">
          <w:footerReference w:type="even" r:id="rId11"/>
          <w:footerReference w:type="default" r:id="rId12"/>
          <w:pgSz w:w="16838" w:h="11906" w:orient="landscape" w:code="9"/>
          <w:pgMar w:top="719" w:right="1418" w:bottom="899" w:left="1418" w:header="709" w:footer="709" w:gutter="0"/>
          <w:pgNumType w:start="1"/>
          <w:cols w:space="708"/>
          <w:titlePg/>
          <w:docGrid w:linePitch="360"/>
        </w:sectPr>
      </w:pPr>
    </w:p>
    <w:p w:rsidR="00DF1883" w:rsidRDefault="00DF1883"/>
    <w:sectPr w:rsidR="00DF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CD" w:rsidRDefault="00433ACD" w:rsidP="00506F30">
      <w:r>
        <w:separator/>
      </w:r>
    </w:p>
  </w:endnote>
  <w:endnote w:type="continuationSeparator" w:id="0">
    <w:p w:rsidR="00433ACD" w:rsidRDefault="00433ACD" w:rsidP="0050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harik San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arik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628314"/>
      <w:docPartObj>
        <w:docPartGallery w:val="Page Numbers (Bottom of Page)"/>
        <w:docPartUnique/>
      </w:docPartObj>
    </w:sdtPr>
    <w:sdtEndPr/>
    <w:sdtContent>
      <w:p w:rsidR="00DD77E5" w:rsidRDefault="00DD7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E7">
          <w:rPr>
            <w:noProof/>
          </w:rPr>
          <w:t>6</w:t>
        </w:r>
        <w:r>
          <w:fldChar w:fldCharType="end"/>
        </w:r>
      </w:p>
    </w:sdtContent>
  </w:sdt>
  <w:p w:rsidR="00DD77E5" w:rsidRDefault="00DD7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50937"/>
      <w:docPartObj>
        <w:docPartGallery w:val="Page Numbers (Bottom of Page)"/>
        <w:docPartUnique/>
      </w:docPartObj>
    </w:sdtPr>
    <w:sdtEndPr/>
    <w:sdtContent>
      <w:p w:rsidR="00DD77E5" w:rsidRDefault="00DD7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E7">
          <w:rPr>
            <w:noProof/>
          </w:rPr>
          <w:t>1</w:t>
        </w:r>
        <w:r>
          <w:fldChar w:fldCharType="end"/>
        </w:r>
      </w:p>
    </w:sdtContent>
  </w:sdt>
  <w:p w:rsidR="00DD77E5" w:rsidRDefault="00DD7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30" w:rsidRDefault="00506F30" w:rsidP="00A31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6F30" w:rsidRDefault="00506F30" w:rsidP="00A31B96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30" w:rsidRDefault="00506F30" w:rsidP="00A31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BE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06F30" w:rsidRDefault="00506F30" w:rsidP="00A31B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CD" w:rsidRDefault="00433ACD" w:rsidP="00506F30">
      <w:r>
        <w:separator/>
      </w:r>
    </w:p>
  </w:footnote>
  <w:footnote w:type="continuationSeparator" w:id="0">
    <w:p w:rsidR="00433ACD" w:rsidRDefault="00433ACD" w:rsidP="00506F30">
      <w:r>
        <w:continuationSeparator/>
      </w:r>
    </w:p>
  </w:footnote>
  <w:footnote w:id="1">
    <w:p w:rsidR="00506F30" w:rsidRDefault="00506F30" w:rsidP="00506F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02">
        <w:rPr>
          <w:i/>
        </w:rPr>
        <w:t>Rekomendacje PARPA 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62B"/>
    <w:multiLevelType w:val="hybridMultilevel"/>
    <w:tmpl w:val="23CEDB02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D10D5"/>
    <w:multiLevelType w:val="hybridMultilevel"/>
    <w:tmpl w:val="6C82408A"/>
    <w:lvl w:ilvl="0" w:tplc="64EAC7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D42F1"/>
    <w:multiLevelType w:val="hybridMultilevel"/>
    <w:tmpl w:val="9DECDBA4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B2D0B"/>
    <w:multiLevelType w:val="hybridMultilevel"/>
    <w:tmpl w:val="6A92ED38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47BA1"/>
    <w:multiLevelType w:val="hybridMultilevel"/>
    <w:tmpl w:val="062282DA"/>
    <w:lvl w:ilvl="0" w:tplc="8A6E0F5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5">
    <w:nsid w:val="239A120F"/>
    <w:multiLevelType w:val="hybridMultilevel"/>
    <w:tmpl w:val="15C0B2A4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80172"/>
    <w:multiLevelType w:val="hybridMultilevel"/>
    <w:tmpl w:val="4DF897FE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40A0B"/>
    <w:multiLevelType w:val="hybridMultilevel"/>
    <w:tmpl w:val="015091C6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32D0E"/>
    <w:multiLevelType w:val="hybridMultilevel"/>
    <w:tmpl w:val="6C6862D4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B488E"/>
    <w:multiLevelType w:val="hybridMultilevel"/>
    <w:tmpl w:val="A566CA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23651"/>
    <w:multiLevelType w:val="hybridMultilevel"/>
    <w:tmpl w:val="6ED2101C"/>
    <w:lvl w:ilvl="0" w:tplc="A978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E4DD7"/>
    <w:multiLevelType w:val="hybridMultilevel"/>
    <w:tmpl w:val="C8BA11BC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34838"/>
    <w:multiLevelType w:val="hybridMultilevel"/>
    <w:tmpl w:val="F48EB5E4"/>
    <w:lvl w:ilvl="0" w:tplc="D7B00C9A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F15B4"/>
    <w:multiLevelType w:val="hybridMultilevel"/>
    <w:tmpl w:val="AA028226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A47C0"/>
    <w:multiLevelType w:val="hybridMultilevel"/>
    <w:tmpl w:val="A3BE3B1A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A35FF"/>
    <w:multiLevelType w:val="hybridMultilevel"/>
    <w:tmpl w:val="63567106"/>
    <w:lvl w:ilvl="0" w:tplc="216E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15"/>
  </w:num>
  <w:num w:numId="12">
    <w:abstractNumId w:val="6"/>
  </w:num>
  <w:num w:numId="13">
    <w:abstractNumId w:val="7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01157"/>
    <w:rsid w:val="00001269"/>
    <w:rsid w:val="0000166E"/>
    <w:rsid w:val="00010134"/>
    <w:rsid w:val="00011F33"/>
    <w:rsid w:val="00012C45"/>
    <w:rsid w:val="00013A0C"/>
    <w:rsid w:val="00015161"/>
    <w:rsid w:val="0001566F"/>
    <w:rsid w:val="00015B12"/>
    <w:rsid w:val="00016D9B"/>
    <w:rsid w:val="000234F8"/>
    <w:rsid w:val="00025011"/>
    <w:rsid w:val="000279CE"/>
    <w:rsid w:val="00032DA4"/>
    <w:rsid w:val="0003409B"/>
    <w:rsid w:val="00044DAD"/>
    <w:rsid w:val="000577E2"/>
    <w:rsid w:val="00063B67"/>
    <w:rsid w:val="0006648E"/>
    <w:rsid w:val="00066AA4"/>
    <w:rsid w:val="00072673"/>
    <w:rsid w:val="00084880"/>
    <w:rsid w:val="00090286"/>
    <w:rsid w:val="00090A08"/>
    <w:rsid w:val="00095B3D"/>
    <w:rsid w:val="000A380D"/>
    <w:rsid w:val="000B1891"/>
    <w:rsid w:val="000B30E8"/>
    <w:rsid w:val="000B390E"/>
    <w:rsid w:val="000B6ADE"/>
    <w:rsid w:val="000C0EB6"/>
    <w:rsid w:val="000C6E38"/>
    <w:rsid w:val="000D38FB"/>
    <w:rsid w:val="000D6CB4"/>
    <w:rsid w:val="000D73D4"/>
    <w:rsid w:val="000E1635"/>
    <w:rsid w:val="000E3F4B"/>
    <w:rsid w:val="000E5DAE"/>
    <w:rsid w:val="000E67C3"/>
    <w:rsid w:val="000E6AFD"/>
    <w:rsid w:val="000F4AB7"/>
    <w:rsid w:val="000F76A1"/>
    <w:rsid w:val="00104D20"/>
    <w:rsid w:val="00106816"/>
    <w:rsid w:val="0010719A"/>
    <w:rsid w:val="00112CAE"/>
    <w:rsid w:val="00113135"/>
    <w:rsid w:val="00114D15"/>
    <w:rsid w:val="00115D10"/>
    <w:rsid w:val="0011655E"/>
    <w:rsid w:val="00116569"/>
    <w:rsid w:val="0012300D"/>
    <w:rsid w:val="00132185"/>
    <w:rsid w:val="001534FA"/>
    <w:rsid w:val="00165DDF"/>
    <w:rsid w:val="0017221E"/>
    <w:rsid w:val="00174704"/>
    <w:rsid w:val="00187E3A"/>
    <w:rsid w:val="001944B0"/>
    <w:rsid w:val="001A0D4F"/>
    <w:rsid w:val="001A222C"/>
    <w:rsid w:val="001A23E3"/>
    <w:rsid w:val="001B3E0E"/>
    <w:rsid w:val="001B5ED8"/>
    <w:rsid w:val="001B70E5"/>
    <w:rsid w:val="001C2752"/>
    <w:rsid w:val="001C5C17"/>
    <w:rsid w:val="001D7534"/>
    <w:rsid w:val="001E282F"/>
    <w:rsid w:val="001F0A2E"/>
    <w:rsid w:val="001F1E29"/>
    <w:rsid w:val="001F20E8"/>
    <w:rsid w:val="001F47B3"/>
    <w:rsid w:val="001F66ED"/>
    <w:rsid w:val="001F6F2F"/>
    <w:rsid w:val="00211C8D"/>
    <w:rsid w:val="0021518B"/>
    <w:rsid w:val="00220483"/>
    <w:rsid w:val="00225266"/>
    <w:rsid w:val="00234F4E"/>
    <w:rsid w:val="00236F0F"/>
    <w:rsid w:val="00241A79"/>
    <w:rsid w:val="002436F4"/>
    <w:rsid w:val="0025251E"/>
    <w:rsid w:val="00262C71"/>
    <w:rsid w:val="00262EDA"/>
    <w:rsid w:val="00286084"/>
    <w:rsid w:val="0029013C"/>
    <w:rsid w:val="00296C7F"/>
    <w:rsid w:val="002A02DA"/>
    <w:rsid w:val="002A1D4D"/>
    <w:rsid w:val="002A6B9A"/>
    <w:rsid w:val="002B2A92"/>
    <w:rsid w:val="002C35D6"/>
    <w:rsid w:val="002C71E1"/>
    <w:rsid w:val="002C7449"/>
    <w:rsid w:val="002D02ED"/>
    <w:rsid w:val="002E5D89"/>
    <w:rsid w:val="002E6082"/>
    <w:rsid w:val="002F413C"/>
    <w:rsid w:val="002F4DFB"/>
    <w:rsid w:val="002F7604"/>
    <w:rsid w:val="003030CB"/>
    <w:rsid w:val="00303D02"/>
    <w:rsid w:val="0030753D"/>
    <w:rsid w:val="00315D7B"/>
    <w:rsid w:val="003225AA"/>
    <w:rsid w:val="00324649"/>
    <w:rsid w:val="00325E24"/>
    <w:rsid w:val="0032763B"/>
    <w:rsid w:val="0033213A"/>
    <w:rsid w:val="00336880"/>
    <w:rsid w:val="00336E5E"/>
    <w:rsid w:val="00350EDB"/>
    <w:rsid w:val="003529B3"/>
    <w:rsid w:val="00353B2D"/>
    <w:rsid w:val="0035581F"/>
    <w:rsid w:val="00366F37"/>
    <w:rsid w:val="00375381"/>
    <w:rsid w:val="003763F1"/>
    <w:rsid w:val="00383DA3"/>
    <w:rsid w:val="00384A60"/>
    <w:rsid w:val="00391025"/>
    <w:rsid w:val="00393769"/>
    <w:rsid w:val="00396297"/>
    <w:rsid w:val="00397E89"/>
    <w:rsid w:val="003A16D6"/>
    <w:rsid w:val="003A46FA"/>
    <w:rsid w:val="003B126D"/>
    <w:rsid w:val="003B16D6"/>
    <w:rsid w:val="003B55A7"/>
    <w:rsid w:val="003C56E7"/>
    <w:rsid w:val="003D2434"/>
    <w:rsid w:val="003D4A83"/>
    <w:rsid w:val="003D6F2A"/>
    <w:rsid w:val="003E0038"/>
    <w:rsid w:val="003E7BDB"/>
    <w:rsid w:val="003F298F"/>
    <w:rsid w:val="003F3B7D"/>
    <w:rsid w:val="00404556"/>
    <w:rsid w:val="00433ACD"/>
    <w:rsid w:val="0044153F"/>
    <w:rsid w:val="00455F68"/>
    <w:rsid w:val="00456F6B"/>
    <w:rsid w:val="00460B2C"/>
    <w:rsid w:val="0046233C"/>
    <w:rsid w:val="00463888"/>
    <w:rsid w:val="0047030E"/>
    <w:rsid w:val="004741AE"/>
    <w:rsid w:val="00475796"/>
    <w:rsid w:val="004827D4"/>
    <w:rsid w:val="00490642"/>
    <w:rsid w:val="00491664"/>
    <w:rsid w:val="00494DD2"/>
    <w:rsid w:val="004A3A07"/>
    <w:rsid w:val="004A7568"/>
    <w:rsid w:val="004B26ED"/>
    <w:rsid w:val="004B2EAF"/>
    <w:rsid w:val="004C1CCA"/>
    <w:rsid w:val="004C40DF"/>
    <w:rsid w:val="004D32BA"/>
    <w:rsid w:val="004D442A"/>
    <w:rsid w:val="004E0FB9"/>
    <w:rsid w:val="004F7EE8"/>
    <w:rsid w:val="0050467F"/>
    <w:rsid w:val="00505124"/>
    <w:rsid w:val="00506F30"/>
    <w:rsid w:val="00507B71"/>
    <w:rsid w:val="005167B3"/>
    <w:rsid w:val="00517002"/>
    <w:rsid w:val="005234A3"/>
    <w:rsid w:val="00535B5E"/>
    <w:rsid w:val="005400EA"/>
    <w:rsid w:val="00542981"/>
    <w:rsid w:val="00544B4C"/>
    <w:rsid w:val="00547788"/>
    <w:rsid w:val="0055003F"/>
    <w:rsid w:val="00552A11"/>
    <w:rsid w:val="005533E1"/>
    <w:rsid w:val="00553432"/>
    <w:rsid w:val="00554758"/>
    <w:rsid w:val="005562C0"/>
    <w:rsid w:val="005742D1"/>
    <w:rsid w:val="00591D3C"/>
    <w:rsid w:val="00591E28"/>
    <w:rsid w:val="00592061"/>
    <w:rsid w:val="00596946"/>
    <w:rsid w:val="005A3183"/>
    <w:rsid w:val="005A64F4"/>
    <w:rsid w:val="005A7166"/>
    <w:rsid w:val="005C1D98"/>
    <w:rsid w:val="005C5E8F"/>
    <w:rsid w:val="005C7061"/>
    <w:rsid w:val="00602DA8"/>
    <w:rsid w:val="006037A0"/>
    <w:rsid w:val="006039D4"/>
    <w:rsid w:val="00614001"/>
    <w:rsid w:val="00614B2D"/>
    <w:rsid w:val="0061683C"/>
    <w:rsid w:val="00626E9E"/>
    <w:rsid w:val="006271DB"/>
    <w:rsid w:val="00630E05"/>
    <w:rsid w:val="00636EAE"/>
    <w:rsid w:val="006411E7"/>
    <w:rsid w:val="006603BB"/>
    <w:rsid w:val="00664906"/>
    <w:rsid w:val="00666516"/>
    <w:rsid w:val="0067046C"/>
    <w:rsid w:val="00672EEB"/>
    <w:rsid w:val="00673B98"/>
    <w:rsid w:val="00683DE5"/>
    <w:rsid w:val="006952EF"/>
    <w:rsid w:val="006A34B6"/>
    <w:rsid w:val="006A432F"/>
    <w:rsid w:val="006A57F6"/>
    <w:rsid w:val="006A6793"/>
    <w:rsid w:val="006A6FC1"/>
    <w:rsid w:val="006B3E34"/>
    <w:rsid w:val="006C3EBD"/>
    <w:rsid w:val="006C5424"/>
    <w:rsid w:val="006C6C6F"/>
    <w:rsid w:val="006D1AA9"/>
    <w:rsid w:val="006D6769"/>
    <w:rsid w:val="006E1CD1"/>
    <w:rsid w:val="006E1D7B"/>
    <w:rsid w:val="006E20D5"/>
    <w:rsid w:val="006E7C79"/>
    <w:rsid w:val="006F6278"/>
    <w:rsid w:val="00703507"/>
    <w:rsid w:val="0070367E"/>
    <w:rsid w:val="007149AA"/>
    <w:rsid w:val="00715A50"/>
    <w:rsid w:val="007235FC"/>
    <w:rsid w:val="00724B8B"/>
    <w:rsid w:val="00725584"/>
    <w:rsid w:val="00726881"/>
    <w:rsid w:val="00733634"/>
    <w:rsid w:val="007424B4"/>
    <w:rsid w:val="00742B5C"/>
    <w:rsid w:val="00743907"/>
    <w:rsid w:val="007628C0"/>
    <w:rsid w:val="007655C0"/>
    <w:rsid w:val="00773BE9"/>
    <w:rsid w:val="007741C0"/>
    <w:rsid w:val="00776A80"/>
    <w:rsid w:val="00787140"/>
    <w:rsid w:val="00794074"/>
    <w:rsid w:val="007A0A53"/>
    <w:rsid w:val="007A1BDA"/>
    <w:rsid w:val="007A4815"/>
    <w:rsid w:val="007B00B1"/>
    <w:rsid w:val="007B184E"/>
    <w:rsid w:val="007B6B53"/>
    <w:rsid w:val="007C50B3"/>
    <w:rsid w:val="007D0B76"/>
    <w:rsid w:val="007D39C2"/>
    <w:rsid w:val="007E75F5"/>
    <w:rsid w:val="007F0200"/>
    <w:rsid w:val="007F15BE"/>
    <w:rsid w:val="008139ED"/>
    <w:rsid w:val="008229FE"/>
    <w:rsid w:val="00831558"/>
    <w:rsid w:val="008319A3"/>
    <w:rsid w:val="0083361C"/>
    <w:rsid w:val="00840697"/>
    <w:rsid w:val="008419D3"/>
    <w:rsid w:val="00841EAD"/>
    <w:rsid w:val="008436E3"/>
    <w:rsid w:val="00845FA7"/>
    <w:rsid w:val="00847A70"/>
    <w:rsid w:val="00853322"/>
    <w:rsid w:val="008541BB"/>
    <w:rsid w:val="00861B48"/>
    <w:rsid w:val="008625B8"/>
    <w:rsid w:val="0086335B"/>
    <w:rsid w:val="00871102"/>
    <w:rsid w:val="008777CC"/>
    <w:rsid w:val="00880D1C"/>
    <w:rsid w:val="00884941"/>
    <w:rsid w:val="008944C5"/>
    <w:rsid w:val="0089652C"/>
    <w:rsid w:val="008A2F8C"/>
    <w:rsid w:val="008B4198"/>
    <w:rsid w:val="008B4DA2"/>
    <w:rsid w:val="008B5FC8"/>
    <w:rsid w:val="008B6462"/>
    <w:rsid w:val="008C2676"/>
    <w:rsid w:val="008C32A5"/>
    <w:rsid w:val="008D0845"/>
    <w:rsid w:val="008D5CCE"/>
    <w:rsid w:val="008E0283"/>
    <w:rsid w:val="008E0B8A"/>
    <w:rsid w:val="008E2B63"/>
    <w:rsid w:val="008E5A24"/>
    <w:rsid w:val="008F36F7"/>
    <w:rsid w:val="008F4F64"/>
    <w:rsid w:val="008F5D9E"/>
    <w:rsid w:val="008F7620"/>
    <w:rsid w:val="009033C0"/>
    <w:rsid w:val="00906C51"/>
    <w:rsid w:val="009132C3"/>
    <w:rsid w:val="009256A8"/>
    <w:rsid w:val="009270D3"/>
    <w:rsid w:val="009330F9"/>
    <w:rsid w:val="009349B4"/>
    <w:rsid w:val="009411F6"/>
    <w:rsid w:val="009419D1"/>
    <w:rsid w:val="00945B9D"/>
    <w:rsid w:val="00953D15"/>
    <w:rsid w:val="009576E3"/>
    <w:rsid w:val="00962EDC"/>
    <w:rsid w:val="00965590"/>
    <w:rsid w:val="009771D9"/>
    <w:rsid w:val="009774A3"/>
    <w:rsid w:val="009A27D5"/>
    <w:rsid w:val="009A7B53"/>
    <w:rsid w:val="009B08CB"/>
    <w:rsid w:val="009C0B1D"/>
    <w:rsid w:val="009C2E40"/>
    <w:rsid w:val="009C376E"/>
    <w:rsid w:val="009D0428"/>
    <w:rsid w:val="009D363B"/>
    <w:rsid w:val="009E0A6C"/>
    <w:rsid w:val="009E398C"/>
    <w:rsid w:val="009F1A9E"/>
    <w:rsid w:val="009F432C"/>
    <w:rsid w:val="009F5029"/>
    <w:rsid w:val="00A115D3"/>
    <w:rsid w:val="00A12F68"/>
    <w:rsid w:val="00A140F1"/>
    <w:rsid w:val="00A1626B"/>
    <w:rsid w:val="00A245C8"/>
    <w:rsid w:val="00A26816"/>
    <w:rsid w:val="00A30803"/>
    <w:rsid w:val="00A35AEE"/>
    <w:rsid w:val="00A35B6F"/>
    <w:rsid w:val="00A437B8"/>
    <w:rsid w:val="00A459C3"/>
    <w:rsid w:val="00A476D1"/>
    <w:rsid w:val="00A61A0C"/>
    <w:rsid w:val="00A73D09"/>
    <w:rsid w:val="00A74208"/>
    <w:rsid w:val="00A77B04"/>
    <w:rsid w:val="00A77E9B"/>
    <w:rsid w:val="00A81547"/>
    <w:rsid w:val="00A83376"/>
    <w:rsid w:val="00A8692C"/>
    <w:rsid w:val="00A925D1"/>
    <w:rsid w:val="00AA1479"/>
    <w:rsid w:val="00AB01F8"/>
    <w:rsid w:val="00AC3803"/>
    <w:rsid w:val="00AE7F4A"/>
    <w:rsid w:val="00B07B08"/>
    <w:rsid w:val="00B07F8F"/>
    <w:rsid w:val="00B140DB"/>
    <w:rsid w:val="00B20FFB"/>
    <w:rsid w:val="00B25253"/>
    <w:rsid w:val="00B30652"/>
    <w:rsid w:val="00B309CB"/>
    <w:rsid w:val="00B328D8"/>
    <w:rsid w:val="00B371DC"/>
    <w:rsid w:val="00B41FF2"/>
    <w:rsid w:val="00B44A60"/>
    <w:rsid w:val="00B52C6A"/>
    <w:rsid w:val="00B60E15"/>
    <w:rsid w:val="00B75641"/>
    <w:rsid w:val="00B840D3"/>
    <w:rsid w:val="00B848E7"/>
    <w:rsid w:val="00B90BFA"/>
    <w:rsid w:val="00B93501"/>
    <w:rsid w:val="00B9391A"/>
    <w:rsid w:val="00B94FB2"/>
    <w:rsid w:val="00B96089"/>
    <w:rsid w:val="00B960C8"/>
    <w:rsid w:val="00BA009C"/>
    <w:rsid w:val="00BB5744"/>
    <w:rsid w:val="00BC126B"/>
    <w:rsid w:val="00BC1F96"/>
    <w:rsid w:val="00BC2BE7"/>
    <w:rsid w:val="00BC2F7B"/>
    <w:rsid w:val="00BD5510"/>
    <w:rsid w:val="00BD66A2"/>
    <w:rsid w:val="00BE0535"/>
    <w:rsid w:val="00BE11C3"/>
    <w:rsid w:val="00BE439F"/>
    <w:rsid w:val="00BE4E56"/>
    <w:rsid w:val="00BE6D45"/>
    <w:rsid w:val="00BF2B71"/>
    <w:rsid w:val="00BF38E2"/>
    <w:rsid w:val="00BF456A"/>
    <w:rsid w:val="00C000CA"/>
    <w:rsid w:val="00C0078D"/>
    <w:rsid w:val="00C060DC"/>
    <w:rsid w:val="00C064D6"/>
    <w:rsid w:val="00C07FC5"/>
    <w:rsid w:val="00C11990"/>
    <w:rsid w:val="00C11EBB"/>
    <w:rsid w:val="00C2031C"/>
    <w:rsid w:val="00C27809"/>
    <w:rsid w:val="00C27EDE"/>
    <w:rsid w:val="00C327F7"/>
    <w:rsid w:val="00C34517"/>
    <w:rsid w:val="00C40EAD"/>
    <w:rsid w:val="00C453BD"/>
    <w:rsid w:val="00C52318"/>
    <w:rsid w:val="00C63B41"/>
    <w:rsid w:val="00C64CE1"/>
    <w:rsid w:val="00C7088A"/>
    <w:rsid w:val="00C741F1"/>
    <w:rsid w:val="00C74A12"/>
    <w:rsid w:val="00C76B44"/>
    <w:rsid w:val="00C87E81"/>
    <w:rsid w:val="00C957E6"/>
    <w:rsid w:val="00C96EC6"/>
    <w:rsid w:val="00CA2CA3"/>
    <w:rsid w:val="00CA40A8"/>
    <w:rsid w:val="00CA4D38"/>
    <w:rsid w:val="00CA6F1E"/>
    <w:rsid w:val="00CB0B70"/>
    <w:rsid w:val="00CC1AB3"/>
    <w:rsid w:val="00CC2117"/>
    <w:rsid w:val="00CC2C68"/>
    <w:rsid w:val="00CC6E0E"/>
    <w:rsid w:val="00CC7432"/>
    <w:rsid w:val="00CD4817"/>
    <w:rsid w:val="00CF42C6"/>
    <w:rsid w:val="00D124ED"/>
    <w:rsid w:val="00D12903"/>
    <w:rsid w:val="00D1684F"/>
    <w:rsid w:val="00D2174E"/>
    <w:rsid w:val="00D24405"/>
    <w:rsid w:val="00D32022"/>
    <w:rsid w:val="00D40FFE"/>
    <w:rsid w:val="00D50257"/>
    <w:rsid w:val="00D51A44"/>
    <w:rsid w:val="00D557BF"/>
    <w:rsid w:val="00D55B38"/>
    <w:rsid w:val="00D81C37"/>
    <w:rsid w:val="00D83306"/>
    <w:rsid w:val="00D85652"/>
    <w:rsid w:val="00D95279"/>
    <w:rsid w:val="00D9646D"/>
    <w:rsid w:val="00DA0D53"/>
    <w:rsid w:val="00DB12C2"/>
    <w:rsid w:val="00DC62F6"/>
    <w:rsid w:val="00DD2091"/>
    <w:rsid w:val="00DD23FA"/>
    <w:rsid w:val="00DD77E5"/>
    <w:rsid w:val="00DE0AC9"/>
    <w:rsid w:val="00DF0517"/>
    <w:rsid w:val="00DF1883"/>
    <w:rsid w:val="00DF2B93"/>
    <w:rsid w:val="00E022A3"/>
    <w:rsid w:val="00E06501"/>
    <w:rsid w:val="00E1436F"/>
    <w:rsid w:val="00E247EF"/>
    <w:rsid w:val="00E24F96"/>
    <w:rsid w:val="00E255A9"/>
    <w:rsid w:val="00E26ECA"/>
    <w:rsid w:val="00E31313"/>
    <w:rsid w:val="00E3493B"/>
    <w:rsid w:val="00E37BC4"/>
    <w:rsid w:val="00E43C27"/>
    <w:rsid w:val="00E44BC8"/>
    <w:rsid w:val="00E474B3"/>
    <w:rsid w:val="00E51CC1"/>
    <w:rsid w:val="00E745E6"/>
    <w:rsid w:val="00E75EEC"/>
    <w:rsid w:val="00EA3ED8"/>
    <w:rsid w:val="00EC012C"/>
    <w:rsid w:val="00EC0390"/>
    <w:rsid w:val="00EC10E2"/>
    <w:rsid w:val="00EC52F2"/>
    <w:rsid w:val="00EC6A50"/>
    <w:rsid w:val="00ED700F"/>
    <w:rsid w:val="00EE333B"/>
    <w:rsid w:val="00EF2461"/>
    <w:rsid w:val="00EF4963"/>
    <w:rsid w:val="00EF6B44"/>
    <w:rsid w:val="00F02F09"/>
    <w:rsid w:val="00F138B4"/>
    <w:rsid w:val="00F21F9C"/>
    <w:rsid w:val="00F31FB7"/>
    <w:rsid w:val="00F32403"/>
    <w:rsid w:val="00F37FAE"/>
    <w:rsid w:val="00F400E6"/>
    <w:rsid w:val="00F4158E"/>
    <w:rsid w:val="00F57CB2"/>
    <w:rsid w:val="00F603F0"/>
    <w:rsid w:val="00F604F0"/>
    <w:rsid w:val="00F6061B"/>
    <w:rsid w:val="00F63D0B"/>
    <w:rsid w:val="00F66B40"/>
    <w:rsid w:val="00F67EC8"/>
    <w:rsid w:val="00F75EE7"/>
    <w:rsid w:val="00F83338"/>
    <w:rsid w:val="00F840A6"/>
    <w:rsid w:val="00F86BFD"/>
    <w:rsid w:val="00F922C2"/>
    <w:rsid w:val="00F93B12"/>
    <w:rsid w:val="00F93CF4"/>
    <w:rsid w:val="00F940D9"/>
    <w:rsid w:val="00FA1A85"/>
    <w:rsid w:val="00FA58FC"/>
    <w:rsid w:val="00FC449B"/>
    <w:rsid w:val="00FD18CF"/>
    <w:rsid w:val="00FD6A8F"/>
    <w:rsid w:val="00FD6C05"/>
    <w:rsid w:val="00FE2FCC"/>
    <w:rsid w:val="00FE3EA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06F3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06F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6F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6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06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6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2">
    <w:name w:val="Pa22"/>
    <w:basedOn w:val="Default"/>
    <w:next w:val="Default"/>
    <w:rsid w:val="00506F30"/>
    <w:pPr>
      <w:spacing w:line="181" w:lineRule="atLeast"/>
    </w:pPr>
    <w:rPr>
      <w:rFonts w:ascii="Sharik Sans Bold" w:hAnsi="Sharik Sans Bold"/>
      <w:color w:val="auto"/>
    </w:rPr>
  </w:style>
  <w:style w:type="paragraph" w:customStyle="1" w:styleId="Pa24">
    <w:name w:val="Pa24"/>
    <w:basedOn w:val="Default"/>
    <w:next w:val="Default"/>
    <w:rsid w:val="00506F30"/>
    <w:pPr>
      <w:spacing w:line="181" w:lineRule="atLeast"/>
    </w:pPr>
    <w:rPr>
      <w:rFonts w:ascii="Sharik Sans Bold" w:hAnsi="Sharik Sans Bold"/>
      <w:color w:val="auto"/>
    </w:rPr>
  </w:style>
  <w:style w:type="paragraph" w:styleId="Stopka">
    <w:name w:val="footer"/>
    <w:basedOn w:val="Normalny"/>
    <w:link w:val="StopkaZnak"/>
    <w:uiPriority w:val="99"/>
    <w:rsid w:val="0050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F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06F30"/>
  </w:style>
  <w:style w:type="paragraph" w:styleId="Nagwek">
    <w:name w:val="header"/>
    <w:basedOn w:val="Normalny"/>
    <w:link w:val="NagwekZnak"/>
    <w:uiPriority w:val="99"/>
    <w:unhideWhenUsed/>
    <w:rsid w:val="00DD7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7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B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06F3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06F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6F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6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06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6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2">
    <w:name w:val="Pa22"/>
    <w:basedOn w:val="Default"/>
    <w:next w:val="Default"/>
    <w:rsid w:val="00506F30"/>
    <w:pPr>
      <w:spacing w:line="181" w:lineRule="atLeast"/>
    </w:pPr>
    <w:rPr>
      <w:rFonts w:ascii="Sharik Sans Bold" w:hAnsi="Sharik Sans Bold"/>
      <w:color w:val="auto"/>
    </w:rPr>
  </w:style>
  <w:style w:type="paragraph" w:customStyle="1" w:styleId="Pa24">
    <w:name w:val="Pa24"/>
    <w:basedOn w:val="Default"/>
    <w:next w:val="Default"/>
    <w:rsid w:val="00506F30"/>
    <w:pPr>
      <w:spacing w:line="181" w:lineRule="atLeast"/>
    </w:pPr>
    <w:rPr>
      <w:rFonts w:ascii="Sharik Sans Bold" w:hAnsi="Sharik Sans Bold"/>
      <w:color w:val="auto"/>
    </w:rPr>
  </w:style>
  <w:style w:type="paragraph" w:styleId="Stopka">
    <w:name w:val="footer"/>
    <w:basedOn w:val="Normalny"/>
    <w:link w:val="StopkaZnak"/>
    <w:uiPriority w:val="99"/>
    <w:rsid w:val="0050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F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06F30"/>
  </w:style>
  <w:style w:type="paragraph" w:styleId="Nagwek">
    <w:name w:val="header"/>
    <w:basedOn w:val="Normalny"/>
    <w:link w:val="NagwekZnak"/>
    <w:uiPriority w:val="99"/>
    <w:unhideWhenUsed/>
    <w:rsid w:val="00DD7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7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B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9.1778208203923527E-3"/>
                  <c:y val="1.0650886581476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147227602549049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13" b="0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Arkusz1!$A$2:$A$17</c:f>
              <c:strCache>
                <c:ptCount val="16"/>
                <c:pt idx="0">
                  <c:v>Podlaskie</c:v>
                </c:pt>
                <c:pt idx="1">
                  <c:v>Podkarpackie</c:v>
                </c:pt>
                <c:pt idx="2">
                  <c:v>Opolskie</c:v>
                </c:pt>
                <c:pt idx="3">
                  <c:v>Świętokrzyskie</c:v>
                </c:pt>
                <c:pt idx="4">
                  <c:v>Lubelskie</c:v>
                </c:pt>
                <c:pt idx="5">
                  <c:v>Kujawsko-Pomorskie</c:v>
                </c:pt>
                <c:pt idx="6">
                  <c:v>Łódzkie</c:v>
                </c:pt>
                <c:pt idx="7">
                  <c:v>Małopolskie</c:v>
                </c:pt>
                <c:pt idx="8">
                  <c:v>Pomorskie</c:v>
                </c:pt>
                <c:pt idx="9">
                  <c:v>Lubuskie</c:v>
                </c:pt>
                <c:pt idx="10">
                  <c:v>Warmińsko-Mazurskie</c:v>
                </c:pt>
                <c:pt idx="11">
                  <c:v>Wielkopolskie</c:v>
                </c:pt>
                <c:pt idx="12">
                  <c:v>Zachodniopomorskie</c:v>
                </c:pt>
                <c:pt idx="13">
                  <c:v>Dolnośląskie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Arkusz1!$B$2:$B$17</c:f>
              <c:numCache>
                <c:formatCode>#,##0</c:formatCode>
                <c:ptCount val="16"/>
                <c:pt idx="0">
                  <c:v>82</c:v>
                </c:pt>
                <c:pt idx="1">
                  <c:v>105</c:v>
                </c:pt>
                <c:pt idx="2">
                  <c:v>117</c:v>
                </c:pt>
                <c:pt idx="3">
                  <c:v>150</c:v>
                </c:pt>
                <c:pt idx="4">
                  <c:v>216</c:v>
                </c:pt>
                <c:pt idx="5">
                  <c:v>224</c:v>
                </c:pt>
                <c:pt idx="6">
                  <c:v>242</c:v>
                </c:pt>
                <c:pt idx="7">
                  <c:v>267</c:v>
                </c:pt>
                <c:pt idx="8">
                  <c:v>305</c:v>
                </c:pt>
                <c:pt idx="9">
                  <c:v>316</c:v>
                </c:pt>
                <c:pt idx="10">
                  <c:v>319</c:v>
                </c:pt>
                <c:pt idx="11">
                  <c:v>388</c:v>
                </c:pt>
                <c:pt idx="12">
                  <c:v>430</c:v>
                </c:pt>
                <c:pt idx="13">
                  <c:v>525</c:v>
                </c:pt>
                <c:pt idx="14">
                  <c:v>549</c:v>
                </c:pt>
                <c:pt idx="15">
                  <c:v>973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8831849495300731E-3"/>
                  <c:y val="-7.1005910543175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355641640784789E-2"/>
                  <c:y val="-7.1005910543175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47227602549049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76673123058859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9.1778208203923944E-3"/>
                  <c:y val="-3.5502955271587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147227602549049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13" b="0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Arkusz1!$A$2:$A$17</c:f>
              <c:strCache>
                <c:ptCount val="16"/>
                <c:pt idx="0">
                  <c:v>Podlaskie</c:v>
                </c:pt>
                <c:pt idx="1">
                  <c:v>Podkarpackie</c:v>
                </c:pt>
                <c:pt idx="2">
                  <c:v>Opolskie</c:v>
                </c:pt>
                <c:pt idx="3">
                  <c:v>Świętokrzyskie</c:v>
                </c:pt>
                <c:pt idx="4">
                  <c:v>Lubelskie</c:v>
                </c:pt>
                <c:pt idx="5">
                  <c:v>Kujawsko-Pomorskie</c:v>
                </c:pt>
                <c:pt idx="6">
                  <c:v>Łódzkie</c:v>
                </c:pt>
                <c:pt idx="7">
                  <c:v>Małopolskie</c:v>
                </c:pt>
                <c:pt idx="8">
                  <c:v>Pomorskie</c:v>
                </c:pt>
                <c:pt idx="9">
                  <c:v>Lubuskie</c:v>
                </c:pt>
                <c:pt idx="10">
                  <c:v>Warmińsko-Mazurskie</c:v>
                </c:pt>
                <c:pt idx="11">
                  <c:v>Wielkopolskie</c:v>
                </c:pt>
                <c:pt idx="12">
                  <c:v>Zachodniopomorskie</c:v>
                </c:pt>
                <c:pt idx="13">
                  <c:v>Dolnośląskie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Arkusz1!$C$2:$C$17</c:f>
              <c:numCache>
                <c:formatCode>#,##0</c:formatCode>
                <c:ptCount val="16"/>
                <c:pt idx="0">
                  <c:v>121</c:v>
                </c:pt>
                <c:pt idx="1">
                  <c:v>131</c:v>
                </c:pt>
                <c:pt idx="2">
                  <c:v>129</c:v>
                </c:pt>
                <c:pt idx="3">
                  <c:v>118</c:v>
                </c:pt>
                <c:pt idx="4">
                  <c:v>237</c:v>
                </c:pt>
                <c:pt idx="5">
                  <c:v>290</c:v>
                </c:pt>
                <c:pt idx="6">
                  <c:v>337</c:v>
                </c:pt>
                <c:pt idx="7">
                  <c:v>241</c:v>
                </c:pt>
                <c:pt idx="8">
                  <c:v>346</c:v>
                </c:pt>
                <c:pt idx="9">
                  <c:v>321</c:v>
                </c:pt>
                <c:pt idx="10">
                  <c:v>319</c:v>
                </c:pt>
                <c:pt idx="11">
                  <c:v>503</c:v>
                </c:pt>
                <c:pt idx="12">
                  <c:v>483</c:v>
                </c:pt>
                <c:pt idx="13">
                  <c:v>688</c:v>
                </c:pt>
                <c:pt idx="14">
                  <c:v>628</c:v>
                </c:pt>
                <c:pt idx="15">
                  <c:v>1060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670912"/>
        <c:axId val="165672448"/>
      </c:barChart>
      <c:catAx>
        <c:axId val="165670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53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pl-PL"/>
          </a:p>
        </c:txPr>
        <c:crossAx val="165672448"/>
        <c:crosses val="autoZero"/>
        <c:auto val="1"/>
        <c:lblAlgn val="ctr"/>
        <c:lblOffset val="100"/>
        <c:tickLblSkip val="1"/>
        <c:noMultiLvlLbl val="0"/>
      </c:catAx>
      <c:valAx>
        <c:axId val="165672448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94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pl-PL"/>
          </a:p>
        </c:txPr>
        <c:crossAx val="165670912"/>
        <c:crosses val="autoZero"/>
        <c:crossBetween val="between"/>
      </c:valAx>
      <c:spPr>
        <a:noFill/>
        <a:ln w="20645">
          <a:noFill/>
        </a:ln>
      </c:spPr>
    </c:plotArea>
    <c:legend>
      <c:legendPos val="b"/>
      <c:overlay val="0"/>
      <c:txPr>
        <a:bodyPr/>
        <a:lstStyle/>
        <a:p>
          <a:pPr>
            <a:defRPr sz="687" b="0" i="0" u="none" strike="noStrike" baseline="0">
              <a:solidFill>
                <a:srgbClr val="000000"/>
              </a:solidFill>
              <a:latin typeface="Cambria"/>
              <a:ea typeface="Cambria"/>
              <a:cs typeface="Cambria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463" b="0" i="0" u="none" strike="noStrike" baseline="0">
          <a:solidFill>
            <a:srgbClr val="000000"/>
          </a:solidFill>
          <a:latin typeface="Cambria"/>
          <a:ea typeface="Cambria"/>
          <a:cs typeface="Cambria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2951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5</cp:revision>
  <cp:lastPrinted>2015-12-11T12:32:00Z</cp:lastPrinted>
  <dcterms:created xsi:type="dcterms:W3CDTF">2015-12-02T10:11:00Z</dcterms:created>
  <dcterms:modified xsi:type="dcterms:W3CDTF">2015-12-11T12:34:00Z</dcterms:modified>
</cp:coreProperties>
</file>