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2CF" w:rsidRPr="00205576" w:rsidRDefault="003062CF" w:rsidP="004765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  <w:r w:rsidRPr="00205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UZASADNIENIE</w:t>
      </w:r>
    </w:p>
    <w:p w:rsidR="003062CF" w:rsidRPr="00205576" w:rsidRDefault="003062CF" w:rsidP="004765AA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05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PROJEKTU UCHWAŁY RADY MIASTA STOŁECZNEGO WARSZAWY</w:t>
      </w:r>
    </w:p>
    <w:p w:rsidR="00484B8C" w:rsidRPr="00205576" w:rsidRDefault="003062CF" w:rsidP="004765AA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55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sprawie zasad wynajmowania lokali wchodzących w skład mieszkaniowego zasobu miasta stołecznego Warszawy</w:t>
      </w:r>
    </w:p>
    <w:p w:rsidR="00205576" w:rsidRDefault="00484B8C" w:rsidP="009D2083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05576">
        <w:rPr>
          <w:rFonts w:ascii="Times New Roman" w:hAnsi="Times New Roman" w:cs="Times New Roman"/>
          <w:sz w:val="24"/>
          <w:szCs w:val="24"/>
        </w:rPr>
        <w:t xml:space="preserve">Obecna uchwały nr LVIII/1751/2009 Rady m. st. Warszawy z dnia 9 lipca 2009 r. </w:t>
      </w:r>
      <w:r w:rsidRPr="00205576">
        <w:rPr>
          <w:rFonts w:ascii="Times New Roman" w:hAnsi="Times New Roman" w:cs="Times New Roman"/>
          <w:i/>
          <w:sz w:val="24"/>
          <w:szCs w:val="24"/>
        </w:rPr>
        <w:t>w</w:t>
      </w:r>
      <w:r w:rsidR="00205576" w:rsidRPr="00205576">
        <w:rPr>
          <w:rFonts w:ascii="Times New Roman" w:hAnsi="Times New Roman" w:cs="Times New Roman"/>
          <w:i/>
          <w:sz w:val="24"/>
          <w:szCs w:val="24"/>
        </w:rPr>
        <w:t> </w:t>
      </w:r>
      <w:r w:rsidRPr="00205576">
        <w:rPr>
          <w:rFonts w:ascii="Times New Roman" w:hAnsi="Times New Roman" w:cs="Times New Roman"/>
          <w:i/>
          <w:sz w:val="24"/>
          <w:szCs w:val="24"/>
        </w:rPr>
        <w:t>sprawie zasad wynajmowania lokali wchodzących w skład mieszkaniowego zasobu miasta stołecznego Warszawy</w:t>
      </w:r>
      <w:r w:rsidRPr="00205576">
        <w:rPr>
          <w:rFonts w:ascii="Times New Roman" w:hAnsi="Times New Roman" w:cs="Times New Roman"/>
          <w:sz w:val="24"/>
          <w:szCs w:val="24"/>
        </w:rPr>
        <w:t xml:space="preserve">, funkcjonuje w obrocie prawnym </w:t>
      </w:r>
      <w:r w:rsidR="00205576" w:rsidRPr="00205576">
        <w:rPr>
          <w:rFonts w:ascii="Times New Roman" w:hAnsi="Times New Roman" w:cs="Times New Roman"/>
          <w:sz w:val="24"/>
          <w:szCs w:val="24"/>
        </w:rPr>
        <w:t>dziesięć lat i w</w:t>
      </w:r>
      <w:r w:rsidRPr="00205576">
        <w:rPr>
          <w:rFonts w:ascii="Times New Roman" w:hAnsi="Times New Roman" w:cs="Times New Roman"/>
          <w:sz w:val="24"/>
          <w:szCs w:val="24"/>
        </w:rPr>
        <w:t xml:space="preserve"> tym czasie </w:t>
      </w:r>
      <w:r w:rsidR="00205576" w:rsidRPr="00205576">
        <w:rPr>
          <w:rFonts w:ascii="Times New Roman" w:hAnsi="Times New Roman" w:cs="Times New Roman"/>
          <w:sz w:val="24"/>
          <w:szCs w:val="24"/>
        </w:rPr>
        <w:t>była siedmiokrotnie</w:t>
      </w:r>
      <w:r w:rsidRPr="00205576">
        <w:rPr>
          <w:rFonts w:ascii="Times New Roman" w:hAnsi="Times New Roman" w:cs="Times New Roman"/>
          <w:sz w:val="24"/>
          <w:szCs w:val="24"/>
        </w:rPr>
        <w:t xml:space="preserve"> </w:t>
      </w:r>
      <w:r w:rsidR="00205576" w:rsidRPr="00205576">
        <w:rPr>
          <w:rFonts w:ascii="Times New Roman" w:hAnsi="Times New Roman" w:cs="Times New Roman"/>
          <w:sz w:val="24"/>
          <w:szCs w:val="24"/>
        </w:rPr>
        <w:t>zmieniana</w:t>
      </w:r>
      <w:r w:rsidRPr="00205576">
        <w:rPr>
          <w:rFonts w:ascii="Times New Roman" w:hAnsi="Times New Roman" w:cs="Times New Roman"/>
          <w:sz w:val="24"/>
          <w:szCs w:val="24"/>
        </w:rPr>
        <w:t xml:space="preserve">. </w:t>
      </w:r>
      <w:r w:rsidR="00205576" w:rsidRPr="00205576">
        <w:rPr>
          <w:rFonts w:ascii="Times New Roman" w:hAnsi="Times New Roman" w:cs="Times New Roman"/>
          <w:sz w:val="24"/>
          <w:szCs w:val="24"/>
        </w:rPr>
        <w:t>W</w:t>
      </w:r>
      <w:r w:rsidRPr="00205576">
        <w:rPr>
          <w:rFonts w:ascii="Times New Roman" w:hAnsi="Times New Roman" w:cs="Times New Roman"/>
          <w:sz w:val="24"/>
          <w:szCs w:val="24"/>
        </w:rPr>
        <w:t xml:space="preserve"> dniu 21 kwietnia 2019 r. znacząco znowelizowano przepisy ustawy </w:t>
      </w:r>
      <w:r w:rsidRPr="00205576">
        <w:rPr>
          <w:rFonts w:ascii="Times New Roman" w:hAnsi="Times New Roman" w:cs="Times New Roman"/>
          <w:i/>
          <w:sz w:val="24"/>
          <w:szCs w:val="24"/>
        </w:rPr>
        <w:t>o</w:t>
      </w:r>
      <w:r w:rsidRPr="00205576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 xml:space="preserve"> ochronie praw lokatorów, mieszkaniowym zasobie gminy i o zmianie Kodeksu cywilnego</w:t>
      </w:r>
      <w:r w:rsidRPr="0020557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 Przepisy te m.in. znios</w:t>
      </w:r>
      <w:r w:rsidR="00DE16C8" w:rsidRPr="0020557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ły pojęcie lokalu socjalnego oraz zmieniły i</w:t>
      </w:r>
      <w:r w:rsidR="003062CF" w:rsidRPr="0020557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="00DE16C8" w:rsidRPr="0020557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rozszerzyły </w:t>
      </w:r>
      <w:r w:rsidRPr="0020557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k</w:t>
      </w:r>
      <w:r w:rsidR="00DE16C8" w:rsidRPr="0020557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atalog zawarty w art. 21 ust. 3, który zawiera o</w:t>
      </w:r>
      <w:r w:rsidR="00205576" w:rsidRPr="0020557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bligatoryjne elementy uchwał w sprawie</w:t>
      </w:r>
      <w:r w:rsidRPr="0020557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zasad wynajmowania</w:t>
      </w:r>
      <w:r w:rsidR="00DE16C8" w:rsidRPr="0020557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lokali z mieszkaniowego zasobu. </w:t>
      </w:r>
      <w:r w:rsidR="00205576" w:rsidRPr="0020557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Ponadto</w:t>
      </w:r>
      <w:r w:rsidR="00DE16C8" w:rsidRPr="0020557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zgodnie z art. 17 ustawy z </w:t>
      </w:r>
      <w:r w:rsidRPr="0020557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dnia </w:t>
      </w:r>
      <w:r w:rsidRPr="0020557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22 marca 2018 r. </w:t>
      </w:r>
      <w:r w:rsidRPr="0020557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 xml:space="preserve">o zmianie ustawy o finansowym wsparciu tworzenia </w:t>
      </w:r>
      <w:r w:rsidRPr="00205576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lokali </w:t>
      </w:r>
      <w:r w:rsidRPr="0020557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 xml:space="preserve">socjalnych, mieszkań chronionych, noclegowni i domów dla bezdomnych, ustawy o ochronie praw lokatorów, mieszkaniowym zasobie gminy i o zmianie Kodeksu cywilnego oraz niektórych innych ustaw </w:t>
      </w:r>
      <w:r w:rsidRPr="0020557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(Dz. U. z 2018 r. poz. 756) u</w:t>
      </w:r>
      <w:r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chwały</w:t>
      </w:r>
      <w:r w:rsidR="00205576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 sprawie</w:t>
      </w:r>
      <w:r w:rsidR="006B7C1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zasad wynajmowania lokali pozostają ważne nie </w:t>
      </w:r>
      <w:r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dłużej niż przez 24 miesiące od </w:t>
      </w:r>
      <w:r w:rsidR="006B7C1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21 kwietnia 2019 r. </w:t>
      </w:r>
      <w:r w:rsidR="00DE16C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Biorąc powyższe pod uwagę, </w:t>
      </w:r>
      <w:r w:rsid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konieczne jest </w:t>
      </w:r>
      <w:r w:rsidR="006B7C1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</w:t>
      </w:r>
      <w:r w:rsidR="00DE16C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rzyjęcie</w:t>
      </w:r>
      <w:r w:rsidR="006B7C1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now</w:t>
      </w:r>
      <w:r w:rsidR="00DE16C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ej</w:t>
      </w:r>
      <w:r w:rsidR="006B7C1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uchwał</w:t>
      </w:r>
      <w:r w:rsidR="00DE16C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</w:t>
      </w:r>
      <w:r w:rsidR="006B7C1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któr</w:t>
      </w:r>
      <w:r w:rsidR="00DE16C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r w:rsidR="006B7C1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będ</w:t>
      </w:r>
      <w:r w:rsidR="00DE16C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zie</w:t>
      </w:r>
      <w:r w:rsidR="006B7C1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regulował</w:t>
      </w:r>
      <w:r w:rsidR="00DE16C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r w:rsidR="006B7C1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zasady wynajmowania lokali</w:t>
      </w:r>
      <w:r w:rsid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5209D" w:rsidRDefault="00A5209D" w:rsidP="00A5209D">
      <w:pPr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E16C8" w:rsidRPr="00205576" w:rsidRDefault="006B7C12" w:rsidP="00A5209D">
      <w:pPr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Projekt uchwały przewiduje </w:t>
      </w:r>
      <w:r w:rsidR="00DE16C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szereg zmian w stosunku do dotychczasowych regulacji:</w:t>
      </w:r>
    </w:p>
    <w:p w:rsidR="009D2083" w:rsidRPr="009D2083" w:rsidRDefault="00D70998" w:rsidP="009D2083">
      <w:pPr>
        <w:pStyle w:val="Akapitzlist"/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</w:t>
      </w:r>
      <w:r w:rsidR="00DE16C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zakresie </w:t>
      </w:r>
      <w:r w:rsidR="006B7C1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kryterium określające</w:t>
      </w:r>
      <w:r w:rsidR="00DE16C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</w:t>
      </w:r>
      <w:r w:rsidR="006B7C1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E16C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wysokość </w:t>
      </w:r>
      <w:r w:rsidR="006B7C1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dochod</w:t>
      </w:r>
      <w:r w:rsidR="00DE16C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ów, które</w:t>
      </w:r>
      <w:r w:rsidR="006B7C1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E16C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uzasadniają wynajęcie lokalu z zasobu Miasta proponuje się odejście od dotychczasowego systemu obliczania. Aktualnie dochód w przypadku gospodarstwa jednoosobowego wynosi 220% najniższej emerytury, a w przypadku gospodarstwa</w:t>
      </w:r>
      <w:r w:rsidR="00E836B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wieloosobowego 160% tej kwoty przypadające na każdą osobę. Ten sposób liczenia powoduje, że uprzywilejowane są gospodarstwa o większej liczbie osób, a w najgorszej sytuacji są gospodarstwa dwuosobowe, ponieważ wydatki gospodarstw domowych nie są wprost proporcjonalne do liczby osób, ale wraz ze wzrostem liczby osób w danym gospodarstwie – w</w:t>
      </w:r>
      <w:r w:rsidR="009D20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E836B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przeliczeniu na osobę – maleją. Problem ten został uwzględniony przez ustawodawcę w ustawie z dnia 26 października 1995 r. o niektórych formach popierania budownictwa mieszkaniowego (</w:t>
      </w:r>
      <w:r w:rsidR="00E836B8" w:rsidRPr="00205576">
        <w:rPr>
          <w:rFonts w:ascii="Times New Roman" w:hAnsi="Times New Roman" w:cs="Times New Roman"/>
          <w:sz w:val="24"/>
          <w:szCs w:val="24"/>
        </w:rPr>
        <w:t xml:space="preserve">Dz. U. z 2018 r. poz. 1020 z </w:t>
      </w:r>
      <w:proofErr w:type="spellStart"/>
      <w:r w:rsidR="00E836B8" w:rsidRPr="0020557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E836B8" w:rsidRPr="00205576">
        <w:rPr>
          <w:rFonts w:ascii="Times New Roman" w:hAnsi="Times New Roman" w:cs="Times New Roman"/>
          <w:sz w:val="24"/>
          <w:szCs w:val="24"/>
        </w:rPr>
        <w:t>. zm.). W a</w:t>
      </w:r>
      <w:r w:rsidR="00E836B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rt. 30 ust. 1 pkt 2a określony został sposób obliczania maksymalnego dochodu uprawniającego do najmu lokalu z zasobu towarzystw budownictwa społecznego. </w:t>
      </w:r>
      <w:r w:rsid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</w:t>
      </w:r>
      <w:r w:rsidR="00E836B8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astosowanie tego modelu powoduje, że </w:t>
      </w:r>
      <w:r w:rsidR="004E730C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zmianie ulegnie wskaźnik, który </w:t>
      </w:r>
      <w:r w:rsidR="009D20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stanowi</w:t>
      </w:r>
      <w:r w:rsidR="004E730C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podst</w:t>
      </w:r>
      <w:r w:rsidR="009D20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awę</w:t>
      </w:r>
      <w:r w:rsidR="004E730C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D20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dokonania</w:t>
      </w:r>
      <w:r w:rsidR="004E730C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waloryzacji kryterium dochodu uzasadniającego oddanie w najem lokalu z zasobu Miasta. Zamiast „najniższej emerytury” proponuje się „</w:t>
      </w:r>
      <w:r w:rsidR="004E730C" w:rsidRPr="00205576">
        <w:rPr>
          <w:rFonts w:ascii="Times New Roman" w:hAnsi="Times New Roman" w:cs="Times New Roman"/>
          <w:sz w:val="24"/>
          <w:szCs w:val="24"/>
        </w:rPr>
        <w:t>przeciętne wynagrodzenie miesięczne brutto w</w:t>
      </w:r>
      <w:r w:rsidR="009D2083">
        <w:rPr>
          <w:rFonts w:ascii="Times New Roman" w:hAnsi="Times New Roman" w:cs="Times New Roman"/>
          <w:sz w:val="24"/>
          <w:szCs w:val="24"/>
        </w:rPr>
        <w:t> </w:t>
      </w:r>
      <w:r w:rsidR="004E730C" w:rsidRPr="00205576">
        <w:rPr>
          <w:rFonts w:ascii="Times New Roman" w:hAnsi="Times New Roman" w:cs="Times New Roman"/>
          <w:sz w:val="24"/>
          <w:szCs w:val="24"/>
        </w:rPr>
        <w:t>gospodarce narodowej w województwie, na tere</w:t>
      </w:r>
      <w:r w:rsidR="009D2083">
        <w:rPr>
          <w:rFonts w:ascii="Times New Roman" w:hAnsi="Times New Roman" w:cs="Times New Roman"/>
          <w:sz w:val="24"/>
          <w:szCs w:val="24"/>
        </w:rPr>
        <w:t xml:space="preserve">nie </w:t>
      </w:r>
      <w:r w:rsidR="004E730C" w:rsidRPr="00205576">
        <w:rPr>
          <w:rFonts w:ascii="Times New Roman" w:hAnsi="Times New Roman" w:cs="Times New Roman"/>
          <w:sz w:val="24"/>
          <w:szCs w:val="24"/>
        </w:rPr>
        <w:t xml:space="preserve">którego położony jest lokal mieszkalny”, co jest zgodne z oczekiwaniami środowisk lokatorskich w tym zakresie. </w:t>
      </w:r>
      <w:r w:rsidR="009D2083">
        <w:rPr>
          <w:rFonts w:ascii="Times New Roman" w:hAnsi="Times New Roman" w:cs="Times New Roman"/>
          <w:sz w:val="24"/>
          <w:szCs w:val="24"/>
        </w:rPr>
        <w:t>Z</w:t>
      </w:r>
      <w:r w:rsidR="004E730C" w:rsidRPr="00205576">
        <w:rPr>
          <w:rFonts w:ascii="Times New Roman" w:hAnsi="Times New Roman" w:cs="Times New Roman"/>
          <w:sz w:val="24"/>
          <w:szCs w:val="24"/>
        </w:rPr>
        <w:t>aproponowany sposób liczenia</w:t>
      </w:r>
      <w:r w:rsidR="009D2083">
        <w:rPr>
          <w:rFonts w:ascii="Times New Roman" w:hAnsi="Times New Roman" w:cs="Times New Roman"/>
          <w:sz w:val="24"/>
          <w:szCs w:val="24"/>
        </w:rPr>
        <w:t xml:space="preserve"> tworzy spójny system udzielania pomocy mieszkaniowej - o</w:t>
      </w:r>
      <w:r w:rsidR="004E730C" w:rsidRPr="009D2083">
        <w:rPr>
          <w:rFonts w:ascii="Times New Roman" w:hAnsi="Times New Roman" w:cs="Times New Roman"/>
          <w:sz w:val="24"/>
          <w:szCs w:val="24"/>
        </w:rPr>
        <w:t>d najmu socjalnego lokalu, przez najem lokalu z zasobu Miasta na</w:t>
      </w:r>
      <w:r w:rsidR="009D2083">
        <w:rPr>
          <w:rFonts w:ascii="Times New Roman" w:hAnsi="Times New Roman" w:cs="Times New Roman"/>
          <w:sz w:val="24"/>
          <w:szCs w:val="24"/>
        </w:rPr>
        <w:t> </w:t>
      </w:r>
      <w:r w:rsidR="004E730C" w:rsidRPr="009D2083">
        <w:rPr>
          <w:rFonts w:ascii="Times New Roman" w:hAnsi="Times New Roman" w:cs="Times New Roman"/>
          <w:sz w:val="24"/>
          <w:szCs w:val="24"/>
        </w:rPr>
        <w:t>czas nieoznaczony, po najem lokalu z zasobu miejskich spółek TBS.</w:t>
      </w:r>
    </w:p>
    <w:p w:rsidR="004E730C" w:rsidRPr="009D2083" w:rsidRDefault="004E730C" w:rsidP="009D2083">
      <w:pPr>
        <w:pStyle w:val="Akapitzlist"/>
        <w:spacing w:before="120" w:after="0" w:line="240" w:lineRule="auto"/>
        <w:ind w:left="71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D20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730C" w:rsidRDefault="00D70998" w:rsidP="009D2083">
      <w:pPr>
        <w:pStyle w:val="Akapitzlist"/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</w:t>
      </w:r>
      <w:r w:rsidR="004E730C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ychodząc naprzeciw oczekiwaniom społecznym proponuje się również zmianę w</w:t>
      </w:r>
      <w:r w:rsidR="00000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4E730C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</w:t>
      </w:r>
      <w:r w:rsidR="009D20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kresie warunków mieszkaniowych uprawniających</w:t>
      </w:r>
      <w:r w:rsidR="004E730C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do </w:t>
      </w:r>
      <w:r w:rsidR="009D20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uzyskania pomocy mieszkaniowej</w:t>
      </w:r>
      <w:r w:rsidR="004E730C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Miasta. Dotychczasowe kryterium wynoszące 6</w:t>
      </w:r>
      <w:r w:rsidR="00414DFC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E730C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="004E730C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r w:rsidR="004E730C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377A3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powierzchni mieszkalnej (pokoi) </w:t>
      </w:r>
      <w:r w:rsidR="009D20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na każdą </w:t>
      </w:r>
      <w:r w:rsidR="00000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osobę zamieszkującą w lokalu</w:t>
      </w:r>
      <w:r w:rsidR="004E730C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377A3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</w:t>
      </w:r>
      <w:r w:rsidR="00000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0377A3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przypadku gospodarstw jedn</w:t>
      </w:r>
      <w:r w:rsidR="00000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o- i dwuosobowych należy ocenić </w:t>
      </w:r>
      <w:r w:rsidR="000377A3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jako niewystarczające. W związku z tym proponuje się</w:t>
      </w:r>
      <w:r w:rsidR="00000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0377A3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podobnie jak w przypadku dochodu</w:t>
      </w:r>
      <w:r w:rsidR="00000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0377A3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podejście uwzględniające całą </w:t>
      </w:r>
      <w:r w:rsidR="000377A3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powierzchnię mieszkalną na wszystkie osoby zamieszkujące w lokalu i jednoczesne podniesienie tego kryterium dla gospodarstw jedno- i dwuosobowych. Postulat ten jest często </w:t>
      </w:r>
      <w:r w:rsidR="0000062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zgłaszany</w:t>
      </w:r>
      <w:r w:rsidR="000377A3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przez organizacje społeczne. </w:t>
      </w:r>
    </w:p>
    <w:p w:rsidR="004E7001" w:rsidRPr="004E7001" w:rsidRDefault="004E7001" w:rsidP="004E7001">
      <w:pPr>
        <w:pStyle w:val="Akapitzli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F11A1" w:rsidRDefault="00D70998" w:rsidP="004765A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</w:t>
      </w:r>
      <w:r w:rsidR="00BF11A1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przeciwieństwie do obecnych zasad proponuje się również zmianę podejścia w</w:t>
      </w:r>
      <w:r w:rsidR="00B754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BF11A1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zakresie pierwszeństwa, w ramach którego realizowana jest pomoc mieszkaniowa. Przede wszystkim proponuje się wyodrębnienie sytuacji, w których ta pomoc powinna być udzielana w pierwszej kolejności. Takie sytuacje bez wątpienia mają miejsce w</w:t>
      </w:r>
      <w:r w:rsidR="00B754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BF11A1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przypadku obowiązku zapewnienia lokalu zamiennego, </w:t>
      </w:r>
      <w:r w:rsidR="00FA6C3D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czy realizacji inwestycji publicznych, które wymagają opróżnienia mieszkań</w:t>
      </w:r>
      <w:r w:rsidR="00BF11A1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FA6C3D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754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Dodatkowo wprowadza się system punktowy</w:t>
      </w:r>
      <w:r w:rsidR="00FA6C3D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dla osób, które ubiegają się o pomoc mieszkaniową. W ten sposób </w:t>
      </w:r>
      <w:r w:rsidR="00B754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uwzględniona zostaje s</w:t>
      </w:r>
      <w:r w:rsidR="00FA6C3D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ytuacja zdrowotna, społeczna czy rodzinna </w:t>
      </w:r>
      <w:r w:rsidR="00B754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wnioskodawców uzasadniająca</w:t>
      </w:r>
      <w:r w:rsidR="00FA6C3D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udzielenie pomocy mieszkaniowej w</w:t>
      </w:r>
      <w:r w:rsidR="00B754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FA6C3D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krótszym okresie.</w:t>
      </w:r>
    </w:p>
    <w:p w:rsidR="004E7001" w:rsidRPr="00205576" w:rsidRDefault="004E7001" w:rsidP="004E7001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A6C3D" w:rsidRDefault="00D70998" w:rsidP="004765A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</w:t>
      </w:r>
      <w:r w:rsidR="00FA6C3D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rojekt zawiera zmiany w zakresie zamian lokali.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Przewiduje się wprowadzenie kryterium dochodowego w przypadku zamian między stronami. </w:t>
      </w:r>
      <w:r w:rsidR="003A758F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Jest to uzasadnione tym, że pomoc mieszkaniowa, a zamiana lokalu jest formą takiej pomocy, powinna być ograniczona do sytuacji, gdy dane gospodarstwo domowe nie jest w stanie zaspokoić swoich potrzeb mieszkaniowych we własnym zakresie.</w:t>
      </w:r>
    </w:p>
    <w:p w:rsidR="004E7001" w:rsidRPr="004E7001" w:rsidRDefault="004E7001" w:rsidP="004E7001">
      <w:pPr>
        <w:pStyle w:val="Akapitzli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A758F" w:rsidRDefault="003A758F" w:rsidP="004765A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Projekt przewiduje uproszczenie zasad dotyczących regulowania tytułu do</w:t>
      </w:r>
      <w:r w:rsidR="00D709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zajmowanego lokalu po śmierci najemcy czy uprzednim wypowiedzeniu umowy z</w:t>
      </w:r>
      <w:r w:rsidR="00D709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tytułu zaległości. Należy jednak podkreślić, że udzielenie pomocy będzie uzależnione od spełnienia kryterium dochodowego, które w tym przypadk</w:t>
      </w:r>
      <w:r w:rsidR="004E70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 zostało podwyższone.</w:t>
      </w:r>
    </w:p>
    <w:p w:rsidR="004E7001" w:rsidRPr="00205576" w:rsidRDefault="004E7001" w:rsidP="004E7001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D09C8" w:rsidRPr="007D09C8" w:rsidRDefault="003A758F" w:rsidP="007D09C8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 uwagi na zmianę przepisów ustawy zrezygnowano z dotychczasowych regulacji dotyczących specyficznych warunków, które były podstawą do najmu lokali powyżej 80</w:t>
      </w:r>
      <w:r w:rsidR="00D709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</w:t>
      </w:r>
      <w:r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r w:rsidR="0089625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Po zmianie ustawy</w:t>
      </w:r>
      <w:r w:rsidR="00D709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9625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uchwała </w:t>
      </w:r>
      <w:r w:rsidR="00C0029A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nie </w:t>
      </w:r>
      <w:r w:rsidR="0089625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może </w:t>
      </w:r>
      <w:r w:rsidR="00C0029A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bezwarunkowo </w:t>
      </w:r>
      <w:r w:rsidR="0089625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określać </w:t>
      </w:r>
      <w:r w:rsidR="00C0029A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odmiennych </w:t>
      </w:r>
      <w:r w:rsidR="0089625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kryteri</w:t>
      </w:r>
      <w:r w:rsidR="00C0029A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ów</w:t>
      </w:r>
      <w:r w:rsidR="0089625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oddawania w najem lokali o powierzchni użytkowej przekraczającej 80 m</w:t>
      </w:r>
      <w:r w:rsidR="0089625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r w:rsidR="00C0029A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7D09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Ustawodawca przyjął, że lokale te powinny być wykorzystywane przede wszystkim na zabezpieczanie potrzeb mieszkaniowych członków wspólnoty samorządowej.</w:t>
      </w:r>
    </w:p>
    <w:p w:rsidR="007D09C8" w:rsidRPr="007D09C8" w:rsidRDefault="007D09C8" w:rsidP="007D09C8">
      <w:pPr>
        <w:pStyle w:val="Akapitzlist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D09C8" w:rsidRDefault="00C0029A" w:rsidP="004765A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Projekt zgodnie z </w:t>
      </w:r>
      <w:r w:rsidR="007D09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ustawą zawiera</w:t>
      </w:r>
      <w:r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również </w:t>
      </w:r>
      <w:r w:rsidR="0089625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warunki, jakie musi spełniać lokal wskazywany dla osób niepełnosprawnych</w:t>
      </w:r>
      <w:r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(załącznik nr 2) oraz zasady </w:t>
      </w:r>
      <w:r w:rsidR="00896252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przeznaczania lokali na realizację zadań, o których mowa w art. 4 ust.</w:t>
      </w:r>
      <w:r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2b ustawy o</w:t>
      </w:r>
      <w:r w:rsidR="004765AA"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0557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ochronie praw lokatorów (…).</w:t>
      </w:r>
    </w:p>
    <w:p w:rsidR="00C0029A" w:rsidRPr="007D09C8" w:rsidRDefault="00C0029A" w:rsidP="007D09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D09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C06777" w:rsidRPr="00205576" w:rsidRDefault="00C06777" w:rsidP="004765AA">
      <w:pPr>
        <w:pStyle w:val="Tekstpodstawowy21"/>
        <w:autoSpaceDE w:val="0"/>
        <w:autoSpaceDN w:val="0"/>
        <w:adjustRightInd w:val="0"/>
        <w:ind w:firstLine="720"/>
        <w:rPr>
          <w:sz w:val="24"/>
          <w:szCs w:val="24"/>
        </w:rPr>
      </w:pPr>
      <w:r w:rsidRPr="00205576">
        <w:rPr>
          <w:sz w:val="24"/>
          <w:szCs w:val="24"/>
        </w:rPr>
        <w:t>P</w:t>
      </w:r>
      <w:r w:rsidR="007D09C8">
        <w:rPr>
          <w:sz w:val="24"/>
          <w:szCs w:val="24"/>
        </w:rPr>
        <w:t xml:space="preserve">rzygotowany projekt uchwały uwzględnia </w:t>
      </w:r>
      <w:r w:rsidRPr="00205576">
        <w:rPr>
          <w:sz w:val="24"/>
          <w:szCs w:val="24"/>
        </w:rPr>
        <w:t xml:space="preserve">szczególną sytuację grup społecznych, które wymagają pomocy </w:t>
      </w:r>
      <w:r w:rsidR="007D09C8">
        <w:rPr>
          <w:sz w:val="24"/>
          <w:szCs w:val="24"/>
        </w:rPr>
        <w:t>w zapewnieniu warunków mieszkaniowych</w:t>
      </w:r>
      <w:r w:rsidRPr="00205576">
        <w:rPr>
          <w:sz w:val="24"/>
          <w:szCs w:val="24"/>
        </w:rPr>
        <w:t>:</w:t>
      </w:r>
    </w:p>
    <w:p w:rsidR="00C06777" w:rsidRPr="00205576" w:rsidRDefault="00C06777" w:rsidP="004765AA">
      <w:pPr>
        <w:pStyle w:val="Tekstpodstawowy21"/>
        <w:numPr>
          <w:ilvl w:val="0"/>
          <w:numId w:val="3"/>
        </w:numPr>
        <w:autoSpaceDE w:val="0"/>
        <w:autoSpaceDN w:val="0"/>
        <w:adjustRightInd w:val="0"/>
        <w:rPr>
          <w:sz w:val="24"/>
          <w:szCs w:val="24"/>
        </w:rPr>
      </w:pPr>
      <w:r w:rsidRPr="00205576">
        <w:rPr>
          <w:sz w:val="24"/>
          <w:szCs w:val="24"/>
        </w:rPr>
        <w:t>lokatorów zamieszkujących w budynkach zwróconych dawnym właścicielom, ale</w:t>
      </w:r>
      <w:r w:rsidR="007D09C8">
        <w:rPr>
          <w:sz w:val="24"/>
          <w:szCs w:val="24"/>
        </w:rPr>
        <w:t> </w:t>
      </w:r>
      <w:r w:rsidRPr="00205576">
        <w:rPr>
          <w:sz w:val="24"/>
          <w:szCs w:val="24"/>
        </w:rPr>
        <w:t>również, co jest novum w stosunku do stanu obecnego</w:t>
      </w:r>
      <w:r w:rsidR="0076321F">
        <w:rPr>
          <w:sz w:val="24"/>
          <w:szCs w:val="24"/>
        </w:rPr>
        <w:t>,</w:t>
      </w:r>
      <w:r w:rsidRPr="00205576">
        <w:rPr>
          <w:sz w:val="24"/>
          <w:szCs w:val="24"/>
        </w:rPr>
        <w:t xml:space="preserve"> </w:t>
      </w:r>
      <w:r w:rsidR="0076321F">
        <w:rPr>
          <w:sz w:val="24"/>
          <w:szCs w:val="24"/>
        </w:rPr>
        <w:t>osób zamieszkujących</w:t>
      </w:r>
      <w:r w:rsidRPr="00205576">
        <w:rPr>
          <w:sz w:val="24"/>
          <w:szCs w:val="24"/>
        </w:rPr>
        <w:t xml:space="preserve"> w</w:t>
      </w:r>
      <w:r w:rsidR="007D09C8">
        <w:rPr>
          <w:sz w:val="24"/>
          <w:szCs w:val="24"/>
        </w:rPr>
        <w:t> </w:t>
      </w:r>
      <w:r w:rsidRPr="00205576">
        <w:rPr>
          <w:sz w:val="24"/>
          <w:szCs w:val="24"/>
        </w:rPr>
        <w:t>tzw. byłych budynkach zakładowych,</w:t>
      </w:r>
    </w:p>
    <w:p w:rsidR="00C06777" w:rsidRPr="00205576" w:rsidRDefault="007D09C8" w:rsidP="004765AA">
      <w:pPr>
        <w:pStyle w:val="Tekstpodstawowy21"/>
        <w:numPr>
          <w:ilvl w:val="0"/>
          <w:numId w:val="3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osób</w:t>
      </w:r>
      <w:r w:rsidR="00C06777" w:rsidRPr="00205576">
        <w:rPr>
          <w:sz w:val="24"/>
          <w:szCs w:val="24"/>
        </w:rPr>
        <w:t xml:space="preserve"> z niepełnosprawnościami, czy </w:t>
      </w:r>
      <w:r>
        <w:rPr>
          <w:sz w:val="24"/>
          <w:szCs w:val="24"/>
        </w:rPr>
        <w:t>osób utrzymujących</w:t>
      </w:r>
      <w:r w:rsidR="00C06777" w:rsidRPr="00205576">
        <w:rPr>
          <w:sz w:val="24"/>
          <w:szCs w:val="24"/>
        </w:rPr>
        <w:t xml:space="preserve"> się wyłącznie z emerytury,</w:t>
      </w:r>
    </w:p>
    <w:p w:rsidR="00C06777" w:rsidRDefault="007D09C8" w:rsidP="004765AA">
      <w:pPr>
        <w:pStyle w:val="Tekstpodstawowy21"/>
        <w:numPr>
          <w:ilvl w:val="0"/>
          <w:numId w:val="3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wychowanków</w:t>
      </w:r>
      <w:r w:rsidR="00C06777" w:rsidRPr="00205576">
        <w:rPr>
          <w:sz w:val="24"/>
          <w:szCs w:val="24"/>
        </w:rPr>
        <w:t xml:space="preserve"> domów d</w:t>
      </w:r>
      <w:r w:rsidR="0038088C">
        <w:rPr>
          <w:sz w:val="24"/>
          <w:szCs w:val="24"/>
        </w:rPr>
        <w:t>ziecka,</w:t>
      </w:r>
    </w:p>
    <w:p w:rsidR="0038088C" w:rsidRPr="00205576" w:rsidRDefault="0038088C" w:rsidP="004765AA">
      <w:pPr>
        <w:pStyle w:val="Tekstpodstawowy21"/>
        <w:numPr>
          <w:ilvl w:val="0"/>
          <w:numId w:val="3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osób bezdomnych, które realizują indywidualny program wychodzenia z bezdomności.</w:t>
      </w:r>
    </w:p>
    <w:p w:rsidR="00A5209D" w:rsidRDefault="00A5209D" w:rsidP="004765AA">
      <w:pPr>
        <w:pStyle w:val="Tekstpodstawowy21"/>
        <w:autoSpaceDE w:val="0"/>
        <w:autoSpaceDN w:val="0"/>
        <w:adjustRightInd w:val="0"/>
        <w:ind w:firstLine="708"/>
        <w:rPr>
          <w:sz w:val="24"/>
          <w:szCs w:val="24"/>
        </w:rPr>
      </w:pPr>
    </w:p>
    <w:p w:rsidR="00252BC1" w:rsidRDefault="00C06777" w:rsidP="004765AA">
      <w:pPr>
        <w:pStyle w:val="Tekstpodstawowy21"/>
        <w:autoSpaceDE w:val="0"/>
        <w:autoSpaceDN w:val="0"/>
        <w:adjustRightInd w:val="0"/>
        <w:ind w:firstLine="708"/>
        <w:rPr>
          <w:sz w:val="24"/>
          <w:szCs w:val="24"/>
        </w:rPr>
      </w:pPr>
      <w:r w:rsidRPr="00205576">
        <w:rPr>
          <w:sz w:val="24"/>
          <w:szCs w:val="24"/>
        </w:rPr>
        <w:t>Projekt uwzględnia również szereg postulatów zgłaszan</w:t>
      </w:r>
      <w:r w:rsidR="00E91F0D" w:rsidRPr="00205576">
        <w:rPr>
          <w:sz w:val="24"/>
          <w:szCs w:val="24"/>
        </w:rPr>
        <w:t>ych przez organizacje społeczne</w:t>
      </w:r>
      <w:r w:rsidR="00252BC1">
        <w:rPr>
          <w:sz w:val="24"/>
          <w:szCs w:val="24"/>
        </w:rPr>
        <w:t xml:space="preserve"> dotyczące</w:t>
      </w:r>
      <w:r w:rsidR="00BD269A">
        <w:rPr>
          <w:sz w:val="24"/>
          <w:szCs w:val="24"/>
        </w:rPr>
        <w:t xml:space="preserve"> m.in.</w:t>
      </w:r>
      <w:r w:rsidR="00252BC1">
        <w:rPr>
          <w:sz w:val="24"/>
          <w:szCs w:val="24"/>
        </w:rPr>
        <w:t>:</w:t>
      </w:r>
    </w:p>
    <w:p w:rsidR="005B5616" w:rsidRDefault="005B5616" w:rsidP="003629B4">
      <w:pPr>
        <w:pStyle w:val="Tekstpodstawowy21"/>
        <w:numPr>
          <w:ilvl w:val="0"/>
          <w:numId w:val="8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lastRenderedPageBreak/>
        <w:t>zamian lokali – w przypadku obowiązku zapewnienia lokalu zamiennego z zasobu Miasta jak i w przypadku zamian inicjowanych przez Miasto, nie trzeba będzie składać wniosku o pomoc mieszkaniową;</w:t>
      </w:r>
    </w:p>
    <w:p w:rsidR="0038088C" w:rsidRDefault="006E623A" w:rsidP="0038088C">
      <w:pPr>
        <w:pStyle w:val="Tekstpodstawowy21"/>
        <w:numPr>
          <w:ilvl w:val="0"/>
          <w:numId w:val="8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sytuacji osób zamieszkujących </w:t>
      </w:r>
      <w:r w:rsidR="00252BC1">
        <w:rPr>
          <w:sz w:val="24"/>
          <w:szCs w:val="24"/>
        </w:rPr>
        <w:t>w budynkach</w:t>
      </w:r>
      <w:r w:rsidR="0038088C">
        <w:rPr>
          <w:sz w:val="24"/>
          <w:szCs w:val="24"/>
        </w:rPr>
        <w:t>, które miałyby być ewentualnie zwrócone dawnym właścicielom lub ich następcom prawnym</w:t>
      </w:r>
      <w:r w:rsidR="00FF2E21">
        <w:rPr>
          <w:sz w:val="24"/>
          <w:szCs w:val="24"/>
        </w:rPr>
        <w:t xml:space="preserve"> – w </w:t>
      </w:r>
      <w:r w:rsidR="0038088C">
        <w:rPr>
          <w:sz w:val="24"/>
          <w:szCs w:val="24"/>
        </w:rPr>
        <w:t xml:space="preserve">projekcie </w:t>
      </w:r>
      <w:r w:rsidR="00AA65D5">
        <w:rPr>
          <w:sz w:val="24"/>
          <w:szCs w:val="24"/>
        </w:rPr>
        <w:t>przyjęto</w:t>
      </w:r>
      <w:r w:rsidR="00FF2E21">
        <w:rPr>
          <w:sz w:val="24"/>
          <w:szCs w:val="24"/>
        </w:rPr>
        <w:t xml:space="preserve"> zasadę</w:t>
      </w:r>
      <w:r w:rsidR="00AA65D5">
        <w:rPr>
          <w:sz w:val="24"/>
          <w:szCs w:val="24"/>
        </w:rPr>
        <w:t xml:space="preserve"> udzielania pomocy mieszkaniowej </w:t>
      </w:r>
      <w:r w:rsidR="0038088C">
        <w:rPr>
          <w:sz w:val="24"/>
          <w:szCs w:val="24"/>
        </w:rPr>
        <w:t xml:space="preserve">(proponowania innych lokali) </w:t>
      </w:r>
      <w:r w:rsidR="0038088C" w:rsidRPr="0038088C">
        <w:rPr>
          <w:sz w:val="24"/>
          <w:szCs w:val="24"/>
        </w:rPr>
        <w:t>osobom spełniającym podwyższone kryterium dochodowe przed ewentualnym zwrotem budynku</w:t>
      </w:r>
      <w:r w:rsidR="0038088C">
        <w:rPr>
          <w:sz w:val="24"/>
          <w:szCs w:val="24"/>
        </w:rPr>
        <w:t>;</w:t>
      </w:r>
    </w:p>
    <w:p w:rsidR="00252BC1" w:rsidRDefault="00305262" w:rsidP="003629B4">
      <w:pPr>
        <w:pStyle w:val="Tekstpodstawowy21"/>
        <w:numPr>
          <w:ilvl w:val="0"/>
          <w:numId w:val="8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sytuacji osób </w:t>
      </w:r>
      <w:r w:rsidR="006E623A">
        <w:rPr>
          <w:sz w:val="24"/>
          <w:szCs w:val="24"/>
        </w:rPr>
        <w:t>wynajmujących częś</w:t>
      </w:r>
      <w:r w:rsidR="0038088C">
        <w:rPr>
          <w:sz w:val="24"/>
          <w:szCs w:val="24"/>
        </w:rPr>
        <w:t>ć</w:t>
      </w:r>
      <w:r w:rsidR="006E623A">
        <w:rPr>
          <w:sz w:val="24"/>
          <w:szCs w:val="24"/>
        </w:rPr>
        <w:t xml:space="preserve"> lokal</w:t>
      </w:r>
      <w:r w:rsidR="0038088C">
        <w:rPr>
          <w:sz w:val="24"/>
          <w:szCs w:val="24"/>
        </w:rPr>
        <w:t>u</w:t>
      </w:r>
      <w:r w:rsidR="006E623A">
        <w:rPr>
          <w:sz w:val="24"/>
          <w:szCs w:val="24"/>
        </w:rPr>
        <w:t xml:space="preserve"> wspólnie z innymi osobami oraz mieszkających w bursach lub hostelach</w:t>
      </w:r>
      <w:r w:rsidR="00AA65D5">
        <w:rPr>
          <w:sz w:val="24"/>
          <w:szCs w:val="24"/>
        </w:rPr>
        <w:t xml:space="preserve"> – zaproponowana w kryteriach ocena warunków mieszkaniowych umożliwia udzielenie pomoc</w:t>
      </w:r>
      <w:r w:rsidR="0038088C">
        <w:rPr>
          <w:sz w:val="24"/>
          <w:szCs w:val="24"/>
        </w:rPr>
        <w:t>y mieszkaniowej tej grupie osób;</w:t>
      </w:r>
    </w:p>
    <w:p w:rsidR="00BD269A" w:rsidRDefault="006E623A" w:rsidP="00BD269A">
      <w:pPr>
        <w:pStyle w:val="Tekstpodstawowy21"/>
        <w:numPr>
          <w:ilvl w:val="0"/>
          <w:numId w:val="8"/>
        </w:num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s</w:t>
      </w:r>
      <w:r w:rsidR="004760B1" w:rsidRPr="006E623A">
        <w:rPr>
          <w:sz w:val="24"/>
          <w:szCs w:val="24"/>
        </w:rPr>
        <w:t>pos</w:t>
      </w:r>
      <w:r w:rsidR="00305262">
        <w:rPr>
          <w:sz w:val="24"/>
          <w:szCs w:val="24"/>
        </w:rPr>
        <w:t>obu</w:t>
      </w:r>
      <w:r w:rsidR="004760B1" w:rsidRPr="006E623A">
        <w:rPr>
          <w:sz w:val="24"/>
          <w:szCs w:val="24"/>
        </w:rPr>
        <w:t xml:space="preserve"> opiniowania i rozstrzygania spraw</w:t>
      </w:r>
      <w:r w:rsidR="00AA65D5">
        <w:rPr>
          <w:sz w:val="24"/>
          <w:szCs w:val="24"/>
        </w:rPr>
        <w:t xml:space="preserve"> – poprzez uporządkowanie </w:t>
      </w:r>
      <w:r w:rsidR="00113D9D">
        <w:rPr>
          <w:sz w:val="24"/>
          <w:szCs w:val="24"/>
        </w:rPr>
        <w:t xml:space="preserve">procedury </w:t>
      </w:r>
      <w:r w:rsidR="0038088C">
        <w:rPr>
          <w:sz w:val="24"/>
          <w:szCs w:val="24"/>
        </w:rPr>
        <w:t>i</w:t>
      </w:r>
      <w:r w:rsidR="00B54318">
        <w:rPr>
          <w:sz w:val="24"/>
          <w:szCs w:val="24"/>
        </w:rPr>
        <w:t> </w:t>
      </w:r>
      <w:r w:rsidR="0038088C">
        <w:rPr>
          <w:sz w:val="24"/>
          <w:szCs w:val="24"/>
        </w:rPr>
        <w:t>aktualizacji spraw oczekujących na pomoc mieszkaniową;</w:t>
      </w:r>
    </w:p>
    <w:p w:rsidR="0063771D" w:rsidRPr="00BD269A" w:rsidRDefault="0038088C" w:rsidP="00BD269A">
      <w:pPr>
        <w:pStyle w:val="Tekstpodstawowy21"/>
        <w:numPr>
          <w:ilvl w:val="0"/>
          <w:numId w:val="8"/>
        </w:numPr>
        <w:autoSpaceDE w:val="0"/>
        <w:autoSpaceDN w:val="0"/>
        <w:adjustRightInd w:val="0"/>
        <w:rPr>
          <w:sz w:val="24"/>
          <w:szCs w:val="24"/>
        </w:rPr>
      </w:pPr>
      <w:r w:rsidRPr="00BD269A">
        <w:rPr>
          <w:sz w:val="24"/>
          <w:szCs w:val="24"/>
        </w:rPr>
        <w:t>właściwości miejscowej (dzielnicy udzielającej pomocy mieszkaniowej) – zmiany miejsca zamieszkania w obrębie Warszawy nie będą mogły być wyłączną pr</w:t>
      </w:r>
      <w:r w:rsidR="00BD269A">
        <w:rPr>
          <w:sz w:val="24"/>
          <w:szCs w:val="24"/>
        </w:rPr>
        <w:t>zyczyną negatywnej oceny wniosków osób już zakwalifikowanych do pomocy mieszkaniowej;</w:t>
      </w:r>
    </w:p>
    <w:p w:rsidR="005B5616" w:rsidRDefault="005B5616" w:rsidP="004765AA">
      <w:pPr>
        <w:pStyle w:val="Tekstpodstawowy21"/>
        <w:autoSpaceDE w:val="0"/>
        <w:autoSpaceDN w:val="0"/>
        <w:adjustRightInd w:val="0"/>
        <w:ind w:firstLine="708"/>
        <w:rPr>
          <w:sz w:val="24"/>
          <w:szCs w:val="24"/>
        </w:rPr>
      </w:pPr>
    </w:p>
    <w:p w:rsidR="004765AA" w:rsidRPr="00205576" w:rsidRDefault="007D09C8" w:rsidP="004765AA">
      <w:pPr>
        <w:pStyle w:val="Tekstpodstawowy21"/>
        <w:autoSpaceDE w:val="0"/>
        <w:autoSpaceDN w:val="0"/>
        <w:adjustRightInd w:val="0"/>
        <w:ind w:firstLine="708"/>
        <w:rPr>
          <w:sz w:val="24"/>
          <w:szCs w:val="24"/>
        </w:rPr>
      </w:pPr>
      <w:r>
        <w:rPr>
          <w:sz w:val="24"/>
          <w:szCs w:val="24"/>
        </w:rPr>
        <w:t>W</w:t>
      </w:r>
      <w:r w:rsidR="00E91F0D" w:rsidRPr="00205576">
        <w:rPr>
          <w:sz w:val="24"/>
          <w:szCs w:val="24"/>
        </w:rPr>
        <w:t>prowadzenie niniejszej uchwały jest zasadne i jest podyktowane troską o dobro członków wspólnoty samorządowej, którzy nie są w stanie zaspokoić swoich potrzeb mieszkaniowych</w:t>
      </w:r>
      <w:r w:rsidR="00BD269A">
        <w:rPr>
          <w:sz w:val="24"/>
          <w:szCs w:val="24"/>
        </w:rPr>
        <w:t xml:space="preserve"> we własnym zakresie.</w:t>
      </w:r>
    </w:p>
    <w:p w:rsidR="00A5209D" w:rsidRDefault="00A5209D" w:rsidP="004765AA">
      <w:pPr>
        <w:pStyle w:val="Tekstpodstawowy21"/>
        <w:autoSpaceDE w:val="0"/>
        <w:autoSpaceDN w:val="0"/>
        <w:adjustRightInd w:val="0"/>
        <w:ind w:firstLine="708"/>
        <w:rPr>
          <w:sz w:val="24"/>
          <w:szCs w:val="24"/>
        </w:rPr>
      </w:pPr>
    </w:p>
    <w:p w:rsidR="00C0029A" w:rsidRPr="00271C7B" w:rsidRDefault="00AA3E76" w:rsidP="00271C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3E76">
        <w:rPr>
          <w:rFonts w:ascii="Times New Roman" w:hAnsi="Times New Roman" w:cs="Times New Roman"/>
          <w:sz w:val="24"/>
          <w:szCs w:val="24"/>
        </w:rPr>
        <w:t xml:space="preserve">Uchwała powoduje skutek finansowy dla </w:t>
      </w:r>
      <w:r>
        <w:rPr>
          <w:rFonts w:ascii="Times New Roman" w:hAnsi="Times New Roman" w:cs="Times New Roman"/>
          <w:sz w:val="24"/>
          <w:szCs w:val="24"/>
        </w:rPr>
        <w:t xml:space="preserve">budżetu i </w:t>
      </w:r>
      <w:r w:rsidRPr="00AA3E76">
        <w:rPr>
          <w:rFonts w:ascii="Times New Roman" w:hAnsi="Times New Roman" w:cs="Times New Roman"/>
          <w:sz w:val="24"/>
          <w:szCs w:val="24"/>
        </w:rPr>
        <w:t>WPF</w:t>
      </w:r>
      <w:r>
        <w:rPr>
          <w:rFonts w:ascii="Times New Roman" w:hAnsi="Times New Roman" w:cs="Times New Roman"/>
          <w:sz w:val="24"/>
          <w:szCs w:val="24"/>
        </w:rPr>
        <w:t>, ponieważ zwiększona zostaje granica uprawniająca do obniżki z tytułu uzyskiwanych dochodów – więcej osób będzie mogło z tego instrumentu pomocy skorzystać</w:t>
      </w:r>
      <w:r w:rsidRPr="00AA3E7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Dotychczas granica do udzielenia obniżki czynszu z tytułu uzyskiwanych dochodów</w:t>
      </w:r>
      <w:r w:rsidR="00B54318">
        <w:rPr>
          <w:rFonts w:ascii="Times New Roman" w:hAnsi="Times New Roman" w:cs="Times New Roman"/>
          <w:sz w:val="24"/>
          <w:szCs w:val="24"/>
        </w:rPr>
        <w:t xml:space="preserve"> wynosiła 20% i</w:t>
      </w:r>
      <w:r>
        <w:rPr>
          <w:rFonts w:ascii="Times New Roman" w:hAnsi="Times New Roman" w:cs="Times New Roman"/>
          <w:sz w:val="24"/>
          <w:szCs w:val="24"/>
        </w:rPr>
        <w:t xml:space="preserve"> wynikała z tego, że maksymalną obniż</w:t>
      </w:r>
      <w:r w:rsidR="00B5431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ę miały te gospodarstwa, które kwalifikowały się jednocześnie do pomocy mieszkaniowej (a</w:t>
      </w:r>
      <w:r w:rsidR="006417D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więc osiągały dochód w wysokości 2</w:t>
      </w:r>
      <w:r w:rsidR="00B543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420 zł – dla gospodarstwa jednoosobowego i</w:t>
      </w:r>
      <w:r w:rsidR="006417D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1</w:t>
      </w:r>
      <w:r w:rsidR="006417D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760</w:t>
      </w:r>
      <w:r w:rsidR="006417D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zł/os dla gospodarstwa wieloosobowego</w:t>
      </w:r>
      <w:r w:rsidR="00B4059A">
        <w:rPr>
          <w:rFonts w:ascii="Times New Roman" w:hAnsi="Times New Roman" w:cs="Times New Roman"/>
          <w:sz w:val="24"/>
          <w:szCs w:val="24"/>
        </w:rPr>
        <w:t>)</w:t>
      </w:r>
      <w:r w:rsidR="002B0B16">
        <w:rPr>
          <w:rFonts w:ascii="Times New Roman" w:hAnsi="Times New Roman" w:cs="Times New Roman"/>
          <w:sz w:val="24"/>
          <w:szCs w:val="24"/>
        </w:rPr>
        <w:t>.</w:t>
      </w:r>
      <w:r w:rsidR="00B405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Zaproponowana zmiana sprowadza się do tego, że</w:t>
      </w:r>
      <w:r w:rsidR="006417D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przesunięta zostaje granica dochodu. W efekcie obniżka czynszu będzie </w:t>
      </w:r>
      <w:r w:rsidR="00B4059A">
        <w:rPr>
          <w:rFonts w:ascii="Times New Roman" w:hAnsi="Times New Roman" w:cs="Times New Roman"/>
          <w:sz w:val="24"/>
          <w:szCs w:val="24"/>
        </w:rPr>
        <w:t xml:space="preserve">mogła być udzielona również gospodarstwom, w niższej wysokości, a </w:t>
      </w:r>
      <w:r w:rsidR="00B54318">
        <w:rPr>
          <w:rFonts w:ascii="Times New Roman" w:hAnsi="Times New Roman" w:cs="Times New Roman"/>
          <w:sz w:val="24"/>
          <w:szCs w:val="24"/>
        </w:rPr>
        <w:t xml:space="preserve">więc </w:t>
      </w:r>
      <w:r w:rsidR="00B4059A">
        <w:rPr>
          <w:rFonts w:ascii="Times New Roman" w:hAnsi="Times New Roman" w:cs="Times New Roman"/>
          <w:sz w:val="24"/>
          <w:szCs w:val="24"/>
        </w:rPr>
        <w:t>teoretycznie niemal do</w:t>
      </w:r>
      <w:r w:rsidR="006417D9">
        <w:rPr>
          <w:rFonts w:ascii="Times New Roman" w:hAnsi="Times New Roman" w:cs="Times New Roman"/>
          <w:sz w:val="24"/>
          <w:szCs w:val="24"/>
        </w:rPr>
        <w:t> </w:t>
      </w:r>
      <w:r w:rsidR="00B54318">
        <w:rPr>
          <w:rFonts w:ascii="Times New Roman" w:hAnsi="Times New Roman" w:cs="Times New Roman"/>
          <w:sz w:val="24"/>
          <w:szCs w:val="24"/>
        </w:rPr>
        <w:t>wysokości</w:t>
      </w:r>
      <w:r w:rsidR="00B4059A">
        <w:rPr>
          <w:rFonts w:ascii="Times New Roman" w:hAnsi="Times New Roman" w:cs="Times New Roman"/>
          <w:sz w:val="24"/>
          <w:szCs w:val="24"/>
        </w:rPr>
        <w:t xml:space="preserve"> 1%. </w:t>
      </w:r>
      <w:r w:rsidR="00B54318">
        <w:rPr>
          <w:rFonts w:ascii="Times New Roman" w:hAnsi="Times New Roman" w:cs="Times New Roman"/>
          <w:sz w:val="24"/>
          <w:szCs w:val="24"/>
        </w:rPr>
        <w:t xml:space="preserve">Przy czym </w:t>
      </w:r>
      <w:r w:rsidR="00B4059A">
        <w:rPr>
          <w:rFonts w:ascii="Times New Roman" w:hAnsi="Times New Roman" w:cs="Times New Roman"/>
          <w:sz w:val="24"/>
          <w:szCs w:val="24"/>
        </w:rPr>
        <w:t xml:space="preserve">dla gospodarstw 4-osobowych i większych </w:t>
      </w:r>
      <w:r w:rsidR="00B54318">
        <w:rPr>
          <w:rFonts w:ascii="Times New Roman" w:hAnsi="Times New Roman" w:cs="Times New Roman"/>
          <w:sz w:val="24"/>
          <w:szCs w:val="24"/>
        </w:rPr>
        <w:t xml:space="preserve">granica </w:t>
      </w:r>
      <w:r w:rsidR="00B4059A">
        <w:rPr>
          <w:rFonts w:ascii="Times New Roman" w:hAnsi="Times New Roman" w:cs="Times New Roman"/>
          <w:sz w:val="24"/>
          <w:szCs w:val="24"/>
        </w:rPr>
        <w:t>ta będzie wynikała z zastosowanego wskaźnika wskazanego w § 6 projektu, a dla gospodarstw 6</w:t>
      </w:r>
      <w:r w:rsidR="006417D9">
        <w:rPr>
          <w:rFonts w:ascii="Times New Roman" w:hAnsi="Times New Roman" w:cs="Times New Roman"/>
          <w:sz w:val="24"/>
          <w:szCs w:val="24"/>
        </w:rPr>
        <w:noBreakHyphen/>
      </w:r>
      <w:r w:rsidR="00B4059A">
        <w:rPr>
          <w:rFonts w:ascii="Times New Roman" w:hAnsi="Times New Roman" w:cs="Times New Roman"/>
          <w:sz w:val="24"/>
          <w:szCs w:val="24"/>
        </w:rPr>
        <w:t>osobowych będzie niemal niezmieniona. Podkreślić należy, że g</w:t>
      </w:r>
      <w:r>
        <w:rPr>
          <w:rFonts w:ascii="Times New Roman" w:hAnsi="Times New Roman" w:cs="Times New Roman"/>
          <w:sz w:val="24"/>
          <w:szCs w:val="24"/>
        </w:rPr>
        <w:t xml:space="preserve">ranica ta zostaje podniesiona, ale niezmieniony pozostaje wzór na obniżkę, który jest zawarty w </w:t>
      </w:r>
      <w:r w:rsidR="00B4059A">
        <w:rPr>
          <w:rFonts w:ascii="Times New Roman" w:hAnsi="Times New Roman" w:cs="Times New Roman"/>
          <w:sz w:val="24"/>
          <w:szCs w:val="24"/>
        </w:rPr>
        <w:t xml:space="preserve">zasadach polityki czynszowej. </w:t>
      </w:r>
      <w:r w:rsidR="005D592B">
        <w:rPr>
          <w:rFonts w:ascii="Times New Roman" w:hAnsi="Times New Roman" w:cs="Times New Roman"/>
          <w:sz w:val="24"/>
          <w:szCs w:val="24"/>
        </w:rPr>
        <w:t>Na koniec 2018 r. z </w:t>
      </w:r>
      <w:r w:rsidR="00B4059A">
        <w:rPr>
          <w:rFonts w:ascii="Times New Roman" w:hAnsi="Times New Roman" w:cs="Times New Roman"/>
          <w:sz w:val="24"/>
          <w:szCs w:val="24"/>
        </w:rPr>
        <w:t xml:space="preserve">obniżki czynszu </w:t>
      </w:r>
      <w:r w:rsidR="00B54318">
        <w:rPr>
          <w:rFonts w:ascii="Times New Roman" w:hAnsi="Times New Roman" w:cs="Times New Roman"/>
          <w:sz w:val="24"/>
          <w:szCs w:val="24"/>
        </w:rPr>
        <w:t>(</w:t>
      </w:r>
      <w:r w:rsidR="00B4059A">
        <w:rPr>
          <w:rFonts w:ascii="Times New Roman" w:hAnsi="Times New Roman" w:cs="Times New Roman"/>
          <w:sz w:val="24"/>
          <w:szCs w:val="24"/>
        </w:rPr>
        <w:t>mimo że jest to takie same kryterium jak to, które kwalifikuje do najmu lokalu z mieszkaniowego zasobu m.st. Warszawy</w:t>
      </w:r>
      <w:r w:rsidR="00B54318">
        <w:rPr>
          <w:rFonts w:ascii="Times New Roman" w:hAnsi="Times New Roman" w:cs="Times New Roman"/>
          <w:sz w:val="24"/>
          <w:szCs w:val="24"/>
        </w:rPr>
        <w:t>)</w:t>
      </w:r>
      <w:r w:rsidR="00B4059A">
        <w:rPr>
          <w:rFonts w:ascii="Times New Roman" w:hAnsi="Times New Roman" w:cs="Times New Roman"/>
          <w:sz w:val="24"/>
          <w:szCs w:val="24"/>
        </w:rPr>
        <w:t xml:space="preserve"> </w:t>
      </w:r>
      <w:r w:rsidR="005D592B">
        <w:rPr>
          <w:rFonts w:ascii="Times New Roman" w:hAnsi="Times New Roman" w:cs="Times New Roman"/>
          <w:sz w:val="24"/>
          <w:szCs w:val="24"/>
        </w:rPr>
        <w:t>korzystało 4</w:t>
      </w:r>
      <w:r w:rsidR="006417D9">
        <w:rPr>
          <w:rFonts w:ascii="Times New Roman" w:hAnsi="Times New Roman" w:cs="Times New Roman"/>
          <w:sz w:val="24"/>
          <w:szCs w:val="24"/>
        </w:rPr>
        <w:t> </w:t>
      </w:r>
      <w:r w:rsidR="002D5A84">
        <w:rPr>
          <w:rFonts w:ascii="Times New Roman" w:hAnsi="Times New Roman" w:cs="Times New Roman"/>
          <w:sz w:val="24"/>
          <w:szCs w:val="24"/>
        </w:rPr>
        <w:t>941</w:t>
      </w:r>
      <w:r w:rsidR="006417D9">
        <w:rPr>
          <w:rFonts w:ascii="Times New Roman" w:hAnsi="Times New Roman" w:cs="Times New Roman"/>
          <w:sz w:val="24"/>
          <w:szCs w:val="24"/>
        </w:rPr>
        <w:t> </w:t>
      </w:r>
      <w:r w:rsidR="005D592B">
        <w:rPr>
          <w:rFonts w:ascii="Times New Roman" w:hAnsi="Times New Roman" w:cs="Times New Roman"/>
          <w:sz w:val="24"/>
          <w:szCs w:val="24"/>
        </w:rPr>
        <w:t>gospodarstw domowych. Jednak</w:t>
      </w:r>
      <w:r w:rsidR="00B54318">
        <w:rPr>
          <w:rFonts w:ascii="Times New Roman" w:hAnsi="Times New Roman" w:cs="Times New Roman"/>
          <w:sz w:val="24"/>
          <w:szCs w:val="24"/>
        </w:rPr>
        <w:t>,</w:t>
      </w:r>
      <w:r w:rsidR="005D592B">
        <w:rPr>
          <w:rFonts w:ascii="Times New Roman" w:hAnsi="Times New Roman" w:cs="Times New Roman"/>
          <w:sz w:val="24"/>
          <w:szCs w:val="24"/>
        </w:rPr>
        <w:t xml:space="preserve"> im mniejsza jest wysokość obniżki, tym korzystających z tego instrumentu pomocy jest mniej</w:t>
      </w:r>
      <w:r w:rsidR="00B54318">
        <w:rPr>
          <w:rFonts w:ascii="Times New Roman" w:hAnsi="Times New Roman" w:cs="Times New Roman"/>
          <w:sz w:val="24"/>
          <w:szCs w:val="24"/>
        </w:rPr>
        <w:t>. Z</w:t>
      </w:r>
      <w:r w:rsidR="005D592B">
        <w:rPr>
          <w:rFonts w:ascii="Times New Roman" w:hAnsi="Times New Roman" w:cs="Times New Roman"/>
          <w:sz w:val="24"/>
          <w:szCs w:val="24"/>
        </w:rPr>
        <w:t xml:space="preserve"> obniżki w granicach 20-40% korzystało tylko 385 gospodarstw. </w:t>
      </w:r>
      <w:r w:rsidR="00B54318">
        <w:rPr>
          <w:rFonts w:ascii="Times New Roman" w:hAnsi="Times New Roman" w:cs="Times New Roman"/>
          <w:sz w:val="24"/>
          <w:szCs w:val="24"/>
        </w:rPr>
        <w:t>N</w:t>
      </w:r>
      <w:r w:rsidR="005D592B">
        <w:rPr>
          <w:rFonts w:ascii="Times New Roman" w:hAnsi="Times New Roman" w:cs="Times New Roman"/>
          <w:sz w:val="24"/>
          <w:szCs w:val="24"/>
        </w:rPr>
        <w:t xml:space="preserve">ależy </w:t>
      </w:r>
      <w:r w:rsidR="00B54318">
        <w:rPr>
          <w:rFonts w:ascii="Times New Roman" w:hAnsi="Times New Roman" w:cs="Times New Roman"/>
          <w:sz w:val="24"/>
          <w:szCs w:val="24"/>
        </w:rPr>
        <w:t xml:space="preserve">zatem </w:t>
      </w:r>
      <w:r w:rsidR="005D592B">
        <w:rPr>
          <w:rFonts w:ascii="Times New Roman" w:hAnsi="Times New Roman" w:cs="Times New Roman"/>
          <w:sz w:val="24"/>
          <w:szCs w:val="24"/>
        </w:rPr>
        <w:t>spodziewać</w:t>
      </w:r>
      <w:r w:rsidR="00B54318" w:rsidRPr="00B54318">
        <w:rPr>
          <w:rFonts w:ascii="Times New Roman" w:hAnsi="Times New Roman" w:cs="Times New Roman"/>
          <w:sz w:val="24"/>
          <w:szCs w:val="24"/>
        </w:rPr>
        <w:t xml:space="preserve"> </w:t>
      </w:r>
      <w:r w:rsidR="00B54318">
        <w:rPr>
          <w:rFonts w:ascii="Times New Roman" w:hAnsi="Times New Roman" w:cs="Times New Roman"/>
          <w:sz w:val="24"/>
          <w:szCs w:val="24"/>
        </w:rPr>
        <w:t>się</w:t>
      </w:r>
      <w:r w:rsidR="005D592B">
        <w:rPr>
          <w:rFonts w:ascii="Times New Roman" w:hAnsi="Times New Roman" w:cs="Times New Roman"/>
          <w:sz w:val="24"/>
          <w:szCs w:val="24"/>
        </w:rPr>
        <w:t xml:space="preserve">, że </w:t>
      </w:r>
      <w:r w:rsidR="00B54318">
        <w:rPr>
          <w:rFonts w:ascii="Times New Roman" w:hAnsi="Times New Roman" w:cs="Times New Roman"/>
          <w:sz w:val="24"/>
          <w:szCs w:val="24"/>
        </w:rPr>
        <w:t xml:space="preserve">zwiększenie zakresu </w:t>
      </w:r>
      <w:r w:rsidR="005D592B">
        <w:rPr>
          <w:rFonts w:ascii="Times New Roman" w:hAnsi="Times New Roman" w:cs="Times New Roman"/>
          <w:sz w:val="24"/>
          <w:szCs w:val="24"/>
        </w:rPr>
        <w:t xml:space="preserve">obniżki od 1% (dla części gospodarstw) do 20% </w:t>
      </w:r>
      <w:r w:rsidR="00B54318">
        <w:rPr>
          <w:rFonts w:ascii="Times New Roman" w:hAnsi="Times New Roman" w:cs="Times New Roman"/>
          <w:sz w:val="24"/>
          <w:szCs w:val="24"/>
        </w:rPr>
        <w:t xml:space="preserve">nieznacznie </w:t>
      </w:r>
      <w:r w:rsidR="005D592B">
        <w:rPr>
          <w:rFonts w:ascii="Times New Roman" w:hAnsi="Times New Roman" w:cs="Times New Roman"/>
          <w:sz w:val="24"/>
          <w:szCs w:val="24"/>
        </w:rPr>
        <w:t xml:space="preserve">zwiększy liczbę gospodarstw </w:t>
      </w:r>
      <w:r w:rsidR="00B54318">
        <w:rPr>
          <w:rFonts w:ascii="Times New Roman" w:hAnsi="Times New Roman" w:cs="Times New Roman"/>
          <w:sz w:val="24"/>
          <w:szCs w:val="24"/>
        </w:rPr>
        <w:t xml:space="preserve">z niej </w:t>
      </w:r>
      <w:r w:rsidR="005D592B">
        <w:rPr>
          <w:rFonts w:ascii="Times New Roman" w:hAnsi="Times New Roman" w:cs="Times New Roman"/>
          <w:sz w:val="24"/>
          <w:szCs w:val="24"/>
        </w:rPr>
        <w:t>korzystających. Wynika to z tego, że przy stawce bazowej czynszu wynoszącej 7,39</w:t>
      </w:r>
      <w:r w:rsidR="00B54318">
        <w:rPr>
          <w:rFonts w:ascii="Times New Roman" w:hAnsi="Times New Roman" w:cs="Times New Roman"/>
          <w:sz w:val="24"/>
          <w:szCs w:val="24"/>
        </w:rPr>
        <w:t xml:space="preserve"> </w:t>
      </w:r>
      <w:r w:rsidR="005D592B">
        <w:rPr>
          <w:rFonts w:ascii="Times New Roman" w:hAnsi="Times New Roman" w:cs="Times New Roman"/>
          <w:sz w:val="24"/>
          <w:szCs w:val="24"/>
        </w:rPr>
        <w:t>zł/m</w:t>
      </w:r>
      <w:r w:rsidR="005D592B" w:rsidRPr="005D59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D592B">
        <w:rPr>
          <w:rFonts w:ascii="Times New Roman" w:hAnsi="Times New Roman" w:cs="Times New Roman"/>
          <w:sz w:val="24"/>
          <w:szCs w:val="24"/>
        </w:rPr>
        <w:t xml:space="preserve"> dla lokalu o powierzchni 42 m</w:t>
      </w:r>
      <w:r w:rsidR="005D592B" w:rsidRPr="005D59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D592B">
        <w:rPr>
          <w:rFonts w:ascii="Times New Roman" w:hAnsi="Times New Roman" w:cs="Times New Roman"/>
          <w:sz w:val="24"/>
          <w:szCs w:val="24"/>
        </w:rPr>
        <w:t xml:space="preserve"> obniżka o 1% przekłada </w:t>
      </w:r>
      <w:r w:rsidR="00641A50">
        <w:rPr>
          <w:rFonts w:ascii="Times New Roman" w:hAnsi="Times New Roman" w:cs="Times New Roman"/>
          <w:sz w:val="24"/>
          <w:szCs w:val="24"/>
        </w:rPr>
        <w:t>się na 3,10 zł obniżki czynszu, a 19 % na 59 zł obniżki czynszu. Co więcej obniżka czynszu zgodnie z § 11 pkt 8 zasad polityki czynszowej nie może być mniejsza niż 1% kwoty najniższej emerytury. W efekcie najniższa obniżka czynszu wynosi kwotowo 11 zł, a więc dla lokalu o powierzchni 42 m</w:t>
      </w:r>
      <w:r w:rsidR="00641A50" w:rsidRPr="005D592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41A50">
        <w:rPr>
          <w:rFonts w:ascii="Times New Roman" w:hAnsi="Times New Roman" w:cs="Times New Roman"/>
          <w:sz w:val="24"/>
          <w:szCs w:val="24"/>
        </w:rPr>
        <w:t xml:space="preserve"> przy stawce czynszu równej stawce bazowej mogłaby być udzielona dopiero od 4%. Mając to na uwadze, należy oszacować, że</w:t>
      </w:r>
      <w:r w:rsidR="006417D9">
        <w:rPr>
          <w:rFonts w:ascii="Times New Roman" w:hAnsi="Times New Roman" w:cs="Times New Roman"/>
          <w:sz w:val="24"/>
          <w:szCs w:val="24"/>
        </w:rPr>
        <w:t> </w:t>
      </w:r>
      <w:r w:rsidR="00641A50">
        <w:rPr>
          <w:rFonts w:ascii="Times New Roman" w:hAnsi="Times New Roman" w:cs="Times New Roman"/>
          <w:sz w:val="24"/>
          <w:szCs w:val="24"/>
        </w:rPr>
        <w:t>liczba gospodarstw</w:t>
      </w:r>
      <w:r w:rsidR="003815E1">
        <w:rPr>
          <w:rFonts w:ascii="Times New Roman" w:hAnsi="Times New Roman" w:cs="Times New Roman"/>
          <w:sz w:val="24"/>
          <w:szCs w:val="24"/>
        </w:rPr>
        <w:t>,</w:t>
      </w:r>
      <w:r w:rsidR="00641A50">
        <w:rPr>
          <w:rFonts w:ascii="Times New Roman" w:hAnsi="Times New Roman" w:cs="Times New Roman"/>
          <w:sz w:val="24"/>
          <w:szCs w:val="24"/>
        </w:rPr>
        <w:t xml:space="preserve"> </w:t>
      </w:r>
      <w:r w:rsidR="003815E1">
        <w:rPr>
          <w:rFonts w:ascii="Times New Roman" w:hAnsi="Times New Roman" w:cs="Times New Roman"/>
          <w:sz w:val="24"/>
          <w:szCs w:val="24"/>
        </w:rPr>
        <w:t xml:space="preserve">które skorzystają </w:t>
      </w:r>
      <w:r w:rsidR="00641A50">
        <w:rPr>
          <w:rFonts w:ascii="Times New Roman" w:hAnsi="Times New Roman" w:cs="Times New Roman"/>
          <w:sz w:val="24"/>
          <w:szCs w:val="24"/>
        </w:rPr>
        <w:t xml:space="preserve">z obniżki w najniższym przedziale 1-19 % wyniesie ok. 100-150 w skali Miasta. </w:t>
      </w:r>
      <w:r w:rsidR="00AB1CF7">
        <w:rPr>
          <w:rFonts w:ascii="Times New Roman" w:hAnsi="Times New Roman" w:cs="Times New Roman"/>
          <w:sz w:val="24"/>
          <w:szCs w:val="24"/>
        </w:rPr>
        <w:t xml:space="preserve">Nawet </w:t>
      </w:r>
      <w:r w:rsidR="00B54318">
        <w:rPr>
          <w:rFonts w:ascii="Times New Roman" w:hAnsi="Times New Roman" w:cs="Times New Roman"/>
          <w:sz w:val="24"/>
          <w:szCs w:val="24"/>
        </w:rPr>
        <w:t>przy założeniu</w:t>
      </w:r>
      <w:r w:rsidR="00641A50">
        <w:rPr>
          <w:rFonts w:ascii="Times New Roman" w:hAnsi="Times New Roman" w:cs="Times New Roman"/>
          <w:sz w:val="24"/>
          <w:szCs w:val="24"/>
        </w:rPr>
        <w:t xml:space="preserve">, że wszyscy </w:t>
      </w:r>
      <w:r w:rsidR="003815E1">
        <w:rPr>
          <w:rFonts w:ascii="Times New Roman" w:hAnsi="Times New Roman" w:cs="Times New Roman"/>
          <w:sz w:val="24"/>
          <w:szCs w:val="24"/>
        </w:rPr>
        <w:t xml:space="preserve">skorzystaliby </w:t>
      </w:r>
      <w:r w:rsidR="00641A50">
        <w:rPr>
          <w:rFonts w:ascii="Times New Roman" w:hAnsi="Times New Roman" w:cs="Times New Roman"/>
          <w:sz w:val="24"/>
          <w:szCs w:val="24"/>
        </w:rPr>
        <w:t>z</w:t>
      </w:r>
      <w:r w:rsidR="00AB1CF7">
        <w:rPr>
          <w:rFonts w:ascii="Times New Roman" w:hAnsi="Times New Roman" w:cs="Times New Roman"/>
          <w:sz w:val="24"/>
          <w:szCs w:val="24"/>
        </w:rPr>
        <w:t xml:space="preserve"> 19% obniżki </w:t>
      </w:r>
      <w:r w:rsidR="00AB1CF7">
        <w:rPr>
          <w:rFonts w:ascii="Times New Roman" w:hAnsi="Times New Roman" w:cs="Times New Roman"/>
          <w:sz w:val="24"/>
          <w:szCs w:val="24"/>
        </w:rPr>
        <w:lastRenderedPageBreak/>
        <w:t>(maksymalny poziom, który dziś nie jest liczony), to przełoży się na zmniejszenie dochodów w skali miesiąca w wysokości 6 – 8,8 tys. zł, a w skali roku 70-100 tys</w:t>
      </w:r>
      <w:r w:rsidR="003815E1">
        <w:rPr>
          <w:rFonts w:ascii="Times New Roman" w:hAnsi="Times New Roman" w:cs="Times New Roman"/>
          <w:sz w:val="24"/>
          <w:szCs w:val="24"/>
        </w:rPr>
        <w:t>.</w:t>
      </w:r>
      <w:r w:rsidR="00AB1CF7">
        <w:rPr>
          <w:rFonts w:ascii="Times New Roman" w:hAnsi="Times New Roman" w:cs="Times New Roman"/>
          <w:sz w:val="24"/>
          <w:szCs w:val="24"/>
        </w:rPr>
        <w:t xml:space="preserve"> zł w całym Mieście. </w:t>
      </w:r>
      <w:r w:rsidRPr="00AA3E76">
        <w:rPr>
          <w:rFonts w:ascii="Times New Roman" w:hAnsi="Times New Roman" w:cs="Times New Roman"/>
          <w:bCs/>
          <w:sz w:val="24"/>
          <w:szCs w:val="24"/>
        </w:rPr>
        <w:t xml:space="preserve">Należy jednak podkreślić, że </w:t>
      </w:r>
      <w:r w:rsidR="00AB1CF7">
        <w:rPr>
          <w:rFonts w:ascii="Times New Roman" w:hAnsi="Times New Roman" w:cs="Times New Roman"/>
          <w:bCs/>
          <w:sz w:val="24"/>
          <w:szCs w:val="24"/>
        </w:rPr>
        <w:t>strata ta jest szacowana na maksymalnym poziomie, który w</w:t>
      </w:r>
      <w:r w:rsidR="006417D9">
        <w:rPr>
          <w:rFonts w:ascii="Times New Roman" w:hAnsi="Times New Roman" w:cs="Times New Roman"/>
          <w:bCs/>
          <w:sz w:val="24"/>
          <w:szCs w:val="24"/>
        </w:rPr>
        <w:t> </w:t>
      </w:r>
      <w:r w:rsidR="00AB1CF7">
        <w:rPr>
          <w:rFonts w:ascii="Times New Roman" w:hAnsi="Times New Roman" w:cs="Times New Roman"/>
          <w:bCs/>
          <w:sz w:val="24"/>
          <w:szCs w:val="24"/>
        </w:rPr>
        <w:t>rzeczywistości będzie dużo niższy z uwagi na mniejszy czynsz, czy mniejszą wartość procentową obniżki. Mając jednak na uwadze interes społeczny w ocenie projektodawcy zwiększenie obniżki jest zasadne.</w:t>
      </w:r>
    </w:p>
    <w:sectPr w:rsidR="00C0029A" w:rsidRPr="00271C7B" w:rsidSect="005C6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2E1D"/>
    <w:multiLevelType w:val="hybridMultilevel"/>
    <w:tmpl w:val="1806124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C83FE5"/>
    <w:multiLevelType w:val="hybridMultilevel"/>
    <w:tmpl w:val="DEA88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120E8"/>
    <w:multiLevelType w:val="hybridMultilevel"/>
    <w:tmpl w:val="4E40406C"/>
    <w:lvl w:ilvl="0" w:tplc="04D008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C09F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E49D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4222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4C4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0AEB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3C0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7CEB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B6A84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F9C5A1C"/>
    <w:multiLevelType w:val="hybridMultilevel"/>
    <w:tmpl w:val="56CC66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E00E7"/>
    <w:multiLevelType w:val="hybridMultilevel"/>
    <w:tmpl w:val="993AAEB4"/>
    <w:lvl w:ilvl="0" w:tplc="B7A0EA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609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E0EB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5A05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8A27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22C2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2EC1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60D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40CC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D956372"/>
    <w:multiLevelType w:val="hybridMultilevel"/>
    <w:tmpl w:val="03FC2F7C"/>
    <w:lvl w:ilvl="0" w:tplc="84B478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95C48B2"/>
    <w:multiLevelType w:val="hybridMultilevel"/>
    <w:tmpl w:val="3B9674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B4A50"/>
    <w:multiLevelType w:val="hybridMultilevel"/>
    <w:tmpl w:val="2850CD98"/>
    <w:lvl w:ilvl="0" w:tplc="DED64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3C53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8C9E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7241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340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E8E6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2249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E657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26EF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E422D34"/>
    <w:multiLevelType w:val="hybridMultilevel"/>
    <w:tmpl w:val="BDEC9D6E"/>
    <w:lvl w:ilvl="0" w:tplc="046C1C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4EF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78B7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A65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F47C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F6D0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14F3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0AE6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5AAD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F5E37CE"/>
    <w:multiLevelType w:val="hybridMultilevel"/>
    <w:tmpl w:val="44D28DD2"/>
    <w:lvl w:ilvl="0" w:tplc="2B6416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641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F0FB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964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F0E0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E404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52A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305C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EC3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0"/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B8C"/>
    <w:rsid w:val="0000062E"/>
    <w:rsid w:val="000377A3"/>
    <w:rsid w:val="000529DD"/>
    <w:rsid w:val="000F63E9"/>
    <w:rsid w:val="00113D9D"/>
    <w:rsid w:val="0014070D"/>
    <w:rsid w:val="00205576"/>
    <w:rsid w:val="00252BC1"/>
    <w:rsid w:val="00271C7B"/>
    <w:rsid w:val="002B0B16"/>
    <w:rsid w:val="002D5A84"/>
    <w:rsid w:val="00305262"/>
    <w:rsid w:val="003062CF"/>
    <w:rsid w:val="003629B4"/>
    <w:rsid w:val="0038088C"/>
    <w:rsid w:val="003815E1"/>
    <w:rsid w:val="003A758F"/>
    <w:rsid w:val="00400648"/>
    <w:rsid w:val="00414DFC"/>
    <w:rsid w:val="00472D61"/>
    <w:rsid w:val="004760B1"/>
    <w:rsid w:val="004765AA"/>
    <w:rsid w:val="00484B8C"/>
    <w:rsid w:val="004E7001"/>
    <w:rsid w:val="004E730C"/>
    <w:rsid w:val="005B5616"/>
    <w:rsid w:val="005C61AC"/>
    <w:rsid w:val="005D592B"/>
    <w:rsid w:val="0063771D"/>
    <w:rsid w:val="006417D9"/>
    <w:rsid w:val="00641A50"/>
    <w:rsid w:val="006B34CA"/>
    <w:rsid w:val="006B7C12"/>
    <w:rsid w:val="006E623A"/>
    <w:rsid w:val="0076321F"/>
    <w:rsid w:val="007D09C8"/>
    <w:rsid w:val="00896252"/>
    <w:rsid w:val="009D2083"/>
    <w:rsid w:val="00A5209D"/>
    <w:rsid w:val="00AA3E76"/>
    <w:rsid w:val="00AA65D5"/>
    <w:rsid w:val="00AB1CF7"/>
    <w:rsid w:val="00AC6745"/>
    <w:rsid w:val="00AD4704"/>
    <w:rsid w:val="00B4059A"/>
    <w:rsid w:val="00B54318"/>
    <w:rsid w:val="00B75458"/>
    <w:rsid w:val="00BD269A"/>
    <w:rsid w:val="00BF11A1"/>
    <w:rsid w:val="00C0029A"/>
    <w:rsid w:val="00C06777"/>
    <w:rsid w:val="00C74F45"/>
    <w:rsid w:val="00D70998"/>
    <w:rsid w:val="00DE16C8"/>
    <w:rsid w:val="00E836B8"/>
    <w:rsid w:val="00E91F0D"/>
    <w:rsid w:val="00E95C70"/>
    <w:rsid w:val="00EC1250"/>
    <w:rsid w:val="00FA6C3D"/>
    <w:rsid w:val="00FF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22BE60-2B93-4837-BEC5-A7F5D6E7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61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84B8C"/>
    <w:rPr>
      <w:color w:val="0000FF"/>
      <w:u w:val="single"/>
    </w:rPr>
  </w:style>
  <w:style w:type="character" w:customStyle="1" w:styleId="luchili">
    <w:name w:val="luc_hili"/>
    <w:basedOn w:val="Domylnaczcionkaakapitu"/>
    <w:rsid w:val="00484B8C"/>
  </w:style>
  <w:style w:type="paragraph" w:styleId="Akapitzlist">
    <w:name w:val="List Paragraph"/>
    <w:basedOn w:val="Normalny"/>
    <w:uiPriority w:val="34"/>
    <w:qFormat/>
    <w:rsid w:val="00DE16C8"/>
    <w:pPr>
      <w:ind w:left="720"/>
      <w:contextualSpacing/>
    </w:pPr>
  </w:style>
  <w:style w:type="paragraph" w:customStyle="1" w:styleId="Tekstpodstawowy21">
    <w:name w:val="Tekst podstawowy 21"/>
    <w:basedOn w:val="Normalny"/>
    <w:rsid w:val="00C06777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6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2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17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77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0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6475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88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77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7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66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03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00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04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23A326B241584A96C18F9EDCDB358B" ma:contentTypeVersion="0" ma:contentTypeDescription="Utwórz nowy dokument." ma:contentTypeScope="" ma:versionID="22190aaeccb12997c6a2fb3df499e37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C8563-F697-4ACC-AAB5-A704C723C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1D69CFA-C53E-401F-90A4-B28770BE80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8D9026-D01A-4E50-A5A1-116E3BB7E9D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1516</Words>
  <Characters>9100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Zgórzak Michał</dc:creator>
  <cp:lastModifiedBy>Korcz Kalina</cp:lastModifiedBy>
  <cp:revision>2</cp:revision>
  <cp:lastPrinted>2019-11-27T12:24:00Z</cp:lastPrinted>
  <dcterms:created xsi:type="dcterms:W3CDTF">2019-11-28T11:12:00Z</dcterms:created>
  <dcterms:modified xsi:type="dcterms:W3CDTF">2019-11-28T11:12:00Z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0x010100A023A326B241584A96C18F9EDCDB358B</vt:lpwstr>
  </property>
</Properties>
</file>