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3"/>
        <w:framePr w:w="9888" w:h="360" w:hRule="exact" w:wrap="none" w:vAnchor="page" w:hAnchor="page" w:x="986" w:y="2033"/>
        <w:widowControl w:val="0"/>
        <w:keepNext w:val="0"/>
        <w:keepLines w:val="0"/>
        <w:shd w:val="clear" w:color="auto" w:fill="auto"/>
        <w:bidi w:val="0"/>
        <w:spacing w:before="0" w:after="0" w:line="290" w:lineRule="exact"/>
        <w:ind w:left="20" w:right="0" w:firstLine="0"/>
      </w:pPr>
      <w:bookmarkStart w:id="0" w:name="bookmark0"/>
      <w:r>
        <w:rPr>
          <w:lang w:val="pl-PL"/>
          <w:w w:val="100"/>
          <w:spacing w:val="0"/>
          <w:color w:val="000000"/>
          <w:position w:val="0"/>
        </w:rPr>
        <w:t xml:space="preserve">Stanowisko lokatorskiej grupy roboczej KOPL </w:t>
      </w:r>
      <w:r>
        <w:rPr>
          <w:lang w:val="pl-PL"/>
          <w:w w:val="100"/>
          <w:spacing w:val="0"/>
          <w:color w:val="000000"/>
          <w:shd w:val="clear" w:color="auto" w:fill="80FFFF"/>
          <w:position w:val="0"/>
        </w:rPr>
        <w:t>+</w:t>
      </w:r>
      <w:r>
        <w:rPr>
          <w:lang w:val="pl-PL"/>
          <w:w w:val="100"/>
          <w:spacing w:val="0"/>
          <w:color w:val="000000"/>
          <w:position w:val="0"/>
        </w:rPr>
        <w:t xml:space="preserve"> WSL </w:t>
      </w:r>
      <w:r>
        <w:rPr>
          <w:lang w:val="pl-PL"/>
          <w:w w:val="100"/>
          <w:spacing w:val="0"/>
          <w:color w:val="000000"/>
          <w:shd w:val="clear" w:color="auto" w:fill="80FFFF"/>
          <w:position w:val="0"/>
        </w:rPr>
        <w:t>+</w:t>
      </w:r>
      <w:r>
        <w:rPr>
          <w:lang w:val="pl-PL"/>
          <w:w w:val="100"/>
          <w:spacing w:val="0"/>
          <w:color w:val="000000"/>
          <w:position w:val="0"/>
        </w:rPr>
        <w:t xml:space="preserve"> MEM</w:t>
      </w:r>
      <w:bookmarkEnd w:id="0"/>
    </w:p>
    <w:p>
      <w:pPr>
        <w:pStyle w:val="Style5"/>
        <w:framePr w:w="9888" w:h="615" w:hRule="exact" w:wrap="none" w:vAnchor="page" w:hAnchor="page" w:x="986" w:y="2703"/>
        <w:widowControl w:val="0"/>
        <w:keepNext w:val="0"/>
        <w:keepLines w:val="0"/>
        <w:shd w:val="clear" w:color="auto" w:fill="auto"/>
        <w:bidi w:val="0"/>
        <w:jc w:val="center"/>
        <w:spacing w:before="0" w:after="0" w:line="278" w:lineRule="exact"/>
        <w:ind w:left="20" w:right="0" w:firstLine="0"/>
      </w:pPr>
      <w:r>
        <w:rPr>
          <w:lang w:val="pl-PL"/>
          <w:w w:val="100"/>
          <w:color w:val="000000"/>
          <w:position w:val="0"/>
        </w:rPr>
        <w:t>dotyczące projektu Uchwały w sprawie zasad wynajmowania lokali wchodzących w skład</w:t>
        <w:br/>
        <w:t>mieszkaniowego zasobu miasta stołecznego Warszawy</w:t>
      </w:r>
    </w:p>
    <w:p>
      <w:pPr>
        <w:pStyle w:val="Style7"/>
        <w:numPr>
          <w:ilvl w:val="0"/>
          <w:numId w:val="1"/>
        </w:numPr>
        <w:framePr w:w="9888" w:h="5798" w:hRule="exact" w:wrap="none" w:vAnchor="page" w:hAnchor="page" w:x="986" w:y="4155"/>
        <w:tabs>
          <w:tab w:leader="none" w:pos="68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12" w:line="210" w:lineRule="exact"/>
        <w:ind w:left="340" w:right="0" w:firstLine="0"/>
      </w:pPr>
      <w:r>
        <w:rPr>
          <w:lang w:val="pl-PL"/>
          <w:w w:val="100"/>
          <w:color w:val="000000"/>
          <w:position w:val="0"/>
        </w:rPr>
        <w:t>Kryterium metrażowe</w:t>
      </w:r>
    </w:p>
    <w:p>
      <w:pPr>
        <w:pStyle w:val="Style7"/>
        <w:framePr w:w="9888" w:h="5798" w:hRule="exact" w:wrap="none" w:vAnchor="page" w:hAnchor="page" w:x="986" w:y="4155"/>
        <w:widowControl w:val="0"/>
        <w:keepNext w:val="0"/>
        <w:keepLines w:val="0"/>
        <w:shd w:val="clear" w:color="auto" w:fill="auto"/>
        <w:bidi w:val="0"/>
        <w:jc w:val="left"/>
        <w:spacing w:before="0" w:after="291"/>
        <w:ind w:left="20" w:right="260" w:firstLine="0"/>
      </w:pPr>
      <w:r>
        <w:rPr>
          <w:lang w:val="pl-PL"/>
          <w:w w:val="100"/>
          <w:color w:val="000000"/>
          <w:position w:val="0"/>
        </w:rPr>
        <w:t xml:space="preserve">Jesteśmy za ujednoliceniem kryterium metrażowego do 10 </w:t>
      </w:r>
      <w:r>
        <w:rPr>
          <w:lang w:val="pl-PL"/>
          <w:w w:val="100"/>
          <w:color w:val="000000"/>
          <w:shd w:val="clear" w:color="auto" w:fill="80FFFF"/>
          <w:position w:val="0"/>
        </w:rPr>
        <w:t>m</w:t>
      </w:r>
      <w:r>
        <w:rPr>
          <w:lang w:val="pl-PL"/>
          <w:w w:val="100"/>
          <w:color w:val="000000"/>
          <w:position w:val="0"/>
        </w:rPr>
        <w:t>2 na osobę. Nie ma uzasadnienia dla</w:t>
        <w:br/>
        <w:t>stosowania niższej normy metrażowej, niż norma metrażowa przyznawanych lokali na czas</w:t>
        <w:br/>
        <w:t>nieoznaczony.</w:t>
      </w:r>
    </w:p>
    <w:p>
      <w:pPr>
        <w:pStyle w:val="Style7"/>
        <w:numPr>
          <w:ilvl w:val="0"/>
          <w:numId w:val="1"/>
        </w:numPr>
        <w:framePr w:w="9888" w:h="5798" w:hRule="exact" w:wrap="none" w:vAnchor="page" w:hAnchor="page" w:x="986" w:y="4155"/>
        <w:tabs>
          <w:tab w:leader="none" w:pos="683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08" w:line="210" w:lineRule="exact"/>
        <w:ind w:left="340" w:right="0" w:firstLine="0"/>
      </w:pPr>
      <w:r>
        <w:rPr>
          <w:lang w:val="pl-PL"/>
          <w:w w:val="100"/>
          <w:color w:val="000000"/>
          <w:position w:val="0"/>
        </w:rPr>
        <w:t>Kryterium dochodowe</w:t>
      </w:r>
    </w:p>
    <w:p>
      <w:pPr>
        <w:pStyle w:val="Style7"/>
        <w:framePr w:w="9888" w:h="5798" w:hRule="exact" w:wrap="none" w:vAnchor="page" w:hAnchor="page" w:x="986" w:y="4155"/>
        <w:widowControl w:val="0"/>
        <w:keepNext w:val="0"/>
        <w:keepLines w:val="0"/>
        <w:shd w:val="clear" w:color="auto" w:fill="auto"/>
        <w:bidi w:val="0"/>
        <w:jc w:val="left"/>
        <w:spacing w:before="0" w:after="244" w:line="278" w:lineRule="exact"/>
        <w:ind w:left="20" w:right="260" w:firstLine="0"/>
      </w:pPr>
      <w:r>
        <w:rPr>
          <w:lang w:val="pl-PL"/>
          <w:w w:val="100"/>
          <w:color w:val="000000"/>
          <w:position w:val="0"/>
        </w:rPr>
        <w:t>Nie zgadzamy się na negatywne zmiany w przypadku większych rodzin oraz na obniżenie</w:t>
        <w:br/>
        <w:t>kryteriów dla lokali socjalnych dla więcej niż 1 osoby. Wzorowanie się na skali TBSów nie jest</w:t>
        <w:br/>
        <w:t>dostosowane do potrzeb osób mniej zarabiających.</w:t>
      </w:r>
    </w:p>
    <w:p>
      <w:pPr>
        <w:pStyle w:val="Style7"/>
        <w:framePr w:w="9888" w:h="5798" w:hRule="exact" w:wrap="none" w:vAnchor="page" w:hAnchor="page" w:x="986" w:y="4155"/>
        <w:widowControl w:val="0"/>
        <w:keepNext w:val="0"/>
        <w:keepLines w:val="0"/>
        <w:shd w:val="clear" w:color="auto" w:fill="auto"/>
        <w:bidi w:val="0"/>
        <w:jc w:val="left"/>
        <w:spacing w:before="0" w:after="291"/>
        <w:ind w:left="20" w:right="260" w:firstLine="0"/>
      </w:pPr>
      <w:r>
        <w:rPr>
          <w:lang w:val="pl-PL"/>
          <w:w w:val="100"/>
          <w:color w:val="000000"/>
          <w:position w:val="0"/>
        </w:rPr>
        <w:t>Proponujemy uproszczenie kryterium dochodowego, przez zastosowanie tylko jednego kryterium</w:t>
        <w:br/>
        <w:t>procentowego.</w:t>
      </w:r>
    </w:p>
    <w:p>
      <w:pPr>
        <w:pStyle w:val="Style7"/>
        <w:framePr w:w="9888" w:h="5798" w:hRule="exact" w:wrap="none" w:vAnchor="page" w:hAnchor="page" w:x="986" w:y="4155"/>
        <w:widowControl w:val="0"/>
        <w:keepNext w:val="0"/>
        <w:keepLines w:val="0"/>
        <w:shd w:val="clear" w:color="auto" w:fill="auto"/>
        <w:bidi w:val="0"/>
        <w:jc w:val="left"/>
        <w:spacing w:before="0" w:after="208" w:line="210" w:lineRule="exact"/>
        <w:ind w:left="20" w:right="0" w:firstLine="0"/>
      </w:pPr>
      <w:r>
        <w:rPr>
          <w:lang w:val="pl-PL"/>
          <w:w w:val="100"/>
          <w:color w:val="000000"/>
          <w:position w:val="0"/>
        </w:rPr>
        <w:t>Dla najmu komunalnego (na czas nieoznaczony):</w:t>
      </w:r>
    </w:p>
    <w:p>
      <w:pPr>
        <w:pStyle w:val="Style7"/>
        <w:framePr w:w="9888" w:h="5798" w:hRule="exact" w:wrap="none" w:vAnchor="page" w:hAnchor="page" w:x="986" w:y="4155"/>
        <w:widowControl w:val="0"/>
        <w:keepNext w:val="0"/>
        <w:keepLines w:val="0"/>
        <w:shd w:val="clear" w:color="auto" w:fill="auto"/>
        <w:bidi w:val="0"/>
        <w:jc w:val="left"/>
        <w:spacing w:before="0" w:after="295" w:line="278" w:lineRule="exact"/>
        <w:ind w:left="20" w:right="260" w:firstLine="0"/>
      </w:pPr>
      <w:r>
        <w:rPr>
          <w:lang w:val="pl-PL"/>
          <w:w w:val="100"/>
          <w:color w:val="000000"/>
          <w:position w:val="0"/>
        </w:rPr>
        <w:t>Dla gospodarstw jednoosobowych - 55</w:t>
      </w:r>
      <w:r>
        <w:rPr>
          <w:lang w:val="pl-PL"/>
          <w:w w:val="100"/>
          <w:color w:val="000000"/>
          <w:shd w:val="clear" w:color="auto" w:fill="80FFFF"/>
          <w:position w:val="0"/>
        </w:rPr>
        <w:t>%</w:t>
      </w:r>
      <w:r>
        <w:rPr>
          <w:lang w:val="pl-PL"/>
          <w:w w:val="100"/>
          <w:color w:val="000000"/>
          <w:position w:val="0"/>
        </w:rPr>
        <w:t xml:space="preserve"> przeciętnego wynagrodzenia w Województwie</w:t>
        <w:br/>
        <w:t>Mazowieckim (to pozostaje bez zmian względem propozycji Ratusza).</w:t>
      </w:r>
    </w:p>
    <w:p>
      <w:pPr>
        <w:pStyle w:val="Style7"/>
        <w:framePr w:w="9888" w:h="5798" w:hRule="exact" w:wrap="none" w:vAnchor="page" w:hAnchor="page" w:x="986" w:y="4155"/>
        <w:widowControl w:val="0"/>
        <w:keepNext w:val="0"/>
        <w:keepLines w:val="0"/>
        <w:shd w:val="clear" w:color="auto" w:fill="auto"/>
        <w:bidi w:val="0"/>
        <w:jc w:val="center"/>
        <w:spacing w:before="0" w:after="0" w:line="210" w:lineRule="exact"/>
        <w:ind w:left="20" w:right="0" w:firstLine="0"/>
      </w:pPr>
      <w:r>
        <w:rPr>
          <w:lang w:val="pl-PL"/>
          <w:w w:val="100"/>
          <w:color w:val="000000"/>
          <w:position w:val="0"/>
        </w:rPr>
        <w:t>Dla wieloosobowych gospodarstw: 50</w:t>
      </w:r>
      <w:r>
        <w:rPr>
          <w:lang w:val="pl-PL"/>
          <w:w w:val="100"/>
          <w:color w:val="000000"/>
          <w:shd w:val="clear" w:color="auto" w:fill="80FFFF"/>
          <w:position w:val="0"/>
        </w:rPr>
        <w:t>%</w:t>
      </w:r>
      <w:r>
        <w:rPr>
          <w:lang w:val="pl-PL"/>
          <w:w w:val="100"/>
          <w:color w:val="000000"/>
          <w:position w:val="0"/>
        </w:rPr>
        <w:t xml:space="preserve"> przeciętnego wynagrodzenia w Województwie od osoby</w:t>
      </w:r>
    </w:p>
    <w:p>
      <w:pPr>
        <w:pStyle w:val="Style9"/>
        <w:framePr w:wrap="none" w:vAnchor="page" w:hAnchor="page" w:x="1010" w:y="10227"/>
        <w:widowControl w:val="0"/>
        <w:keepNext w:val="0"/>
        <w:keepLines w:val="0"/>
        <w:shd w:val="clear" w:color="auto" w:fill="auto"/>
        <w:bidi w:val="0"/>
        <w:jc w:val="left"/>
        <w:spacing w:before="0" w:after="0" w:line="210" w:lineRule="exact"/>
        <w:ind w:left="0" w:right="0" w:firstLine="0"/>
      </w:pPr>
      <w:r>
        <w:rPr>
          <w:lang w:val="pl-PL"/>
          <w:w w:val="100"/>
          <w:color w:val="000000"/>
          <w:position w:val="0"/>
        </w:rPr>
        <w:t>Przyjmując średni dochód w wo</w:t>
      </w:r>
      <w:r>
        <w:rPr>
          <w:lang w:val="pl-PL"/>
          <w:w w:val="100"/>
          <w:color w:val="000000"/>
          <w:shd w:val="clear" w:color="auto" w:fill="80FFFF"/>
          <w:position w:val="0"/>
        </w:rPr>
        <w:t>j.</w:t>
      </w:r>
      <w:r>
        <w:rPr>
          <w:lang w:val="pl-PL"/>
          <w:w w:val="100"/>
          <w:color w:val="000000"/>
          <w:position w:val="0"/>
        </w:rPr>
        <w:t xml:space="preserve"> Mazowieckim w wysokości 5219 zł to daje:</w:t>
      </w:r>
    </w:p>
    <w:tbl>
      <w:tblPr>
        <w:tblOverlap w:val="never"/>
        <w:tblLayout w:type="fixed"/>
        <w:jc w:val="left"/>
      </w:tblPr>
      <w:tblGrid>
        <w:gridCol w:w="4814"/>
        <w:gridCol w:w="4829"/>
      </w:tblGrid>
      <w:tr>
        <w:trPr>
          <w:trHeight w:val="389" w:hRule="exact"/>
        </w:trPr>
        <w:tc>
          <w:tcPr>
            <w:tcBorders>
              <w:left w:val="single" w:sz="4"/>
              <w:top w:val="single" w:sz="4"/>
            </w:tcBorders>
            <w:vAlign w:val="top"/>
          </w:tcPr>
          <w:p>
            <w:pPr>
              <w:pStyle w:val="Style7"/>
              <w:framePr w:w="9643" w:h="1555" w:wrap="none" w:vAnchor="page" w:hAnchor="page" w:x="1005" w:y="1074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0" w:lineRule="exact"/>
              <w:ind w:left="60" w:right="0" w:firstLine="0"/>
            </w:pPr>
            <w:r>
              <w:rPr>
                <w:rStyle w:val="CharStyle11"/>
              </w:rPr>
              <w:t>Gos. 1 osobowe</w:t>
            </w:r>
          </w:p>
        </w:tc>
        <w:tc>
          <w:tcPr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7"/>
              <w:framePr w:w="9643" w:h="1555" w:wrap="none" w:vAnchor="page" w:hAnchor="page" w:x="1005" w:y="1074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0" w:lineRule="exact"/>
              <w:ind w:left="80" w:right="0" w:firstLine="0"/>
            </w:pPr>
            <w:r>
              <w:rPr>
                <w:rStyle w:val="CharStyle11"/>
              </w:rPr>
              <w:t>2 870,50 zł</w:t>
            </w:r>
          </w:p>
        </w:tc>
      </w:tr>
      <w:tr>
        <w:trPr>
          <w:trHeight w:val="389" w:hRule="exact"/>
        </w:trPr>
        <w:tc>
          <w:tcPr>
            <w:tcBorders>
              <w:left w:val="single" w:sz="4"/>
              <w:top w:val="single" w:sz="4"/>
            </w:tcBorders>
            <w:vAlign w:val="top"/>
          </w:tcPr>
          <w:p>
            <w:pPr>
              <w:pStyle w:val="Style7"/>
              <w:framePr w:w="9643" w:h="1555" w:wrap="none" w:vAnchor="page" w:hAnchor="page" w:x="1005" w:y="1074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0" w:lineRule="exact"/>
              <w:ind w:left="60" w:right="0" w:firstLine="0"/>
            </w:pPr>
            <w:r>
              <w:rPr>
                <w:rStyle w:val="CharStyle11"/>
              </w:rPr>
              <w:t>Gos. 2 osobowe</w:t>
            </w:r>
          </w:p>
        </w:tc>
        <w:tc>
          <w:tcPr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7"/>
              <w:framePr w:w="9643" w:h="1555" w:wrap="none" w:vAnchor="page" w:hAnchor="page" w:x="1005" w:y="1074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0" w:lineRule="exact"/>
              <w:ind w:left="80" w:right="0" w:firstLine="0"/>
            </w:pPr>
            <w:r>
              <w:rPr>
                <w:rStyle w:val="CharStyle11"/>
              </w:rPr>
              <w:t>5 219,00 zł</w:t>
            </w:r>
          </w:p>
        </w:tc>
      </w:tr>
      <w:tr>
        <w:trPr>
          <w:trHeight w:val="389" w:hRule="exact"/>
        </w:trPr>
        <w:tc>
          <w:tcPr>
            <w:tcBorders>
              <w:left w:val="single" w:sz="4"/>
              <w:top w:val="single" w:sz="4"/>
            </w:tcBorders>
            <w:vAlign w:val="top"/>
          </w:tcPr>
          <w:p>
            <w:pPr>
              <w:pStyle w:val="Style7"/>
              <w:framePr w:w="9643" w:h="1555" w:wrap="none" w:vAnchor="page" w:hAnchor="page" w:x="1005" w:y="1074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0" w:lineRule="exact"/>
              <w:ind w:left="60" w:right="0" w:firstLine="0"/>
            </w:pPr>
            <w:r>
              <w:rPr>
                <w:rStyle w:val="CharStyle11"/>
              </w:rPr>
              <w:t>Gos. 3 osobowe</w:t>
            </w:r>
          </w:p>
        </w:tc>
        <w:tc>
          <w:tcPr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7"/>
              <w:framePr w:w="9643" w:h="1555" w:wrap="none" w:vAnchor="page" w:hAnchor="page" w:x="1005" w:y="1074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0" w:lineRule="exact"/>
              <w:ind w:left="80" w:right="0" w:firstLine="0"/>
            </w:pPr>
            <w:r>
              <w:rPr>
                <w:rStyle w:val="CharStyle11"/>
              </w:rPr>
              <w:t>7 828,50 zł</w:t>
            </w:r>
          </w:p>
        </w:tc>
      </w:tr>
      <w:tr>
        <w:trPr>
          <w:trHeight w:val="389" w:hRule="exact"/>
        </w:trPr>
        <w:tc>
          <w:tcPr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7"/>
              <w:framePr w:w="9643" w:h="1555" w:wrap="none" w:vAnchor="page" w:hAnchor="page" w:x="1005" w:y="1074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0" w:lineRule="exact"/>
              <w:ind w:left="60" w:right="0" w:firstLine="0"/>
            </w:pPr>
            <w:r>
              <w:rPr>
                <w:rStyle w:val="CharStyle11"/>
              </w:rPr>
              <w:t>Gos. 4 osobowe</w:t>
            </w:r>
          </w:p>
        </w:tc>
        <w:tc>
          <w:tcPr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7"/>
              <w:framePr w:w="9643" w:h="1555" w:wrap="none" w:vAnchor="page" w:hAnchor="page" w:x="1005" w:y="10745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0" w:lineRule="exact"/>
              <w:ind w:left="80" w:right="0" w:firstLine="0"/>
            </w:pPr>
            <w:r>
              <w:rPr>
                <w:rStyle w:val="CharStyle11"/>
              </w:rPr>
              <w:t>10 438,00 zł</w:t>
            </w:r>
          </w:p>
        </w:tc>
      </w:tr>
    </w:tbl>
    <w:p>
      <w:pPr>
        <w:pStyle w:val="Style7"/>
        <w:framePr w:w="9888" w:h="3324" w:hRule="exact" w:wrap="none" w:vAnchor="page" w:hAnchor="page" w:x="986" w:y="12603"/>
        <w:widowControl w:val="0"/>
        <w:keepNext w:val="0"/>
        <w:keepLines w:val="0"/>
        <w:shd w:val="clear" w:color="auto" w:fill="auto"/>
        <w:bidi w:val="0"/>
        <w:jc w:val="left"/>
        <w:spacing w:before="0" w:after="212" w:line="210" w:lineRule="exact"/>
        <w:ind w:left="20" w:right="0" w:firstLine="0"/>
      </w:pPr>
      <w:r>
        <w:rPr>
          <w:lang w:val="pl-PL"/>
          <w:w w:val="100"/>
          <w:color w:val="000000"/>
          <w:position w:val="0"/>
        </w:rPr>
        <w:t>Tzn. 2609,50 zł przy każdej kolejnej osobie.</w:t>
      </w:r>
    </w:p>
    <w:p>
      <w:pPr>
        <w:pStyle w:val="Style7"/>
        <w:framePr w:w="9888" w:h="3324" w:hRule="exact" w:wrap="none" w:vAnchor="page" w:hAnchor="page" w:x="986" w:y="12603"/>
        <w:widowControl w:val="0"/>
        <w:keepNext w:val="0"/>
        <w:keepLines w:val="0"/>
        <w:shd w:val="clear" w:color="auto" w:fill="auto"/>
        <w:bidi w:val="0"/>
        <w:jc w:val="left"/>
        <w:spacing w:before="0" w:after="240"/>
        <w:ind w:left="20" w:right="260" w:firstLine="0"/>
      </w:pPr>
      <w:r>
        <w:rPr>
          <w:lang w:val="pl-PL"/>
          <w:w w:val="100"/>
          <w:color w:val="000000"/>
          <w:position w:val="0"/>
        </w:rPr>
        <w:t>Proponowane wskaźniki są mniej korzystne dla osób niepełnosprawnych i dekretowców niż</w:t>
        <w:br/>
        <w:t>stosowane poprzednio. Proponujemy, aby pozostawić sposób powiększenia kryterium (o 30, 40 i 70</w:t>
        <w:br/>
        <w:t>procent) dla tych kategorii osób, zachowując nowe kategorie podwyższania kryteriów</w:t>
        <w:br/>
        <w:t>wprowadzone w propozycjach Ratusza (np</w:t>
      </w:r>
      <w:r>
        <w:rPr>
          <w:lang w:val="pl-PL"/>
          <w:w w:val="100"/>
          <w:color w:val="000000"/>
          <w:shd w:val="clear" w:color="auto" w:fill="80FFFF"/>
          <w:position w:val="0"/>
        </w:rPr>
        <w:t>.,</w:t>
      </w:r>
      <w:r>
        <w:rPr>
          <w:lang w:val="pl-PL"/>
          <w:w w:val="100"/>
          <w:color w:val="000000"/>
          <w:position w:val="0"/>
        </w:rPr>
        <w:t xml:space="preserve"> lokatorzy byłych mieszkań zakładowych).</w:t>
      </w:r>
    </w:p>
    <w:p>
      <w:pPr>
        <w:pStyle w:val="Style7"/>
        <w:framePr w:w="9888" w:h="3324" w:hRule="exact" w:wrap="none" w:vAnchor="page" w:hAnchor="page" w:x="986" w:y="12603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260" w:firstLine="0"/>
      </w:pPr>
      <w:r>
        <w:rPr>
          <w:lang w:val="pl-PL"/>
          <w:w w:val="100"/>
          <w:color w:val="000000"/>
          <w:position w:val="0"/>
        </w:rPr>
        <w:t xml:space="preserve">Kryterium dochodowe uprawniające do lokalu socjalnego - 30 </w:t>
      </w:r>
      <w:r>
        <w:rPr>
          <w:rStyle w:val="CharStyle12"/>
          <w:lang w:val="pl-PL"/>
        </w:rPr>
        <w:t>%</w:t>
      </w:r>
      <w:r>
        <w:rPr>
          <w:lang w:val="pl-PL"/>
          <w:w w:val="100"/>
          <w:color w:val="000000"/>
          <w:position w:val="0"/>
        </w:rPr>
        <w:t xml:space="preserve"> przeciętnego wynagrodzenia dla</w:t>
        <w:br/>
        <w:t xml:space="preserve">jednej osoby </w:t>
      </w:r>
      <w:r>
        <w:rPr>
          <w:lang w:val="pl-PL"/>
          <w:w w:val="100"/>
          <w:color w:val="000000"/>
          <w:shd w:val="clear" w:color="auto" w:fill="80FFFF"/>
          <w:position w:val="0"/>
        </w:rPr>
        <w:t>+</w:t>
      </w:r>
      <w:r>
        <w:rPr>
          <w:lang w:val="pl-PL"/>
          <w:w w:val="100"/>
          <w:color w:val="000000"/>
          <w:position w:val="0"/>
        </w:rPr>
        <w:t xml:space="preserve"> 25% przeciętnego dla każdej kolejnej osoby w gospodarstwie z zachowaniem</w:t>
        <w:br/>
        <w:t>podniesionego kryterium dla osób, które podpisały programy oddłużeniowe. Proponowane przez</w:t>
        <w:br/>
        <w:t>BPL kryteria są za niskie. Dla 1 osoby kryterium zmieni się tylko o 5 zł. Dla więcej niż jednej</w:t>
        <w:br/>
        <w:t>osoby, kryterium zostanie obniżone w porównaniu z obecnymi przepisami.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6" w:h="16838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13"/>
        <w:framePr w:w="4920" w:h="278" w:hRule="exact" w:wrap="none" w:vAnchor="page" w:hAnchor="page" w:x="969" w:y="1332"/>
        <w:widowControl w:val="0"/>
        <w:keepNext w:val="0"/>
        <w:keepLines w:val="0"/>
        <w:shd w:val="clear" w:color="auto" w:fill="auto"/>
        <w:bidi w:val="0"/>
        <w:jc w:val="left"/>
        <w:spacing w:before="0" w:after="0" w:line="210" w:lineRule="exact"/>
        <w:ind w:left="20" w:right="0" w:firstLine="0"/>
      </w:pPr>
      <w:r>
        <w:rPr>
          <w:lang w:val="pl-PL"/>
          <w:w w:val="100"/>
          <w:color w:val="000000"/>
          <w:position w:val="0"/>
        </w:rPr>
        <w:t>Nasza propozycja kryterium dla najmu socjalnego:</w:t>
      </w:r>
    </w:p>
    <w:tbl>
      <w:tblPr>
        <w:tblOverlap w:val="never"/>
        <w:tblLayout w:type="fixed"/>
        <w:jc w:val="left"/>
      </w:tblPr>
      <w:tblGrid>
        <w:gridCol w:w="4814"/>
        <w:gridCol w:w="4829"/>
      </w:tblGrid>
      <w:tr>
        <w:trPr>
          <w:trHeight w:val="629" w:hRule="exact"/>
        </w:trPr>
        <w:tc>
          <w:tcPr>
            <w:tcBorders>
              <w:left w:val="single" w:sz="4"/>
              <w:top w:val="single" w:sz="4"/>
            </w:tcBorders>
            <w:vAlign w:val="top"/>
          </w:tcPr>
          <w:p>
            <w:pPr>
              <w:pStyle w:val="Style7"/>
              <w:framePr w:w="9643" w:h="1262" w:wrap="none" w:vAnchor="page" w:hAnchor="page" w:x="998" w:y="18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0" w:lineRule="exact"/>
              <w:ind w:left="60" w:right="0" w:firstLine="0"/>
            </w:pPr>
            <w:r>
              <w:rPr>
                <w:rStyle w:val="CharStyle11"/>
              </w:rPr>
              <w:t>Dla 1 osoby</w:t>
            </w:r>
          </w:p>
        </w:tc>
        <w:tc>
          <w:tcPr>
            <w:tcBorders>
              <w:left w:val="single" w:sz="4"/>
              <w:right w:val="single" w:sz="4"/>
              <w:top w:val="single" w:sz="4"/>
            </w:tcBorders>
            <w:vAlign w:val="top"/>
          </w:tcPr>
          <w:p>
            <w:pPr>
              <w:pStyle w:val="Style7"/>
              <w:framePr w:w="9643" w:h="1262" w:wrap="none" w:vAnchor="page" w:hAnchor="page" w:x="998" w:y="18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00" w:lineRule="exact"/>
              <w:ind w:left="100" w:right="0" w:firstLine="0"/>
            </w:pPr>
            <w:r>
              <w:rPr>
                <w:rStyle w:val="CharStyle15"/>
              </w:rPr>
              <w:t>1 565,70 zł</w:t>
            </w:r>
          </w:p>
        </w:tc>
      </w:tr>
      <w:tr>
        <w:trPr>
          <w:trHeight w:val="634" w:hRule="exact"/>
        </w:trPr>
        <w:tc>
          <w:tcPr>
            <w:tcBorders>
              <w:lef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7"/>
              <w:framePr w:w="9643" w:h="1262" w:wrap="none" w:vAnchor="page" w:hAnchor="page" w:x="998" w:y="18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210" w:lineRule="exact"/>
              <w:ind w:left="60" w:right="0" w:firstLine="0"/>
            </w:pPr>
            <w:r>
              <w:rPr>
                <w:rStyle w:val="CharStyle11"/>
              </w:rPr>
              <w:t>Dla każdej kolejnej osoby</w:t>
            </w:r>
          </w:p>
        </w:tc>
        <w:tc>
          <w:tcPr>
            <w:tcBorders>
              <w:left w:val="single" w:sz="4"/>
              <w:right w:val="single" w:sz="4"/>
              <w:top w:val="single" w:sz="4"/>
              <w:bottom w:val="single" w:sz="4"/>
            </w:tcBorders>
            <w:vAlign w:val="top"/>
          </w:tcPr>
          <w:p>
            <w:pPr>
              <w:pStyle w:val="Style7"/>
              <w:framePr w:w="9643" w:h="1262" w:wrap="none" w:vAnchor="page" w:hAnchor="page" w:x="998" w:y="1856"/>
              <w:widowControl w:val="0"/>
              <w:keepNext w:val="0"/>
              <w:keepLines w:val="0"/>
              <w:shd w:val="clear" w:color="auto" w:fill="auto"/>
              <w:bidi w:val="0"/>
              <w:jc w:val="left"/>
              <w:spacing w:before="0" w:after="0" w:line="400" w:lineRule="exact"/>
              <w:ind w:left="100" w:right="0" w:firstLine="0"/>
            </w:pPr>
            <w:r>
              <w:rPr>
                <w:rStyle w:val="CharStyle15"/>
              </w:rPr>
              <w:t>1 304,75 zł</w:t>
            </w:r>
          </w:p>
        </w:tc>
      </w:tr>
    </w:tbl>
    <w:p>
      <w:pPr>
        <w:pStyle w:val="Style7"/>
        <w:framePr w:w="9874" w:h="12067" w:hRule="exact" w:wrap="none" w:vAnchor="page" w:hAnchor="page" w:x="993" w:y="3648"/>
        <w:widowControl w:val="0"/>
        <w:keepNext w:val="0"/>
        <w:keepLines w:val="0"/>
        <w:shd w:val="clear" w:color="auto" w:fill="auto"/>
        <w:bidi w:val="0"/>
        <w:jc w:val="left"/>
        <w:spacing w:before="0" w:after="236"/>
        <w:ind w:left="20" w:right="260" w:firstLine="0"/>
      </w:pPr>
      <w:r>
        <w:rPr>
          <w:lang w:val="pl-PL"/>
          <w:w w:val="100"/>
          <w:color w:val="000000"/>
          <w:position w:val="0"/>
        </w:rPr>
        <w:t>Uwaga - Jeśli Ratusz będzie się upierać, że należy dać priorytet mniej zarabiającym przy</w:t>
        <w:br/>
        <w:t>przydzielaniu mieszkań komunalnych, wrócimy do naszych wcześniejszych propozycji systemu</w:t>
        <w:br/>
        <w:t>punktowego, który przyznawał dodatkowe punkty gospodarstwom domowym, które mają niższe</w:t>
        <w:br/>
        <w:t>dochody.</w:t>
      </w:r>
    </w:p>
    <w:p>
      <w:pPr>
        <w:pStyle w:val="Style7"/>
        <w:framePr w:w="9874" w:h="12067" w:hRule="exact" w:wrap="none" w:vAnchor="page" w:hAnchor="page" w:x="993" w:y="3648"/>
        <w:widowControl w:val="0"/>
        <w:keepNext w:val="0"/>
        <w:keepLines w:val="0"/>
        <w:shd w:val="clear" w:color="auto" w:fill="auto"/>
        <w:bidi w:val="0"/>
        <w:jc w:val="left"/>
        <w:spacing w:before="0" w:after="0" w:line="278" w:lineRule="exact"/>
        <w:ind w:left="20" w:right="1340" w:firstLine="0"/>
      </w:pPr>
      <w:r>
        <w:rPr>
          <w:lang w:val="pl-PL"/>
          <w:w w:val="100"/>
          <w:color w:val="000000"/>
          <w:position w:val="0"/>
        </w:rPr>
        <w:t xml:space="preserve">Np. 2 osoby - najem socjalny </w:t>
      </w:r>
      <w:r>
        <w:rPr>
          <w:lang w:val="pl-PL"/>
          <w:w w:val="100"/>
          <w:color w:val="000000"/>
          <w:shd w:val="clear" w:color="auto" w:fill="80FFFF"/>
          <w:position w:val="0"/>
        </w:rPr>
        <w:t>=</w:t>
      </w:r>
      <w:r>
        <w:rPr>
          <w:lang w:val="pl-PL"/>
          <w:w w:val="100"/>
          <w:color w:val="000000"/>
          <w:position w:val="0"/>
        </w:rPr>
        <w:t xml:space="preserve"> dochód maksymalnie 2870,45 - (mniej niż 28 procent</w:t>
        <w:br/>
        <w:t>przeciętnego wynagrodzenia od osoby)</w:t>
      </w:r>
    </w:p>
    <w:p>
      <w:pPr>
        <w:pStyle w:val="Style7"/>
        <w:numPr>
          <w:ilvl w:val="0"/>
          <w:numId w:val="3"/>
        </w:numPr>
        <w:framePr w:w="9874" w:h="12067" w:hRule="exact" w:wrap="none" w:vAnchor="page" w:hAnchor="page" w:x="993" w:y="3648"/>
        <w:tabs>
          <w:tab w:leader="none" w:pos="207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236"/>
        <w:ind w:left="20" w:right="1720" w:firstLine="0"/>
      </w:pPr>
      <w:r>
        <w:rPr>
          <w:lang w:val="pl-PL"/>
          <w:w w:val="100"/>
          <w:color w:val="000000"/>
          <w:position w:val="0"/>
        </w:rPr>
        <w:t xml:space="preserve">osoby - najem komunalny </w:t>
      </w:r>
      <w:r>
        <w:rPr>
          <w:lang w:val="pl-PL"/>
          <w:w w:val="100"/>
          <w:color w:val="000000"/>
          <w:shd w:val="clear" w:color="auto" w:fill="80FFFF"/>
          <w:position w:val="0"/>
        </w:rPr>
        <w:t>=</w:t>
      </w:r>
      <w:r>
        <w:rPr>
          <w:lang w:val="pl-PL"/>
          <w:w w:val="100"/>
          <w:color w:val="000000"/>
          <w:position w:val="0"/>
        </w:rPr>
        <w:t xml:space="preserve"> dochód maksymalnie - 5219 (50 procent przeciętnego</w:t>
        <w:br/>
        <w:t>wynagrodzenia od osoby)</w:t>
      </w:r>
    </w:p>
    <w:p>
      <w:pPr>
        <w:pStyle w:val="Style7"/>
        <w:framePr w:w="9874" w:h="12067" w:hRule="exact" w:wrap="none" w:vAnchor="page" w:hAnchor="page" w:x="993" w:y="3648"/>
        <w:widowControl w:val="0"/>
        <w:keepNext w:val="0"/>
        <w:keepLines w:val="0"/>
        <w:shd w:val="clear" w:color="auto" w:fill="auto"/>
        <w:bidi w:val="0"/>
        <w:jc w:val="left"/>
        <w:spacing w:before="0" w:after="295" w:line="278" w:lineRule="exact"/>
        <w:ind w:left="20" w:right="260" w:firstLine="0"/>
      </w:pPr>
      <w:r>
        <w:rPr>
          <w:lang w:val="pl-PL"/>
          <w:w w:val="100"/>
          <w:color w:val="000000"/>
          <w:position w:val="0"/>
        </w:rPr>
        <w:t>Można przyznać preferencyjne punkty dla gospodarstw mających od 28 do 40% przeciętnego</w:t>
        <w:br/>
        <w:t>wynagrodzenia od osoby.</w:t>
      </w:r>
    </w:p>
    <w:p>
      <w:pPr>
        <w:pStyle w:val="Style7"/>
        <w:numPr>
          <w:ilvl w:val="0"/>
          <w:numId w:val="1"/>
        </w:numPr>
        <w:framePr w:w="9874" w:h="12067" w:hRule="exact" w:wrap="none" w:vAnchor="page" w:hAnchor="page" w:x="993" w:y="3648"/>
        <w:tabs>
          <w:tab w:leader="none" w:pos="73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53" w:line="210" w:lineRule="exact"/>
        <w:ind w:left="380" w:right="0" w:firstLine="0"/>
      </w:pPr>
      <w:r>
        <w:rPr>
          <w:lang w:val="pl-PL"/>
          <w:w w:val="100"/>
          <w:color w:val="000000"/>
          <w:position w:val="0"/>
        </w:rPr>
        <w:t>Pierwszeństwo najmu</w:t>
      </w:r>
    </w:p>
    <w:p>
      <w:pPr>
        <w:pStyle w:val="Style7"/>
        <w:numPr>
          <w:ilvl w:val="0"/>
          <w:numId w:val="5"/>
        </w:numPr>
        <w:framePr w:w="9874" w:h="12067" w:hRule="exact" w:wrap="none" w:vAnchor="page" w:hAnchor="page" w:x="993" w:y="3648"/>
        <w:tabs>
          <w:tab w:leader="none" w:pos="73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98" w:lineRule="exact"/>
        <w:ind w:left="380" w:right="0" w:firstLine="0"/>
      </w:pPr>
      <w:r>
        <w:rPr>
          <w:lang w:val="pl-PL"/>
          <w:w w:val="100"/>
          <w:color w:val="000000"/>
          <w:position w:val="0"/>
        </w:rPr>
        <w:t>Samotni rodzice i of</w:t>
      </w:r>
      <w:r>
        <w:rPr>
          <w:lang w:val="pl-PL"/>
          <w:w w:val="100"/>
          <w:color w:val="000000"/>
          <w:shd w:val="clear" w:color="auto" w:fill="80FFFF"/>
          <w:position w:val="0"/>
        </w:rPr>
        <w:t>i</w:t>
      </w:r>
      <w:r>
        <w:rPr>
          <w:lang w:val="pl-PL"/>
          <w:w w:val="100"/>
          <w:color w:val="000000"/>
          <w:position w:val="0"/>
        </w:rPr>
        <w:t>ary przemocy w rodzinie powinni mieć więcej punktów.</w:t>
      </w:r>
    </w:p>
    <w:p>
      <w:pPr>
        <w:pStyle w:val="Style7"/>
        <w:numPr>
          <w:ilvl w:val="0"/>
          <w:numId w:val="5"/>
        </w:numPr>
        <w:framePr w:w="9874" w:h="12067" w:hRule="exact" w:wrap="none" w:vAnchor="page" w:hAnchor="page" w:x="993" w:y="3648"/>
        <w:widowControl w:val="0"/>
        <w:keepNext w:val="0"/>
        <w:keepLines w:val="0"/>
        <w:shd w:val="clear" w:color="auto" w:fill="auto"/>
        <w:bidi w:val="0"/>
        <w:jc w:val="both"/>
        <w:spacing w:before="0" w:after="0" w:line="298" w:lineRule="exact"/>
        <w:ind w:left="380" w:right="0" w:firstLine="0"/>
      </w:pPr>
      <w:r>
        <w:rPr>
          <w:lang w:val="pl-PL"/>
          <w:w w:val="100"/>
          <w:color w:val="000000"/>
          <w:position w:val="0"/>
        </w:rPr>
        <w:t xml:space="preserve"> Stopień niepełnosprawności powinien skutkować przyznaniem różnej liczby punktów.</w:t>
      </w:r>
    </w:p>
    <w:p>
      <w:pPr>
        <w:pStyle w:val="Style7"/>
        <w:numPr>
          <w:ilvl w:val="0"/>
          <w:numId w:val="5"/>
        </w:numPr>
        <w:framePr w:w="9874" w:h="12067" w:hRule="exact" w:wrap="none" w:vAnchor="page" w:hAnchor="page" w:x="993" w:y="3648"/>
        <w:widowControl w:val="0"/>
        <w:keepNext w:val="0"/>
        <w:keepLines w:val="0"/>
        <w:shd w:val="clear" w:color="auto" w:fill="auto"/>
        <w:bidi w:val="0"/>
        <w:jc w:val="both"/>
        <w:spacing w:before="0" w:after="310" w:line="298" w:lineRule="exact"/>
        <w:ind w:left="380" w:right="0" w:firstLine="0"/>
      </w:pPr>
      <w:r>
        <w:rPr>
          <w:lang w:val="pl-PL"/>
          <w:w w:val="100"/>
          <w:color w:val="000000"/>
          <w:position w:val="0"/>
        </w:rPr>
        <w:t xml:space="preserve"> Usunięcie karnych punktów za odmowę przyjęcia lokali niespełniających standardów</w:t>
      </w:r>
    </w:p>
    <w:p>
      <w:pPr>
        <w:pStyle w:val="Style7"/>
        <w:numPr>
          <w:ilvl w:val="0"/>
          <w:numId w:val="1"/>
        </w:numPr>
        <w:framePr w:w="9874" w:h="12067" w:hRule="exact" w:wrap="none" w:vAnchor="page" w:hAnchor="page" w:x="993" w:y="3648"/>
        <w:tabs>
          <w:tab w:leader="none" w:pos="73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68" w:line="210" w:lineRule="exact"/>
        <w:ind w:left="380" w:right="0" w:firstLine="0"/>
      </w:pPr>
      <w:r>
        <w:rPr>
          <w:lang w:val="pl-PL"/>
          <w:w w:val="100"/>
          <w:color w:val="000000"/>
          <w:position w:val="0"/>
        </w:rPr>
        <w:t>Pomoc dla osób bezdomnych</w:t>
      </w:r>
    </w:p>
    <w:p>
      <w:pPr>
        <w:pStyle w:val="Style7"/>
        <w:framePr w:w="9874" w:h="12067" w:hRule="exact" w:wrap="none" w:vAnchor="page" w:hAnchor="page" w:x="993" w:y="3648"/>
        <w:widowControl w:val="0"/>
        <w:keepNext w:val="0"/>
        <w:keepLines w:val="0"/>
        <w:shd w:val="clear" w:color="auto" w:fill="auto"/>
        <w:bidi w:val="0"/>
        <w:jc w:val="left"/>
        <w:spacing w:before="0" w:after="244" w:line="278" w:lineRule="exact"/>
        <w:ind w:left="20" w:right="260" w:firstLine="0"/>
      </w:pPr>
      <w:r>
        <w:rPr>
          <w:lang w:val="pl-PL"/>
          <w:w w:val="100"/>
          <w:color w:val="000000"/>
          <w:position w:val="0"/>
        </w:rPr>
        <w:t>Uwzględnienie faktycznego centrum życiowego i rezygnacja z pojęcia ostatniego meldunku.</w:t>
        <w:br/>
        <w:t>Możliwość starania się w dowolnej dzielnicy.</w:t>
      </w:r>
    </w:p>
    <w:p>
      <w:pPr>
        <w:pStyle w:val="Style7"/>
        <w:numPr>
          <w:ilvl w:val="0"/>
          <w:numId w:val="1"/>
        </w:numPr>
        <w:framePr w:w="9874" w:h="12067" w:hRule="exact" w:wrap="none" w:vAnchor="page" w:hAnchor="page" w:x="993" w:y="3648"/>
        <w:tabs>
          <w:tab w:leader="none" w:pos="736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225"/>
        <w:ind w:left="740" w:right="260"/>
      </w:pPr>
      <w:r>
        <w:rPr>
          <w:lang w:val="pl-PL"/>
          <w:w w:val="100"/>
          <w:color w:val="000000"/>
          <w:position w:val="0"/>
        </w:rPr>
        <w:t>Doprecyzowanie działania zespołu pracowników dzielnicy wyznaczonych przez burmistrza</w:t>
        <w:br/>
        <w:t>dzielnicy w Art. 40 projektu Uchwały</w:t>
      </w:r>
    </w:p>
    <w:p>
      <w:pPr>
        <w:pStyle w:val="Style7"/>
        <w:numPr>
          <w:ilvl w:val="0"/>
          <w:numId w:val="7"/>
        </w:numPr>
        <w:framePr w:w="9874" w:h="12067" w:hRule="exact" w:wrap="none" w:vAnchor="page" w:hAnchor="page" w:x="993" w:y="3648"/>
        <w:tabs>
          <w:tab w:leader="none" w:pos="73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93" w:lineRule="exact"/>
        <w:ind w:left="380" w:right="0" w:firstLine="0"/>
      </w:pPr>
      <w:r>
        <w:rPr>
          <w:lang w:val="pl-PL"/>
          <w:w w:val="100"/>
          <w:color w:val="000000"/>
          <w:position w:val="0"/>
        </w:rPr>
        <w:t>Regulamin działania zespołu</w:t>
      </w:r>
    </w:p>
    <w:p>
      <w:pPr>
        <w:pStyle w:val="Style7"/>
        <w:numPr>
          <w:ilvl w:val="0"/>
          <w:numId w:val="7"/>
        </w:numPr>
        <w:framePr w:w="9874" w:h="12067" w:hRule="exact" w:wrap="none" w:vAnchor="page" w:hAnchor="page" w:x="993" w:y="3648"/>
        <w:tabs>
          <w:tab w:leader="none" w:pos="73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93" w:lineRule="exact"/>
        <w:ind w:left="380" w:right="0" w:firstLine="0"/>
      </w:pPr>
      <w:r>
        <w:rPr>
          <w:lang w:val="pl-PL"/>
          <w:w w:val="100"/>
          <w:color w:val="000000"/>
          <w:position w:val="0"/>
        </w:rPr>
        <w:t>Czas na który zostaje powołany</w:t>
      </w:r>
    </w:p>
    <w:p>
      <w:pPr>
        <w:pStyle w:val="Style7"/>
        <w:numPr>
          <w:ilvl w:val="0"/>
          <w:numId w:val="7"/>
        </w:numPr>
        <w:framePr w:w="9874" w:h="12067" w:hRule="exact" w:wrap="none" w:vAnchor="page" w:hAnchor="page" w:x="993" w:y="3648"/>
        <w:tabs>
          <w:tab w:leader="none" w:pos="73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 w:line="293" w:lineRule="exact"/>
        <w:ind w:left="380" w:right="0" w:firstLine="0"/>
      </w:pPr>
      <w:r>
        <w:rPr>
          <w:lang w:val="pl-PL"/>
          <w:w w:val="100"/>
          <w:color w:val="000000"/>
          <w:position w:val="0"/>
        </w:rPr>
        <w:t>Jawność wyboru członków</w:t>
      </w:r>
    </w:p>
    <w:p>
      <w:pPr>
        <w:pStyle w:val="Style7"/>
        <w:numPr>
          <w:ilvl w:val="0"/>
          <w:numId w:val="7"/>
        </w:numPr>
        <w:framePr w:w="9874" w:h="12067" w:hRule="exact" w:wrap="none" w:vAnchor="page" w:hAnchor="page" w:x="993" w:y="3648"/>
        <w:tabs>
          <w:tab w:leader="none" w:pos="73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306" w:line="293" w:lineRule="exact"/>
        <w:ind w:left="380" w:right="0" w:firstLine="0"/>
      </w:pPr>
      <w:r>
        <w:rPr>
          <w:lang w:val="pl-PL"/>
          <w:w w:val="100"/>
          <w:color w:val="000000"/>
          <w:position w:val="0"/>
        </w:rPr>
        <w:t>Pracownicy ZGN czy Urzędu Dzielnicy?</w:t>
      </w:r>
    </w:p>
    <w:p>
      <w:pPr>
        <w:pStyle w:val="Style7"/>
        <w:numPr>
          <w:ilvl w:val="0"/>
          <w:numId w:val="1"/>
        </w:numPr>
        <w:framePr w:w="9874" w:h="12067" w:hRule="exact" w:wrap="none" w:vAnchor="page" w:hAnchor="page" w:x="993" w:y="3648"/>
        <w:tabs>
          <w:tab w:leader="none" w:pos="736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72" w:line="210" w:lineRule="exact"/>
        <w:ind w:left="380" w:right="0" w:firstLine="0"/>
      </w:pPr>
      <w:r>
        <w:rPr>
          <w:lang w:val="pl-PL"/>
          <w:w w:val="100"/>
          <w:color w:val="000000"/>
          <w:position w:val="0"/>
        </w:rPr>
        <w:t>Utrzymanie odrębnych zasad dla mieszkań z Miejskiego Eksperymentu Mieszkaniowego</w:t>
      </w:r>
    </w:p>
    <w:p>
      <w:pPr>
        <w:pStyle w:val="Style7"/>
        <w:framePr w:w="9874" w:h="12067" w:hRule="exact" w:wrap="none" w:vAnchor="page" w:hAnchor="page" w:x="993" w:y="3648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260" w:firstLine="0"/>
      </w:pPr>
      <w:r>
        <w:rPr>
          <w:lang w:val="pl-PL"/>
          <w:w w:val="100"/>
          <w:color w:val="000000"/>
          <w:position w:val="0"/>
        </w:rPr>
        <w:t>Wnioskujemy o wprowadzenie stosownych zapisów uchwały lub przygotowanie oddzielnej dla</w:t>
        <w:br/>
        <w:t>uczestników programu mieszkaniowego budownictwa czynszowego, wprowadzonego przez Gminę</w:t>
        <w:br/>
        <w:t>Warszawa Centrum na lata 1998-2002; dla lokatorów, którzy weszli w najem lokali mieszkalnych o</w:t>
        <w:br/>
        <w:t>powierzchni użytkowej powyżej 80m2, oddanych w najem w drodze pisemnego przetargu</w:t>
        <w:br/>
        <w:t>publicznego, ograniczonego; dla osób, które opróżniły samodzielny lokal wynajmowany z</w:t>
        <w:br/>
        <w:t>mieszkaniowego zasobu lub przeniosły na rzecz m.st. Warszawy prawo własności lokalu lub</w:t>
        <w:br/>
        <w:t>spółdzielcze własnościowe prawo do lokalu, znajdującego się na terenie m.st. Warszawy,</w:t>
        <w:br/>
        <w:t>nieobciążonego prawami osób trzecich, a także udokumentowały zdolność finansową do</w:t>
        <w:br/>
        <w:t>ponoszenia czynszu ca 400% wyższego od obowiązującego w pozostałych nieruchomościach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6" w:h="16838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7"/>
        <w:framePr w:wrap="none" w:vAnchor="page" w:hAnchor="page" w:x="1110" w:y="1827"/>
        <w:widowControl w:val="0"/>
        <w:keepNext w:val="0"/>
        <w:keepLines w:val="0"/>
        <w:shd w:val="clear" w:color="auto" w:fill="auto"/>
        <w:bidi w:val="0"/>
        <w:jc w:val="left"/>
        <w:spacing w:before="0" w:after="0" w:line="210" w:lineRule="exact"/>
        <w:ind w:left="0" w:right="0" w:firstLine="0"/>
      </w:pPr>
      <w:r>
        <w:rPr>
          <w:lang w:val="pl-PL"/>
          <w:w w:val="100"/>
          <w:color w:val="000000"/>
          <w:position w:val="0"/>
        </w:rPr>
        <w:t>komunalnych.</w:t>
      </w:r>
    </w:p>
    <w:p>
      <w:pPr>
        <w:pStyle w:val="Style7"/>
        <w:framePr w:w="9638" w:h="1705" w:hRule="exact" w:wrap="none" w:vAnchor="page" w:hAnchor="page" w:x="1110" w:y="2337"/>
        <w:widowControl w:val="0"/>
        <w:keepNext w:val="0"/>
        <w:keepLines w:val="0"/>
        <w:shd w:val="clear" w:color="auto" w:fill="auto"/>
        <w:bidi w:val="0"/>
        <w:jc w:val="left"/>
        <w:spacing w:before="0" w:after="236" w:line="269" w:lineRule="exact"/>
        <w:ind w:left="0" w:right="360" w:firstLine="0"/>
      </w:pPr>
      <w:r>
        <w:rPr>
          <w:lang w:val="pl-PL"/>
          <w:w w:val="100"/>
          <w:color w:val="000000"/>
          <w:position w:val="0"/>
        </w:rPr>
        <w:t>Zmiana dopuszczona art. 21 pkt. 3b ustawy o ochronie praw lokatorów, mieszkaniowym zasobie</w:t>
        <w:br/>
        <w:t>gminy i o zmianie kodeksu cywilnego.</w:t>
      </w:r>
    </w:p>
    <w:p>
      <w:pPr>
        <w:pStyle w:val="Style5"/>
        <w:framePr w:w="9638" w:h="1705" w:hRule="exact" w:wrap="none" w:vAnchor="page" w:hAnchor="page" w:x="1110" w:y="2337"/>
        <w:widowControl w:val="0"/>
        <w:keepNext w:val="0"/>
        <w:keepLines w:val="0"/>
        <w:shd w:val="clear" w:color="auto" w:fill="auto"/>
        <w:bidi w:val="0"/>
        <w:jc w:val="right"/>
        <w:spacing w:before="0" w:after="0"/>
        <w:ind w:left="5460" w:right="0" w:firstLine="0"/>
      </w:pPr>
      <w:r>
        <w:rPr>
          <w:lang w:val="pl-PL"/>
          <w:w w:val="100"/>
          <w:color w:val="000000"/>
          <w:position w:val="0"/>
        </w:rPr>
        <w:t>Komitet Obrony Praw Lokatorów</w:t>
        <w:br/>
        <w:t>Warszawskie Stowarzyszenie Lokatorów</w:t>
        <w:br/>
        <w:t>Miejski Eksperyment Mieszkaniowy</w: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6" w:h="16838"/>
      <w:pgMar w:top="0" w:left="0" w:right="0" w:bottom="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)"/>
      <w:rPr>
        <w:lang w:val="pl-PL"/>
        <w:b w:val="0"/>
        <w:bCs w:val="0"/>
        <w:i w:val="0"/>
        <w:iCs w:val="0"/>
        <w:u w:val="none"/>
        <w:strike w:val="0"/>
        <w:smallCaps w:val="0"/>
        <w:sz w:val="21"/>
        <w:szCs w:val="21"/>
        <w:rFonts w:ascii="Times New Roman" w:eastAsia="Times New Roman" w:hAnsi="Times New Roman" w:cs="Times New Roman"/>
        <w:w w:val="100"/>
        <w:spacing w:val="3"/>
        <w:color w:val="000000"/>
        <w:position w:val="0"/>
      </w:rPr>
    </w:lvl>
  </w:abstractNum>
  <w:abstractNum w:abstractNumId="2">
    <w:multiLevelType w:val="multilevel"/>
    <w:lvl w:ilvl="0">
      <w:start w:val="2"/>
      <w:numFmt w:val="decimal"/>
      <w:lvlText w:val="%1"/>
      <w:rPr>
        <w:lang w:val="pl-PL"/>
        <w:b w:val="0"/>
        <w:bCs w:val="0"/>
        <w:i w:val="0"/>
        <w:iCs w:val="0"/>
        <w:u w:val="none"/>
        <w:strike w:val="0"/>
        <w:smallCaps w:val="0"/>
        <w:sz w:val="21"/>
        <w:szCs w:val="21"/>
        <w:rFonts w:ascii="Times New Roman" w:eastAsia="Times New Roman" w:hAnsi="Times New Roman" w:cs="Times New Roman"/>
        <w:w w:val="100"/>
        <w:spacing w:val="3"/>
        <w:color w:val="000000"/>
        <w:position w:val="0"/>
      </w:rPr>
    </w:lvl>
  </w:abstractNum>
  <w:abstractNum w:abstractNumId="4">
    <w:multiLevelType w:val="multilevel"/>
    <w:lvl w:ilvl="0">
      <w:start w:val="1"/>
      <w:numFmt w:val="bullet"/>
      <w:lvlText w:val="•"/>
      <w:rPr>
        <w:lang w:val="pl-PL"/>
        <w:b w:val="0"/>
        <w:bCs w:val="0"/>
        <w:i w:val="0"/>
        <w:iCs w:val="0"/>
        <w:u w:val="none"/>
        <w:strike w:val="0"/>
        <w:smallCaps w:val="0"/>
        <w:sz w:val="21"/>
        <w:szCs w:val="21"/>
        <w:rFonts w:ascii="Times New Roman" w:eastAsia="Times New Roman" w:hAnsi="Times New Roman" w:cs="Times New Roman"/>
        <w:w w:val="100"/>
        <w:spacing w:val="3"/>
        <w:color w:val="000000"/>
        <w:position w:val="0"/>
      </w:rPr>
    </w:lvl>
  </w:abstractNum>
  <w:abstractNum w:abstractNumId="6">
    <w:multiLevelType w:val="multilevel"/>
    <w:lvl w:ilvl="0">
      <w:start w:val="1"/>
      <w:numFmt w:val="bullet"/>
      <w:lvlText w:val="-"/>
      <w:rPr>
        <w:lang w:val="pl-PL"/>
        <w:b w:val="0"/>
        <w:bCs w:val="0"/>
        <w:i w:val="0"/>
        <w:iCs w:val="0"/>
        <w:u w:val="none"/>
        <w:strike w:val="0"/>
        <w:smallCaps w:val="0"/>
        <w:sz w:val="21"/>
        <w:szCs w:val="21"/>
        <w:rFonts w:ascii="Times New Roman" w:eastAsia="Times New Roman" w:hAnsi="Times New Roman" w:cs="Times New Roman"/>
        <w:w w:val="100"/>
        <w:spacing w:val="3"/>
        <w:color w:val="000000"/>
        <w:position w:val="0"/>
      </w:rPr>
    </w:lvl>
  </w:abstractNum>
  <w:num w:numId="1">
    <w:abstractNumId w:val="0"/>
  </w:num>
  <w:num w:numId="3">
    <w:abstractNumId w:val="2"/>
  </w:num>
  <w:num w:numId="5">
    <w:abstractNumId w:val="4"/>
  </w:num>
  <w:num w:numId="7">
    <w:abstractNumId w:val="6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/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pl-PL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pl-PL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pl-PL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Nagłówek #1_"/>
    <w:basedOn w:val="DefaultParagraphFont"/>
    <w:link w:val="Style3"/>
    <w:rPr>
      <w:b/>
      <w:bCs/>
      <w:i w:val="0"/>
      <w:iCs w:val="0"/>
      <w:u w:val="none"/>
      <w:strike w:val="0"/>
      <w:smallCaps w:val="0"/>
      <w:sz w:val="29"/>
      <w:szCs w:val="29"/>
      <w:rFonts w:ascii="Arial" w:eastAsia="Arial" w:hAnsi="Arial" w:cs="Arial"/>
    </w:rPr>
  </w:style>
  <w:style w:type="character" w:customStyle="1" w:styleId="CharStyle6">
    <w:name w:val="Tekst treści (2)_"/>
    <w:basedOn w:val="DefaultParagraphFont"/>
    <w:link w:val="Style5"/>
    <w:rPr>
      <w:b/>
      <w:bCs/>
      <w:i w:val="0"/>
      <w:iCs w:val="0"/>
      <w:u w:val="none"/>
      <w:strike w:val="0"/>
      <w:smallCaps w:val="0"/>
      <w:sz w:val="21"/>
      <w:szCs w:val="21"/>
      <w:rFonts w:ascii="Times New Roman" w:eastAsia="Times New Roman" w:hAnsi="Times New Roman" w:cs="Times New Roman"/>
      <w:spacing w:val="3"/>
    </w:rPr>
  </w:style>
  <w:style w:type="character" w:customStyle="1" w:styleId="CharStyle8">
    <w:name w:val="Tekst treści_"/>
    <w:basedOn w:val="DefaultParagraphFont"/>
    <w:link w:val="Style7"/>
    <w:rPr>
      <w:b w:val="0"/>
      <w:bCs w:val="0"/>
      <w:i w:val="0"/>
      <w:iCs w:val="0"/>
      <w:u w:val="none"/>
      <w:strike w:val="0"/>
      <w:smallCaps w:val="0"/>
      <w:sz w:val="21"/>
      <w:szCs w:val="21"/>
      <w:rFonts w:ascii="Times New Roman" w:eastAsia="Times New Roman" w:hAnsi="Times New Roman" w:cs="Times New Roman"/>
      <w:spacing w:val="3"/>
    </w:rPr>
  </w:style>
  <w:style w:type="character" w:customStyle="1" w:styleId="CharStyle10">
    <w:name w:val="Podpis tabeli_"/>
    <w:basedOn w:val="DefaultParagraphFont"/>
    <w:link w:val="Style9"/>
    <w:rPr>
      <w:b w:val="0"/>
      <w:bCs w:val="0"/>
      <w:i w:val="0"/>
      <w:iCs w:val="0"/>
      <w:u w:val="none"/>
      <w:strike w:val="0"/>
      <w:smallCaps w:val="0"/>
      <w:sz w:val="21"/>
      <w:szCs w:val="21"/>
      <w:rFonts w:ascii="Times New Roman" w:eastAsia="Times New Roman" w:hAnsi="Times New Roman" w:cs="Times New Roman"/>
      <w:spacing w:val="3"/>
    </w:rPr>
  </w:style>
  <w:style w:type="character" w:customStyle="1" w:styleId="CharStyle11">
    <w:name w:val="Tekst treści"/>
    <w:basedOn w:val="CharStyle8"/>
    <w:rPr>
      <w:lang w:val="pl-PL"/>
      <w:w w:val="100"/>
      <w:color w:val="000000"/>
      <w:position w:val="0"/>
    </w:rPr>
  </w:style>
  <w:style w:type="character" w:customStyle="1" w:styleId="CharStyle12">
    <w:name w:val="Tekst treści + Kursywa,Odstępy -1 pt"/>
    <w:basedOn w:val="CharStyle8"/>
    <w:rPr>
      <w:lang w:val="1024"/>
      <w:i/>
      <w:iCs/>
      <w:w w:val="100"/>
      <w:spacing w:val="-32"/>
      <w:color w:val="000000"/>
      <w:position w:val="0"/>
    </w:rPr>
  </w:style>
  <w:style w:type="character" w:customStyle="1" w:styleId="CharStyle14">
    <w:name w:val="Nagłówek lub stopka_"/>
    <w:basedOn w:val="DefaultParagraphFont"/>
    <w:link w:val="Style13"/>
    <w:rPr>
      <w:b w:val="0"/>
      <w:bCs w:val="0"/>
      <w:i w:val="0"/>
      <w:iCs w:val="0"/>
      <w:u w:val="none"/>
      <w:strike w:val="0"/>
      <w:smallCaps w:val="0"/>
      <w:sz w:val="21"/>
      <w:szCs w:val="21"/>
      <w:rFonts w:ascii="Times New Roman" w:eastAsia="Times New Roman" w:hAnsi="Times New Roman" w:cs="Times New Roman"/>
      <w:spacing w:val="4"/>
    </w:rPr>
  </w:style>
  <w:style w:type="character" w:customStyle="1" w:styleId="CharStyle15">
    <w:name w:val="Tekst treści + Arial,20 pt,Pogrubienie,Odstępy 0 pt"/>
    <w:basedOn w:val="CharStyle8"/>
    <w:rPr>
      <w:lang w:val="pl-PL"/>
      <w:b/>
      <w:bCs/>
      <w:sz w:val="40"/>
      <w:szCs w:val="40"/>
      <w:rFonts w:ascii="Arial" w:eastAsia="Arial" w:hAnsi="Arial" w:cs="Arial"/>
      <w:w w:val="100"/>
      <w:spacing w:val="6"/>
      <w:color w:val="000000"/>
      <w:position w:val="0"/>
    </w:rPr>
  </w:style>
  <w:style w:type="paragraph" w:customStyle="1" w:styleId="Style3">
    <w:name w:val="Nagłówek #1"/>
    <w:basedOn w:val="Normal"/>
    <w:link w:val="CharStyle4"/>
    <w:pPr>
      <w:widowControl w:val="0"/>
      <w:jc w:val="center"/>
      <w:outlineLvl w:val="0"/>
      <w:spacing w:after="420" w:line="0" w:lineRule="exact"/>
    </w:pPr>
    <w:rPr>
      <w:b/>
      <w:bCs/>
      <w:i w:val="0"/>
      <w:iCs w:val="0"/>
      <w:u w:val="none"/>
      <w:strike w:val="0"/>
      <w:smallCaps w:val="0"/>
      <w:sz w:val="29"/>
      <w:szCs w:val="29"/>
      <w:rFonts w:ascii="Arial" w:eastAsia="Arial" w:hAnsi="Arial" w:cs="Arial"/>
    </w:rPr>
  </w:style>
  <w:style w:type="paragraph" w:customStyle="1" w:styleId="Style5">
    <w:name w:val="Tekst treści (2)"/>
    <w:basedOn w:val="Normal"/>
    <w:link w:val="CharStyle6"/>
    <w:pPr>
      <w:widowControl w:val="0"/>
      <w:jc w:val="both"/>
      <w:spacing w:after="240" w:line="274" w:lineRule="exact"/>
    </w:pPr>
    <w:rPr>
      <w:b/>
      <w:bCs/>
      <w:i w:val="0"/>
      <w:iCs w:val="0"/>
      <w:u w:val="none"/>
      <w:strike w:val="0"/>
      <w:smallCaps w:val="0"/>
      <w:sz w:val="21"/>
      <w:szCs w:val="21"/>
      <w:rFonts w:ascii="Times New Roman" w:eastAsia="Times New Roman" w:hAnsi="Times New Roman" w:cs="Times New Roman"/>
      <w:spacing w:val="3"/>
    </w:rPr>
  </w:style>
  <w:style w:type="paragraph" w:customStyle="1" w:styleId="Style7">
    <w:name w:val="Tekst treści"/>
    <w:basedOn w:val="Normal"/>
    <w:link w:val="CharStyle8"/>
    <w:pPr>
      <w:widowControl w:val="0"/>
      <w:spacing w:before="360" w:after="240" w:line="274" w:lineRule="exact"/>
      <w:ind w:hanging="360"/>
    </w:pPr>
    <w:rPr>
      <w:b w:val="0"/>
      <w:bCs w:val="0"/>
      <w:i w:val="0"/>
      <w:iCs w:val="0"/>
      <w:u w:val="none"/>
      <w:strike w:val="0"/>
      <w:smallCaps w:val="0"/>
      <w:sz w:val="21"/>
      <w:szCs w:val="21"/>
      <w:rFonts w:ascii="Times New Roman" w:eastAsia="Times New Roman" w:hAnsi="Times New Roman" w:cs="Times New Roman"/>
      <w:spacing w:val="3"/>
    </w:rPr>
  </w:style>
  <w:style w:type="paragraph" w:customStyle="1" w:styleId="Style9">
    <w:name w:val="Podpis tabeli"/>
    <w:basedOn w:val="Normal"/>
    <w:link w:val="CharStyle10"/>
    <w:pPr>
      <w:widowControl w:val="0"/>
      <w:spacing w:line="0" w:lineRule="exact"/>
    </w:pPr>
    <w:rPr>
      <w:b w:val="0"/>
      <w:bCs w:val="0"/>
      <w:i w:val="0"/>
      <w:iCs w:val="0"/>
      <w:u w:val="none"/>
      <w:strike w:val="0"/>
      <w:smallCaps w:val="0"/>
      <w:sz w:val="21"/>
      <w:szCs w:val="21"/>
      <w:rFonts w:ascii="Times New Roman" w:eastAsia="Times New Roman" w:hAnsi="Times New Roman" w:cs="Times New Roman"/>
      <w:spacing w:val="3"/>
    </w:rPr>
  </w:style>
  <w:style w:type="paragraph" w:customStyle="1" w:styleId="Style13">
    <w:name w:val="Nagłówek lub stopka"/>
    <w:basedOn w:val="Normal"/>
    <w:link w:val="CharStyle14"/>
    <w:pPr>
      <w:widowControl w:val="0"/>
      <w:spacing w:line="0" w:lineRule="exact"/>
    </w:pPr>
    <w:rPr>
      <w:b w:val="0"/>
      <w:bCs w:val="0"/>
      <w:i w:val="0"/>
      <w:iCs w:val="0"/>
      <w:u w:val="none"/>
      <w:strike w:val="0"/>
      <w:smallCaps w:val="0"/>
      <w:sz w:val="21"/>
      <w:szCs w:val="21"/>
      <w:rFonts w:ascii="Times New Roman" w:eastAsia="Times New Roman" w:hAnsi="Times New Roman" w:cs="Times New Roman"/>
      <w:spacing w:val="4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

<file path=docProps/core.xml><?xml version="1.0" encoding="utf-8"?>
<cp:coreProperties xmlns:cp="http://schemas.openxmlformats.org/package/2006/metadata/core-properties" xmlns:dc="http://purl.org/dc/elements/1.1/">
  <dc:title/>
  <dc:subject/>
  <dc:creator>Jakub Żaczek</dc:creator>
  <cp:keywords/>
</cp:coreProperties>
</file>