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="9816" w:h="14359" w:hRule="exact" w:wrap="none" w:vAnchor="page" w:hAnchor="page" w:x="1058" w:y="1244"/>
        <w:widowControl w:val="0"/>
        <w:keepNext w:val="0"/>
        <w:keepLines w:val="0"/>
        <w:shd w:val="clear" w:color="auto" w:fill="auto"/>
        <w:bidi w:val="0"/>
        <w:spacing w:before="0" w:after="291"/>
        <w:ind w:left="20" w:right="340" w:firstLine="0"/>
      </w:pPr>
      <w:r>
        <w:rPr>
          <w:lang w:val="pl-PL"/>
          <w:w w:val="100"/>
          <w:color w:val="000000"/>
          <w:position w:val="0"/>
        </w:rPr>
        <w:t>Wstępne uwagi Komitetu Obrony Praw Lokatorów dotyczące projektu Uchwały w sprawie</w:t>
        <w:br/>
        <w:t>zasad wynajmowania lokali wchodzących w skład mieszkaniowego zasobu miasta stołecznego</w:t>
        <w:br/>
        <w:t>Warszawy.</w:t>
      </w:r>
    </w:p>
    <w:p>
      <w:pPr>
        <w:pStyle w:val="Style5"/>
        <w:numPr>
          <w:ilvl w:val="0"/>
          <w:numId w:val="1"/>
        </w:numPr>
        <w:framePr w:w="9816" w:h="14359" w:hRule="exact" w:wrap="none" w:vAnchor="page" w:hAnchor="page" w:x="1058" w:y="1244"/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spacing w:before="0" w:after="272" w:line="210" w:lineRule="exact"/>
        <w:ind w:left="20" w:right="0" w:firstLine="0"/>
      </w:pPr>
      <w:bookmarkStart w:id="0" w:name="bookmark0"/>
      <w:r>
        <w:rPr>
          <w:lang w:val="pl-PL"/>
          <w:w w:val="100"/>
          <w:color w:val="000000"/>
          <w:position w:val="0"/>
        </w:rPr>
        <w:t>Definicja powierzchni mieszkalnej</w:t>
      </w:r>
      <w:bookmarkEnd w:id="0"/>
    </w:p>
    <w:p>
      <w:pPr>
        <w:pStyle w:val="Style7"/>
        <w:framePr w:w="9816" w:h="14359" w:hRule="exact" w:wrap="none" w:vAnchor="page" w:hAnchor="page" w:x="1058" w:y="1244"/>
        <w:widowControl w:val="0"/>
        <w:keepNext w:val="0"/>
        <w:keepLines w:val="0"/>
        <w:shd w:val="clear" w:color="auto" w:fill="auto"/>
        <w:bidi w:val="0"/>
        <w:jc w:val="left"/>
        <w:spacing w:before="0" w:after="291"/>
        <w:ind w:left="20" w:right="340" w:firstLine="0"/>
      </w:pPr>
      <w:r>
        <w:rPr>
          <w:lang w:val="pl-PL"/>
          <w:w w:val="100"/>
          <w:color w:val="000000"/>
          <w:position w:val="0"/>
        </w:rPr>
        <w:t>Zmiana jest niekorzystna. Zmiana dotycząca lokali w których nie ma wydzielonego pomieszczenia</w:t>
        <w:br/>
        <w:t>kuchennego lub wnęki kuchennej - nie ma uzasadnienia dla zmniejszania faktycznie dostępnej</w:t>
        <w:br/>
        <w:t>przestrzeni pokoju w i tak bardzo małych lokalach. Utrudni to również lokatorom mieszkającym w</w:t>
        <w:br/>
        <w:t>substandardowyc</w:t>
      </w:r>
      <w:r>
        <w:rPr>
          <w:lang w:val="pl-PL"/>
          <w:w w:val="100"/>
          <w:color w:val="000000"/>
          <w:shd w:val="clear" w:color="auto" w:fill="80FFFF"/>
          <w:position w:val="0"/>
        </w:rPr>
        <w:t>h</w:t>
      </w:r>
      <w:r>
        <w:rPr>
          <w:lang w:val="pl-PL"/>
          <w:w w:val="100"/>
          <w:color w:val="000000"/>
          <w:position w:val="0"/>
        </w:rPr>
        <w:t xml:space="preserve"> zasobach prywatnych staranie się o lokal od Miasta. Proponujemy zrezygnować</w:t>
        <w:br/>
        <w:t>ze zmiany i pozostawić dotychczasowy zapis.</w:t>
      </w:r>
    </w:p>
    <w:p>
      <w:pPr>
        <w:pStyle w:val="Style5"/>
        <w:numPr>
          <w:ilvl w:val="0"/>
          <w:numId w:val="1"/>
        </w:numPr>
        <w:framePr w:w="9816" w:h="14359" w:hRule="exact" w:wrap="none" w:vAnchor="page" w:hAnchor="page" w:x="1058" w:y="1244"/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spacing w:before="0" w:after="272" w:line="210" w:lineRule="exact"/>
        <w:ind w:left="20" w:right="0" w:firstLine="0"/>
      </w:pPr>
      <w:bookmarkStart w:id="1" w:name="bookmark1"/>
      <w:r>
        <w:rPr>
          <w:lang w:val="pl-PL"/>
          <w:w w:val="100"/>
          <w:color w:val="000000"/>
          <w:position w:val="0"/>
        </w:rPr>
        <w:t>Kryterium dochodowe</w:t>
      </w:r>
      <w:bookmarkEnd w:id="1"/>
    </w:p>
    <w:p>
      <w:pPr>
        <w:pStyle w:val="Style7"/>
        <w:framePr w:w="9816" w:h="14359" w:hRule="exact" w:wrap="none" w:vAnchor="page" w:hAnchor="page" w:x="1058" w:y="1244"/>
        <w:widowControl w:val="0"/>
        <w:keepNext w:val="0"/>
        <w:keepLines w:val="0"/>
        <w:shd w:val="clear" w:color="auto" w:fill="auto"/>
        <w:bidi w:val="0"/>
        <w:jc w:val="left"/>
        <w:spacing w:before="0" w:after="236"/>
        <w:ind w:left="20" w:right="340" w:firstLine="0"/>
      </w:pPr>
      <w:r>
        <w:rPr>
          <w:lang w:val="pl-PL"/>
          <w:w w:val="100"/>
          <w:color w:val="000000"/>
          <w:position w:val="0"/>
        </w:rPr>
        <w:t>Brak konsekwencji w skali podwyższenia kryterium dochodowego pomiędzy gospodarstwami z 3 i</w:t>
        <w:br/>
        <w:t>4 osobowymi. Wzrost kryterium między 2 a 3 osobową rodziną wynosi 40 punktów procentowych,</w:t>
        <w:br/>
        <w:t>a pomiędzy 3 a 4 osobową rodziną jedynie 35 punktów procentowych. Powyżej 4 osób, każda</w:t>
        <w:br/>
        <w:t>kolejna osoba powoduje wzrost o 40 punktów. Prowadzi to do nieuzasadnionej dyskryminacji 4-</w:t>
        <w:br/>
        <w:t>osobowych gospodarstw względem gospodarstw 3 i 5 osobowych.</w:t>
      </w:r>
    </w:p>
    <w:p>
      <w:pPr>
        <w:pStyle w:val="Style7"/>
        <w:framePr w:w="9816" w:h="14359" w:hRule="exact" w:wrap="none" w:vAnchor="page" w:hAnchor="page" w:x="1058" w:y="1244"/>
        <w:widowControl w:val="0"/>
        <w:keepNext w:val="0"/>
        <w:keepLines w:val="0"/>
        <w:shd w:val="clear" w:color="auto" w:fill="auto"/>
        <w:bidi w:val="0"/>
        <w:jc w:val="both"/>
        <w:spacing w:before="0" w:after="244" w:line="278" w:lineRule="exact"/>
        <w:ind w:left="20" w:right="8360" w:firstLine="0"/>
      </w:pPr>
      <w:r>
        <w:rPr>
          <w:lang w:val="pl-PL"/>
          <w:w w:val="100"/>
          <w:color w:val="000000"/>
          <w:position w:val="0"/>
        </w:rPr>
        <w:t xml:space="preserve">165 </w:t>
      </w:r>
      <w:r>
        <w:rPr>
          <w:lang w:val="pl-PL"/>
          <w:w w:val="100"/>
          <w:color w:val="000000"/>
          <w:shd w:val="clear" w:color="auto" w:fill="80FFFF"/>
          <w:position w:val="0"/>
        </w:rPr>
        <w:t>+</w:t>
      </w:r>
      <w:r>
        <w:rPr>
          <w:lang w:val="pl-PL"/>
          <w:w w:val="100"/>
          <w:color w:val="000000"/>
          <w:position w:val="0"/>
        </w:rPr>
        <w:t xml:space="preserve"> 40 </w:t>
      </w:r>
      <w:r>
        <w:rPr>
          <w:lang w:val="pl-PL"/>
          <w:w w:val="100"/>
          <w:color w:val="000000"/>
          <w:shd w:val="clear" w:color="auto" w:fill="80FFFF"/>
          <w:position w:val="0"/>
        </w:rPr>
        <w:t>=</w:t>
      </w:r>
      <w:r>
        <w:rPr>
          <w:lang w:val="pl-PL"/>
          <w:w w:val="100"/>
          <w:color w:val="000000"/>
          <w:position w:val="0"/>
        </w:rPr>
        <w:t xml:space="preserve"> 205</w:t>
        <w:br/>
        <w:t>205 + 35 = 240</w:t>
        <w:br/>
        <w:t>każda kolejna osoba = +40</w:t>
      </w:r>
    </w:p>
    <w:p>
      <w:pPr>
        <w:pStyle w:val="Style7"/>
        <w:framePr w:w="9816" w:h="14359" w:hRule="exact" w:wrap="none" w:vAnchor="page" w:hAnchor="page" w:x="1058" w:y="124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pl-PL"/>
          <w:w w:val="100"/>
          <w:color w:val="000000"/>
          <w:position w:val="0"/>
        </w:rPr>
        <w:t>Proponujemy przyjęcie bardziej równomiernej skali:</w:t>
      </w:r>
    </w:p>
    <w:p>
      <w:pPr>
        <w:pStyle w:val="Style7"/>
        <w:numPr>
          <w:ilvl w:val="0"/>
          <w:numId w:val="3"/>
        </w:numPr>
        <w:framePr w:w="9816" w:h="14359" w:hRule="exact" w:wrap="none" w:vAnchor="page" w:hAnchor="page" w:x="1058" w:y="1244"/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pl-PL"/>
          <w:w w:val="100"/>
          <w:color w:val="000000"/>
          <w:position w:val="0"/>
        </w:rPr>
        <w:t>110</w:t>
      </w:r>
      <w:r>
        <w:rPr>
          <w:lang w:val="pl-PL"/>
          <w:w w:val="100"/>
          <w:color w:val="000000"/>
          <w:shd w:val="clear" w:color="auto" w:fill="80FFFF"/>
          <w:position w:val="0"/>
        </w:rPr>
        <w:t>%</w:t>
      </w:r>
      <w:r>
        <w:rPr>
          <w:lang w:val="pl-PL"/>
          <w:w w:val="100"/>
          <w:color w:val="000000"/>
          <w:position w:val="0"/>
        </w:rPr>
        <w:t xml:space="preserve"> jednoosobowe</w:t>
      </w:r>
    </w:p>
    <w:p>
      <w:pPr>
        <w:pStyle w:val="Style7"/>
        <w:numPr>
          <w:ilvl w:val="0"/>
          <w:numId w:val="3"/>
        </w:numPr>
        <w:framePr w:w="9816" w:h="14359" w:hRule="exact" w:wrap="none" w:vAnchor="page" w:hAnchor="page" w:x="1058" w:y="1244"/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pl-PL"/>
          <w:w w:val="100"/>
          <w:color w:val="000000"/>
          <w:position w:val="0"/>
        </w:rPr>
        <w:t>170</w:t>
      </w:r>
      <w:r>
        <w:rPr>
          <w:lang w:val="pl-PL"/>
          <w:w w:val="100"/>
          <w:color w:val="000000"/>
          <w:shd w:val="clear" w:color="auto" w:fill="80FFFF"/>
          <w:position w:val="0"/>
        </w:rPr>
        <w:t>%</w:t>
      </w:r>
      <w:r>
        <w:rPr>
          <w:lang w:val="pl-PL"/>
          <w:w w:val="100"/>
          <w:color w:val="000000"/>
          <w:position w:val="0"/>
        </w:rPr>
        <w:t xml:space="preserve"> dwuosobowe</w:t>
      </w:r>
    </w:p>
    <w:p>
      <w:pPr>
        <w:pStyle w:val="Style7"/>
        <w:numPr>
          <w:ilvl w:val="0"/>
          <w:numId w:val="3"/>
        </w:numPr>
        <w:framePr w:w="9816" w:h="14359" w:hRule="exact" w:wrap="none" w:vAnchor="page" w:hAnchor="page" w:x="1058" w:y="1244"/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pl-PL"/>
          <w:w w:val="100"/>
          <w:color w:val="000000"/>
          <w:position w:val="0"/>
        </w:rPr>
        <w:t>210% trzyosobowe</w:t>
      </w:r>
    </w:p>
    <w:p>
      <w:pPr>
        <w:pStyle w:val="Style7"/>
        <w:numPr>
          <w:ilvl w:val="0"/>
          <w:numId w:val="3"/>
        </w:numPr>
        <w:framePr w:w="9816" w:h="14359" w:hRule="exact" w:wrap="none" w:vAnchor="page" w:hAnchor="page" w:x="1058" w:y="1244"/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40"/>
        <w:ind w:left="20" w:right="0" w:firstLine="0"/>
      </w:pPr>
      <w:r>
        <w:rPr>
          <w:lang w:val="pl-PL"/>
          <w:w w:val="100"/>
          <w:color w:val="000000"/>
          <w:position w:val="0"/>
        </w:rPr>
        <w:t>250% czteroosobowe</w:t>
      </w:r>
    </w:p>
    <w:p>
      <w:pPr>
        <w:pStyle w:val="Style5"/>
        <w:numPr>
          <w:ilvl w:val="0"/>
          <w:numId w:val="1"/>
        </w:numPr>
        <w:framePr w:w="9816" w:h="14359" w:hRule="exact" w:wrap="none" w:vAnchor="page" w:hAnchor="page" w:x="1058" w:y="1244"/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spacing w:before="0" w:after="236" w:line="274" w:lineRule="exact"/>
        <w:ind w:left="20" w:right="340" w:firstLine="0"/>
      </w:pPr>
      <w:bookmarkStart w:id="2" w:name="bookmark2"/>
      <w:r>
        <w:rPr>
          <w:lang w:val="pl-PL"/>
          <w:w w:val="100"/>
          <w:color w:val="000000"/>
          <w:position w:val="0"/>
        </w:rPr>
        <w:t>Osoby, które spłacają zadłużenie z tytułu opłat lokalu komunalnego nie są uwzględnione w</w:t>
        <w:br/>
        <w:t>punkcie art. 5 ust. 2 pkt 1.</w:t>
      </w:r>
      <w:bookmarkEnd w:id="2"/>
    </w:p>
    <w:p>
      <w:pPr>
        <w:pStyle w:val="Style7"/>
        <w:framePr w:w="9816" w:h="14359" w:hRule="exact" w:wrap="none" w:vAnchor="page" w:hAnchor="page" w:x="1058" w:y="1244"/>
        <w:widowControl w:val="0"/>
        <w:keepNext w:val="0"/>
        <w:keepLines w:val="0"/>
        <w:shd w:val="clear" w:color="auto" w:fill="auto"/>
        <w:bidi w:val="0"/>
        <w:jc w:val="left"/>
        <w:spacing w:before="0" w:after="244" w:line="278" w:lineRule="exact"/>
        <w:ind w:left="20" w:right="740" w:firstLine="0"/>
      </w:pPr>
      <w:r>
        <w:rPr>
          <w:lang w:val="pl-PL"/>
          <w:w w:val="100"/>
          <w:color w:val="000000"/>
          <w:shd w:val="clear" w:color="auto" w:fill="80FFFF"/>
          <w:position w:val="0"/>
        </w:rPr>
        <w:t>„</w:t>
      </w:r>
      <w:r>
        <w:rPr>
          <w:lang w:val="pl-PL"/>
          <w:w w:val="100"/>
          <w:color w:val="000000"/>
          <w:position w:val="0"/>
        </w:rPr>
        <w:t>w przypadku osób, które spłacają zadłużenie z tytułu opłat za używanie lokalu Miasta,</w:t>
        <w:br/>
        <w:t>współczynnik uprawniający do najmu socjalnego lokalu wynosi 0,40</w:t>
      </w:r>
      <w:r>
        <w:rPr>
          <w:lang w:val="pl-PL"/>
          <w:w w:val="100"/>
          <w:color w:val="000000"/>
          <w:shd w:val="clear" w:color="auto" w:fill="80FFFF"/>
          <w:position w:val="0"/>
        </w:rPr>
        <w:t>”</w:t>
      </w:r>
    </w:p>
    <w:p>
      <w:pPr>
        <w:pStyle w:val="Style7"/>
        <w:framePr w:w="9816" w:h="14359" w:hRule="exact" w:wrap="none" w:vAnchor="page" w:hAnchor="page" w:x="1058" w:y="124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340" w:firstLine="0"/>
      </w:pPr>
      <w:r>
        <w:rPr>
          <w:lang w:val="pl-PL"/>
          <w:w w:val="100"/>
          <w:color w:val="000000"/>
          <w:position w:val="0"/>
        </w:rPr>
        <w:t>Wnosiliśmy o uwzględnienie osób, które chcą zdobyć dodatkowe dochody w celu spłaty zadłużenia</w:t>
        <w:br/>
        <w:t>i mają umowy najmu lokalu komunalnego i z powodu nowelizacji ustawy o ochronie praw</w:t>
        <w:br/>
        <w:t>lokatorów, ich podwyżka dochodów byłaby pochłonięta przez czynsz. Te osoby powinny korzystać</w:t>
        <w:br/>
        <w:t>ze współczynnika 1.</w:t>
      </w:r>
    </w:p>
    <w:p>
      <w:pPr>
        <w:pStyle w:val="Style7"/>
        <w:framePr w:w="9816" w:h="14359" w:hRule="exact" w:wrap="none" w:vAnchor="page" w:hAnchor="page" w:x="1058" w:y="1244"/>
        <w:widowControl w:val="0"/>
        <w:keepNext w:val="0"/>
        <w:keepLines w:val="0"/>
        <w:shd w:val="clear" w:color="auto" w:fill="auto"/>
        <w:bidi w:val="0"/>
        <w:jc w:val="left"/>
        <w:spacing w:before="0" w:after="236"/>
        <w:ind w:left="20" w:right="740" w:firstLine="0"/>
      </w:pPr>
      <w:r>
        <w:rPr>
          <w:lang w:val="pl-PL"/>
          <w:w w:val="100"/>
          <w:color w:val="000000"/>
          <w:position w:val="0"/>
        </w:rPr>
        <w:t>W przypadku umów socjalnych, proponowany zapis ze współczynnikiem 0,40 dla osób</w:t>
        <w:br/>
        <w:t>spłacających zadłużenie jest właściwy.</w:t>
      </w:r>
    </w:p>
    <w:p>
      <w:pPr>
        <w:pStyle w:val="Style5"/>
        <w:numPr>
          <w:ilvl w:val="0"/>
          <w:numId w:val="1"/>
        </w:numPr>
        <w:framePr w:w="9816" w:h="14359" w:hRule="exact" w:wrap="none" w:vAnchor="page" w:hAnchor="page" w:x="1058" w:y="1244"/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spacing w:before="0" w:after="244" w:line="278" w:lineRule="exact"/>
        <w:ind w:left="20" w:right="340" w:firstLine="0"/>
      </w:pPr>
      <w:bookmarkStart w:id="3" w:name="bookmark3"/>
      <w:r>
        <w:rPr>
          <w:lang w:val="pl-PL"/>
          <w:w w:val="100"/>
          <w:color w:val="000000"/>
          <w:position w:val="0"/>
        </w:rPr>
        <w:t>Zmiana sposobu obliczania dochodu z ubruttowionego na brutto jest dobra, ale podwyżka</w:t>
        <w:br/>
        <w:t>kryteriów dochodowych jest zbyt niska. Proponujemy następujące współczynniki:</w:t>
      </w:r>
      <w:bookmarkEnd w:id="3"/>
    </w:p>
    <w:p>
      <w:pPr>
        <w:pStyle w:val="Style7"/>
        <w:numPr>
          <w:ilvl w:val="0"/>
          <w:numId w:val="3"/>
        </w:numPr>
        <w:framePr w:w="9816" w:h="14359" w:hRule="exact" w:wrap="none" w:vAnchor="page" w:hAnchor="page" w:x="1058" w:y="1244"/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pl-PL"/>
          <w:w w:val="100"/>
          <w:color w:val="000000"/>
          <w:position w:val="0"/>
        </w:rPr>
        <w:t>umowy na czas nieokreślony (komunalne) - 0,65</w:t>
      </w:r>
    </w:p>
    <w:p>
      <w:pPr>
        <w:pStyle w:val="Style7"/>
        <w:numPr>
          <w:ilvl w:val="0"/>
          <w:numId w:val="3"/>
        </w:numPr>
        <w:framePr w:w="9816" w:h="14359" w:hRule="exact" w:wrap="none" w:vAnchor="page" w:hAnchor="page" w:x="1058" w:y="1244"/>
        <w:tabs>
          <w:tab w:leader="none" w:pos="207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340" w:firstLine="0"/>
      </w:pPr>
      <w:r>
        <w:rPr>
          <w:lang w:val="pl-PL"/>
          <w:w w:val="100"/>
          <w:color w:val="000000"/>
          <w:position w:val="0"/>
        </w:rPr>
        <w:t>wnioskodawca lub osoba objęta wnioskiem o pomoc mieszkaniową jest osobą z</w:t>
        <w:br/>
        <w:t>niepełnosprawnością, wnioskodawca lub jego małżonek uzyskał pełnoletniość w placówce</w:t>
        <w:br/>
        <w:t>opiekuńczo-wychowawczej, zawodowej rodzinie zastępczej, niezawodowej rodzinie zastępczej</w:t>
        <w:br/>
        <w:t>lub rodzinnym domu dziecka, opuścił placówkę znajdującą się na terenie m.st.</w:t>
      </w:r>
    </w:p>
    <w:p>
      <w:pPr>
        <w:pStyle w:val="Style7"/>
        <w:framePr w:w="9816" w:h="14359" w:hRule="exact" w:wrap="none" w:vAnchor="page" w:hAnchor="page" w:x="1058" w:y="124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pl-PL"/>
          <w:w w:val="100"/>
          <w:color w:val="000000"/>
          <w:position w:val="0"/>
        </w:rPr>
        <w:t>Warszawy lub przed umieszczeniem w pieczy zastępczej zamieszkiwał na terenie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6" w:h="16838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pl-PL"/>
          <w:w w:val="100"/>
          <w:color w:val="000000"/>
          <w:position w:val="0"/>
        </w:rPr>
        <w:t>m.st. Warszawy i z wnioskiem o zawarcie umowy najmu lokalu wystąpił nie</w:t>
      </w:r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pl-PL"/>
          <w:w w:val="100"/>
          <w:color w:val="000000"/>
          <w:position w:val="0"/>
        </w:rPr>
        <w:t>później niż do ukończenia 25 roku życia, wnioskodawca jest osobą z budynku prywatnego albo</w:t>
      </w:r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pl-PL"/>
          <w:w w:val="100"/>
          <w:color w:val="000000"/>
          <w:position w:val="0"/>
        </w:rPr>
        <w:t>osobą z budynku - 0,70</w:t>
      </w:r>
    </w:p>
    <w:p>
      <w:pPr>
        <w:pStyle w:val="Style7"/>
        <w:numPr>
          <w:ilvl w:val="0"/>
          <w:numId w:val="3"/>
        </w:numPr>
        <w:framePr w:w="9859" w:h="14359" w:hRule="exact" w:wrap="none" w:vAnchor="page" w:hAnchor="page" w:x="1036" w:y="1244"/>
        <w:tabs>
          <w:tab w:leader="none" w:pos="2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0"/>
        <w:ind w:left="20" w:right="0" w:firstLine="0"/>
      </w:pPr>
      <w:r>
        <w:rPr>
          <w:lang w:val="pl-PL"/>
          <w:w w:val="100"/>
          <w:color w:val="000000"/>
          <w:position w:val="0"/>
        </w:rPr>
        <w:t>lokator z zasobów reprywatyzowanych - 0,75</w:t>
      </w:r>
    </w:p>
    <w:p>
      <w:pPr>
        <w:pStyle w:val="Style7"/>
        <w:numPr>
          <w:ilvl w:val="0"/>
          <w:numId w:val="3"/>
        </w:numPr>
        <w:framePr w:w="9859" w:h="14359" w:hRule="exact" w:wrap="none" w:vAnchor="page" w:hAnchor="page" w:x="1036" w:y="1244"/>
        <w:tabs>
          <w:tab w:leader="none" w:pos="2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91"/>
        <w:ind w:left="20" w:right="0" w:firstLine="0"/>
      </w:pPr>
      <w:r>
        <w:rPr>
          <w:lang w:val="pl-PL"/>
          <w:w w:val="100"/>
          <w:color w:val="000000"/>
          <w:position w:val="0"/>
        </w:rPr>
        <w:t>osoby obłożnie chore, wymagające kosztownego leczenia - 0,75</w:t>
      </w:r>
    </w:p>
    <w:p>
      <w:pPr>
        <w:pStyle w:val="Style5"/>
        <w:numPr>
          <w:ilvl w:val="0"/>
          <w:numId w:val="1"/>
        </w:numPr>
        <w:framePr w:w="9859" w:h="14359" w:hRule="exact" w:wrap="none" w:vAnchor="page" w:hAnchor="page" w:x="1036" w:y="1244"/>
        <w:tabs>
          <w:tab w:leader="none" w:pos="242" w:val="left"/>
        </w:tabs>
        <w:widowControl w:val="0"/>
        <w:keepNext w:val="0"/>
        <w:keepLines w:val="0"/>
        <w:shd w:val="clear" w:color="auto" w:fill="auto"/>
        <w:bidi w:val="0"/>
        <w:spacing w:before="0" w:after="272" w:line="210" w:lineRule="exact"/>
        <w:ind w:left="20" w:right="0" w:firstLine="0"/>
      </w:pPr>
      <w:bookmarkStart w:id="4" w:name="bookmark4"/>
      <w:r>
        <w:rPr>
          <w:lang w:val="pl-PL"/>
          <w:w w:val="100"/>
          <w:color w:val="000000"/>
          <w:position w:val="0"/>
        </w:rPr>
        <w:t>Nie zgadzamy się z proponowanymi zmianami w kryterium metrażowym</w:t>
      </w:r>
      <w:bookmarkEnd w:id="4"/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left"/>
        <w:spacing w:before="0" w:after="291"/>
        <w:ind w:left="20" w:right="280" w:firstLine="0"/>
      </w:pPr>
      <w:r>
        <w:rPr>
          <w:lang w:val="pl-PL"/>
          <w:w w:val="100"/>
          <w:color w:val="000000"/>
          <w:position w:val="0"/>
        </w:rPr>
        <w:t>Zmiany są nielogiczne i nie wprowadzają żadnej poprawy kryterium dla gospodarstw powyżej 3</w:t>
        <w:br/>
        <w:t>osób. Kryterium powinno wynosić przynajmniej 8m2/osoba (a najlepiej 10 m2).</w:t>
      </w:r>
    </w:p>
    <w:p>
      <w:pPr>
        <w:pStyle w:val="Style5"/>
        <w:numPr>
          <w:ilvl w:val="0"/>
          <w:numId w:val="1"/>
        </w:numPr>
        <w:framePr w:w="9859" w:h="14359" w:hRule="exact" w:wrap="none" w:vAnchor="page" w:hAnchor="page" w:x="1036" w:y="1244"/>
        <w:tabs>
          <w:tab w:leader="none" w:pos="242" w:val="left"/>
        </w:tabs>
        <w:widowControl w:val="0"/>
        <w:keepNext w:val="0"/>
        <w:keepLines w:val="0"/>
        <w:shd w:val="clear" w:color="auto" w:fill="auto"/>
        <w:bidi w:val="0"/>
        <w:spacing w:before="0" w:after="272" w:line="210" w:lineRule="exact"/>
        <w:ind w:left="20" w:right="0" w:firstLine="0"/>
      </w:pPr>
      <w:bookmarkStart w:id="5" w:name="bookmark5"/>
      <w:r>
        <w:rPr>
          <w:lang w:val="pl-PL"/>
          <w:w w:val="100"/>
          <w:color w:val="000000"/>
          <w:position w:val="0"/>
        </w:rPr>
        <w:t>Wnioski osób bezdomnych</w:t>
      </w:r>
      <w:bookmarkEnd w:id="5"/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left"/>
        <w:spacing w:before="0" w:after="291"/>
        <w:ind w:left="20" w:right="280" w:firstLine="0"/>
      </w:pPr>
      <w:r>
        <w:rPr>
          <w:lang w:val="pl-PL"/>
          <w:w w:val="100"/>
          <w:color w:val="000000"/>
          <w:position w:val="0"/>
        </w:rPr>
        <w:t>Definicja osoby w projekcie uchwały nie uwzględnia sytuacji osób przebywających w Warszawie,</w:t>
        <w:br/>
        <w:t>ale posiadających ostatni meldunek w innej miejscowości. Byłoby to spójne z definicją osoby</w:t>
        <w:br/>
        <w:t>zawartą w projekcie:</w:t>
      </w:r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both"/>
        <w:spacing w:before="0" w:after="323" w:line="210" w:lineRule="exact"/>
        <w:ind w:left="20" w:right="0" w:firstLine="0"/>
      </w:pPr>
      <w:r>
        <w:rPr>
          <w:lang w:val="pl-PL"/>
          <w:w w:val="100"/>
          <w:color w:val="000000"/>
          <w:position w:val="0"/>
        </w:rPr>
        <w:t>osobie - należy przez to rozumieć osobę, która wykaże, że Miasto jest miejscem jej stałego pobytu;</w:t>
      </w:r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both"/>
        <w:spacing w:before="0" w:after="272" w:line="210" w:lineRule="exact"/>
        <w:ind w:left="20" w:right="0" w:firstLine="0"/>
      </w:pPr>
      <w:r>
        <w:rPr>
          <w:lang w:val="pl-PL"/>
          <w:w w:val="100"/>
          <w:color w:val="000000"/>
          <w:position w:val="0"/>
        </w:rPr>
        <w:t>Definicja osoby bezdomnej zawarta w projekcie nie jest wystarczająca:</w:t>
      </w:r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left"/>
        <w:spacing w:before="0" w:after="240"/>
        <w:ind w:left="20" w:right="280" w:firstLine="0"/>
      </w:pPr>
      <w:r>
        <w:rPr>
          <w:lang w:val="pl-PL"/>
          <w:w w:val="100"/>
          <w:color w:val="000000"/>
          <w:position w:val="0"/>
        </w:rPr>
        <w:t>osoba bezdomna - osobę niezamieszkującą w lokalu mieszkalnym w rozumieniu przepisów o</w:t>
        <w:br/>
        <w:t>ochronie praw lokatorów i mieszkaniowym zasobie gminy i niezameldowaną na pobyt stały, w</w:t>
        <w:br/>
        <w:t>rozumieniu przepisów o ewidencji ludności, a także osobę niezamieszkującą w lokalu mieszkalnym</w:t>
        <w:br/>
        <w:t>i zameldowaną na pobyt stały w lokalu, w którym nie ma możliwości zamieszkania;</w:t>
      </w:r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80" w:firstLine="0"/>
      </w:pPr>
      <w:r>
        <w:rPr>
          <w:lang w:val="pl-PL"/>
          <w:w w:val="100"/>
          <w:color w:val="000000"/>
          <w:position w:val="0"/>
        </w:rPr>
        <w:t>Bezdomni, którzy faktycznie mieszkają w Warszawie (w ośrodku dla bezdomnych, na budowach,</w:t>
        <w:br/>
        <w:t>na klatkach schodowych, czy u znajomych) i ich centrum życiowe znajduje się w Warszawie</w:t>
        <w:br/>
        <w:t>powinni mieć możliwość składania wniosku w Warszawie, nawet jeśli ich ostatni meldunek był w</w:t>
        <w:br/>
        <w:t>innym mieście. Tym bardziej że osoba bezdomna ma składać wniosek w dowolnej dzielnicy w</w:t>
        <w:br/>
        <w:t>Warszawie zgodnie z a</w:t>
      </w:r>
      <w:r>
        <w:rPr>
          <w:lang w:val="pl-PL"/>
          <w:w w:val="100"/>
          <w:color w:val="000000"/>
          <w:shd w:val="clear" w:color="auto" w:fill="80FFFF"/>
          <w:position w:val="0"/>
        </w:rPr>
        <w:t>r</w:t>
      </w:r>
      <w:r>
        <w:rPr>
          <w:lang w:val="pl-PL"/>
          <w:w w:val="100"/>
          <w:color w:val="000000"/>
          <w:position w:val="0"/>
        </w:rPr>
        <w:t>t. 31 ust. 2 pkt. 1</w:t>
      </w:r>
    </w:p>
    <w:p>
      <w:pPr>
        <w:pStyle w:val="Style7"/>
        <w:numPr>
          <w:ilvl w:val="0"/>
          <w:numId w:val="5"/>
        </w:numPr>
        <w:framePr w:w="9859" w:h="14359" w:hRule="exact" w:wrap="none" w:vAnchor="page" w:hAnchor="page" w:x="1036" w:y="1244"/>
        <w:tabs>
          <w:tab w:leader="none" w:pos="242" w:val="left"/>
        </w:tabs>
        <w:widowControl w:val="0"/>
        <w:keepNext w:val="0"/>
        <w:keepLines w:val="0"/>
        <w:shd w:val="clear" w:color="auto" w:fill="auto"/>
        <w:bidi w:val="0"/>
        <w:jc w:val="both"/>
        <w:spacing w:before="0" w:after="236"/>
        <w:ind w:left="20" w:right="1700" w:firstLine="0"/>
      </w:pPr>
      <w:r>
        <w:rPr>
          <w:lang w:val="pl-PL"/>
          <w:w w:val="100"/>
          <w:color w:val="000000"/>
          <w:position w:val="0"/>
        </w:rPr>
        <w:t>osób bezdomnych - w dzielnicy, w której wnioskodawca posiadał ostatnie miejsce</w:t>
        <w:br/>
        <w:t>faktycznego zamieszkania, natomiast w przypadku osób, które nie wykazały swojego</w:t>
        <w:br/>
        <w:t>ostatniego miejsca zamieszkania w Warszawie - w dowolnie wybranej dzielnicy;</w:t>
      </w:r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left"/>
        <w:spacing w:before="0" w:after="244" w:line="278" w:lineRule="exact"/>
        <w:ind w:left="20" w:right="280" w:firstLine="0"/>
      </w:pPr>
      <w:r>
        <w:rPr>
          <w:lang w:val="pl-PL"/>
          <w:w w:val="100"/>
          <w:color w:val="000000"/>
          <w:position w:val="0"/>
        </w:rPr>
        <w:t>Konsekwentnie byłoby używać wszędzie kryterium zamieszkania i zrezygnować z badania</w:t>
        <w:br/>
        <w:t>ostatniego meldunku.</w:t>
      </w:r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left"/>
        <w:spacing w:before="0" w:after="291"/>
        <w:ind w:left="20" w:right="280" w:firstLine="0"/>
      </w:pPr>
      <w:r>
        <w:rPr>
          <w:lang w:val="pl-PL"/>
          <w:w w:val="100"/>
          <w:color w:val="000000"/>
          <w:position w:val="0"/>
        </w:rPr>
        <w:t>Należy też umożliwić składanie wniosków osobom bezdomnym, które nie są objęte programem</w:t>
        <w:br/>
        <w:t>wychodzenia z bezdomności.</w:t>
      </w:r>
    </w:p>
    <w:p>
      <w:pPr>
        <w:pStyle w:val="Style5"/>
        <w:numPr>
          <w:ilvl w:val="0"/>
          <w:numId w:val="1"/>
        </w:numPr>
        <w:framePr w:w="9859" w:h="14359" w:hRule="exact" w:wrap="none" w:vAnchor="page" w:hAnchor="page" w:x="1036" w:y="1244"/>
        <w:tabs>
          <w:tab w:leader="none" w:pos="242" w:val="left"/>
        </w:tabs>
        <w:widowControl w:val="0"/>
        <w:keepNext w:val="0"/>
        <w:keepLines w:val="0"/>
        <w:shd w:val="clear" w:color="auto" w:fill="auto"/>
        <w:bidi w:val="0"/>
        <w:spacing w:before="0" w:after="272" w:line="210" w:lineRule="exact"/>
        <w:ind w:left="20" w:right="0" w:firstLine="0"/>
      </w:pPr>
      <w:bookmarkStart w:id="6" w:name="bookmark6"/>
      <w:r>
        <w:rPr>
          <w:lang w:val="pl-PL"/>
          <w:w w:val="100"/>
          <w:color w:val="000000"/>
          <w:position w:val="0"/>
        </w:rPr>
        <w:t>Ujemne punkty za odmowę przyjęcia lokalu</w:t>
      </w:r>
      <w:bookmarkEnd w:id="6"/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left"/>
        <w:spacing w:before="0" w:after="291"/>
        <w:ind w:left="20" w:right="280" w:firstLine="0"/>
      </w:pPr>
      <w:r>
        <w:rPr>
          <w:lang w:val="pl-PL"/>
          <w:w w:val="100"/>
          <w:color w:val="000000"/>
          <w:position w:val="0"/>
        </w:rPr>
        <w:t>Nie jest zasadne wprowadzenie ujemnych punktów za odmowę przyjęcia lokali o bardzo niskim</w:t>
        <w:br/>
        <w:t>standardzie. Stanowi to narzędzie nacisku Wydziałów Zasobów Lokalowych Dzielnic, które zmusza</w:t>
        <w:br/>
        <w:t>lokatorów do przyjęcia lokali bardzo niskiej jakości. Taka sytuacja jest niedopuszczalna. Z tego</w:t>
        <w:br/>
        <w:t>względu ujemne punkty za odmowę przyjęcia lokalu powinny zostać skreślone.</w:t>
      </w:r>
    </w:p>
    <w:p>
      <w:pPr>
        <w:pStyle w:val="Style5"/>
        <w:numPr>
          <w:ilvl w:val="0"/>
          <w:numId w:val="1"/>
        </w:numPr>
        <w:framePr w:w="9859" w:h="14359" w:hRule="exact" w:wrap="none" w:vAnchor="page" w:hAnchor="page" w:x="1036" w:y="1244"/>
        <w:tabs>
          <w:tab w:leader="none" w:pos="242" w:val="left"/>
        </w:tabs>
        <w:widowControl w:val="0"/>
        <w:keepNext w:val="0"/>
        <w:keepLines w:val="0"/>
        <w:shd w:val="clear" w:color="auto" w:fill="auto"/>
        <w:bidi w:val="0"/>
        <w:spacing w:before="0" w:after="272" w:line="210" w:lineRule="exact"/>
        <w:ind w:left="20" w:right="0" w:firstLine="0"/>
      </w:pPr>
      <w:bookmarkStart w:id="7" w:name="bookmark7"/>
      <w:r>
        <w:rPr>
          <w:lang w:val="pl-PL"/>
          <w:w w:val="100"/>
          <w:color w:val="000000"/>
          <w:position w:val="0"/>
        </w:rPr>
        <w:t>Sytuacja lokatorów wrażliwych</w:t>
      </w:r>
      <w:bookmarkEnd w:id="7"/>
    </w:p>
    <w:p>
      <w:pPr>
        <w:pStyle w:val="Style7"/>
        <w:framePr w:w="9859" w:h="14359" w:hRule="exact" w:wrap="none" w:vAnchor="page" w:hAnchor="page" w:x="1036" w:y="124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280" w:firstLine="0"/>
      </w:pPr>
      <w:r>
        <w:rPr>
          <w:lang w:val="pl-PL"/>
          <w:w w:val="100"/>
          <w:color w:val="000000"/>
          <w:position w:val="0"/>
        </w:rPr>
        <w:t>Skreślono definicję lokatora wrażliwego. Dodatkowe zapisy są więc potrzebne, by umożliwić</w:t>
        <w:br/>
        <w:t>staranie się o lokal lokatorom, którzy nie otrzymali wypowiedzenia umowy najmu od prywatnego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6" w:h="16838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7"/>
        <w:framePr w:w="9840" w:h="10773" w:hRule="exact" w:wrap="none" w:vAnchor="page" w:hAnchor="page" w:x="1046" w:y="1244"/>
        <w:widowControl w:val="0"/>
        <w:keepNext w:val="0"/>
        <w:keepLines w:val="0"/>
        <w:shd w:val="clear" w:color="auto" w:fill="auto"/>
        <w:bidi w:val="0"/>
        <w:jc w:val="left"/>
        <w:spacing w:before="0" w:after="240"/>
        <w:ind w:left="20" w:right="280" w:firstLine="0"/>
      </w:pPr>
      <w:r>
        <w:rPr>
          <w:lang w:val="pl-PL"/>
          <w:w w:val="100"/>
          <w:color w:val="000000"/>
          <w:position w:val="0"/>
        </w:rPr>
        <w:t>właściciela, a ich czynsz jest poniżej 3</w:t>
      </w:r>
      <w:r>
        <w:rPr>
          <w:lang w:val="pl-PL"/>
          <w:w w:val="100"/>
          <w:color w:val="000000"/>
          <w:shd w:val="clear" w:color="auto" w:fill="80FFFF"/>
          <w:position w:val="0"/>
        </w:rPr>
        <w:t>%</w:t>
      </w:r>
      <w:r>
        <w:rPr>
          <w:lang w:val="pl-PL"/>
          <w:w w:val="100"/>
          <w:color w:val="000000"/>
          <w:position w:val="0"/>
        </w:rPr>
        <w:t>. Nie jest celowe zmuszanie takich lokatorów do</w:t>
        <w:br/>
        <w:t>sztucznego zadłużania się w celu sprowokowania wypowiedzenia umowy najmu, by spełnić</w:t>
        <w:br/>
        <w:t>kryteria pomocy mieszkaniowej, jeśli ich dochody uprawniają się do starania się o lokal.</w:t>
      </w:r>
    </w:p>
    <w:p>
      <w:pPr>
        <w:pStyle w:val="Style7"/>
        <w:framePr w:w="9840" w:h="10773" w:hRule="exact" w:wrap="none" w:vAnchor="page" w:hAnchor="page" w:x="1046" w:y="1244"/>
        <w:widowControl w:val="0"/>
        <w:keepNext w:val="0"/>
        <w:keepLines w:val="0"/>
        <w:shd w:val="clear" w:color="auto" w:fill="auto"/>
        <w:bidi w:val="0"/>
        <w:jc w:val="both"/>
        <w:spacing w:before="0" w:after="291"/>
        <w:ind w:left="20" w:right="1400" w:firstLine="0"/>
      </w:pPr>
      <w:r>
        <w:rPr>
          <w:lang w:val="pl-PL"/>
          <w:w w:val="100"/>
          <w:color w:val="000000"/>
          <w:position w:val="0"/>
        </w:rPr>
        <w:t>Dobre jest dodanie wypowiedzenia 3 letniego do powodów zwalniających z kryterium</w:t>
        <w:br/>
        <w:t>metrażowego, jednak zdarza się też, że umowy wypowiadane są z innych powodów niż</w:t>
        <w:br/>
        <w:t>wymienione w projekcie. Ograniczanie pomocy mieszkaniowej dla takich osób nie jest celowe.</w:t>
      </w:r>
    </w:p>
    <w:p>
      <w:pPr>
        <w:pStyle w:val="Style5"/>
        <w:numPr>
          <w:ilvl w:val="0"/>
          <w:numId w:val="1"/>
        </w:numPr>
        <w:framePr w:w="9840" w:h="10773" w:hRule="exact" w:wrap="none" w:vAnchor="page" w:hAnchor="page" w:x="1046" w:y="1244"/>
        <w:tabs>
          <w:tab w:leader="none" w:pos="355" w:val="left"/>
        </w:tabs>
        <w:widowControl w:val="0"/>
        <w:keepNext w:val="0"/>
        <w:keepLines w:val="0"/>
        <w:shd w:val="clear" w:color="auto" w:fill="auto"/>
        <w:bidi w:val="0"/>
        <w:spacing w:before="0" w:after="216" w:line="210" w:lineRule="exact"/>
        <w:ind w:left="20" w:right="0" w:firstLine="0"/>
      </w:pPr>
      <w:bookmarkStart w:id="8" w:name="bookmark8"/>
      <w:r>
        <w:rPr>
          <w:lang w:val="pl-PL"/>
          <w:w w:val="100"/>
          <w:color w:val="000000"/>
          <w:position w:val="0"/>
        </w:rPr>
        <w:t>Zmiana definicji gospodarstwa domowego</w:t>
      </w:r>
      <w:bookmarkEnd w:id="8"/>
    </w:p>
    <w:p>
      <w:pPr>
        <w:pStyle w:val="Style7"/>
        <w:framePr w:w="9840" w:h="10773" w:hRule="exact" w:wrap="none" w:vAnchor="page" w:hAnchor="page" w:x="1046" w:y="1244"/>
        <w:widowControl w:val="0"/>
        <w:keepNext w:val="0"/>
        <w:keepLines w:val="0"/>
        <w:shd w:val="clear" w:color="auto" w:fill="auto"/>
        <w:bidi w:val="0"/>
        <w:jc w:val="left"/>
        <w:spacing w:before="0" w:after="287" w:line="269" w:lineRule="exact"/>
        <w:ind w:left="20" w:right="320" w:firstLine="0"/>
      </w:pPr>
      <w:r>
        <w:rPr>
          <w:lang w:val="pl-PL"/>
          <w:w w:val="100"/>
          <w:color w:val="000000"/>
          <w:position w:val="0"/>
        </w:rPr>
        <w:t>Pozytywną zmianą jest określenie gospodarstwa domowego jako osób starających się razem o</w:t>
        <w:br/>
        <w:t>lokal, niekoniecznie obecnie zamieszkałych razem. Popieramy tę zmianę.</w:t>
      </w:r>
    </w:p>
    <w:p>
      <w:pPr>
        <w:pStyle w:val="Style5"/>
        <w:numPr>
          <w:ilvl w:val="0"/>
          <w:numId w:val="1"/>
        </w:numPr>
        <w:framePr w:w="9840" w:h="10773" w:hRule="exact" w:wrap="none" w:vAnchor="page" w:hAnchor="page" w:x="1046" w:y="1244"/>
        <w:tabs>
          <w:tab w:leader="none" w:pos="355" w:val="left"/>
        </w:tabs>
        <w:widowControl w:val="0"/>
        <w:keepNext w:val="0"/>
        <w:keepLines w:val="0"/>
        <w:shd w:val="clear" w:color="auto" w:fill="auto"/>
        <w:bidi w:val="0"/>
        <w:spacing w:before="0" w:after="212" w:line="210" w:lineRule="exact"/>
        <w:ind w:left="20" w:right="0" w:firstLine="0"/>
      </w:pPr>
      <w:bookmarkStart w:id="9" w:name="bookmark9"/>
      <w:r>
        <w:rPr>
          <w:lang w:val="pl-PL"/>
          <w:w w:val="100"/>
          <w:color w:val="000000"/>
          <w:position w:val="0"/>
        </w:rPr>
        <w:t>Brak zastosowania kryterium metrażowego dla osób z niepełnosprawnością</w:t>
      </w:r>
      <w:bookmarkEnd w:id="9"/>
    </w:p>
    <w:p>
      <w:pPr>
        <w:pStyle w:val="Style7"/>
        <w:framePr w:w="9840" w:h="10773" w:hRule="exact" w:wrap="none" w:vAnchor="page" w:hAnchor="page" w:x="1046" w:y="1244"/>
        <w:widowControl w:val="0"/>
        <w:keepNext w:val="0"/>
        <w:keepLines w:val="0"/>
        <w:shd w:val="clear" w:color="auto" w:fill="auto"/>
        <w:bidi w:val="0"/>
        <w:jc w:val="left"/>
        <w:spacing w:before="0" w:after="291"/>
        <w:ind w:left="20" w:right="320" w:firstLine="0"/>
      </w:pPr>
      <w:r>
        <w:rPr>
          <w:lang w:val="pl-PL"/>
          <w:w w:val="100"/>
          <w:color w:val="000000"/>
          <w:position w:val="0"/>
        </w:rPr>
        <w:t>Pozytywną zmianą jest uwzględnienie potrzeb przestrzennych osób z niepełnosprawnością. W</w:t>
        <w:br/>
        <w:t>przypadku osób wymagających opieki osoby trzeciej należy też uwzględnić przestrzeń potrzebną na</w:t>
        <w:br/>
        <w:t>pobyt opiekuna.</w:t>
      </w:r>
    </w:p>
    <w:p>
      <w:pPr>
        <w:pStyle w:val="Style5"/>
        <w:numPr>
          <w:ilvl w:val="0"/>
          <w:numId w:val="1"/>
        </w:numPr>
        <w:framePr w:w="9840" w:h="10773" w:hRule="exact" w:wrap="none" w:vAnchor="page" w:hAnchor="page" w:x="1046" w:y="1244"/>
        <w:tabs>
          <w:tab w:leader="none" w:pos="355" w:val="left"/>
        </w:tabs>
        <w:widowControl w:val="0"/>
        <w:keepNext w:val="0"/>
        <w:keepLines w:val="0"/>
        <w:shd w:val="clear" w:color="auto" w:fill="auto"/>
        <w:bidi w:val="0"/>
        <w:spacing w:before="0" w:after="263" w:line="210" w:lineRule="exact"/>
        <w:ind w:left="20" w:right="0" w:firstLine="0"/>
      </w:pPr>
      <w:bookmarkStart w:id="10" w:name="bookmark10"/>
      <w:r>
        <w:rPr>
          <w:lang w:val="pl-PL"/>
          <w:w w:val="100"/>
          <w:color w:val="000000"/>
          <w:position w:val="0"/>
        </w:rPr>
        <w:t>Odmowa pomocy mieszkaniowej</w:t>
      </w:r>
      <w:bookmarkEnd w:id="10"/>
    </w:p>
    <w:p>
      <w:pPr>
        <w:pStyle w:val="Style7"/>
        <w:framePr w:w="9840" w:h="10773" w:hRule="exact" w:wrap="none" w:vAnchor="page" w:hAnchor="page" w:x="1046" w:y="1244"/>
        <w:widowControl w:val="0"/>
        <w:keepNext w:val="0"/>
        <w:keepLines w:val="0"/>
        <w:shd w:val="clear" w:color="auto" w:fill="auto"/>
        <w:bidi w:val="0"/>
        <w:jc w:val="both"/>
        <w:spacing w:before="0" w:after="212" w:line="210" w:lineRule="exact"/>
        <w:ind w:left="20" w:right="0" w:firstLine="0"/>
      </w:pPr>
      <w:r>
        <w:rPr>
          <w:lang w:val="pl-PL"/>
          <w:w w:val="100"/>
          <w:color w:val="000000"/>
          <w:position w:val="0"/>
        </w:rPr>
        <w:t>Proponujemy, żeby art. 9 zawierał sformułowania:</w:t>
      </w:r>
    </w:p>
    <w:p>
      <w:pPr>
        <w:pStyle w:val="Style7"/>
        <w:numPr>
          <w:ilvl w:val="0"/>
          <w:numId w:val="3"/>
        </w:numPr>
        <w:framePr w:w="9840" w:h="10773" w:hRule="exact" w:wrap="none" w:vAnchor="page" w:hAnchor="page" w:x="1046" w:y="1244"/>
        <w:tabs>
          <w:tab w:leader="none" w:pos="15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320" w:firstLine="0"/>
      </w:pPr>
      <w:r>
        <w:rPr>
          <w:lang w:val="pl-PL"/>
          <w:w w:val="100"/>
          <w:color w:val="000000"/>
          <w:position w:val="0"/>
        </w:rPr>
        <w:t>w razie posiadania tytułu prawnego do lokalu nadającego się do całorocznego zamieszkania, w tej</w:t>
        <w:br/>
        <w:t>samej miejscowości, w której znajduje się centrum życiowe wnioskodawcy</w:t>
      </w:r>
    </w:p>
    <w:p>
      <w:pPr>
        <w:pStyle w:val="Style7"/>
        <w:numPr>
          <w:ilvl w:val="0"/>
          <w:numId w:val="3"/>
        </w:numPr>
        <w:framePr w:w="9840" w:h="10773" w:hRule="exact" w:wrap="none" w:vAnchor="page" w:hAnchor="page" w:x="1046" w:y="1244"/>
        <w:tabs>
          <w:tab w:leader="none" w:pos="154" w:val="left"/>
        </w:tabs>
        <w:widowControl w:val="0"/>
        <w:keepNext w:val="0"/>
        <w:keepLines w:val="0"/>
        <w:shd w:val="clear" w:color="auto" w:fill="auto"/>
        <w:bidi w:val="0"/>
        <w:jc w:val="left"/>
        <w:spacing w:before="0" w:after="291"/>
        <w:ind w:left="20" w:right="320" w:firstLine="0"/>
      </w:pPr>
      <w:r>
        <w:rPr>
          <w:lang w:val="pl-PL"/>
          <w:w w:val="100"/>
          <w:color w:val="000000"/>
          <w:position w:val="0"/>
        </w:rPr>
        <w:t>posiadania faktycznej możliwości zbycia nieruchomości (tzn. nieruchomość nie jest przedmiotem</w:t>
        <w:br/>
        <w:t>postępowań spadkowych, o podział majątku itp.)</w:t>
      </w:r>
    </w:p>
    <w:p>
      <w:pPr>
        <w:pStyle w:val="Style5"/>
        <w:numPr>
          <w:ilvl w:val="0"/>
          <w:numId w:val="1"/>
        </w:numPr>
        <w:framePr w:w="9840" w:h="10773" w:hRule="exact" w:wrap="none" w:vAnchor="page" w:hAnchor="page" w:x="1046" w:y="1244"/>
        <w:tabs>
          <w:tab w:leader="none" w:pos="355" w:val="left"/>
        </w:tabs>
        <w:widowControl w:val="0"/>
        <w:keepNext w:val="0"/>
        <w:keepLines w:val="0"/>
        <w:shd w:val="clear" w:color="auto" w:fill="auto"/>
        <w:bidi w:val="0"/>
        <w:spacing w:before="0" w:after="212" w:line="210" w:lineRule="exact"/>
        <w:ind w:left="20" w:right="0" w:firstLine="0"/>
      </w:pPr>
      <w:bookmarkStart w:id="11" w:name="bookmark11"/>
      <w:r>
        <w:rPr>
          <w:lang w:val="pl-PL"/>
          <w:w w:val="100"/>
          <w:color w:val="000000"/>
          <w:position w:val="0"/>
        </w:rPr>
        <w:t>Automatyczna zgoda na pobyt osób najbliższych w lokalu socjalnym</w:t>
      </w:r>
      <w:bookmarkEnd w:id="11"/>
    </w:p>
    <w:p>
      <w:pPr>
        <w:pStyle w:val="Style7"/>
        <w:framePr w:w="9840" w:h="10773" w:hRule="exact" w:wrap="none" w:vAnchor="page" w:hAnchor="page" w:x="1046" w:y="1244"/>
        <w:widowControl w:val="0"/>
        <w:keepNext w:val="0"/>
        <w:keepLines w:val="0"/>
        <w:shd w:val="clear" w:color="auto" w:fill="auto"/>
        <w:bidi w:val="0"/>
        <w:jc w:val="both"/>
        <w:spacing w:before="0" w:after="291"/>
        <w:ind w:left="20" w:right="320" w:firstLine="0"/>
      </w:pPr>
      <w:r>
        <w:rPr>
          <w:lang w:val="pl-PL"/>
          <w:w w:val="100"/>
          <w:color w:val="000000"/>
          <w:position w:val="0"/>
        </w:rPr>
        <w:t>W art. 26 projektu należy doprecyzować na jaki okres następuje automatyczna zgoda na pobyt osób</w:t>
        <w:br/>
        <w:t>najbliższych osób w lokalu o najmie socjalnym. Powinna być udzielana na okres trwania umowy</w:t>
        <w:br/>
        <w:t>najmu socjalnego.</w:t>
      </w:r>
    </w:p>
    <w:p>
      <w:pPr>
        <w:pStyle w:val="Style5"/>
        <w:numPr>
          <w:ilvl w:val="0"/>
          <w:numId w:val="1"/>
        </w:numPr>
        <w:framePr w:w="9840" w:h="10773" w:hRule="exact" w:wrap="none" w:vAnchor="page" w:hAnchor="page" w:x="1046" w:y="1244"/>
        <w:tabs>
          <w:tab w:leader="none" w:pos="355" w:val="left"/>
        </w:tabs>
        <w:widowControl w:val="0"/>
        <w:keepNext w:val="0"/>
        <w:keepLines w:val="0"/>
        <w:shd w:val="clear" w:color="auto" w:fill="auto"/>
        <w:bidi w:val="0"/>
        <w:spacing w:before="0" w:after="212" w:line="210" w:lineRule="exact"/>
        <w:ind w:left="20" w:right="0" w:firstLine="0"/>
      </w:pPr>
      <w:bookmarkStart w:id="12" w:name="bookmark12"/>
      <w:r>
        <w:rPr>
          <w:lang w:val="pl-PL"/>
          <w:w w:val="100"/>
          <w:color w:val="000000"/>
          <w:position w:val="0"/>
        </w:rPr>
        <w:t>Zamieszkiwanie za zgodą właściciela</w:t>
      </w:r>
      <w:bookmarkEnd w:id="12"/>
    </w:p>
    <w:p>
      <w:pPr>
        <w:pStyle w:val="Style7"/>
        <w:framePr w:w="9840" w:h="10773" w:hRule="exact" w:wrap="none" w:vAnchor="page" w:hAnchor="page" w:x="1046" w:y="1244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320" w:firstLine="0"/>
      </w:pPr>
      <w:r>
        <w:rPr>
          <w:lang w:val="pl-PL"/>
          <w:w w:val="100"/>
          <w:color w:val="000000"/>
          <w:position w:val="0"/>
        </w:rPr>
        <w:t>W art. 32 ust. 1 pkt. 3 należy doprecyzować, że chodzi o zgodę właściciela jakim jest Miasto</w:t>
        <w:br/>
        <w:t>stołeczne Warszawa. Brak zgody właściciela budynku reprywatyzowanego nie powinien oznaczać</w:t>
        <w:br/>
        <w:t>braku przyznania pomocy mieszkaniowe</w:t>
      </w:r>
      <w:r>
        <w:rPr>
          <w:lang w:val="pl-PL"/>
          <w:w w:val="100"/>
          <w:color w:val="000000"/>
          <w:shd w:val="clear" w:color="auto" w:fill="80FFFF"/>
          <w:position w:val="0"/>
        </w:rPr>
        <w:t>j.</w:t>
      </w:r>
    </w:p>
    <w:p>
      <w:pPr>
        <w:pStyle w:val="Style3"/>
        <w:framePr w:w="9840" w:h="274" w:hRule="exact" w:wrap="none" w:vAnchor="page" w:hAnchor="page" w:x="1046" w:y="12562"/>
        <w:widowControl w:val="0"/>
        <w:keepNext w:val="0"/>
        <w:keepLines w:val="0"/>
        <w:shd w:val="clear" w:color="auto" w:fill="auto"/>
        <w:bidi w:val="0"/>
        <w:jc w:val="center"/>
        <w:spacing w:before="0" w:after="0" w:line="210" w:lineRule="exact"/>
        <w:ind w:left="220" w:right="0" w:firstLine="0"/>
      </w:pPr>
      <w:r>
        <w:rPr>
          <w:lang w:val="pl-PL"/>
          <w:w w:val="100"/>
          <w:color w:val="000000"/>
          <w:position w:val="0"/>
        </w:rPr>
        <w:t>Komitet Obrony Praw Lokatorów</w: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6" w:h="16838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)"/>
      <w:rPr>
        <w:lang w:val="pl-PL"/>
        <w:b/>
        <w:bCs/>
        <w:i w:val="0"/>
        <w:iCs w:val="0"/>
        <w:u w:val="none"/>
        <w:strike w:val="0"/>
        <w:smallCaps w:val="0"/>
        <w:sz w:val="21"/>
        <w:szCs w:val="21"/>
        <w:rFonts w:ascii="Times New Roman" w:eastAsia="Times New Roman" w:hAnsi="Times New Roman" w:cs="Times New Roman"/>
        <w:w w:val="100"/>
        <w:spacing w:val="3"/>
        <w:color w:val="000000"/>
        <w:position w:val="0"/>
      </w:rPr>
    </w:lvl>
  </w:abstractNum>
  <w:abstractNum w:abstractNumId="2">
    <w:multiLevelType w:val="multilevel"/>
    <w:lvl w:ilvl="0">
      <w:start w:val="1"/>
      <w:numFmt w:val="bullet"/>
      <w:lvlText w:val="-"/>
      <w:rPr>
        <w:lang w:val="pl-PL"/>
        <w:b w:val="0"/>
        <w:bCs w:val="0"/>
        <w:i w:val="0"/>
        <w:iCs w:val="0"/>
        <w:u w:val="none"/>
        <w:strike w:val="0"/>
        <w:smallCaps w:val="0"/>
        <w:sz w:val="21"/>
        <w:szCs w:val="21"/>
        <w:rFonts w:ascii="Times New Roman" w:eastAsia="Times New Roman" w:hAnsi="Times New Roman" w:cs="Times New Roman"/>
        <w:w w:val="100"/>
        <w:spacing w:val="3"/>
        <w:color w:val="000000"/>
        <w:position w:val="0"/>
      </w:rPr>
    </w:lvl>
  </w:abstractNum>
  <w:abstractNum w:abstractNumId="4">
    <w:multiLevelType w:val="multilevel"/>
    <w:lvl w:ilvl="0">
      <w:start w:val="1"/>
      <w:numFmt w:val="decimal"/>
      <w:lvlText w:val="%1)"/>
      <w:rPr>
        <w:lang w:val="pl-PL"/>
        <w:b w:val="0"/>
        <w:bCs w:val="0"/>
        <w:i w:val="0"/>
        <w:iCs w:val="0"/>
        <w:u w:val="none"/>
        <w:strike w:val="0"/>
        <w:smallCaps w:val="0"/>
        <w:sz w:val="21"/>
        <w:szCs w:val="21"/>
        <w:rFonts w:ascii="Times New Roman" w:eastAsia="Times New Roman" w:hAnsi="Times New Roman" w:cs="Times New Roman"/>
        <w:w w:val="100"/>
        <w:spacing w:val="3"/>
        <w:color w:val="000000"/>
        <w:position w:val="0"/>
      </w:rPr>
    </w:lvl>
  </w:abstractNum>
  <w:num w:numId="1">
    <w:abstractNumId w:val="0"/>
  </w:num>
  <w:num w:numId="3">
    <w:abstractNumId w:val="2"/>
  </w:num>
  <w:num w:numId="5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/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pl-PL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pl-PL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pl-PL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Tekst treści (2)_"/>
    <w:basedOn w:val="DefaultParagraphFont"/>
    <w:link w:val="Style3"/>
    <w:rPr>
      <w:b/>
      <w:bCs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  <w:style w:type="character" w:customStyle="1" w:styleId="CharStyle6">
    <w:name w:val="Nagłówek #2_"/>
    <w:basedOn w:val="DefaultParagraphFont"/>
    <w:link w:val="Style5"/>
    <w:rPr>
      <w:b/>
      <w:bCs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  <w:style w:type="character" w:customStyle="1" w:styleId="CharStyle8">
    <w:name w:val="Tekst treści_"/>
    <w:basedOn w:val="DefaultParagraphFont"/>
    <w:link w:val="Style7"/>
    <w:rPr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  <w:style w:type="paragraph" w:customStyle="1" w:styleId="Style3">
    <w:name w:val="Tekst treści (2)"/>
    <w:basedOn w:val="Normal"/>
    <w:link w:val="CharStyle4"/>
    <w:pPr>
      <w:widowControl w:val="0"/>
      <w:jc w:val="both"/>
      <w:spacing w:after="240" w:line="274" w:lineRule="exact"/>
    </w:pPr>
    <w:rPr>
      <w:b/>
      <w:bCs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  <w:style w:type="paragraph" w:customStyle="1" w:styleId="Style5">
    <w:name w:val="Nagłówek #2"/>
    <w:basedOn w:val="Normal"/>
    <w:link w:val="CharStyle6"/>
    <w:pPr>
      <w:widowControl w:val="0"/>
      <w:jc w:val="both"/>
      <w:outlineLvl w:val="1"/>
      <w:spacing w:before="240" w:after="360" w:line="0" w:lineRule="exact"/>
    </w:pPr>
    <w:rPr>
      <w:b/>
      <w:bCs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  <w:style w:type="paragraph" w:customStyle="1" w:styleId="Style7">
    <w:name w:val="Tekst treści"/>
    <w:basedOn w:val="Normal"/>
    <w:link w:val="CharStyle8"/>
    <w:pPr>
      <w:widowControl w:val="0"/>
      <w:spacing w:before="360" w:after="240" w:line="274" w:lineRule="exact"/>
      <w:ind w:hanging="360"/>
    </w:pPr>
    <w:rPr>
      <w:b w:val="0"/>
      <w:bCs w:val="0"/>
      <w:i w:val="0"/>
      <w:iCs w:val="0"/>
      <w:u w:val="none"/>
      <w:strike w:val="0"/>
      <w:smallCaps w:val="0"/>
      <w:sz w:val="21"/>
      <w:szCs w:val="21"/>
      <w:rFonts w:ascii="Times New Roman" w:eastAsia="Times New Roman" w:hAnsi="Times New Roman" w:cs="Times New Roman"/>
      <w:spacing w:val="3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Jakub Żaczek</dc:creator>
  <cp:keywords/>
</cp:coreProperties>
</file>