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0FB8C" w14:textId="78709252" w:rsidR="004644C5" w:rsidRDefault="004644C5" w:rsidP="004644C5">
      <w:pPr>
        <w:widowControl w:val="0"/>
        <w:shd w:val="clear" w:color="auto" w:fill="FFFFFF"/>
        <w:suppressAutoHyphens w:val="0"/>
        <w:spacing w:after="0" w:line="300" w:lineRule="auto"/>
        <w:ind w:left="6804"/>
        <w:rPr>
          <w:rFonts w:ascii="Calibri" w:hAnsi="Calibri" w:cs="Calibri"/>
          <w:b/>
          <w:bCs w:val="0"/>
          <w:color w:val="000000"/>
          <w:sz w:val="22"/>
          <w:szCs w:val="22"/>
          <w:lang w:eastAsia="pl-PL" w:bidi="ar-SA"/>
        </w:rPr>
      </w:pPr>
      <w:r>
        <w:rPr>
          <w:rFonts w:ascii="Calibri" w:hAnsi="Calibri" w:cs="Calibri"/>
          <w:b/>
          <w:bCs w:val="0"/>
          <w:color w:val="000000"/>
          <w:sz w:val="22"/>
          <w:szCs w:val="22"/>
          <w:lang w:eastAsia="pl-PL" w:bidi="ar-SA"/>
        </w:rPr>
        <w:t xml:space="preserve">PROJEKT </w:t>
      </w:r>
      <w:r>
        <w:rPr>
          <w:rFonts w:ascii="Calibri" w:hAnsi="Calibri" w:cs="Calibri"/>
          <w:b/>
          <w:bCs w:val="0"/>
          <w:color w:val="000000"/>
          <w:sz w:val="22"/>
          <w:szCs w:val="22"/>
          <w:lang w:eastAsia="pl-PL" w:bidi="ar-SA"/>
        </w:rPr>
        <w:br/>
        <w:t>DRUK NR 3236</w:t>
      </w:r>
    </w:p>
    <w:p w14:paraId="1512BD4B" w14:textId="0EE9B0D1" w:rsidR="003E14BE" w:rsidRPr="003E14BE" w:rsidRDefault="003E14BE" w:rsidP="003E14BE">
      <w:pPr>
        <w:widowControl w:val="0"/>
        <w:shd w:val="clear" w:color="auto" w:fill="FFFFFF"/>
        <w:suppressAutoHyphens w:val="0"/>
        <w:spacing w:after="0" w:line="300" w:lineRule="auto"/>
        <w:jc w:val="center"/>
        <w:rPr>
          <w:rFonts w:ascii="Calibri" w:hAnsi="Calibri" w:cs="Calibri"/>
          <w:b/>
          <w:bCs w:val="0"/>
          <w:color w:val="000000"/>
          <w:sz w:val="22"/>
          <w:szCs w:val="22"/>
          <w:lang w:eastAsia="pl-PL" w:bidi="ar-SA"/>
        </w:rPr>
      </w:pPr>
      <w:r w:rsidRPr="003E14BE">
        <w:rPr>
          <w:rFonts w:ascii="Calibri" w:hAnsi="Calibri" w:cs="Calibri"/>
          <w:b/>
          <w:bCs w:val="0"/>
          <w:color w:val="000000"/>
          <w:sz w:val="22"/>
          <w:szCs w:val="22"/>
          <w:lang w:eastAsia="pl-PL" w:bidi="ar-SA"/>
        </w:rPr>
        <w:t xml:space="preserve">UCHWAŁA NR </w:t>
      </w:r>
      <w:r w:rsidRPr="003E14BE">
        <w:rPr>
          <w:rFonts w:ascii="Calibri" w:hAnsi="Calibri" w:cs="Calibri"/>
          <w:b/>
          <w:color w:val="000000"/>
          <w:sz w:val="22"/>
          <w:szCs w:val="22"/>
          <w:lang w:eastAsia="pl-PL" w:bidi="ar-SA"/>
        </w:rPr>
        <w:t>………..</w:t>
      </w:r>
    </w:p>
    <w:p w14:paraId="0AF491EF" w14:textId="77777777" w:rsidR="003E14BE" w:rsidRPr="003E14BE" w:rsidRDefault="003E14BE" w:rsidP="003E14BE">
      <w:pPr>
        <w:widowControl w:val="0"/>
        <w:shd w:val="clear" w:color="auto" w:fill="FFFFFF"/>
        <w:suppressAutoHyphens w:val="0"/>
        <w:spacing w:after="0" w:line="300" w:lineRule="auto"/>
        <w:jc w:val="center"/>
        <w:rPr>
          <w:rFonts w:ascii="Calibri" w:hAnsi="Calibri" w:cs="Calibri"/>
          <w:b/>
          <w:bCs w:val="0"/>
          <w:color w:val="000000"/>
          <w:sz w:val="22"/>
          <w:szCs w:val="22"/>
          <w:vertAlign w:val="superscript"/>
          <w:lang w:eastAsia="pl-PL" w:bidi="ar-SA"/>
        </w:rPr>
      </w:pPr>
      <w:r w:rsidRPr="003E14BE">
        <w:rPr>
          <w:rFonts w:ascii="Calibri" w:hAnsi="Calibri" w:cs="Calibri"/>
          <w:b/>
          <w:bCs w:val="0"/>
          <w:color w:val="000000"/>
          <w:sz w:val="22"/>
          <w:szCs w:val="22"/>
          <w:lang w:eastAsia="pl-PL" w:bidi="ar-SA"/>
        </w:rPr>
        <w:t>RADY MIASTA STOŁECZNEGO WARSZAWY</w:t>
      </w:r>
    </w:p>
    <w:p w14:paraId="638F2D54" w14:textId="77777777" w:rsidR="003E14BE" w:rsidRPr="003E14BE" w:rsidRDefault="003E14BE" w:rsidP="003E14BE">
      <w:pPr>
        <w:widowControl w:val="0"/>
        <w:shd w:val="clear" w:color="auto" w:fill="FFFFFF"/>
        <w:suppressAutoHyphens w:val="0"/>
        <w:spacing w:after="240" w:line="300" w:lineRule="auto"/>
        <w:jc w:val="center"/>
        <w:rPr>
          <w:rFonts w:ascii="Calibri" w:hAnsi="Calibri" w:cs="Calibri"/>
          <w:b/>
          <w:bCs w:val="0"/>
          <w:color w:val="000000"/>
          <w:sz w:val="22"/>
          <w:szCs w:val="22"/>
          <w:lang w:eastAsia="pl-PL" w:bidi="ar-SA"/>
        </w:rPr>
      </w:pPr>
      <w:r w:rsidRPr="003E14BE">
        <w:rPr>
          <w:rFonts w:ascii="Calibri" w:hAnsi="Calibri" w:cs="Calibri"/>
          <w:b/>
          <w:bCs w:val="0"/>
          <w:color w:val="000000"/>
          <w:sz w:val="22"/>
          <w:szCs w:val="22"/>
          <w:lang w:eastAsia="pl-PL" w:bidi="ar-SA"/>
        </w:rPr>
        <w:t>z ….</w:t>
      </w:r>
      <w:r w:rsidRPr="003E14BE">
        <w:rPr>
          <w:rFonts w:ascii="Calibri" w:hAnsi="Calibri" w:cs="Calibri"/>
          <w:b/>
          <w:color w:val="000000"/>
          <w:sz w:val="22"/>
          <w:szCs w:val="22"/>
          <w:lang w:eastAsia="pl-PL" w:bidi="ar-SA"/>
        </w:rPr>
        <w:t>……………..………….2023 r.</w:t>
      </w:r>
    </w:p>
    <w:p w14:paraId="06CACF81" w14:textId="09817B4F" w:rsidR="003E14BE" w:rsidRPr="003E14BE" w:rsidRDefault="003E14BE" w:rsidP="004D554D">
      <w:pPr>
        <w:suppressAutoHyphens w:val="0"/>
        <w:spacing w:before="240" w:after="240" w:line="300" w:lineRule="auto"/>
        <w:jc w:val="center"/>
        <w:rPr>
          <w:rFonts w:ascii="Calibri" w:hAnsi="Calibri" w:cs="Calibri"/>
          <w:b/>
          <w:bCs w:val="0"/>
          <w:color w:val="000000"/>
          <w:sz w:val="22"/>
          <w:szCs w:val="22"/>
          <w:lang w:eastAsia="pl-PL" w:bidi="ar-SA"/>
        </w:rPr>
      </w:pPr>
      <w:r w:rsidRPr="003E14BE">
        <w:rPr>
          <w:rFonts w:ascii="Calibri" w:hAnsi="Calibri" w:cs="Calibri"/>
          <w:b/>
          <w:bCs w:val="0"/>
          <w:color w:val="000000"/>
          <w:sz w:val="22"/>
          <w:szCs w:val="22"/>
          <w:lang w:eastAsia="pl-PL" w:bidi="ar-SA"/>
        </w:rPr>
        <w:t xml:space="preserve">w sprawie </w:t>
      </w:r>
      <w:r w:rsidRPr="003E14BE">
        <w:rPr>
          <w:rFonts w:ascii="Calibri" w:hAnsi="Calibri" w:cs="Calibri"/>
          <w:b/>
          <w:color w:val="000000"/>
          <w:sz w:val="22"/>
          <w:szCs w:val="22"/>
          <w:lang w:eastAsia="pl-PL" w:bidi="ar-SA"/>
        </w:rPr>
        <w:t xml:space="preserve">programu polityki </w:t>
      </w:r>
      <w:r w:rsidRPr="003E14BE">
        <w:rPr>
          <w:rFonts w:ascii="Calibri" w:hAnsi="Calibri" w:cs="Calibri"/>
          <w:b/>
          <w:bCs w:val="0"/>
          <w:color w:val="000000"/>
          <w:sz w:val="22"/>
          <w:szCs w:val="22"/>
          <w:lang w:eastAsia="pl-PL" w:bidi="ar-SA"/>
        </w:rPr>
        <w:t xml:space="preserve">zdrowotnej z zakresu profilaktyki i wczesnego wykrywania osteoporozy dla mieszkanek Warszawy </w:t>
      </w:r>
      <w:r w:rsidR="002B534A">
        <w:rPr>
          <w:rFonts w:ascii="Calibri" w:hAnsi="Calibri" w:cs="Calibri"/>
          <w:b/>
          <w:bCs w:val="0"/>
          <w:color w:val="000000"/>
          <w:sz w:val="22"/>
          <w:szCs w:val="22"/>
          <w:lang w:eastAsia="pl-PL" w:bidi="ar-SA"/>
        </w:rPr>
        <w:t>pn. „Niezłomne Warszawianki”</w:t>
      </w:r>
      <w:r w:rsidRPr="003E14BE">
        <w:t xml:space="preserve"> </w:t>
      </w:r>
      <w:r w:rsidRPr="003E14BE">
        <w:rPr>
          <w:rFonts w:ascii="Calibri" w:hAnsi="Calibri" w:cs="Calibri"/>
          <w:b/>
          <w:bCs w:val="0"/>
          <w:color w:val="000000"/>
          <w:sz w:val="22"/>
          <w:szCs w:val="22"/>
          <w:lang w:eastAsia="pl-PL" w:bidi="ar-SA"/>
        </w:rPr>
        <w:t>na lata 202</w:t>
      </w:r>
      <w:r w:rsidR="00521869">
        <w:rPr>
          <w:rFonts w:ascii="Calibri" w:hAnsi="Calibri" w:cs="Calibri"/>
          <w:b/>
          <w:bCs w:val="0"/>
          <w:color w:val="000000"/>
          <w:sz w:val="22"/>
          <w:szCs w:val="22"/>
          <w:lang w:eastAsia="pl-PL" w:bidi="ar-SA"/>
        </w:rPr>
        <w:t>3</w:t>
      </w:r>
      <w:r w:rsidRPr="003E14BE">
        <w:rPr>
          <w:rFonts w:ascii="Calibri" w:hAnsi="Calibri" w:cs="Calibri"/>
          <w:b/>
          <w:bCs w:val="0"/>
          <w:color w:val="000000"/>
          <w:sz w:val="22"/>
          <w:szCs w:val="22"/>
          <w:lang w:eastAsia="pl-PL" w:bidi="ar-SA"/>
        </w:rPr>
        <w:t xml:space="preserve"> - 2025</w:t>
      </w:r>
    </w:p>
    <w:p w14:paraId="2DE4F301" w14:textId="7E387E03" w:rsidR="003E14BE" w:rsidRPr="003E14BE" w:rsidRDefault="003E14BE" w:rsidP="003E14BE">
      <w:pPr>
        <w:suppressAutoHyphens w:val="0"/>
        <w:spacing w:after="240" w:line="300" w:lineRule="auto"/>
        <w:ind w:firstLine="709"/>
        <w:rPr>
          <w:rFonts w:ascii="Calibri" w:hAnsi="Calibri" w:cs="Calibri"/>
          <w:color w:val="000000"/>
          <w:sz w:val="22"/>
          <w:szCs w:val="22"/>
          <w:lang w:eastAsia="pl-PL" w:bidi="ar-SA"/>
        </w:rPr>
      </w:pPr>
      <w:r w:rsidRPr="003E14BE">
        <w:rPr>
          <w:rFonts w:ascii="Calibri" w:hAnsi="Calibri" w:cs="Calibri"/>
          <w:color w:val="000000"/>
          <w:sz w:val="22"/>
          <w:szCs w:val="22"/>
          <w:lang w:eastAsia="pl-PL" w:bidi="ar-SA"/>
        </w:rPr>
        <w:t xml:space="preserve">Na podstawie art. 18 ust. 1 ustawy z dnia 8 marca 1990 r. o samorządzie gminnym </w:t>
      </w:r>
      <w:r w:rsidRPr="003E14BE">
        <w:rPr>
          <w:rFonts w:ascii="Calibri" w:hAnsi="Calibri" w:cs="Calibri"/>
          <w:sz w:val="22"/>
          <w:szCs w:val="22"/>
          <w:lang w:eastAsia="pl-PL" w:bidi="ar-SA"/>
        </w:rPr>
        <w:t xml:space="preserve">(Dz. U. </w:t>
      </w:r>
      <w:r w:rsidRPr="003E14BE">
        <w:rPr>
          <w:rFonts w:ascii="Calibri" w:hAnsi="Calibri" w:cs="Calibri"/>
          <w:sz w:val="22"/>
          <w:szCs w:val="22"/>
          <w:lang w:eastAsia="pl-PL" w:bidi="ar-SA"/>
        </w:rPr>
        <w:br/>
        <w:t>z 2023 r. poz. 40</w:t>
      </w:r>
      <w:r w:rsidRPr="003E14BE">
        <w:rPr>
          <w:rFonts w:ascii="Calibri" w:hAnsi="Calibri" w:cs="Calibri"/>
          <w:bCs w:val="0"/>
          <w:sz w:val="22"/>
          <w:szCs w:val="22"/>
          <w:lang w:eastAsia="pl-PL" w:bidi="ar-SA"/>
        </w:rPr>
        <w:t>, 572</w:t>
      </w:r>
      <w:r w:rsidR="00092E80">
        <w:rPr>
          <w:rFonts w:ascii="Calibri" w:hAnsi="Calibri" w:cs="Calibri"/>
          <w:bCs w:val="0"/>
          <w:sz w:val="22"/>
          <w:szCs w:val="22"/>
          <w:lang w:eastAsia="pl-PL" w:bidi="ar-SA"/>
        </w:rPr>
        <w:t>,</w:t>
      </w:r>
      <w:r w:rsidRPr="003E14BE">
        <w:rPr>
          <w:rFonts w:ascii="Calibri" w:hAnsi="Calibri" w:cs="Calibri"/>
          <w:bCs w:val="0"/>
          <w:sz w:val="22"/>
          <w:szCs w:val="22"/>
          <w:lang w:eastAsia="pl-PL" w:bidi="ar-SA"/>
        </w:rPr>
        <w:t xml:space="preserve"> 14</w:t>
      </w:r>
      <w:r w:rsidR="00092E80">
        <w:rPr>
          <w:rFonts w:ascii="Calibri" w:hAnsi="Calibri" w:cs="Calibri"/>
          <w:bCs w:val="0"/>
          <w:sz w:val="22"/>
          <w:szCs w:val="22"/>
          <w:lang w:eastAsia="pl-PL" w:bidi="ar-SA"/>
        </w:rPr>
        <w:t>6</w:t>
      </w:r>
      <w:r w:rsidRPr="003E14BE">
        <w:rPr>
          <w:rFonts w:ascii="Calibri" w:hAnsi="Calibri" w:cs="Calibri"/>
          <w:bCs w:val="0"/>
          <w:sz w:val="22"/>
          <w:szCs w:val="22"/>
          <w:lang w:eastAsia="pl-PL" w:bidi="ar-SA"/>
        </w:rPr>
        <w:t>3</w:t>
      </w:r>
      <w:r w:rsidR="00092E80">
        <w:rPr>
          <w:rFonts w:ascii="Calibri" w:hAnsi="Calibri" w:cs="Calibri"/>
          <w:bCs w:val="0"/>
          <w:sz w:val="22"/>
          <w:szCs w:val="22"/>
          <w:lang w:eastAsia="pl-PL" w:bidi="ar-SA"/>
        </w:rPr>
        <w:t xml:space="preserve"> i 1688</w:t>
      </w:r>
      <w:r w:rsidRPr="003E14BE">
        <w:rPr>
          <w:rFonts w:ascii="Calibri" w:hAnsi="Calibri" w:cs="Calibri"/>
          <w:sz w:val="22"/>
          <w:szCs w:val="22"/>
          <w:lang w:eastAsia="pl-PL" w:bidi="ar-SA"/>
        </w:rPr>
        <w:t xml:space="preserve">) </w:t>
      </w:r>
      <w:r w:rsidRPr="003E14BE">
        <w:rPr>
          <w:rFonts w:ascii="Calibri" w:hAnsi="Calibri" w:cs="Calibri"/>
          <w:color w:val="000000"/>
          <w:sz w:val="22"/>
          <w:szCs w:val="22"/>
          <w:lang w:eastAsia="pl-PL" w:bidi="ar-SA"/>
        </w:rPr>
        <w:t xml:space="preserve">w związku z art. 7 ust. 1 pkt 1 oraz art. 48 ust. 1, 3 i 5 ustawy z dnia 27 sierpnia 2004 r. o świadczeniach opieki zdrowotnej finansowanych ze środków publicznych </w:t>
      </w:r>
      <w:r w:rsidR="004E22F2">
        <w:rPr>
          <w:rFonts w:ascii="Calibri" w:hAnsi="Calibri" w:cs="Calibri"/>
          <w:sz w:val="22"/>
          <w:szCs w:val="22"/>
          <w:lang w:eastAsia="pl-PL" w:bidi="ar-SA"/>
        </w:rPr>
        <w:t>(Dz. U. z 2022 r. poz. 2561</w:t>
      </w:r>
      <w:r w:rsidRPr="003E14BE">
        <w:rPr>
          <w:rFonts w:ascii="Calibri" w:hAnsi="Calibri" w:cs="Calibri"/>
          <w:sz w:val="22"/>
          <w:szCs w:val="22"/>
          <w:lang w:eastAsia="pl-PL" w:bidi="ar-SA"/>
        </w:rPr>
        <w:t xml:space="preserve"> z </w:t>
      </w:r>
      <w:proofErr w:type="spellStart"/>
      <w:r w:rsidRPr="003E14BE">
        <w:rPr>
          <w:rFonts w:ascii="Calibri" w:hAnsi="Calibri" w:cs="Calibri"/>
          <w:sz w:val="22"/>
          <w:szCs w:val="22"/>
          <w:lang w:eastAsia="pl-PL" w:bidi="ar-SA"/>
        </w:rPr>
        <w:t>późn</w:t>
      </w:r>
      <w:proofErr w:type="spellEnd"/>
      <w:r w:rsidRPr="003E14BE">
        <w:rPr>
          <w:rFonts w:ascii="Calibri" w:hAnsi="Calibri" w:cs="Calibri"/>
          <w:sz w:val="22"/>
          <w:szCs w:val="22"/>
          <w:lang w:eastAsia="pl-PL" w:bidi="ar-SA"/>
        </w:rPr>
        <w:t>. zm.</w:t>
      </w:r>
      <w:r w:rsidRPr="003E14BE">
        <w:rPr>
          <w:rFonts w:ascii="Calibri" w:hAnsi="Calibri" w:cs="Calibri"/>
          <w:sz w:val="22"/>
          <w:szCs w:val="22"/>
          <w:vertAlign w:val="superscript"/>
          <w:lang w:eastAsia="pl-PL" w:bidi="ar-SA"/>
        </w:rPr>
        <w:footnoteReference w:id="1"/>
      </w:r>
      <w:r w:rsidRPr="003E14BE">
        <w:rPr>
          <w:rFonts w:ascii="Calibri" w:hAnsi="Calibri" w:cs="Calibri"/>
          <w:sz w:val="22"/>
          <w:szCs w:val="22"/>
          <w:vertAlign w:val="superscript"/>
          <w:lang w:eastAsia="pl-PL" w:bidi="ar-SA"/>
        </w:rPr>
        <w:t>)</w:t>
      </w:r>
      <w:r w:rsidRPr="003E14BE">
        <w:rPr>
          <w:rFonts w:ascii="Calibri" w:hAnsi="Calibri" w:cs="Calibri"/>
          <w:sz w:val="22"/>
          <w:szCs w:val="22"/>
          <w:lang w:eastAsia="pl-PL" w:bidi="ar-SA"/>
        </w:rPr>
        <w:t xml:space="preserve">) </w:t>
      </w:r>
      <w:r w:rsidRPr="003E14BE">
        <w:rPr>
          <w:rFonts w:ascii="Calibri" w:hAnsi="Calibri" w:cs="Calibri"/>
          <w:color w:val="000000"/>
          <w:sz w:val="22"/>
          <w:szCs w:val="22"/>
          <w:lang w:eastAsia="pl-PL" w:bidi="ar-SA"/>
        </w:rPr>
        <w:t>uchwala się, co następuje:</w:t>
      </w:r>
    </w:p>
    <w:p w14:paraId="434B4B40" w14:textId="4FF8D5C7" w:rsidR="003E14BE" w:rsidRPr="003E14BE" w:rsidRDefault="003E14BE" w:rsidP="003E14BE">
      <w:pPr>
        <w:suppressAutoHyphens w:val="0"/>
        <w:spacing w:after="240" w:line="300" w:lineRule="auto"/>
        <w:ind w:firstLine="567"/>
        <w:rPr>
          <w:rFonts w:ascii="Calibri" w:hAnsi="Calibri" w:cs="Calibri"/>
          <w:color w:val="000000"/>
          <w:sz w:val="22"/>
          <w:szCs w:val="22"/>
          <w:lang w:eastAsia="pl-PL" w:bidi="ar-SA"/>
        </w:rPr>
      </w:pPr>
      <w:r w:rsidRPr="003E14BE">
        <w:rPr>
          <w:rFonts w:ascii="Calibri" w:hAnsi="Calibri" w:cs="Calibri"/>
          <w:b/>
          <w:color w:val="000000"/>
          <w:sz w:val="22"/>
          <w:szCs w:val="22"/>
          <w:lang w:eastAsia="pl-PL" w:bidi="ar-SA"/>
        </w:rPr>
        <w:t xml:space="preserve">§ 1. </w:t>
      </w:r>
      <w:r w:rsidRPr="003E14BE">
        <w:rPr>
          <w:rFonts w:ascii="Calibri" w:hAnsi="Calibri" w:cs="Calibri"/>
          <w:color w:val="000000"/>
          <w:sz w:val="22"/>
          <w:szCs w:val="22"/>
          <w:lang w:eastAsia="pl-PL" w:bidi="ar-SA"/>
        </w:rPr>
        <w:t>Przyjmuje się program polityki zdrowotnej z zakresu profilaktyki i wczesnego wykrywania osteoporozy dla mieszkanek Warsza</w:t>
      </w:r>
      <w:r w:rsidR="004E22F2">
        <w:rPr>
          <w:rFonts w:ascii="Calibri" w:hAnsi="Calibri" w:cs="Calibri"/>
          <w:color w:val="000000"/>
          <w:sz w:val="22"/>
          <w:szCs w:val="22"/>
          <w:lang w:eastAsia="pl-PL" w:bidi="ar-SA"/>
        </w:rPr>
        <w:t>wy pn. „Niezłomne Warszawianki”</w:t>
      </w:r>
      <w:r w:rsidRPr="003E14BE">
        <w:rPr>
          <w:rFonts w:ascii="Calibri" w:hAnsi="Calibri" w:cs="Calibri"/>
          <w:color w:val="000000"/>
          <w:sz w:val="22"/>
          <w:szCs w:val="22"/>
          <w:lang w:eastAsia="pl-PL" w:bidi="ar-SA"/>
        </w:rPr>
        <w:t xml:space="preserve"> na lata 202</w:t>
      </w:r>
      <w:r w:rsidR="00521869">
        <w:rPr>
          <w:rFonts w:ascii="Calibri" w:hAnsi="Calibri" w:cs="Calibri"/>
          <w:color w:val="000000"/>
          <w:sz w:val="22"/>
          <w:szCs w:val="22"/>
          <w:lang w:eastAsia="pl-PL" w:bidi="ar-SA"/>
        </w:rPr>
        <w:t>3</w:t>
      </w:r>
      <w:r w:rsidRPr="003E14BE">
        <w:rPr>
          <w:rFonts w:ascii="Calibri" w:hAnsi="Calibri" w:cs="Calibri"/>
          <w:color w:val="000000"/>
          <w:sz w:val="22"/>
          <w:szCs w:val="22"/>
          <w:lang w:eastAsia="pl-PL" w:bidi="ar-SA"/>
        </w:rPr>
        <w:t xml:space="preserve"> - 2025, w brzmieniu załącznika do uchwały.</w:t>
      </w:r>
    </w:p>
    <w:p w14:paraId="3A92A094" w14:textId="77777777" w:rsidR="003E14BE" w:rsidRPr="003E14BE" w:rsidRDefault="003E14BE" w:rsidP="003E14BE">
      <w:pPr>
        <w:suppressAutoHyphens w:val="0"/>
        <w:spacing w:after="240" w:line="300" w:lineRule="auto"/>
        <w:ind w:firstLine="567"/>
        <w:rPr>
          <w:rFonts w:ascii="Calibri" w:hAnsi="Calibri" w:cs="Calibri"/>
          <w:color w:val="000000"/>
          <w:sz w:val="22"/>
          <w:szCs w:val="22"/>
          <w:lang w:eastAsia="pl-PL" w:bidi="ar-SA"/>
        </w:rPr>
      </w:pPr>
      <w:r w:rsidRPr="003E14BE">
        <w:rPr>
          <w:rFonts w:ascii="Calibri" w:hAnsi="Calibri" w:cs="Calibri"/>
          <w:b/>
          <w:color w:val="000000"/>
          <w:sz w:val="22"/>
          <w:szCs w:val="22"/>
          <w:lang w:eastAsia="pl-PL" w:bidi="ar-SA"/>
        </w:rPr>
        <w:t>§ 2.</w:t>
      </w:r>
      <w:r w:rsidRPr="003E14BE">
        <w:rPr>
          <w:rFonts w:ascii="Calibri" w:hAnsi="Calibri" w:cs="Calibri"/>
          <w:color w:val="000000"/>
          <w:sz w:val="22"/>
          <w:szCs w:val="22"/>
          <w:lang w:eastAsia="pl-PL" w:bidi="ar-SA"/>
        </w:rPr>
        <w:t xml:space="preserve"> Wykonanie uchwały powierza się Prezydentowi m.st. Warszawy.</w:t>
      </w:r>
    </w:p>
    <w:p w14:paraId="26272ECD" w14:textId="507A6ECF" w:rsidR="003E14BE" w:rsidRPr="003E14BE" w:rsidRDefault="003E14BE" w:rsidP="003E14BE">
      <w:pPr>
        <w:suppressAutoHyphens w:val="0"/>
        <w:spacing w:after="160" w:line="252" w:lineRule="auto"/>
        <w:ind w:firstLine="567"/>
        <w:rPr>
          <w:rFonts w:ascii="Calibri" w:hAnsi="Calibri"/>
          <w:b/>
          <w:bCs w:val="0"/>
          <w:sz w:val="22"/>
          <w:szCs w:val="22"/>
          <w:lang w:bidi="ar-SA"/>
        </w:rPr>
      </w:pPr>
      <w:r w:rsidRPr="003E14BE">
        <w:rPr>
          <w:rFonts w:ascii="Calibri" w:hAnsi="Calibri"/>
          <w:b/>
          <w:bCs w:val="0"/>
          <w:sz w:val="22"/>
          <w:szCs w:val="22"/>
          <w:lang w:bidi="ar-SA"/>
        </w:rPr>
        <w:t xml:space="preserve">§ 3. </w:t>
      </w:r>
      <w:r w:rsidRPr="003E14BE">
        <w:rPr>
          <w:rFonts w:ascii="Calibri" w:hAnsi="Calibri"/>
          <w:sz w:val="22"/>
          <w:szCs w:val="22"/>
          <w:lang w:bidi="ar-SA"/>
        </w:rPr>
        <w:t>1</w:t>
      </w:r>
      <w:r w:rsidR="004E22F2">
        <w:rPr>
          <w:rFonts w:ascii="Calibri" w:hAnsi="Calibri"/>
          <w:sz w:val="22"/>
          <w:szCs w:val="22"/>
          <w:lang w:bidi="ar-SA"/>
        </w:rPr>
        <w:t>.</w:t>
      </w:r>
      <w:r w:rsidRPr="003E14BE">
        <w:rPr>
          <w:rFonts w:ascii="Calibri" w:hAnsi="Calibri"/>
          <w:b/>
          <w:bCs w:val="0"/>
          <w:sz w:val="22"/>
          <w:szCs w:val="22"/>
          <w:lang w:bidi="ar-SA"/>
        </w:rPr>
        <w:t xml:space="preserve"> </w:t>
      </w:r>
      <w:r w:rsidRPr="003E14BE">
        <w:rPr>
          <w:rFonts w:ascii="Calibri" w:hAnsi="Calibri"/>
          <w:sz w:val="22"/>
          <w:szCs w:val="22"/>
          <w:lang w:bidi="ar-SA"/>
        </w:rPr>
        <w:t xml:space="preserve">Uchwała podlega publikacji w Biuletynie Informacji Publicznej m.st. Warszawy. </w:t>
      </w:r>
    </w:p>
    <w:p w14:paraId="483B2A91" w14:textId="77777777" w:rsidR="003E14BE" w:rsidRPr="003E14BE" w:rsidRDefault="003E14BE" w:rsidP="003E14BE">
      <w:pPr>
        <w:suppressAutoHyphens w:val="0"/>
        <w:spacing w:after="720" w:line="252" w:lineRule="auto"/>
        <w:ind w:firstLine="567"/>
        <w:rPr>
          <w:rFonts w:ascii="Calibri" w:hAnsi="Calibri"/>
          <w:bCs w:val="0"/>
          <w:sz w:val="22"/>
          <w:szCs w:val="22"/>
          <w:lang w:bidi="ar-SA"/>
        </w:rPr>
      </w:pPr>
      <w:r w:rsidRPr="003E14BE">
        <w:rPr>
          <w:rFonts w:ascii="Calibri" w:hAnsi="Calibri"/>
          <w:bCs w:val="0"/>
          <w:sz w:val="22"/>
          <w:szCs w:val="22"/>
          <w:lang w:bidi="ar-SA"/>
        </w:rPr>
        <w:t>2. Uchwała wchodzi w życie z dniem podjęcia.</w:t>
      </w:r>
    </w:p>
    <w:p w14:paraId="20DCCA14" w14:textId="77777777" w:rsidR="003E14BE" w:rsidRPr="003E14BE" w:rsidRDefault="003E14BE" w:rsidP="003E14BE">
      <w:pPr>
        <w:suppressAutoHyphens w:val="0"/>
        <w:spacing w:after="960" w:line="300" w:lineRule="auto"/>
        <w:ind w:firstLine="709"/>
        <w:jc w:val="both"/>
        <w:rPr>
          <w:rFonts w:ascii="Calibri" w:hAnsi="Calibri" w:cs="Calibri"/>
          <w:color w:val="000000"/>
          <w:sz w:val="22"/>
          <w:szCs w:val="22"/>
          <w:lang w:eastAsia="pl-PL" w:bidi="ar-SA"/>
        </w:rPr>
      </w:pPr>
    </w:p>
    <w:p w14:paraId="51412D18" w14:textId="77777777" w:rsidR="003E14BE" w:rsidRPr="003E14BE" w:rsidRDefault="003E14BE" w:rsidP="003E14BE">
      <w:pPr>
        <w:suppressAutoHyphens w:val="0"/>
        <w:spacing w:after="160" w:line="200" w:lineRule="exact"/>
        <w:rPr>
          <w:rFonts w:ascii="Times New Roman" w:hAnsi="Times New Roman"/>
          <w:sz w:val="22"/>
          <w:szCs w:val="22"/>
          <w:lang w:bidi="ar-SA"/>
        </w:rPr>
        <w:sectPr w:rsidR="003E14BE" w:rsidRPr="003E14BE" w:rsidSect="00441CD1">
          <w:footerReference w:type="default" r:id="rId8"/>
          <w:endnotePr>
            <w:numFmt w:val="decimal"/>
          </w:endnotePr>
          <w:pgSz w:w="11906" w:h="16838" w:code="9"/>
          <w:pgMar w:top="1418" w:right="1418" w:bottom="1418" w:left="1418" w:header="567" w:footer="680" w:gutter="0"/>
          <w:pgNumType w:start="1"/>
          <w:cols w:space="708"/>
          <w:titlePg/>
          <w:docGrid w:linePitch="360"/>
        </w:sectPr>
      </w:pPr>
    </w:p>
    <w:p w14:paraId="4C6BC4AA" w14:textId="6C513353" w:rsidR="003E14BE" w:rsidRPr="003E14BE" w:rsidRDefault="003E14BE" w:rsidP="003E14BE">
      <w:pPr>
        <w:suppressAutoHyphens w:val="0"/>
        <w:spacing w:after="0" w:line="300" w:lineRule="auto"/>
        <w:ind w:left="4820" w:firstLine="709"/>
        <w:jc w:val="both"/>
        <w:rPr>
          <w:rFonts w:ascii="Calibri" w:hAnsi="Calibri" w:cs="Calibri"/>
          <w:b/>
          <w:color w:val="000000"/>
          <w:sz w:val="22"/>
          <w:szCs w:val="22"/>
          <w:lang w:bidi="ar-SA"/>
        </w:rPr>
      </w:pPr>
      <w:r w:rsidRPr="003E14BE">
        <w:rPr>
          <w:rFonts w:ascii="Calibri" w:hAnsi="Calibri" w:cs="Calibri"/>
          <w:b/>
          <w:bCs w:val="0"/>
          <w:color w:val="000000"/>
          <w:sz w:val="22"/>
          <w:szCs w:val="22"/>
          <w:lang w:bidi="ar-SA"/>
        </w:rPr>
        <w:lastRenderedPageBreak/>
        <w:t>Załącznik do uchwały nr ………………..</w:t>
      </w:r>
    </w:p>
    <w:p w14:paraId="5D648A84" w14:textId="77777777" w:rsidR="003E14BE" w:rsidRPr="003E14BE" w:rsidRDefault="003E14BE" w:rsidP="003E14BE">
      <w:pPr>
        <w:suppressAutoHyphens w:val="0"/>
        <w:spacing w:after="0" w:line="300" w:lineRule="auto"/>
        <w:ind w:left="4820" w:firstLine="709"/>
        <w:jc w:val="both"/>
        <w:rPr>
          <w:rFonts w:ascii="Calibri" w:eastAsia="Calibri" w:hAnsi="Calibri" w:cs="Calibri"/>
          <w:b/>
          <w:bCs w:val="0"/>
          <w:color w:val="000000"/>
          <w:sz w:val="22"/>
          <w:szCs w:val="22"/>
          <w:lang w:bidi="ar-SA"/>
        </w:rPr>
      </w:pPr>
      <w:r w:rsidRPr="003E14BE">
        <w:rPr>
          <w:rFonts w:ascii="Calibri" w:hAnsi="Calibri" w:cs="Calibri"/>
          <w:b/>
          <w:bCs w:val="0"/>
          <w:color w:val="000000"/>
          <w:sz w:val="22"/>
          <w:szCs w:val="22"/>
          <w:lang w:bidi="ar-SA"/>
        </w:rPr>
        <w:t>Rady m.st. Warszawy</w:t>
      </w:r>
    </w:p>
    <w:p w14:paraId="7522E535" w14:textId="77777777" w:rsidR="003E14BE" w:rsidRPr="003E14BE" w:rsidRDefault="003E14BE" w:rsidP="003E14BE">
      <w:pPr>
        <w:suppressAutoHyphens w:val="0"/>
        <w:spacing w:after="2280" w:line="300" w:lineRule="auto"/>
        <w:ind w:left="4820" w:firstLine="709"/>
        <w:jc w:val="both"/>
        <w:rPr>
          <w:rFonts w:ascii="Calibri" w:hAnsi="Calibri" w:cs="Calibri"/>
          <w:b/>
          <w:bCs w:val="0"/>
          <w:color w:val="000000"/>
          <w:sz w:val="22"/>
          <w:szCs w:val="22"/>
          <w:lang w:bidi="ar-SA"/>
        </w:rPr>
      </w:pPr>
      <w:r w:rsidRPr="003E14BE">
        <w:rPr>
          <w:rFonts w:ascii="Calibri" w:hAnsi="Calibri" w:cs="Calibri"/>
          <w:b/>
          <w:bCs w:val="0"/>
          <w:color w:val="000000"/>
          <w:sz w:val="22"/>
          <w:szCs w:val="22"/>
          <w:lang w:bidi="ar-SA"/>
        </w:rPr>
        <w:t>z ..………………….2023 r.</w:t>
      </w:r>
    </w:p>
    <w:p w14:paraId="56C01ABD" w14:textId="77777777" w:rsidR="003E14BE" w:rsidRPr="003E14BE" w:rsidRDefault="003E14BE" w:rsidP="003E14BE">
      <w:pPr>
        <w:widowControl w:val="0"/>
        <w:suppressAutoHyphens w:val="0"/>
        <w:kinsoku w:val="0"/>
        <w:overflowPunct w:val="0"/>
        <w:autoSpaceDE w:val="0"/>
        <w:autoSpaceDN w:val="0"/>
        <w:adjustRightInd w:val="0"/>
        <w:spacing w:after="720" w:line="300" w:lineRule="auto"/>
        <w:jc w:val="center"/>
        <w:rPr>
          <w:rFonts w:ascii="Calibri" w:hAnsi="Calibri" w:cs="Calibri"/>
          <w:b/>
          <w:bCs w:val="0"/>
          <w:sz w:val="22"/>
          <w:szCs w:val="22"/>
          <w:lang w:bidi="ar-SA"/>
        </w:rPr>
      </w:pPr>
      <w:r w:rsidRPr="003E14BE">
        <w:rPr>
          <w:rFonts w:ascii="Calibri" w:hAnsi="Calibri" w:cs="Calibri"/>
          <w:b/>
          <w:bCs w:val="0"/>
          <w:sz w:val="22"/>
          <w:szCs w:val="22"/>
          <w:lang w:bidi="ar-SA"/>
        </w:rPr>
        <w:t>Miasto Stołeczne Warszawa</w:t>
      </w:r>
    </w:p>
    <w:p w14:paraId="22CEA180" w14:textId="24DFC4D9" w:rsidR="003E14BE" w:rsidRPr="003E14BE" w:rsidRDefault="003E14BE" w:rsidP="003E14BE">
      <w:pPr>
        <w:widowControl w:val="0"/>
        <w:suppressAutoHyphens w:val="0"/>
        <w:autoSpaceDE w:val="0"/>
        <w:autoSpaceDN w:val="0"/>
        <w:adjustRightInd w:val="0"/>
        <w:spacing w:after="360" w:line="300" w:lineRule="auto"/>
        <w:jc w:val="center"/>
        <w:rPr>
          <w:rFonts w:ascii="Calibri" w:hAnsi="Calibri" w:cs="Calibri"/>
          <w:b/>
          <w:bCs w:val="0"/>
          <w:sz w:val="22"/>
          <w:szCs w:val="22"/>
          <w:lang w:bidi="ar-SA"/>
        </w:rPr>
      </w:pPr>
      <w:r w:rsidRPr="003E14BE">
        <w:rPr>
          <w:rFonts w:ascii="Calibri" w:hAnsi="Calibri" w:cs="Calibri"/>
          <w:b/>
          <w:bCs w:val="0"/>
          <w:sz w:val="22"/>
          <w:szCs w:val="22"/>
          <w:lang w:bidi="ar-SA"/>
        </w:rPr>
        <w:t xml:space="preserve">Program polityki zdrowotnej z zakresu profilaktyki i wczesnego wykrywania osteoporozy dla mieszkanek Warszawy pn. </w:t>
      </w:r>
      <w:r w:rsidR="00066CFA">
        <w:rPr>
          <w:rFonts w:ascii="Calibri" w:hAnsi="Calibri" w:cs="Calibri"/>
          <w:b/>
          <w:bCs w:val="0"/>
          <w:sz w:val="22"/>
          <w:szCs w:val="22"/>
          <w:lang w:bidi="ar-SA"/>
        </w:rPr>
        <w:t>„Niezłomne Warszawianki”</w:t>
      </w:r>
      <w:r w:rsidRPr="003E14BE">
        <w:rPr>
          <w:rFonts w:ascii="Calibri" w:hAnsi="Calibri" w:cs="Calibri"/>
          <w:b/>
          <w:bCs w:val="0"/>
          <w:sz w:val="22"/>
          <w:szCs w:val="22"/>
          <w:lang w:bidi="ar-SA"/>
        </w:rPr>
        <w:t xml:space="preserve"> na lata 202</w:t>
      </w:r>
      <w:r w:rsidR="00521869">
        <w:rPr>
          <w:rFonts w:ascii="Calibri" w:hAnsi="Calibri" w:cs="Calibri"/>
          <w:b/>
          <w:bCs w:val="0"/>
          <w:sz w:val="22"/>
          <w:szCs w:val="22"/>
          <w:lang w:bidi="ar-SA"/>
        </w:rPr>
        <w:t>3</w:t>
      </w:r>
      <w:r w:rsidRPr="003E14BE">
        <w:rPr>
          <w:rFonts w:ascii="Calibri" w:hAnsi="Calibri" w:cs="Calibri"/>
          <w:b/>
          <w:bCs w:val="0"/>
          <w:sz w:val="22"/>
          <w:szCs w:val="22"/>
          <w:lang w:bidi="ar-SA"/>
        </w:rPr>
        <w:t xml:space="preserve"> - 2025</w:t>
      </w:r>
    </w:p>
    <w:p w14:paraId="6C1660FF" w14:textId="60EE0E08" w:rsidR="003E14BE" w:rsidRPr="003E14BE" w:rsidRDefault="003E14BE" w:rsidP="003E14BE">
      <w:pPr>
        <w:widowControl w:val="0"/>
        <w:suppressAutoHyphens w:val="0"/>
        <w:autoSpaceDE w:val="0"/>
        <w:autoSpaceDN w:val="0"/>
        <w:adjustRightInd w:val="0"/>
        <w:spacing w:after="6000" w:line="300" w:lineRule="auto"/>
        <w:jc w:val="center"/>
        <w:rPr>
          <w:rFonts w:ascii="Calibri" w:hAnsi="Calibri" w:cs="Calibri"/>
          <w:b/>
          <w:bCs w:val="0"/>
          <w:sz w:val="22"/>
          <w:szCs w:val="22"/>
          <w:lang w:bidi="ar-SA"/>
        </w:rPr>
      </w:pPr>
      <w:r w:rsidRPr="003E14BE">
        <w:rPr>
          <w:rFonts w:ascii="Calibri" w:hAnsi="Calibri" w:cs="Calibri"/>
          <w:b/>
          <w:bCs w:val="0"/>
          <w:sz w:val="22"/>
          <w:szCs w:val="22"/>
          <w:lang w:bidi="ar-SA"/>
        </w:rPr>
        <w:t>Okres realizacji programu: 202</w:t>
      </w:r>
      <w:r w:rsidR="00521869">
        <w:rPr>
          <w:rFonts w:ascii="Calibri" w:hAnsi="Calibri" w:cs="Calibri"/>
          <w:b/>
          <w:bCs w:val="0"/>
          <w:sz w:val="22"/>
          <w:szCs w:val="22"/>
          <w:lang w:bidi="ar-SA"/>
        </w:rPr>
        <w:t>3</w:t>
      </w:r>
      <w:r w:rsidRPr="003E14BE">
        <w:rPr>
          <w:rFonts w:ascii="Calibri" w:hAnsi="Calibri" w:cs="Calibri"/>
          <w:b/>
          <w:bCs w:val="0"/>
          <w:sz w:val="22"/>
          <w:szCs w:val="22"/>
          <w:lang w:bidi="ar-SA"/>
        </w:rPr>
        <w:t xml:space="preserve"> - 2025</w:t>
      </w:r>
    </w:p>
    <w:p w14:paraId="31940B00" w14:textId="4337D52D" w:rsidR="003E14BE" w:rsidRPr="003E14BE" w:rsidRDefault="003E14BE" w:rsidP="003E14BE">
      <w:pPr>
        <w:widowControl w:val="0"/>
        <w:suppressAutoHyphens w:val="0"/>
        <w:autoSpaceDE w:val="0"/>
        <w:autoSpaceDN w:val="0"/>
        <w:adjustRightInd w:val="0"/>
        <w:spacing w:after="0" w:line="300" w:lineRule="auto"/>
        <w:jc w:val="center"/>
        <w:rPr>
          <w:rFonts w:ascii="Calibri" w:hAnsi="Calibri" w:cs="Calibri"/>
          <w:bCs w:val="0"/>
          <w:spacing w:val="-2"/>
          <w:sz w:val="22"/>
          <w:szCs w:val="22"/>
          <w:lang w:bidi="ar-SA"/>
        </w:rPr>
      </w:pPr>
      <w:r w:rsidRPr="003E14BE">
        <w:rPr>
          <w:rFonts w:ascii="Calibri" w:hAnsi="Calibri" w:cs="Calibri"/>
          <w:bCs w:val="0"/>
          <w:spacing w:val="-2"/>
          <w:sz w:val="22"/>
          <w:szCs w:val="22"/>
          <w:lang w:bidi="ar-SA"/>
        </w:rPr>
        <w:t>Opracowano na podstawie art. 48 ust. 1 ustawy z dnia 27 sierpnia 2004 r. o świadczeniach opieki zdrowotnej finansowanych ze środków publicznych (Dz. U. z 2022 r. poz. 2561</w:t>
      </w:r>
      <w:r w:rsidR="00066CFA">
        <w:rPr>
          <w:rFonts w:ascii="Calibri" w:hAnsi="Calibri" w:cs="Calibri"/>
          <w:bCs w:val="0"/>
          <w:spacing w:val="-2"/>
          <w:sz w:val="22"/>
          <w:szCs w:val="22"/>
          <w:lang w:bidi="ar-SA"/>
        </w:rPr>
        <w:t xml:space="preserve"> z </w:t>
      </w:r>
      <w:proofErr w:type="spellStart"/>
      <w:r w:rsidR="00066CFA">
        <w:rPr>
          <w:rFonts w:ascii="Calibri" w:hAnsi="Calibri" w:cs="Calibri"/>
          <w:bCs w:val="0"/>
          <w:spacing w:val="-2"/>
          <w:sz w:val="22"/>
          <w:szCs w:val="22"/>
          <w:lang w:bidi="ar-SA"/>
        </w:rPr>
        <w:t>późn</w:t>
      </w:r>
      <w:proofErr w:type="spellEnd"/>
      <w:r w:rsidR="00066CFA">
        <w:rPr>
          <w:rFonts w:ascii="Calibri" w:hAnsi="Calibri" w:cs="Calibri"/>
          <w:bCs w:val="0"/>
          <w:spacing w:val="-2"/>
          <w:sz w:val="22"/>
          <w:szCs w:val="22"/>
          <w:lang w:bidi="ar-SA"/>
        </w:rPr>
        <w:t>. zm.)</w:t>
      </w:r>
    </w:p>
    <w:p w14:paraId="1776DC4A" w14:textId="32E5EF32" w:rsidR="003E14BE" w:rsidRPr="003E14BE" w:rsidRDefault="003E14BE" w:rsidP="003E14BE">
      <w:pPr>
        <w:widowControl w:val="0"/>
        <w:suppressAutoHyphens w:val="0"/>
        <w:autoSpaceDE w:val="0"/>
        <w:autoSpaceDN w:val="0"/>
        <w:adjustRightInd w:val="0"/>
        <w:spacing w:after="0" w:line="300" w:lineRule="auto"/>
        <w:jc w:val="center"/>
        <w:rPr>
          <w:rFonts w:ascii="Calibri" w:hAnsi="Calibri" w:cs="Calibri"/>
          <w:bCs w:val="0"/>
          <w:spacing w:val="-2"/>
          <w:sz w:val="22"/>
          <w:szCs w:val="22"/>
          <w:lang w:bidi="ar-SA"/>
        </w:rPr>
      </w:pPr>
    </w:p>
    <w:p w14:paraId="45EDBBD4" w14:textId="77777777" w:rsidR="003E14BE" w:rsidRPr="003E14BE" w:rsidRDefault="003E14BE" w:rsidP="003E14BE">
      <w:pPr>
        <w:widowControl w:val="0"/>
        <w:suppressAutoHyphens w:val="0"/>
        <w:autoSpaceDE w:val="0"/>
        <w:autoSpaceDN w:val="0"/>
        <w:adjustRightInd w:val="0"/>
        <w:spacing w:after="0" w:line="300" w:lineRule="auto"/>
        <w:jc w:val="center"/>
        <w:rPr>
          <w:rFonts w:ascii="Calibri" w:hAnsi="Calibri" w:cs="Calibri"/>
          <w:b/>
          <w:bCs w:val="0"/>
          <w:sz w:val="22"/>
          <w:szCs w:val="22"/>
          <w:lang w:bidi="ar-SA"/>
        </w:rPr>
      </w:pPr>
    </w:p>
    <w:p w14:paraId="4C4B8FA7" w14:textId="77777777" w:rsidR="003E14BE" w:rsidRPr="003E14BE" w:rsidRDefault="003E14BE" w:rsidP="003E14BE">
      <w:pPr>
        <w:widowControl w:val="0"/>
        <w:suppressAutoHyphens w:val="0"/>
        <w:autoSpaceDE w:val="0"/>
        <w:autoSpaceDN w:val="0"/>
        <w:adjustRightInd w:val="0"/>
        <w:spacing w:after="0" w:line="300" w:lineRule="auto"/>
        <w:jc w:val="center"/>
        <w:rPr>
          <w:rFonts w:ascii="Calibri" w:hAnsi="Calibri" w:cs="Calibri"/>
          <w:b/>
          <w:bCs w:val="0"/>
          <w:sz w:val="22"/>
          <w:szCs w:val="22"/>
          <w:lang w:bidi="ar-SA"/>
        </w:rPr>
      </w:pPr>
    </w:p>
    <w:p w14:paraId="09D2D921" w14:textId="0A76A55B" w:rsidR="003E14BE" w:rsidRPr="003E14BE" w:rsidRDefault="003E14BE" w:rsidP="003E14BE">
      <w:pPr>
        <w:widowControl w:val="0"/>
        <w:tabs>
          <w:tab w:val="center" w:pos="4536"/>
          <w:tab w:val="right" w:pos="9072"/>
        </w:tabs>
        <w:suppressAutoHyphens w:val="0"/>
        <w:kinsoku w:val="0"/>
        <w:overflowPunct w:val="0"/>
        <w:autoSpaceDE w:val="0"/>
        <w:autoSpaceDN w:val="0"/>
        <w:adjustRightInd w:val="0"/>
        <w:spacing w:after="0" w:line="300" w:lineRule="auto"/>
      </w:pPr>
      <w:r>
        <w:rPr>
          <w:rFonts w:ascii="Calibri" w:hAnsi="Calibri" w:cs="Calibri"/>
          <w:bCs w:val="0"/>
          <w:sz w:val="22"/>
          <w:szCs w:val="22"/>
          <w:lang w:bidi="ar-SA"/>
        </w:rPr>
        <w:tab/>
      </w:r>
      <w:r w:rsidRPr="003E14BE">
        <w:rPr>
          <w:rFonts w:ascii="Calibri" w:hAnsi="Calibri" w:cs="Calibri"/>
          <w:bCs w:val="0"/>
          <w:sz w:val="22"/>
          <w:szCs w:val="22"/>
          <w:lang w:bidi="ar-SA"/>
        </w:rPr>
        <w:t>Warszawa, 2023 r.</w:t>
      </w:r>
      <w:r>
        <w:rPr>
          <w:rFonts w:ascii="Calibri" w:hAnsi="Calibri" w:cs="Calibri"/>
          <w:bCs w:val="0"/>
          <w:sz w:val="22"/>
          <w:szCs w:val="22"/>
          <w:lang w:bidi="ar-SA"/>
        </w:rPr>
        <w:tab/>
      </w:r>
    </w:p>
    <w:p w14:paraId="587A07D5" w14:textId="5FC93A76" w:rsidR="00A80621" w:rsidRPr="00BC10F2" w:rsidRDefault="007941FC">
      <w:pPr>
        <w:pStyle w:val="Nagwek1beznumeracji"/>
        <w:tabs>
          <w:tab w:val="left" w:pos="8520"/>
        </w:tabs>
        <w:rPr>
          <w:rFonts w:asciiTheme="minorHAnsi" w:hAnsiTheme="minorHAnsi" w:cstheme="minorHAnsi"/>
        </w:rPr>
      </w:pPr>
      <w:bookmarkStart w:id="0" w:name="_Toc146114982"/>
      <w:r w:rsidRPr="00BC10F2">
        <w:rPr>
          <w:rFonts w:asciiTheme="minorHAnsi" w:hAnsiTheme="minorHAnsi" w:cstheme="minorHAnsi"/>
        </w:rPr>
        <w:lastRenderedPageBreak/>
        <w:t>Słowniczek</w:t>
      </w:r>
      <w:bookmarkEnd w:id="0"/>
      <w:r w:rsidRPr="00BC10F2">
        <w:rPr>
          <w:rFonts w:asciiTheme="minorHAnsi" w:hAnsiTheme="minorHAnsi" w:cstheme="minorHAnsi"/>
        </w:rPr>
        <w:t xml:space="preserve"> </w:t>
      </w:r>
      <w:r w:rsidRPr="00BC10F2">
        <w:rPr>
          <w:rFonts w:asciiTheme="minorHAnsi" w:hAnsiTheme="minorHAnsi" w:cstheme="minorHAnsi"/>
        </w:rPr>
        <w:tab/>
      </w:r>
    </w:p>
    <w:tbl>
      <w:tblPr>
        <w:tblW w:w="5000" w:type="pct"/>
        <w:tblInd w:w="108" w:type="dxa"/>
        <w:tblLayout w:type="fixed"/>
        <w:tblCellMar>
          <w:top w:w="113" w:type="dxa"/>
          <w:bottom w:w="113" w:type="dxa"/>
        </w:tblCellMar>
        <w:tblLook w:val="0000" w:firstRow="0" w:lastRow="0" w:firstColumn="0" w:lastColumn="0" w:noHBand="0" w:noVBand="0"/>
      </w:tblPr>
      <w:tblGrid>
        <w:gridCol w:w="1700"/>
        <w:gridCol w:w="7372"/>
      </w:tblGrid>
      <w:tr w:rsidR="00A80621" w:rsidRPr="00BC10F2" w14:paraId="723A9AF9" w14:textId="77777777">
        <w:tc>
          <w:tcPr>
            <w:tcW w:w="1700" w:type="dxa"/>
            <w:shd w:val="clear" w:color="auto" w:fill="auto"/>
          </w:tcPr>
          <w:p w14:paraId="5C8B5F34" w14:textId="77777777" w:rsidR="00A80621" w:rsidRPr="00BC10F2" w:rsidRDefault="007941FC">
            <w:pPr>
              <w:pStyle w:val="Tabela-TekstnagwekIIrzdszareto"/>
              <w:widowControl w:val="0"/>
              <w:jc w:val="right"/>
              <w:rPr>
                <w:rFonts w:asciiTheme="minorHAnsi" w:hAnsiTheme="minorHAnsi" w:cstheme="minorHAnsi"/>
              </w:rPr>
            </w:pPr>
            <w:proofErr w:type="spellStart"/>
            <w:r w:rsidRPr="00BC10F2">
              <w:rPr>
                <w:rFonts w:asciiTheme="minorHAnsi" w:hAnsiTheme="minorHAnsi" w:cstheme="minorHAnsi"/>
              </w:rPr>
              <w:t>AOTMiT</w:t>
            </w:r>
            <w:proofErr w:type="spellEnd"/>
          </w:p>
        </w:tc>
        <w:tc>
          <w:tcPr>
            <w:tcW w:w="7371" w:type="dxa"/>
            <w:shd w:val="clear" w:color="auto" w:fill="auto"/>
          </w:tcPr>
          <w:p w14:paraId="69D02C26"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Agencja Oceny Technologii Medycznych i Taryfikacji.</w:t>
            </w:r>
          </w:p>
        </w:tc>
      </w:tr>
      <w:tr w:rsidR="00A80621" w:rsidRPr="00BC10F2" w14:paraId="27329E23" w14:textId="77777777">
        <w:tc>
          <w:tcPr>
            <w:tcW w:w="1700" w:type="dxa"/>
            <w:shd w:val="clear" w:color="auto" w:fill="auto"/>
          </w:tcPr>
          <w:p w14:paraId="4D58353F"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BMD</w:t>
            </w:r>
          </w:p>
        </w:tc>
        <w:tc>
          <w:tcPr>
            <w:tcW w:w="7371" w:type="dxa"/>
            <w:shd w:val="clear" w:color="auto" w:fill="auto"/>
          </w:tcPr>
          <w:p w14:paraId="4BFF9637"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gęstość mineralna kości, </w:t>
            </w:r>
            <w:proofErr w:type="spellStart"/>
            <w:r w:rsidRPr="00BC10F2">
              <w:rPr>
                <w:rFonts w:asciiTheme="minorHAnsi" w:hAnsiTheme="minorHAnsi" w:cstheme="minorHAnsi"/>
                <w:i/>
                <w:iCs/>
              </w:rPr>
              <w:t>Bone</w:t>
            </w:r>
            <w:proofErr w:type="spellEnd"/>
            <w:r w:rsidRPr="00BC10F2">
              <w:rPr>
                <w:rFonts w:asciiTheme="minorHAnsi" w:hAnsiTheme="minorHAnsi" w:cstheme="minorHAnsi"/>
                <w:i/>
                <w:iCs/>
              </w:rPr>
              <w:t xml:space="preserve"> </w:t>
            </w:r>
            <w:proofErr w:type="spellStart"/>
            <w:r w:rsidRPr="00BC10F2">
              <w:rPr>
                <w:rFonts w:asciiTheme="minorHAnsi" w:hAnsiTheme="minorHAnsi" w:cstheme="minorHAnsi"/>
                <w:i/>
                <w:iCs/>
              </w:rPr>
              <w:t>Mineral</w:t>
            </w:r>
            <w:proofErr w:type="spellEnd"/>
            <w:r w:rsidRPr="00BC10F2">
              <w:rPr>
                <w:rFonts w:asciiTheme="minorHAnsi" w:hAnsiTheme="minorHAnsi" w:cstheme="minorHAnsi"/>
                <w:i/>
                <w:iCs/>
              </w:rPr>
              <w:t xml:space="preserve"> </w:t>
            </w:r>
            <w:proofErr w:type="spellStart"/>
            <w:r w:rsidRPr="00BC10F2">
              <w:rPr>
                <w:rFonts w:asciiTheme="minorHAnsi" w:hAnsiTheme="minorHAnsi" w:cstheme="minorHAnsi"/>
                <w:i/>
                <w:iCs/>
              </w:rPr>
              <w:t>Density</w:t>
            </w:r>
            <w:proofErr w:type="spellEnd"/>
            <w:r w:rsidRPr="00BC10F2">
              <w:rPr>
                <w:rFonts w:asciiTheme="minorHAnsi" w:hAnsiTheme="minorHAnsi" w:cstheme="minorHAnsi"/>
                <w:i/>
                <w:iCs/>
              </w:rPr>
              <w:t>.</w:t>
            </w:r>
          </w:p>
        </w:tc>
      </w:tr>
      <w:tr w:rsidR="00462504" w:rsidRPr="00BC10F2" w14:paraId="0A6D544E" w14:textId="77777777">
        <w:tc>
          <w:tcPr>
            <w:tcW w:w="1700" w:type="dxa"/>
            <w:shd w:val="clear" w:color="auto" w:fill="auto"/>
          </w:tcPr>
          <w:p w14:paraId="3F3C187C" w14:textId="66D1F387" w:rsidR="00462504" w:rsidRPr="00BC10F2" w:rsidRDefault="00462504">
            <w:pPr>
              <w:pStyle w:val="Tabela-TekstnagwekIIrzdszareto"/>
              <w:widowControl w:val="0"/>
              <w:jc w:val="right"/>
              <w:rPr>
                <w:rFonts w:asciiTheme="minorHAnsi" w:hAnsiTheme="minorHAnsi" w:cstheme="minorHAnsi"/>
              </w:rPr>
            </w:pPr>
            <w:r w:rsidRPr="00BC10F2">
              <w:rPr>
                <w:rFonts w:asciiTheme="minorHAnsi" w:hAnsiTheme="minorHAnsi" w:cstheme="minorHAnsi"/>
              </w:rPr>
              <w:t>BPZ</w:t>
            </w:r>
          </w:p>
        </w:tc>
        <w:tc>
          <w:tcPr>
            <w:tcW w:w="7371" w:type="dxa"/>
            <w:shd w:val="clear" w:color="auto" w:fill="auto"/>
          </w:tcPr>
          <w:p w14:paraId="7F841D84" w14:textId="0C735C84" w:rsidR="00462504" w:rsidRPr="00BC10F2" w:rsidRDefault="00462504">
            <w:pPr>
              <w:pStyle w:val="Tabela-TekstpodstawowyDolewej"/>
              <w:widowControl w:val="0"/>
              <w:rPr>
                <w:rFonts w:asciiTheme="minorHAnsi" w:hAnsiTheme="minorHAnsi" w:cstheme="minorHAnsi"/>
                <w:i/>
                <w:iCs/>
              </w:rPr>
            </w:pPr>
            <w:r w:rsidRPr="00BC10F2">
              <w:rPr>
                <w:rFonts w:asciiTheme="minorHAnsi" w:hAnsiTheme="minorHAnsi" w:cstheme="minorHAnsi"/>
                <w:i/>
                <w:iCs/>
              </w:rPr>
              <w:t>Biuro Polityki Zdrowotnej</w:t>
            </w:r>
          </w:p>
        </w:tc>
      </w:tr>
      <w:tr w:rsidR="00A80621" w:rsidRPr="00BC10F2" w14:paraId="6162FF35" w14:textId="77777777">
        <w:tc>
          <w:tcPr>
            <w:tcW w:w="1700" w:type="dxa"/>
            <w:shd w:val="clear" w:color="auto" w:fill="auto"/>
          </w:tcPr>
          <w:p w14:paraId="5BE97C9B"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Chorobowość</w:t>
            </w:r>
          </w:p>
        </w:tc>
        <w:tc>
          <w:tcPr>
            <w:tcW w:w="7371" w:type="dxa"/>
            <w:shd w:val="clear" w:color="auto" w:fill="auto"/>
          </w:tcPr>
          <w:p w14:paraId="275E229F"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liczba wszystkich przypadków danego problemu zdrowotnego z uwzględnieniem nowych przypadków dotkniętych danym problemem zdrowotnym, zarejestrowanych w przeciągu analizowanego roku.</w:t>
            </w:r>
          </w:p>
        </w:tc>
      </w:tr>
      <w:tr w:rsidR="00A80621" w:rsidRPr="00BC10F2" w14:paraId="25979AE6" w14:textId="77777777">
        <w:tc>
          <w:tcPr>
            <w:tcW w:w="1700" w:type="dxa"/>
            <w:shd w:val="clear" w:color="auto" w:fill="auto"/>
          </w:tcPr>
          <w:p w14:paraId="2DE57F1A" w14:textId="77777777" w:rsidR="00A80621" w:rsidRPr="00BC10F2" w:rsidRDefault="007941FC">
            <w:pPr>
              <w:pStyle w:val="Tabela-TekstnagwekIIrzdszareto"/>
              <w:widowControl w:val="0"/>
              <w:jc w:val="right"/>
              <w:rPr>
                <w:rFonts w:asciiTheme="minorHAnsi" w:hAnsiTheme="minorHAnsi" w:cstheme="minorHAnsi"/>
                <w:lang w:val="en-IN"/>
              </w:rPr>
            </w:pPr>
            <w:r w:rsidRPr="00BC10F2">
              <w:rPr>
                <w:rFonts w:asciiTheme="minorHAnsi" w:hAnsiTheme="minorHAnsi" w:cstheme="minorHAnsi"/>
                <w:lang w:val="en-US"/>
              </w:rPr>
              <w:t xml:space="preserve">DALY (Disability Adjusted </w:t>
            </w:r>
            <w:r w:rsidRPr="00BC10F2">
              <w:rPr>
                <w:rFonts w:asciiTheme="minorHAnsi" w:hAnsiTheme="minorHAnsi" w:cstheme="minorHAnsi"/>
                <w:lang w:val="en-US"/>
              </w:rPr>
              <w:br/>
              <w:t>Life-Years)</w:t>
            </w:r>
          </w:p>
        </w:tc>
        <w:tc>
          <w:tcPr>
            <w:tcW w:w="7371" w:type="dxa"/>
            <w:shd w:val="clear" w:color="auto" w:fill="auto"/>
          </w:tcPr>
          <w:p w14:paraId="5849E308"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utracona długość życia korygowana niepełnosprawnością.</w:t>
            </w:r>
          </w:p>
        </w:tc>
      </w:tr>
      <w:tr w:rsidR="00A80621" w:rsidRPr="00BC10F2" w14:paraId="7699D4FC" w14:textId="77777777">
        <w:tc>
          <w:tcPr>
            <w:tcW w:w="1700" w:type="dxa"/>
            <w:shd w:val="clear" w:color="auto" w:fill="auto"/>
          </w:tcPr>
          <w:p w14:paraId="441E4019"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Decyzja terapeutyczna </w:t>
            </w:r>
          </w:p>
        </w:tc>
        <w:tc>
          <w:tcPr>
            <w:tcW w:w="7371" w:type="dxa"/>
            <w:shd w:val="clear" w:color="auto" w:fill="auto"/>
          </w:tcPr>
          <w:p w14:paraId="578DD10D"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ustalenie postępowania zmierzającego do rozwiązania problemu zdrowotnego.</w:t>
            </w:r>
          </w:p>
        </w:tc>
      </w:tr>
      <w:tr w:rsidR="00A80621" w:rsidRPr="00BC10F2" w14:paraId="28F105A0" w14:textId="77777777">
        <w:tc>
          <w:tcPr>
            <w:tcW w:w="1700" w:type="dxa"/>
            <w:shd w:val="clear" w:color="auto" w:fill="auto"/>
          </w:tcPr>
          <w:p w14:paraId="068CABA8"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DXA</w:t>
            </w:r>
          </w:p>
        </w:tc>
        <w:tc>
          <w:tcPr>
            <w:tcW w:w="7371" w:type="dxa"/>
            <w:shd w:val="clear" w:color="auto" w:fill="auto"/>
          </w:tcPr>
          <w:p w14:paraId="5DA1F2EB"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dwuwiązkowa (</w:t>
            </w:r>
            <w:proofErr w:type="spellStart"/>
            <w:r w:rsidRPr="00BC10F2">
              <w:rPr>
                <w:rFonts w:asciiTheme="minorHAnsi" w:hAnsiTheme="minorHAnsi" w:cstheme="minorHAnsi"/>
                <w:i/>
                <w:iCs/>
              </w:rPr>
              <w:t>dwuenergetyczna</w:t>
            </w:r>
            <w:proofErr w:type="spellEnd"/>
            <w:r w:rsidRPr="00BC10F2">
              <w:rPr>
                <w:rFonts w:asciiTheme="minorHAnsi" w:hAnsiTheme="minorHAnsi" w:cstheme="minorHAnsi"/>
                <w:i/>
                <w:iCs/>
              </w:rPr>
              <w:t xml:space="preserve">) </w:t>
            </w:r>
            <w:proofErr w:type="spellStart"/>
            <w:r w:rsidRPr="00BC10F2">
              <w:rPr>
                <w:rFonts w:asciiTheme="minorHAnsi" w:hAnsiTheme="minorHAnsi" w:cstheme="minorHAnsi"/>
                <w:i/>
                <w:iCs/>
              </w:rPr>
              <w:t>absorpcjometria</w:t>
            </w:r>
            <w:proofErr w:type="spellEnd"/>
            <w:r w:rsidRPr="00BC10F2">
              <w:rPr>
                <w:rFonts w:asciiTheme="minorHAnsi" w:hAnsiTheme="minorHAnsi" w:cstheme="minorHAnsi"/>
                <w:i/>
                <w:iCs/>
              </w:rPr>
              <w:t xml:space="preserve"> rentgenowska, dual </w:t>
            </w:r>
            <w:proofErr w:type="spellStart"/>
            <w:r w:rsidRPr="00BC10F2">
              <w:rPr>
                <w:rFonts w:asciiTheme="minorHAnsi" w:hAnsiTheme="minorHAnsi" w:cstheme="minorHAnsi"/>
                <w:i/>
                <w:iCs/>
              </w:rPr>
              <w:t>energy</w:t>
            </w:r>
            <w:proofErr w:type="spellEnd"/>
            <w:r w:rsidRPr="00BC10F2">
              <w:rPr>
                <w:rFonts w:asciiTheme="minorHAnsi" w:hAnsiTheme="minorHAnsi" w:cstheme="minorHAnsi"/>
                <w:i/>
                <w:iCs/>
              </w:rPr>
              <w:t xml:space="preserve"> X-</w:t>
            </w:r>
            <w:proofErr w:type="spellStart"/>
            <w:r w:rsidRPr="00BC10F2">
              <w:rPr>
                <w:rFonts w:asciiTheme="minorHAnsi" w:hAnsiTheme="minorHAnsi" w:cstheme="minorHAnsi"/>
                <w:i/>
                <w:iCs/>
              </w:rPr>
              <w:t>ray</w:t>
            </w:r>
            <w:proofErr w:type="spellEnd"/>
            <w:r w:rsidRPr="00BC10F2">
              <w:rPr>
                <w:rFonts w:asciiTheme="minorHAnsi" w:hAnsiTheme="minorHAnsi" w:cstheme="minorHAnsi"/>
                <w:i/>
                <w:iCs/>
              </w:rPr>
              <w:t xml:space="preserve"> </w:t>
            </w:r>
            <w:proofErr w:type="spellStart"/>
            <w:r w:rsidRPr="00BC10F2">
              <w:rPr>
                <w:rFonts w:asciiTheme="minorHAnsi" w:hAnsiTheme="minorHAnsi" w:cstheme="minorHAnsi"/>
                <w:i/>
                <w:iCs/>
              </w:rPr>
              <w:t>absorptiometry</w:t>
            </w:r>
            <w:proofErr w:type="spellEnd"/>
            <w:r w:rsidRPr="00BC10F2">
              <w:rPr>
                <w:rFonts w:asciiTheme="minorHAnsi" w:hAnsiTheme="minorHAnsi" w:cstheme="minorHAnsi"/>
                <w:i/>
                <w:iCs/>
              </w:rPr>
              <w:t>.</w:t>
            </w:r>
          </w:p>
        </w:tc>
      </w:tr>
      <w:tr w:rsidR="00A80621" w:rsidRPr="00BC10F2" w14:paraId="4715DFD7" w14:textId="77777777">
        <w:tc>
          <w:tcPr>
            <w:tcW w:w="1700" w:type="dxa"/>
            <w:shd w:val="clear" w:color="auto" w:fill="auto"/>
          </w:tcPr>
          <w:p w14:paraId="4171A650"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FRAX</w:t>
            </w:r>
          </w:p>
        </w:tc>
        <w:tc>
          <w:tcPr>
            <w:tcW w:w="7371" w:type="dxa"/>
            <w:shd w:val="clear" w:color="auto" w:fill="auto"/>
          </w:tcPr>
          <w:p w14:paraId="40062713"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 kalkulator ryzyka złamania kości, </w:t>
            </w:r>
            <w:proofErr w:type="spellStart"/>
            <w:r w:rsidRPr="00BC10F2">
              <w:rPr>
                <w:rFonts w:asciiTheme="minorHAnsi" w:hAnsiTheme="minorHAnsi" w:cstheme="minorHAnsi"/>
                <w:i/>
                <w:iCs/>
              </w:rPr>
              <w:t>Fracture</w:t>
            </w:r>
            <w:proofErr w:type="spellEnd"/>
            <w:r w:rsidRPr="00BC10F2">
              <w:rPr>
                <w:rFonts w:asciiTheme="minorHAnsi" w:hAnsiTheme="minorHAnsi" w:cstheme="minorHAnsi"/>
                <w:i/>
                <w:iCs/>
              </w:rPr>
              <w:t xml:space="preserve"> </w:t>
            </w:r>
            <w:proofErr w:type="spellStart"/>
            <w:r w:rsidRPr="00BC10F2">
              <w:rPr>
                <w:rFonts w:asciiTheme="minorHAnsi" w:hAnsiTheme="minorHAnsi" w:cstheme="minorHAnsi"/>
                <w:i/>
                <w:iCs/>
              </w:rPr>
              <w:t>Risk</w:t>
            </w:r>
            <w:proofErr w:type="spellEnd"/>
            <w:r w:rsidRPr="00BC10F2">
              <w:rPr>
                <w:rFonts w:asciiTheme="minorHAnsi" w:hAnsiTheme="minorHAnsi" w:cstheme="minorHAnsi"/>
                <w:i/>
                <w:iCs/>
              </w:rPr>
              <w:t xml:space="preserve"> </w:t>
            </w:r>
            <w:proofErr w:type="spellStart"/>
            <w:r w:rsidRPr="00BC10F2">
              <w:rPr>
                <w:rFonts w:asciiTheme="minorHAnsi" w:hAnsiTheme="minorHAnsi" w:cstheme="minorHAnsi"/>
                <w:i/>
                <w:iCs/>
              </w:rPr>
              <w:t>Assessment</w:t>
            </w:r>
            <w:proofErr w:type="spellEnd"/>
            <w:r w:rsidRPr="00BC10F2">
              <w:rPr>
                <w:rFonts w:asciiTheme="minorHAnsi" w:hAnsiTheme="minorHAnsi" w:cstheme="minorHAnsi"/>
                <w:i/>
                <w:iCs/>
              </w:rPr>
              <w:t xml:space="preserve"> </w:t>
            </w:r>
            <w:proofErr w:type="spellStart"/>
            <w:r w:rsidRPr="00BC10F2">
              <w:rPr>
                <w:rFonts w:asciiTheme="minorHAnsi" w:hAnsiTheme="minorHAnsi" w:cstheme="minorHAnsi"/>
                <w:i/>
                <w:iCs/>
              </w:rPr>
              <w:t>Tool</w:t>
            </w:r>
            <w:proofErr w:type="spellEnd"/>
            <w:r w:rsidRPr="00BC10F2">
              <w:rPr>
                <w:rFonts w:asciiTheme="minorHAnsi" w:hAnsiTheme="minorHAnsi" w:cstheme="minorHAnsi"/>
                <w:i/>
                <w:iCs/>
              </w:rPr>
              <w:t>.</w:t>
            </w:r>
          </w:p>
        </w:tc>
      </w:tr>
      <w:tr w:rsidR="00A80621" w:rsidRPr="00BC10F2" w14:paraId="56C9C5FD" w14:textId="77777777">
        <w:tc>
          <w:tcPr>
            <w:tcW w:w="1700" w:type="dxa"/>
            <w:shd w:val="clear" w:color="auto" w:fill="auto"/>
          </w:tcPr>
          <w:p w14:paraId="2D391013"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GUS </w:t>
            </w:r>
          </w:p>
        </w:tc>
        <w:tc>
          <w:tcPr>
            <w:tcW w:w="7371" w:type="dxa"/>
            <w:shd w:val="clear" w:color="auto" w:fill="auto"/>
          </w:tcPr>
          <w:p w14:paraId="012A81FF"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Główny Urząd Statystyczny. </w:t>
            </w:r>
          </w:p>
        </w:tc>
      </w:tr>
      <w:tr w:rsidR="00A80621" w:rsidRPr="00BC10F2" w14:paraId="74D2E056" w14:textId="77777777">
        <w:tc>
          <w:tcPr>
            <w:tcW w:w="1700" w:type="dxa"/>
            <w:shd w:val="clear" w:color="auto" w:fill="auto"/>
          </w:tcPr>
          <w:p w14:paraId="15BD5727"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Koszty bezpośrednie </w:t>
            </w:r>
          </w:p>
        </w:tc>
        <w:tc>
          <w:tcPr>
            <w:tcW w:w="7371" w:type="dxa"/>
            <w:shd w:val="clear" w:color="auto" w:fill="auto"/>
          </w:tcPr>
          <w:p w14:paraId="1BC522C0"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koszty kwalifikowane, dotyczące bezpośrednio interwencji zaplanowanych w programie.</w:t>
            </w:r>
          </w:p>
        </w:tc>
      </w:tr>
      <w:tr w:rsidR="00A80621" w:rsidRPr="00BC10F2" w14:paraId="654C5F16" w14:textId="77777777">
        <w:tc>
          <w:tcPr>
            <w:tcW w:w="1700" w:type="dxa"/>
            <w:shd w:val="clear" w:color="auto" w:fill="auto"/>
          </w:tcPr>
          <w:p w14:paraId="58F5331C"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Koszty pośrednie</w:t>
            </w:r>
          </w:p>
        </w:tc>
        <w:tc>
          <w:tcPr>
            <w:tcW w:w="7371" w:type="dxa"/>
            <w:shd w:val="clear" w:color="auto" w:fill="auto"/>
          </w:tcPr>
          <w:p w14:paraId="51B69A5A"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koszty kwalifikowane, niezbędne do realizacji programu, ale niedotyczące bezpośrednio interwencji zaplanowanej w programie. Zalicza się do nich np.: zakup materiałów promocyjnych i informacyjnych, koszty związane z obsługą administracyjną i księgową. Do kosztów pośrednich należą także koszty związane z monitoringiem i ewaluacją programu.</w:t>
            </w:r>
          </w:p>
        </w:tc>
      </w:tr>
      <w:tr w:rsidR="00A80621" w:rsidRPr="00BC10F2" w14:paraId="7EFAFB4E" w14:textId="77777777">
        <w:tc>
          <w:tcPr>
            <w:tcW w:w="1700" w:type="dxa"/>
            <w:shd w:val="clear" w:color="auto" w:fill="auto"/>
          </w:tcPr>
          <w:p w14:paraId="3DE8BA84"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Kryteria włączenia</w:t>
            </w:r>
          </w:p>
        </w:tc>
        <w:tc>
          <w:tcPr>
            <w:tcW w:w="7371" w:type="dxa"/>
            <w:shd w:val="clear" w:color="auto" w:fill="auto"/>
          </w:tcPr>
          <w:p w14:paraId="24482688"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warunki, które musi spełnić osoba aplikująca, aby skorzystać z programu.</w:t>
            </w:r>
          </w:p>
        </w:tc>
      </w:tr>
      <w:tr w:rsidR="00A80621" w:rsidRPr="00BC10F2" w14:paraId="1DC85C32" w14:textId="77777777">
        <w:tc>
          <w:tcPr>
            <w:tcW w:w="1700" w:type="dxa"/>
            <w:shd w:val="clear" w:color="auto" w:fill="auto"/>
          </w:tcPr>
          <w:p w14:paraId="7D87DF9C"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Kryteria wyłączenia</w:t>
            </w:r>
          </w:p>
        </w:tc>
        <w:tc>
          <w:tcPr>
            <w:tcW w:w="7371" w:type="dxa"/>
            <w:shd w:val="clear" w:color="auto" w:fill="auto"/>
          </w:tcPr>
          <w:p w14:paraId="609A62AC"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warunki, których zaistnienie wyklucza (trwale lub czasowo) udział w programie.</w:t>
            </w:r>
          </w:p>
        </w:tc>
      </w:tr>
      <w:tr w:rsidR="00A80621" w:rsidRPr="00BC10F2" w14:paraId="21CDD2E0" w14:textId="77777777">
        <w:tc>
          <w:tcPr>
            <w:tcW w:w="1700" w:type="dxa"/>
            <w:shd w:val="clear" w:color="auto" w:fill="auto"/>
          </w:tcPr>
          <w:p w14:paraId="2A85995F"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NFZ</w:t>
            </w:r>
          </w:p>
        </w:tc>
        <w:tc>
          <w:tcPr>
            <w:tcW w:w="7371" w:type="dxa"/>
            <w:shd w:val="clear" w:color="auto" w:fill="auto"/>
          </w:tcPr>
          <w:p w14:paraId="6259959F"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 Narodowy Fundusz Zdrowia.</w:t>
            </w:r>
          </w:p>
        </w:tc>
      </w:tr>
      <w:tr w:rsidR="00A80621" w:rsidRPr="00BC10F2" w14:paraId="05867052" w14:textId="77777777">
        <w:tc>
          <w:tcPr>
            <w:tcW w:w="1700" w:type="dxa"/>
            <w:shd w:val="clear" w:color="auto" w:fill="auto"/>
          </w:tcPr>
          <w:p w14:paraId="701F943E"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Organizator </w:t>
            </w:r>
          </w:p>
        </w:tc>
        <w:tc>
          <w:tcPr>
            <w:tcW w:w="7371" w:type="dxa"/>
            <w:shd w:val="clear" w:color="auto" w:fill="auto"/>
          </w:tcPr>
          <w:p w14:paraId="0687098F" w14:textId="75C9AD70" w:rsidR="00A80621" w:rsidRPr="00BC10F2" w:rsidRDefault="001053AA">
            <w:pPr>
              <w:pStyle w:val="Tabela-TekstpodstawowyDolewej"/>
              <w:widowControl w:val="0"/>
              <w:rPr>
                <w:rFonts w:asciiTheme="minorHAnsi" w:hAnsiTheme="minorHAnsi" w:cstheme="minorHAnsi"/>
              </w:rPr>
            </w:pPr>
            <w:r>
              <w:rPr>
                <w:rFonts w:asciiTheme="minorHAnsi" w:hAnsiTheme="minorHAnsi" w:cstheme="minorHAnsi"/>
                <w:i/>
                <w:iCs/>
              </w:rPr>
              <w:t xml:space="preserve">m.st. </w:t>
            </w:r>
            <w:r w:rsidR="007941FC" w:rsidRPr="00BC10F2">
              <w:rPr>
                <w:rFonts w:asciiTheme="minorHAnsi" w:hAnsiTheme="minorHAnsi" w:cstheme="minorHAnsi"/>
                <w:i/>
                <w:iCs/>
              </w:rPr>
              <w:t>Warszawa.</w:t>
            </w:r>
          </w:p>
        </w:tc>
      </w:tr>
      <w:tr w:rsidR="00A80621" w:rsidRPr="00BC10F2" w14:paraId="2D02BE7F" w14:textId="77777777">
        <w:tc>
          <w:tcPr>
            <w:tcW w:w="1700" w:type="dxa"/>
            <w:shd w:val="clear" w:color="auto" w:fill="auto"/>
          </w:tcPr>
          <w:p w14:paraId="118FA434"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Osteogeneza</w:t>
            </w:r>
          </w:p>
        </w:tc>
        <w:tc>
          <w:tcPr>
            <w:tcW w:w="7371" w:type="dxa"/>
            <w:shd w:val="clear" w:color="auto" w:fill="auto"/>
          </w:tcPr>
          <w:p w14:paraId="4E9B0B06"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proces powstawania tkanki kostnej. </w:t>
            </w:r>
          </w:p>
        </w:tc>
      </w:tr>
      <w:tr w:rsidR="00A80621" w:rsidRPr="00BC10F2" w14:paraId="727FAD47" w14:textId="77777777">
        <w:tc>
          <w:tcPr>
            <w:tcW w:w="1700" w:type="dxa"/>
            <w:shd w:val="clear" w:color="auto" w:fill="auto"/>
          </w:tcPr>
          <w:p w14:paraId="5D52D564"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Osteopenia </w:t>
            </w:r>
          </w:p>
        </w:tc>
        <w:tc>
          <w:tcPr>
            <w:tcW w:w="7371" w:type="dxa"/>
            <w:shd w:val="clear" w:color="auto" w:fill="auto"/>
          </w:tcPr>
          <w:p w14:paraId="4DD15390"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stan charakteryzujący się zmniejszeniem gęstości mineralnej kości, uważana za wczesne stadium osteoporozy.</w:t>
            </w:r>
          </w:p>
        </w:tc>
      </w:tr>
      <w:tr w:rsidR="00A80621" w:rsidRPr="00BC10F2" w14:paraId="28537EA8" w14:textId="77777777">
        <w:tc>
          <w:tcPr>
            <w:tcW w:w="1700" w:type="dxa"/>
            <w:shd w:val="clear" w:color="auto" w:fill="auto"/>
          </w:tcPr>
          <w:p w14:paraId="27276133"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Osteoporoza </w:t>
            </w:r>
          </w:p>
        </w:tc>
        <w:tc>
          <w:tcPr>
            <w:tcW w:w="7371" w:type="dxa"/>
            <w:shd w:val="clear" w:color="auto" w:fill="auto"/>
          </w:tcPr>
          <w:p w14:paraId="2CC8A44A"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choroba układu szkieletowego.</w:t>
            </w:r>
          </w:p>
        </w:tc>
      </w:tr>
      <w:tr w:rsidR="00A80621" w:rsidRPr="00BC10F2" w14:paraId="64D4FACA" w14:textId="77777777">
        <w:tc>
          <w:tcPr>
            <w:tcW w:w="1700" w:type="dxa"/>
            <w:shd w:val="clear" w:color="auto" w:fill="auto"/>
          </w:tcPr>
          <w:p w14:paraId="262EA95B"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Personel medyczny </w:t>
            </w:r>
          </w:p>
        </w:tc>
        <w:tc>
          <w:tcPr>
            <w:tcW w:w="7371" w:type="dxa"/>
            <w:shd w:val="clear" w:color="auto" w:fill="auto"/>
          </w:tcPr>
          <w:p w14:paraId="6723D5FB"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zgodnie z rekomendacją nr 9/2020 Prezesa </w:t>
            </w:r>
            <w:proofErr w:type="spellStart"/>
            <w:r w:rsidRPr="00BC10F2">
              <w:rPr>
                <w:rFonts w:asciiTheme="minorHAnsi" w:hAnsiTheme="minorHAnsi" w:cstheme="minorHAnsi"/>
                <w:i/>
                <w:iCs/>
              </w:rPr>
              <w:t>AOTMiT</w:t>
            </w:r>
            <w:proofErr w:type="spellEnd"/>
            <w:r w:rsidRPr="00BC10F2">
              <w:rPr>
                <w:rFonts w:asciiTheme="minorHAnsi" w:hAnsiTheme="minorHAnsi" w:cstheme="minorHAnsi"/>
                <w:i/>
                <w:iCs/>
              </w:rPr>
              <w:t xml:space="preserve"> z dnia 30 listopada 2020 r., jest to personel medyczny zaangażowany w realizację programu, który będzie miał kontakt uczestnikami, np.: lekarze, pielęgniarki.</w:t>
            </w:r>
          </w:p>
        </w:tc>
      </w:tr>
      <w:tr w:rsidR="00A80621" w:rsidRPr="00BC10F2" w14:paraId="665D81CD" w14:textId="77777777">
        <w:tc>
          <w:tcPr>
            <w:tcW w:w="1700" w:type="dxa"/>
            <w:shd w:val="clear" w:color="auto" w:fill="auto"/>
          </w:tcPr>
          <w:p w14:paraId="59A5F3D8"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Program </w:t>
            </w:r>
          </w:p>
        </w:tc>
        <w:tc>
          <w:tcPr>
            <w:tcW w:w="7371" w:type="dxa"/>
            <w:shd w:val="clear" w:color="auto" w:fill="auto"/>
          </w:tcPr>
          <w:p w14:paraId="4E8884DA"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Program polityki zdrowotnej w zakresie profilaktyki i wczesnego wykrywania osteoporozy wśród mieszkańców województwa mazowieckiego na lata 2021-2023.</w:t>
            </w:r>
          </w:p>
        </w:tc>
      </w:tr>
      <w:tr w:rsidR="00A80621" w:rsidRPr="00BC10F2" w14:paraId="0CDB4881" w14:textId="77777777">
        <w:tc>
          <w:tcPr>
            <w:tcW w:w="1700" w:type="dxa"/>
            <w:shd w:val="clear" w:color="auto" w:fill="auto"/>
          </w:tcPr>
          <w:p w14:paraId="2C4970D0"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Realizator </w:t>
            </w:r>
          </w:p>
        </w:tc>
        <w:tc>
          <w:tcPr>
            <w:tcW w:w="7371" w:type="dxa"/>
            <w:shd w:val="clear" w:color="auto" w:fill="auto"/>
          </w:tcPr>
          <w:p w14:paraId="18799F27"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wybrany w drodze konkursu podmiot wykonujący działalność leczniczą w myśl ustawy z 15 </w:t>
            </w:r>
            <w:r w:rsidRPr="00BC10F2">
              <w:rPr>
                <w:rFonts w:asciiTheme="minorHAnsi" w:hAnsiTheme="minorHAnsi" w:cstheme="minorHAnsi"/>
                <w:i/>
                <w:iCs/>
              </w:rPr>
              <w:lastRenderedPageBreak/>
              <w:t>kwietnia 2011 r. o działalności leczniczej lub podmiot, którego partnerem jest podmiot wykonujący działalność leczniczą w myśl ustawy z dnia 15 kwietnia 2011 r. o działalności leczniczej.</w:t>
            </w:r>
          </w:p>
        </w:tc>
      </w:tr>
      <w:tr w:rsidR="00A80621" w:rsidRPr="00BC10F2" w14:paraId="6B73FC32" w14:textId="77777777">
        <w:tc>
          <w:tcPr>
            <w:tcW w:w="1700" w:type="dxa"/>
            <w:shd w:val="clear" w:color="auto" w:fill="auto"/>
          </w:tcPr>
          <w:p w14:paraId="53792C38"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lastRenderedPageBreak/>
              <w:t>T-</w:t>
            </w:r>
            <w:proofErr w:type="spellStart"/>
            <w:r w:rsidRPr="00BC10F2">
              <w:rPr>
                <w:rFonts w:asciiTheme="minorHAnsi" w:hAnsiTheme="minorHAnsi" w:cstheme="minorHAnsi"/>
              </w:rPr>
              <w:t>score</w:t>
            </w:r>
            <w:proofErr w:type="spellEnd"/>
            <w:r w:rsidRPr="00BC10F2">
              <w:rPr>
                <w:rFonts w:asciiTheme="minorHAnsi" w:hAnsiTheme="minorHAnsi" w:cstheme="minorHAnsi"/>
              </w:rPr>
              <w:t xml:space="preserve"> </w:t>
            </w:r>
          </w:p>
        </w:tc>
        <w:tc>
          <w:tcPr>
            <w:tcW w:w="7371" w:type="dxa"/>
            <w:shd w:val="clear" w:color="auto" w:fill="auto"/>
          </w:tcPr>
          <w:p w14:paraId="6AA23263"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stosunek gęstości mineralnej kości (BMD) osoby badanej do średniej gęstości kości osoby młodej (interpretacja: T-</w:t>
            </w:r>
            <w:proofErr w:type="spellStart"/>
            <w:r w:rsidRPr="00BC10F2">
              <w:rPr>
                <w:rFonts w:asciiTheme="minorHAnsi" w:hAnsiTheme="minorHAnsi" w:cstheme="minorHAnsi"/>
                <w:i/>
                <w:iCs/>
              </w:rPr>
              <w:t>score</w:t>
            </w:r>
            <w:proofErr w:type="spellEnd"/>
            <w:r w:rsidRPr="00BC10F2">
              <w:rPr>
                <w:rFonts w:asciiTheme="minorHAnsi" w:hAnsiTheme="minorHAnsi" w:cstheme="minorHAnsi"/>
                <w:i/>
                <w:iCs/>
              </w:rPr>
              <w:t>: &gt; -1,0 – zdrowa kość, T-</w:t>
            </w:r>
            <w:proofErr w:type="spellStart"/>
            <w:r w:rsidRPr="00BC10F2">
              <w:rPr>
                <w:rFonts w:asciiTheme="minorHAnsi" w:hAnsiTheme="minorHAnsi" w:cstheme="minorHAnsi"/>
                <w:i/>
                <w:iCs/>
              </w:rPr>
              <w:t>score</w:t>
            </w:r>
            <w:proofErr w:type="spellEnd"/>
            <w:r w:rsidRPr="00BC10F2">
              <w:rPr>
                <w:rFonts w:asciiTheme="minorHAnsi" w:hAnsiTheme="minorHAnsi" w:cstheme="minorHAnsi"/>
                <w:i/>
                <w:iCs/>
              </w:rPr>
              <w:t>: od -1,0 do -2,5 – osteopenia; T-</w:t>
            </w:r>
            <w:proofErr w:type="spellStart"/>
            <w:r w:rsidRPr="00BC10F2">
              <w:rPr>
                <w:rFonts w:asciiTheme="minorHAnsi" w:hAnsiTheme="minorHAnsi" w:cstheme="minorHAnsi"/>
                <w:i/>
                <w:iCs/>
              </w:rPr>
              <w:t>score</w:t>
            </w:r>
            <w:proofErr w:type="spellEnd"/>
            <w:r w:rsidRPr="00BC10F2">
              <w:rPr>
                <w:rFonts w:asciiTheme="minorHAnsi" w:hAnsiTheme="minorHAnsi" w:cstheme="minorHAnsi"/>
                <w:i/>
                <w:iCs/>
              </w:rPr>
              <w:t xml:space="preserve"> &lt; - 2,5 – osteoporoza).</w:t>
            </w:r>
          </w:p>
        </w:tc>
      </w:tr>
      <w:tr w:rsidR="00A80621" w:rsidRPr="00BC10F2" w14:paraId="083A1991" w14:textId="77777777">
        <w:tc>
          <w:tcPr>
            <w:tcW w:w="1700" w:type="dxa"/>
            <w:shd w:val="clear" w:color="auto" w:fill="auto"/>
          </w:tcPr>
          <w:p w14:paraId="5B9EEA25"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Uczestnik </w:t>
            </w:r>
          </w:p>
        </w:tc>
        <w:tc>
          <w:tcPr>
            <w:tcW w:w="7371" w:type="dxa"/>
            <w:shd w:val="clear" w:color="auto" w:fill="auto"/>
          </w:tcPr>
          <w:p w14:paraId="7A898181"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osoba spełniająca kryteria włączenia do programu i bezpośrednio korzystająca z co najmniej jednej interwencji przewidzianej w programie. </w:t>
            </w:r>
            <w:bookmarkStart w:id="1" w:name="_Hlk66966621"/>
            <w:r w:rsidRPr="00BC10F2">
              <w:rPr>
                <w:rFonts w:asciiTheme="minorHAnsi" w:hAnsiTheme="minorHAnsi" w:cstheme="minorHAnsi"/>
                <w:i/>
                <w:iCs/>
              </w:rPr>
              <w:t>W programie wyróżnia się dwie grupy uczestników: I grupa docelowa – osoby korzystające z działań w zakresie profilaktyki i wczesnego wykrywania osteoporozy; II grupa docelowa  – personel medyczny korzystający ze szkoleń.</w:t>
            </w:r>
            <w:bookmarkEnd w:id="1"/>
          </w:p>
        </w:tc>
      </w:tr>
      <w:tr w:rsidR="00A80621" w:rsidRPr="00BC10F2" w14:paraId="4FF60BA0" w14:textId="77777777">
        <w:tc>
          <w:tcPr>
            <w:tcW w:w="1700" w:type="dxa"/>
            <w:shd w:val="clear" w:color="auto" w:fill="auto"/>
          </w:tcPr>
          <w:p w14:paraId="37F39223"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WHO </w:t>
            </w:r>
          </w:p>
        </w:tc>
        <w:tc>
          <w:tcPr>
            <w:tcW w:w="7371" w:type="dxa"/>
            <w:shd w:val="clear" w:color="auto" w:fill="auto"/>
          </w:tcPr>
          <w:p w14:paraId="163A26FA"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Światowa Organizacja Zdrowia (World </w:t>
            </w:r>
            <w:proofErr w:type="spellStart"/>
            <w:r w:rsidRPr="00BC10F2">
              <w:rPr>
                <w:rFonts w:asciiTheme="minorHAnsi" w:hAnsiTheme="minorHAnsi" w:cstheme="minorHAnsi"/>
                <w:i/>
                <w:iCs/>
              </w:rPr>
              <w:t>Health</w:t>
            </w:r>
            <w:proofErr w:type="spellEnd"/>
            <w:r w:rsidRPr="00BC10F2">
              <w:rPr>
                <w:rFonts w:asciiTheme="minorHAnsi" w:hAnsiTheme="minorHAnsi" w:cstheme="minorHAnsi"/>
                <w:i/>
                <w:iCs/>
              </w:rPr>
              <w:t xml:space="preserve"> Organization).</w:t>
            </w:r>
          </w:p>
        </w:tc>
      </w:tr>
      <w:tr w:rsidR="00A80621" w:rsidRPr="00BC10F2" w14:paraId="19834967" w14:textId="77777777">
        <w:tc>
          <w:tcPr>
            <w:tcW w:w="1700" w:type="dxa"/>
            <w:shd w:val="clear" w:color="auto" w:fill="auto"/>
          </w:tcPr>
          <w:p w14:paraId="2D28EBEB"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Zapadalność </w:t>
            </w:r>
          </w:p>
        </w:tc>
        <w:tc>
          <w:tcPr>
            <w:tcW w:w="7371" w:type="dxa"/>
            <w:shd w:val="clear" w:color="auto" w:fill="auto"/>
          </w:tcPr>
          <w:p w14:paraId="15EF5457"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liczba nowych przypadków danego problemu zdrowotnego w ciągu analizowanego roku.</w:t>
            </w:r>
          </w:p>
        </w:tc>
      </w:tr>
    </w:tbl>
    <w:p w14:paraId="5CA3A5F2" w14:textId="77777777" w:rsidR="00A80621" w:rsidRPr="00BC10F2" w:rsidRDefault="00A80621">
      <w:pPr>
        <w:jc w:val="both"/>
        <w:rPr>
          <w:rFonts w:asciiTheme="minorHAnsi" w:hAnsiTheme="minorHAnsi" w:cstheme="minorHAnsi"/>
          <w:b/>
          <w:bCs w:val="0"/>
          <w:sz w:val="28"/>
          <w:szCs w:val="28"/>
        </w:rPr>
      </w:pPr>
    </w:p>
    <w:p w14:paraId="0D22113B" w14:textId="77777777" w:rsidR="00A80621" w:rsidRPr="003E14BE" w:rsidRDefault="007941FC" w:rsidP="003E14BE">
      <w:pPr>
        <w:pStyle w:val="Nagwekwykazurde"/>
        <w:spacing w:before="0" w:after="120" w:line="288" w:lineRule="auto"/>
        <w:rPr>
          <w:rFonts w:asciiTheme="minorHAnsi" w:hAnsiTheme="minorHAnsi" w:cstheme="minorHAnsi"/>
          <w:sz w:val="36"/>
          <w:szCs w:val="36"/>
        </w:rPr>
      </w:pPr>
      <w:r w:rsidRPr="003E14BE">
        <w:rPr>
          <w:rFonts w:asciiTheme="minorHAnsi" w:hAnsiTheme="minorHAnsi" w:cstheme="minorHAnsi"/>
          <w:sz w:val="36"/>
          <w:szCs w:val="36"/>
        </w:rPr>
        <w:lastRenderedPageBreak/>
        <w:t>Spis treści</w:t>
      </w:r>
    </w:p>
    <w:p w14:paraId="08D9C2CE" w14:textId="79B93384" w:rsidR="003E14BE" w:rsidRDefault="007941FC" w:rsidP="003E14BE">
      <w:pPr>
        <w:pStyle w:val="Spistreci1"/>
        <w:spacing w:after="120"/>
        <w:rPr>
          <w:rFonts w:asciiTheme="minorHAnsi" w:eastAsiaTheme="minorEastAsia" w:hAnsiTheme="minorHAnsi" w:cstheme="minorBidi"/>
          <w:b w:val="0"/>
          <w:caps w:val="0"/>
          <w:noProof/>
          <w:color w:val="auto"/>
          <w:spacing w:val="0"/>
          <w:sz w:val="22"/>
          <w:lang w:eastAsia="pl-PL"/>
        </w:rPr>
      </w:pPr>
      <w:r w:rsidRPr="00BC10F2">
        <w:rPr>
          <w:rFonts w:asciiTheme="minorHAnsi" w:hAnsiTheme="minorHAnsi" w:cstheme="minorHAnsi"/>
        </w:rPr>
        <w:fldChar w:fldCharType="begin"/>
      </w:r>
      <w:r w:rsidRPr="00BC10F2">
        <w:rPr>
          <w:rFonts w:asciiTheme="minorHAnsi" w:hAnsiTheme="minorHAnsi" w:cstheme="minorHAnsi"/>
        </w:rPr>
        <w:instrText xml:space="preserve"> TOC \z \o "1-3" \u \h</w:instrText>
      </w:r>
      <w:r w:rsidRPr="00BC10F2">
        <w:rPr>
          <w:rFonts w:asciiTheme="minorHAnsi" w:hAnsiTheme="minorHAnsi" w:cstheme="minorHAnsi"/>
        </w:rPr>
        <w:fldChar w:fldCharType="separate"/>
      </w:r>
      <w:hyperlink w:anchor="_Toc146114982" w:history="1">
        <w:r w:rsidR="003E14BE" w:rsidRPr="005E2074">
          <w:rPr>
            <w:rStyle w:val="Hipercze"/>
            <w:rFonts w:cstheme="minorHAnsi"/>
            <w:noProof/>
            <w:lang w:bidi="en-US"/>
          </w:rPr>
          <w:t>Słowniczek</w:t>
        </w:r>
        <w:r w:rsidR="003E14BE">
          <w:rPr>
            <w:noProof/>
            <w:webHidden/>
          </w:rPr>
          <w:tab/>
        </w:r>
        <w:r w:rsidR="003E14BE">
          <w:rPr>
            <w:noProof/>
            <w:webHidden/>
          </w:rPr>
          <w:fldChar w:fldCharType="begin"/>
        </w:r>
        <w:r w:rsidR="003E14BE">
          <w:rPr>
            <w:noProof/>
            <w:webHidden/>
          </w:rPr>
          <w:instrText xml:space="preserve"> PAGEREF _Toc146114982 \h </w:instrText>
        </w:r>
        <w:r w:rsidR="003E14BE">
          <w:rPr>
            <w:noProof/>
            <w:webHidden/>
          </w:rPr>
        </w:r>
        <w:r w:rsidR="003E14BE">
          <w:rPr>
            <w:noProof/>
            <w:webHidden/>
          </w:rPr>
          <w:fldChar w:fldCharType="separate"/>
        </w:r>
        <w:r w:rsidR="00433CBA">
          <w:rPr>
            <w:noProof/>
            <w:webHidden/>
          </w:rPr>
          <w:t>2</w:t>
        </w:r>
        <w:r w:rsidR="003E14BE">
          <w:rPr>
            <w:noProof/>
            <w:webHidden/>
          </w:rPr>
          <w:fldChar w:fldCharType="end"/>
        </w:r>
      </w:hyperlink>
    </w:p>
    <w:p w14:paraId="251320EB" w14:textId="36625DDB" w:rsidR="003E14BE" w:rsidRDefault="002B534A">
      <w:pPr>
        <w:pStyle w:val="Spistreci1"/>
        <w:rPr>
          <w:rFonts w:asciiTheme="minorHAnsi" w:eastAsiaTheme="minorEastAsia" w:hAnsiTheme="minorHAnsi" w:cstheme="minorBidi"/>
          <w:b w:val="0"/>
          <w:caps w:val="0"/>
          <w:noProof/>
          <w:color w:val="auto"/>
          <w:spacing w:val="0"/>
          <w:sz w:val="22"/>
          <w:lang w:eastAsia="pl-PL"/>
        </w:rPr>
      </w:pPr>
      <w:hyperlink w:anchor="_Toc146114983" w:history="1">
        <w:r w:rsidR="003E14BE" w:rsidRPr="005E2074">
          <w:rPr>
            <w:rStyle w:val="Hipercze"/>
            <w:rFonts w:cstheme="minorHAnsi"/>
            <w:noProof/>
            <w:lang w:bidi="en-US"/>
          </w:rPr>
          <w:t>1.</w:t>
        </w:r>
        <w:r w:rsidR="003E14BE">
          <w:rPr>
            <w:rFonts w:asciiTheme="minorHAnsi" w:eastAsiaTheme="minorEastAsia" w:hAnsiTheme="minorHAnsi" w:cstheme="minorBidi"/>
            <w:b w:val="0"/>
            <w:caps w:val="0"/>
            <w:noProof/>
            <w:color w:val="auto"/>
            <w:spacing w:val="0"/>
            <w:sz w:val="22"/>
            <w:lang w:eastAsia="pl-PL"/>
          </w:rPr>
          <w:tab/>
        </w:r>
        <w:r w:rsidR="003E14BE" w:rsidRPr="005E2074">
          <w:rPr>
            <w:rStyle w:val="Hipercze"/>
            <w:rFonts w:cstheme="minorHAnsi"/>
            <w:noProof/>
            <w:lang w:bidi="en-US"/>
          </w:rPr>
          <w:t>Opis choroby lub problemu zdrowotnego i uzasadnienie wprowadzenia programu polityki zdrowotnej</w:t>
        </w:r>
        <w:r w:rsidR="003E14BE">
          <w:rPr>
            <w:noProof/>
            <w:webHidden/>
          </w:rPr>
          <w:tab/>
        </w:r>
        <w:r w:rsidR="003E14BE">
          <w:rPr>
            <w:noProof/>
            <w:webHidden/>
          </w:rPr>
          <w:fldChar w:fldCharType="begin"/>
        </w:r>
        <w:r w:rsidR="003E14BE">
          <w:rPr>
            <w:noProof/>
            <w:webHidden/>
          </w:rPr>
          <w:instrText xml:space="preserve"> PAGEREF _Toc146114983 \h </w:instrText>
        </w:r>
        <w:r w:rsidR="003E14BE">
          <w:rPr>
            <w:noProof/>
            <w:webHidden/>
          </w:rPr>
        </w:r>
        <w:r w:rsidR="003E14BE">
          <w:rPr>
            <w:noProof/>
            <w:webHidden/>
          </w:rPr>
          <w:fldChar w:fldCharType="separate"/>
        </w:r>
        <w:r w:rsidR="00433CBA">
          <w:rPr>
            <w:noProof/>
            <w:webHidden/>
          </w:rPr>
          <w:t>5</w:t>
        </w:r>
        <w:r w:rsidR="003E14BE">
          <w:rPr>
            <w:noProof/>
            <w:webHidden/>
          </w:rPr>
          <w:fldChar w:fldCharType="end"/>
        </w:r>
      </w:hyperlink>
    </w:p>
    <w:p w14:paraId="69E2A72B" w14:textId="735308C1" w:rsidR="003E14BE" w:rsidRDefault="002B534A">
      <w:pPr>
        <w:pStyle w:val="Spistreci2"/>
        <w:rPr>
          <w:rFonts w:asciiTheme="minorHAnsi" w:eastAsiaTheme="minorEastAsia" w:hAnsiTheme="minorHAnsi" w:cstheme="minorBidi"/>
          <w:noProof/>
          <w:sz w:val="22"/>
          <w:lang w:eastAsia="pl-PL"/>
        </w:rPr>
      </w:pPr>
      <w:hyperlink w:anchor="_Toc146114984" w:history="1">
        <w:r w:rsidR="003E14BE" w:rsidRPr="005E2074">
          <w:rPr>
            <w:rStyle w:val="Hipercze"/>
            <w:rFonts w:cstheme="minorHAnsi"/>
            <w:b/>
            <w:noProof/>
            <w:lang w:bidi="en-US"/>
          </w:rPr>
          <w:t>1.1.</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Opis problemu zdrowotnego i epidemiologia</w:t>
        </w:r>
        <w:r w:rsidR="003E14BE">
          <w:rPr>
            <w:noProof/>
            <w:webHidden/>
          </w:rPr>
          <w:tab/>
        </w:r>
        <w:r w:rsidR="003E14BE">
          <w:rPr>
            <w:noProof/>
            <w:webHidden/>
          </w:rPr>
          <w:fldChar w:fldCharType="begin"/>
        </w:r>
        <w:r w:rsidR="003E14BE">
          <w:rPr>
            <w:noProof/>
            <w:webHidden/>
          </w:rPr>
          <w:instrText xml:space="preserve"> PAGEREF _Toc146114984 \h </w:instrText>
        </w:r>
        <w:r w:rsidR="003E14BE">
          <w:rPr>
            <w:noProof/>
            <w:webHidden/>
          </w:rPr>
        </w:r>
        <w:r w:rsidR="003E14BE">
          <w:rPr>
            <w:noProof/>
            <w:webHidden/>
          </w:rPr>
          <w:fldChar w:fldCharType="separate"/>
        </w:r>
        <w:r w:rsidR="00433CBA">
          <w:rPr>
            <w:noProof/>
            <w:webHidden/>
          </w:rPr>
          <w:t>5</w:t>
        </w:r>
        <w:r w:rsidR="003E14BE">
          <w:rPr>
            <w:noProof/>
            <w:webHidden/>
          </w:rPr>
          <w:fldChar w:fldCharType="end"/>
        </w:r>
      </w:hyperlink>
    </w:p>
    <w:p w14:paraId="3734079F" w14:textId="02E53FA5" w:rsidR="003E14BE" w:rsidRDefault="002B534A">
      <w:pPr>
        <w:pStyle w:val="Spistreci2"/>
        <w:rPr>
          <w:rFonts w:asciiTheme="minorHAnsi" w:eastAsiaTheme="minorEastAsia" w:hAnsiTheme="minorHAnsi" w:cstheme="minorBidi"/>
          <w:noProof/>
          <w:sz w:val="22"/>
          <w:lang w:eastAsia="pl-PL"/>
        </w:rPr>
      </w:pPr>
      <w:hyperlink w:anchor="_Toc146114985" w:history="1">
        <w:r w:rsidR="003E14BE" w:rsidRPr="005E2074">
          <w:rPr>
            <w:rStyle w:val="Hipercze"/>
            <w:rFonts w:cstheme="minorHAnsi"/>
            <w:b/>
            <w:noProof/>
            <w:lang w:bidi="en-US"/>
          </w:rPr>
          <w:t>1.2.</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Epidemiologia dla Warszawy</w:t>
        </w:r>
        <w:r w:rsidR="003E14BE">
          <w:rPr>
            <w:noProof/>
            <w:webHidden/>
          </w:rPr>
          <w:tab/>
        </w:r>
        <w:r w:rsidR="003E14BE">
          <w:rPr>
            <w:noProof/>
            <w:webHidden/>
          </w:rPr>
          <w:fldChar w:fldCharType="begin"/>
        </w:r>
        <w:r w:rsidR="003E14BE">
          <w:rPr>
            <w:noProof/>
            <w:webHidden/>
          </w:rPr>
          <w:instrText xml:space="preserve"> PAGEREF _Toc146114985 \h </w:instrText>
        </w:r>
        <w:r w:rsidR="003E14BE">
          <w:rPr>
            <w:noProof/>
            <w:webHidden/>
          </w:rPr>
        </w:r>
        <w:r w:rsidR="003E14BE">
          <w:rPr>
            <w:noProof/>
            <w:webHidden/>
          </w:rPr>
          <w:fldChar w:fldCharType="separate"/>
        </w:r>
        <w:r w:rsidR="00433CBA">
          <w:rPr>
            <w:noProof/>
            <w:webHidden/>
          </w:rPr>
          <w:t>8</w:t>
        </w:r>
        <w:r w:rsidR="003E14BE">
          <w:rPr>
            <w:noProof/>
            <w:webHidden/>
          </w:rPr>
          <w:fldChar w:fldCharType="end"/>
        </w:r>
      </w:hyperlink>
    </w:p>
    <w:p w14:paraId="621520EC" w14:textId="09C168F1" w:rsidR="003E14BE" w:rsidRDefault="002B534A">
      <w:pPr>
        <w:pStyle w:val="Spistreci2"/>
        <w:rPr>
          <w:rFonts w:asciiTheme="minorHAnsi" w:eastAsiaTheme="minorEastAsia" w:hAnsiTheme="minorHAnsi" w:cstheme="minorBidi"/>
          <w:noProof/>
          <w:sz w:val="22"/>
          <w:lang w:eastAsia="pl-PL"/>
        </w:rPr>
      </w:pPr>
      <w:hyperlink w:anchor="_Toc146114986" w:history="1">
        <w:r w:rsidR="003E14BE" w:rsidRPr="005E2074">
          <w:rPr>
            <w:rStyle w:val="Hipercze"/>
            <w:rFonts w:cstheme="minorHAnsi"/>
            <w:b/>
            <w:noProof/>
            <w:lang w:bidi="en-US"/>
          </w:rPr>
          <w:t>1.3.</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Opis obecnego postępowania</w:t>
        </w:r>
        <w:r w:rsidR="003E14BE">
          <w:rPr>
            <w:noProof/>
            <w:webHidden/>
          </w:rPr>
          <w:tab/>
        </w:r>
        <w:r w:rsidR="003E14BE">
          <w:rPr>
            <w:noProof/>
            <w:webHidden/>
          </w:rPr>
          <w:fldChar w:fldCharType="begin"/>
        </w:r>
        <w:r w:rsidR="003E14BE">
          <w:rPr>
            <w:noProof/>
            <w:webHidden/>
          </w:rPr>
          <w:instrText xml:space="preserve"> PAGEREF _Toc146114986 \h </w:instrText>
        </w:r>
        <w:r w:rsidR="003E14BE">
          <w:rPr>
            <w:noProof/>
            <w:webHidden/>
          </w:rPr>
        </w:r>
        <w:r w:rsidR="003E14BE">
          <w:rPr>
            <w:noProof/>
            <w:webHidden/>
          </w:rPr>
          <w:fldChar w:fldCharType="separate"/>
        </w:r>
        <w:r w:rsidR="00433CBA">
          <w:rPr>
            <w:noProof/>
            <w:webHidden/>
          </w:rPr>
          <w:t>10</w:t>
        </w:r>
        <w:r w:rsidR="003E14BE">
          <w:rPr>
            <w:noProof/>
            <w:webHidden/>
          </w:rPr>
          <w:fldChar w:fldCharType="end"/>
        </w:r>
      </w:hyperlink>
    </w:p>
    <w:p w14:paraId="5F9CE67C" w14:textId="447B3E56" w:rsidR="003E14BE" w:rsidRDefault="002B534A">
      <w:pPr>
        <w:pStyle w:val="Spistreci2"/>
        <w:rPr>
          <w:rFonts w:asciiTheme="minorHAnsi" w:eastAsiaTheme="minorEastAsia" w:hAnsiTheme="minorHAnsi" w:cstheme="minorBidi"/>
          <w:noProof/>
          <w:sz w:val="22"/>
          <w:lang w:eastAsia="pl-PL"/>
        </w:rPr>
      </w:pPr>
      <w:hyperlink w:anchor="_Toc146114987" w:history="1">
        <w:r w:rsidR="003E14BE" w:rsidRPr="005E2074">
          <w:rPr>
            <w:rStyle w:val="Hipercze"/>
            <w:rFonts w:cstheme="minorHAnsi"/>
            <w:b/>
            <w:noProof/>
            <w:lang w:bidi="en-US"/>
          </w:rPr>
          <w:t>1.4.</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Uzasadnienie wdrożenia programu</w:t>
        </w:r>
        <w:r w:rsidR="003E14BE">
          <w:rPr>
            <w:noProof/>
            <w:webHidden/>
          </w:rPr>
          <w:tab/>
        </w:r>
        <w:r w:rsidR="003E14BE">
          <w:rPr>
            <w:noProof/>
            <w:webHidden/>
          </w:rPr>
          <w:fldChar w:fldCharType="begin"/>
        </w:r>
        <w:r w:rsidR="003E14BE">
          <w:rPr>
            <w:noProof/>
            <w:webHidden/>
          </w:rPr>
          <w:instrText xml:space="preserve"> PAGEREF _Toc146114987 \h </w:instrText>
        </w:r>
        <w:r w:rsidR="003E14BE">
          <w:rPr>
            <w:noProof/>
            <w:webHidden/>
          </w:rPr>
        </w:r>
        <w:r w:rsidR="003E14BE">
          <w:rPr>
            <w:noProof/>
            <w:webHidden/>
          </w:rPr>
          <w:fldChar w:fldCharType="separate"/>
        </w:r>
        <w:r w:rsidR="00433CBA">
          <w:rPr>
            <w:noProof/>
            <w:webHidden/>
          </w:rPr>
          <w:t>15</w:t>
        </w:r>
        <w:r w:rsidR="003E14BE">
          <w:rPr>
            <w:noProof/>
            <w:webHidden/>
          </w:rPr>
          <w:fldChar w:fldCharType="end"/>
        </w:r>
      </w:hyperlink>
    </w:p>
    <w:p w14:paraId="2142FA57" w14:textId="4A4EBF4C" w:rsidR="003E14BE" w:rsidRDefault="002B534A">
      <w:pPr>
        <w:pStyle w:val="Spistreci1"/>
        <w:rPr>
          <w:rFonts w:asciiTheme="minorHAnsi" w:eastAsiaTheme="minorEastAsia" w:hAnsiTheme="minorHAnsi" w:cstheme="minorBidi"/>
          <w:b w:val="0"/>
          <w:caps w:val="0"/>
          <w:noProof/>
          <w:color w:val="auto"/>
          <w:spacing w:val="0"/>
          <w:sz w:val="22"/>
          <w:lang w:eastAsia="pl-PL"/>
        </w:rPr>
      </w:pPr>
      <w:hyperlink w:anchor="_Toc146114988" w:history="1">
        <w:r w:rsidR="003E14BE" w:rsidRPr="005E2074">
          <w:rPr>
            <w:rStyle w:val="Hipercze"/>
            <w:rFonts w:cstheme="minorHAnsi"/>
            <w:noProof/>
            <w:lang w:bidi="en-US"/>
          </w:rPr>
          <w:t>2.</w:t>
        </w:r>
        <w:r w:rsidR="003E14BE">
          <w:rPr>
            <w:rFonts w:asciiTheme="minorHAnsi" w:eastAsiaTheme="minorEastAsia" w:hAnsiTheme="minorHAnsi" w:cstheme="minorBidi"/>
            <w:b w:val="0"/>
            <w:caps w:val="0"/>
            <w:noProof/>
            <w:color w:val="auto"/>
            <w:spacing w:val="0"/>
            <w:sz w:val="22"/>
            <w:lang w:eastAsia="pl-PL"/>
          </w:rPr>
          <w:tab/>
        </w:r>
        <w:r w:rsidR="003E14BE" w:rsidRPr="005E2074">
          <w:rPr>
            <w:rStyle w:val="Hipercze"/>
            <w:rFonts w:cstheme="minorHAnsi"/>
            <w:noProof/>
            <w:lang w:bidi="en-US"/>
          </w:rPr>
          <w:t>Cele programu polityki zdrowotnej i mierniki efektywności jego realizacji</w:t>
        </w:r>
        <w:r w:rsidR="003E14BE">
          <w:rPr>
            <w:noProof/>
            <w:webHidden/>
          </w:rPr>
          <w:tab/>
        </w:r>
        <w:r w:rsidR="003E14BE">
          <w:rPr>
            <w:noProof/>
            <w:webHidden/>
          </w:rPr>
          <w:fldChar w:fldCharType="begin"/>
        </w:r>
        <w:r w:rsidR="003E14BE">
          <w:rPr>
            <w:noProof/>
            <w:webHidden/>
          </w:rPr>
          <w:instrText xml:space="preserve"> PAGEREF _Toc146114988 \h </w:instrText>
        </w:r>
        <w:r w:rsidR="003E14BE">
          <w:rPr>
            <w:noProof/>
            <w:webHidden/>
          </w:rPr>
        </w:r>
        <w:r w:rsidR="003E14BE">
          <w:rPr>
            <w:noProof/>
            <w:webHidden/>
          </w:rPr>
          <w:fldChar w:fldCharType="separate"/>
        </w:r>
        <w:r w:rsidR="00433CBA">
          <w:rPr>
            <w:noProof/>
            <w:webHidden/>
          </w:rPr>
          <w:t>18</w:t>
        </w:r>
        <w:r w:rsidR="003E14BE">
          <w:rPr>
            <w:noProof/>
            <w:webHidden/>
          </w:rPr>
          <w:fldChar w:fldCharType="end"/>
        </w:r>
      </w:hyperlink>
    </w:p>
    <w:p w14:paraId="218AA689" w14:textId="0AD94A89" w:rsidR="003E14BE" w:rsidRDefault="002B534A">
      <w:pPr>
        <w:pStyle w:val="Spistreci2"/>
        <w:rPr>
          <w:rFonts w:asciiTheme="minorHAnsi" w:eastAsiaTheme="minorEastAsia" w:hAnsiTheme="minorHAnsi" w:cstheme="minorBidi"/>
          <w:noProof/>
          <w:sz w:val="22"/>
          <w:lang w:eastAsia="pl-PL"/>
        </w:rPr>
      </w:pPr>
      <w:hyperlink w:anchor="_Toc146114989" w:history="1">
        <w:r w:rsidR="003E14BE" w:rsidRPr="005E2074">
          <w:rPr>
            <w:rStyle w:val="Hipercze"/>
            <w:rFonts w:cstheme="minorHAnsi"/>
            <w:b/>
            <w:noProof/>
            <w:lang w:bidi="en-US"/>
          </w:rPr>
          <w:t>2.1.</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Cel główny</w:t>
        </w:r>
        <w:r w:rsidR="003E14BE">
          <w:rPr>
            <w:noProof/>
            <w:webHidden/>
          </w:rPr>
          <w:tab/>
        </w:r>
        <w:r w:rsidR="003E14BE">
          <w:rPr>
            <w:noProof/>
            <w:webHidden/>
          </w:rPr>
          <w:fldChar w:fldCharType="begin"/>
        </w:r>
        <w:r w:rsidR="003E14BE">
          <w:rPr>
            <w:noProof/>
            <w:webHidden/>
          </w:rPr>
          <w:instrText xml:space="preserve"> PAGEREF _Toc146114989 \h </w:instrText>
        </w:r>
        <w:r w:rsidR="003E14BE">
          <w:rPr>
            <w:noProof/>
            <w:webHidden/>
          </w:rPr>
        </w:r>
        <w:r w:rsidR="003E14BE">
          <w:rPr>
            <w:noProof/>
            <w:webHidden/>
          </w:rPr>
          <w:fldChar w:fldCharType="separate"/>
        </w:r>
        <w:r w:rsidR="00433CBA">
          <w:rPr>
            <w:noProof/>
            <w:webHidden/>
          </w:rPr>
          <w:t>18</w:t>
        </w:r>
        <w:r w:rsidR="003E14BE">
          <w:rPr>
            <w:noProof/>
            <w:webHidden/>
          </w:rPr>
          <w:fldChar w:fldCharType="end"/>
        </w:r>
      </w:hyperlink>
    </w:p>
    <w:p w14:paraId="5F23A1D2" w14:textId="0B10CC99" w:rsidR="003E14BE" w:rsidRDefault="002B534A">
      <w:pPr>
        <w:pStyle w:val="Spistreci2"/>
        <w:rPr>
          <w:rFonts w:asciiTheme="minorHAnsi" w:eastAsiaTheme="minorEastAsia" w:hAnsiTheme="minorHAnsi" w:cstheme="minorBidi"/>
          <w:noProof/>
          <w:sz w:val="22"/>
          <w:lang w:eastAsia="pl-PL"/>
        </w:rPr>
      </w:pPr>
      <w:hyperlink w:anchor="_Toc146114990" w:history="1">
        <w:r w:rsidR="003E14BE" w:rsidRPr="005E2074">
          <w:rPr>
            <w:rStyle w:val="Hipercze"/>
            <w:rFonts w:cstheme="minorHAnsi"/>
            <w:b/>
            <w:noProof/>
            <w:lang w:bidi="en-US"/>
          </w:rPr>
          <w:t>2.2.</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Cele szczegółowe</w:t>
        </w:r>
        <w:r w:rsidR="003E14BE">
          <w:rPr>
            <w:noProof/>
            <w:webHidden/>
          </w:rPr>
          <w:tab/>
        </w:r>
        <w:r w:rsidR="003E14BE">
          <w:rPr>
            <w:noProof/>
            <w:webHidden/>
          </w:rPr>
          <w:fldChar w:fldCharType="begin"/>
        </w:r>
        <w:r w:rsidR="003E14BE">
          <w:rPr>
            <w:noProof/>
            <w:webHidden/>
          </w:rPr>
          <w:instrText xml:space="preserve"> PAGEREF _Toc146114990 \h </w:instrText>
        </w:r>
        <w:r w:rsidR="003E14BE">
          <w:rPr>
            <w:noProof/>
            <w:webHidden/>
          </w:rPr>
        </w:r>
        <w:r w:rsidR="003E14BE">
          <w:rPr>
            <w:noProof/>
            <w:webHidden/>
          </w:rPr>
          <w:fldChar w:fldCharType="separate"/>
        </w:r>
        <w:r w:rsidR="00433CBA">
          <w:rPr>
            <w:noProof/>
            <w:webHidden/>
          </w:rPr>
          <w:t>18</w:t>
        </w:r>
        <w:r w:rsidR="003E14BE">
          <w:rPr>
            <w:noProof/>
            <w:webHidden/>
          </w:rPr>
          <w:fldChar w:fldCharType="end"/>
        </w:r>
      </w:hyperlink>
    </w:p>
    <w:p w14:paraId="7503DD23" w14:textId="0AD28436" w:rsidR="003E14BE" w:rsidRDefault="002B534A">
      <w:pPr>
        <w:pStyle w:val="Spistreci2"/>
        <w:rPr>
          <w:rFonts w:asciiTheme="minorHAnsi" w:eastAsiaTheme="minorEastAsia" w:hAnsiTheme="minorHAnsi" w:cstheme="minorBidi"/>
          <w:noProof/>
          <w:sz w:val="22"/>
          <w:lang w:eastAsia="pl-PL"/>
        </w:rPr>
      </w:pPr>
      <w:hyperlink w:anchor="_Toc146114991" w:history="1">
        <w:r w:rsidR="003E14BE" w:rsidRPr="005E2074">
          <w:rPr>
            <w:rStyle w:val="Hipercze"/>
            <w:rFonts w:cstheme="minorHAnsi"/>
            <w:b/>
            <w:noProof/>
            <w:lang w:bidi="en-US"/>
          </w:rPr>
          <w:t>2.3.</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Mierniki efektywności realizacji programu polityki zdrowotnej</w:t>
        </w:r>
        <w:r w:rsidR="003E14BE">
          <w:rPr>
            <w:noProof/>
            <w:webHidden/>
          </w:rPr>
          <w:tab/>
        </w:r>
        <w:r w:rsidR="003E14BE">
          <w:rPr>
            <w:noProof/>
            <w:webHidden/>
          </w:rPr>
          <w:fldChar w:fldCharType="begin"/>
        </w:r>
        <w:r w:rsidR="003E14BE">
          <w:rPr>
            <w:noProof/>
            <w:webHidden/>
          </w:rPr>
          <w:instrText xml:space="preserve"> PAGEREF _Toc146114991 \h </w:instrText>
        </w:r>
        <w:r w:rsidR="003E14BE">
          <w:rPr>
            <w:noProof/>
            <w:webHidden/>
          </w:rPr>
        </w:r>
        <w:r w:rsidR="003E14BE">
          <w:rPr>
            <w:noProof/>
            <w:webHidden/>
          </w:rPr>
          <w:fldChar w:fldCharType="separate"/>
        </w:r>
        <w:r w:rsidR="00433CBA">
          <w:rPr>
            <w:noProof/>
            <w:webHidden/>
          </w:rPr>
          <w:t>19</w:t>
        </w:r>
        <w:r w:rsidR="003E14BE">
          <w:rPr>
            <w:noProof/>
            <w:webHidden/>
          </w:rPr>
          <w:fldChar w:fldCharType="end"/>
        </w:r>
      </w:hyperlink>
    </w:p>
    <w:p w14:paraId="30477E7A" w14:textId="709A3513" w:rsidR="003E14BE" w:rsidRDefault="002B534A">
      <w:pPr>
        <w:pStyle w:val="Spistreci1"/>
        <w:rPr>
          <w:rFonts w:asciiTheme="minorHAnsi" w:eastAsiaTheme="minorEastAsia" w:hAnsiTheme="minorHAnsi" w:cstheme="minorBidi"/>
          <w:b w:val="0"/>
          <w:caps w:val="0"/>
          <w:noProof/>
          <w:color w:val="auto"/>
          <w:spacing w:val="0"/>
          <w:sz w:val="22"/>
          <w:lang w:eastAsia="pl-PL"/>
        </w:rPr>
      </w:pPr>
      <w:hyperlink w:anchor="_Toc146114992" w:history="1">
        <w:r w:rsidR="003E14BE" w:rsidRPr="005E2074">
          <w:rPr>
            <w:rStyle w:val="Hipercze"/>
            <w:rFonts w:cstheme="minorHAnsi"/>
            <w:noProof/>
            <w:lang w:bidi="en-US"/>
          </w:rPr>
          <w:t>3.</w:t>
        </w:r>
        <w:r w:rsidR="003E14BE">
          <w:rPr>
            <w:rFonts w:asciiTheme="minorHAnsi" w:eastAsiaTheme="minorEastAsia" w:hAnsiTheme="minorHAnsi" w:cstheme="minorBidi"/>
            <w:b w:val="0"/>
            <w:caps w:val="0"/>
            <w:noProof/>
            <w:color w:val="auto"/>
            <w:spacing w:val="0"/>
            <w:sz w:val="22"/>
            <w:lang w:eastAsia="pl-PL"/>
          </w:rPr>
          <w:tab/>
        </w:r>
        <w:r w:rsidR="003E14BE" w:rsidRPr="005E2074">
          <w:rPr>
            <w:rStyle w:val="Hipercze"/>
            <w:rFonts w:cstheme="minorHAnsi"/>
            <w:noProof/>
            <w:lang w:bidi="en-US"/>
          </w:rPr>
          <w:t>Charakterystyka populacji docelowej oraz charakterystyka interwencji, jakie są planowane w ramach programu polityki zdrowotnej</w:t>
        </w:r>
        <w:r w:rsidR="003E14BE">
          <w:rPr>
            <w:noProof/>
            <w:webHidden/>
          </w:rPr>
          <w:tab/>
        </w:r>
        <w:r w:rsidR="003E14BE">
          <w:rPr>
            <w:noProof/>
            <w:webHidden/>
          </w:rPr>
          <w:fldChar w:fldCharType="begin"/>
        </w:r>
        <w:r w:rsidR="003E14BE">
          <w:rPr>
            <w:noProof/>
            <w:webHidden/>
          </w:rPr>
          <w:instrText xml:space="preserve"> PAGEREF _Toc146114992 \h </w:instrText>
        </w:r>
        <w:r w:rsidR="003E14BE">
          <w:rPr>
            <w:noProof/>
            <w:webHidden/>
          </w:rPr>
        </w:r>
        <w:r w:rsidR="003E14BE">
          <w:rPr>
            <w:noProof/>
            <w:webHidden/>
          </w:rPr>
          <w:fldChar w:fldCharType="separate"/>
        </w:r>
        <w:r w:rsidR="00433CBA">
          <w:rPr>
            <w:noProof/>
            <w:webHidden/>
          </w:rPr>
          <w:t>20</w:t>
        </w:r>
        <w:r w:rsidR="003E14BE">
          <w:rPr>
            <w:noProof/>
            <w:webHidden/>
          </w:rPr>
          <w:fldChar w:fldCharType="end"/>
        </w:r>
      </w:hyperlink>
    </w:p>
    <w:p w14:paraId="41CBE46A" w14:textId="160C9D44" w:rsidR="003E14BE" w:rsidRDefault="002B534A">
      <w:pPr>
        <w:pStyle w:val="Spistreci2"/>
        <w:rPr>
          <w:rFonts w:asciiTheme="minorHAnsi" w:eastAsiaTheme="minorEastAsia" w:hAnsiTheme="minorHAnsi" w:cstheme="minorBidi"/>
          <w:noProof/>
          <w:sz w:val="22"/>
          <w:lang w:eastAsia="pl-PL"/>
        </w:rPr>
      </w:pPr>
      <w:hyperlink w:anchor="_Toc146114993" w:history="1">
        <w:r w:rsidR="003E14BE" w:rsidRPr="005E2074">
          <w:rPr>
            <w:rStyle w:val="Hipercze"/>
            <w:rFonts w:cstheme="minorHAnsi"/>
            <w:b/>
            <w:noProof/>
            <w:lang w:bidi="en-US"/>
          </w:rPr>
          <w:t>3.1.</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Populacja docelowa</w:t>
        </w:r>
        <w:r w:rsidR="003E14BE">
          <w:rPr>
            <w:noProof/>
            <w:webHidden/>
          </w:rPr>
          <w:tab/>
        </w:r>
        <w:r w:rsidR="003E14BE">
          <w:rPr>
            <w:noProof/>
            <w:webHidden/>
          </w:rPr>
          <w:fldChar w:fldCharType="begin"/>
        </w:r>
        <w:r w:rsidR="003E14BE">
          <w:rPr>
            <w:noProof/>
            <w:webHidden/>
          </w:rPr>
          <w:instrText xml:space="preserve"> PAGEREF _Toc146114993 \h </w:instrText>
        </w:r>
        <w:r w:rsidR="003E14BE">
          <w:rPr>
            <w:noProof/>
            <w:webHidden/>
          </w:rPr>
        </w:r>
        <w:r w:rsidR="003E14BE">
          <w:rPr>
            <w:noProof/>
            <w:webHidden/>
          </w:rPr>
          <w:fldChar w:fldCharType="separate"/>
        </w:r>
        <w:r w:rsidR="00433CBA">
          <w:rPr>
            <w:noProof/>
            <w:webHidden/>
          </w:rPr>
          <w:t>20</w:t>
        </w:r>
        <w:r w:rsidR="003E14BE">
          <w:rPr>
            <w:noProof/>
            <w:webHidden/>
          </w:rPr>
          <w:fldChar w:fldCharType="end"/>
        </w:r>
      </w:hyperlink>
    </w:p>
    <w:p w14:paraId="46068508" w14:textId="1E400A87" w:rsidR="003E14BE" w:rsidRDefault="002B534A">
      <w:pPr>
        <w:pStyle w:val="Spistreci2"/>
        <w:rPr>
          <w:rFonts w:asciiTheme="minorHAnsi" w:eastAsiaTheme="minorEastAsia" w:hAnsiTheme="minorHAnsi" w:cstheme="minorBidi"/>
          <w:noProof/>
          <w:sz w:val="22"/>
          <w:lang w:eastAsia="pl-PL"/>
        </w:rPr>
      </w:pPr>
      <w:hyperlink w:anchor="_Toc146114994" w:history="1">
        <w:r w:rsidR="003E14BE" w:rsidRPr="005E2074">
          <w:rPr>
            <w:rStyle w:val="Hipercze"/>
            <w:rFonts w:cstheme="minorHAnsi"/>
            <w:b/>
            <w:noProof/>
            <w:lang w:bidi="en-US"/>
          </w:rPr>
          <w:t>3.2.</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Kryteria kwalifikacji do udziału w programie polityki zdrowotnej oraz kryteria wyłączenia z programu polityki zdrowotnej</w:t>
        </w:r>
        <w:r w:rsidR="003E14BE">
          <w:rPr>
            <w:noProof/>
            <w:webHidden/>
          </w:rPr>
          <w:tab/>
        </w:r>
        <w:r w:rsidR="003E14BE">
          <w:rPr>
            <w:noProof/>
            <w:webHidden/>
          </w:rPr>
          <w:fldChar w:fldCharType="begin"/>
        </w:r>
        <w:r w:rsidR="003E14BE">
          <w:rPr>
            <w:noProof/>
            <w:webHidden/>
          </w:rPr>
          <w:instrText xml:space="preserve"> PAGEREF _Toc146114994 \h </w:instrText>
        </w:r>
        <w:r w:rsidR="003E14BE">
          <w:rPr>
            <w:noProof/>
            <w:webHidden/>
          </w:rPr>
        </w:r>
        <w:r w:rsidR="003E14BE">
          <w:rPr>
            <w:noProof/>
            <w:webHidden/>
          </w:rPr>
          <w:fldChar w:fldCharType="separate"/>
        </w:r>
        <w:r w:rsidR="00433CBA">
          <w:rPr>
            <w:noProof/>
            <w:webHidden/>
          </w:rPr>
          <w:t>21</w:t>
        </w:r>
        <w:r w:rsidR="003E14BE">
          <w:rPr>
            <w:noProof/>
            <w:webHidden/>
          </w:rPr>
          <w:fldChar w:fldCharType="end"/>
        </w:r>
      </w:hyperlink>
    </w:p>
    <w:p w14:paraId="032A6B89" w14:textId="593CF728" w:rsidR="003E14BE" w:rsidRDefault="002B534A">
      <w:pPr>
        <w:pStyle w:val="Spistreci2"/>
        <w:rPr>
          <w:rFonts w:asciiTheme="minorHAnsi" w:eastAsiaTheme="minorEastAsia" w:hAnsiTheme="minorHAnsi" w:cstheme="minorBidi"/>
          <w:noProof/>
          <w:sz w:val="22"/>
          <w:lang w:eastAsia="pl-PL"/>
        </w:rPr>
      </w:pPr>
      <w:hyperlink w:anchor="_Toc146114995" w:history="1">
        <w:r w:rsidR="003E14BE" w:rsidRPr="005E2074">
          <w:rPr>
            <w:rStyle w:val="Hipercze"/>
            <w:rFonts w:cstheme="minorHAnsi"/>
            <w:b/>
            <w:noProof/>
            <w:lang w:bidi="en-US"/>
          </w:rPr>
          <w:t>3.3.</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Planowane interwencje</w:t>
        </w:r>
        <w:r w:rsidR="003E14BE">
          <w:rPr>
            <w:noProof/>
            <w:webHidden/>
          </w:rPr>
          <w:tab/>
        </w:r>
        <w:r w:rsidR="003E14BE">
          <w:rPr>
            <w:noProof/>
            <w:webHidden/>
          </w:rPr>
          <w:fldChar w:fldCharType="begin"/>
        </w:r>
        <w:r w:rsidR="003E14BE">
          <w:rPr>
            <w:noProof/>
            <w:webHidden/>
          </w:rPr>
          <w:instrText xml:space="preserve"> PAGEREF _Toc146114995 \h </w:instrText>
        </w:r>
        <w:r w:rsidR="003E14BE">
          <w:rPr>
            <w:noProof/>
            <w:webHidden/>
          </w:rPr>
        </w:r>
        <w:r w:rsidR="003E14BE">
          <w:rPr>
            <w:noProof/>
            <w:webHidden/>
          </w:rPr>
          <w:fldChar w:fldCharType="separate"/>
        </w:r>
        <w:r w:rsidR="00433CBA">
          <w:rPr>
            <w:noProof/>
            <w:webHidden/>
          </w:rPr>
          <w:t>22</w:t>
        </w:r>
        <w:r w:rsidR="003E14BE">
          <w:rPr>
            <w:noProof/>
            <w:webHidden/>
          </w:rPr>
          <w:fldChar w:fldCharType="end"/>
        </w:r>
      </w:hyperlink>
    </w:p>
    <w:p w14:paraId="0D6C2244" w14:textId="1B531D22" w:rsidR="003E14BE" w:rsidRDefault="002B534A">
      <w:pPr>
        <w:pStyle w:val="Spistreci2"/>
        <w:rPr>
          <w:rFonts w:asciiTheme="minorHAnsi" w:eastAsiaTheme="minorEastAsia" w:hAnsiTheme="minorHAnsi" w:cstheme="minorBidi"/>
          <w:noProof/>
          <w:sz w:val="22"/>
          <w:lang w:eastAsia="pl-PL"/>
        </w:rPr>
      </w:pPr>
      <w:hyperlink w:anchor="_Toc146114996" w:history="1">
        <w:r w:rsidR="003E14BE" w:rsidRPr="005E2074">
          <w:rPr>
            <w:rStyle w:val="Hipercze"/>
            <w:rFonts w:cstheme="minorHAnsi"/>
            <w:b/>
            <w:noProof/>
            <w:lang w:bidi="en-US"/>
          </w:rPr>
          <w:t>3.4.</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Sposób udzielania świadczeń zdrowotnych w ramach programu polityki zdrowotnej</w:t>
        </w:r>
        <w:r w:rsidR="003E14BE">
          <w:rPr>
            <w:noProof/>
            <w:webHidden/>
          </w:rPr>
          <w:tab/>
        </w:r>
        <w:r w:rsidR="003E14BE">
          <w:rPr>
            <w:noProof/>
            <w:webHidden/>
          </w:rPr>
          <w:fldChar w:fldCharType="begin"/>
        </w:r>
        <w:r w:rsidR="003E14BE">
          <w:rPr>
            <w:noProof/>
            <w:webHidden/>
          </w:rPr>
          <w:instrText xml:space="preserve"> PAGEREF _Toc146114996 \h </w:instrText>
        </w:r>
        <w:r w:rsidR="003E14BE">
          <w:rPr>
            <w:noProof/>
            <w:webHidden/>
          </w:rPr>
        </w:r>
        <w:r w:rsidR="003E14BE">
          <w:rPr>
            <w:noProof/>
            <w:webHidden/>
          </w:rPr>
          <w:fldChar w:fldCharType="separate"/>
        </w:r>
        <w:r w:rsidR="00433CBA">
          <w:rPr>
            <w:noProof/>
            <w:webHidden/>
          </w:rPr>
          <w:t>28</w:t>
        </w:r>
        <w:r w:rsidR="003E14BE">
          <w:rPr>
            <w:noProof/>
            <w:webHidden/>
          </w:rPr>
          <w:fldChar w:fldCharType="end"/>
        </w:r>
      </w:hyperlink>
    </w:p>
    <w:p w14:paraId="086B46BA" w14:textId="087B9A2D" w:rsidR="003E14BE" w:rsidRDefault="002B534A">
      <w:pPr>
        <w:pStyle w:val="Spistreci2"/>
        <w:rPr>
          <w:rFonts w:asciiTheme="minorHAnsi" w:eastAsiaTheme="minorEastAsia" w:hAnsiTheme="minorHAnsi" w:cstheme="minorBidi"/>
          <w:noProof/>
          <w:sz w:val="22"/>
          <w:lang w:eastAsia="pl-PL"/>
        </w:rPr>
      </w:pPr>
      <w:hyperlink w:anchor="_Toc146114997" w:history="1">
        <w:r w:rsidR="003E14BE" w:rsidRPr="005E2074">
          <w:rPr>
            <w:rStyle w:val="Hipercze"/>
            <w:rFonts w:cstheme="minorHAnsi"/>
            <w:b/>
            <w:noProof/>
            <w:lang w:bidi="en-US"/>
          </w:rPr>
          <w:t>3.5.</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Sposób zakończenia udziału w programie polityki zdrowotnej</w:t>
        </w:r>
        <w:r w:rsidR="003E14BE">
          <w:rPr>
            <w:noProof/>
            <w:webHidden/>
          </w:rPr>
          <w:tab/>
        </w:r>
        <w:r w:rsidR="003E14BE">
          <w:rPr>
            <w:noProof/>
            <w:webHidden/>
          </w:rPr>
          <w:fldChar w:fldCharType="begin"/>
        </w:r>
        <w:r w:rsidR="003E14BE">
          <w:rPr>
            <w:noProof/>
            <w:webHidden/>
          </w:rPr>
          <w:instrText xml:space="preserve"> PAGEREF _Toc146114997 \h </w:instrText>
        </w:r>
        <w:r w:rsidR="003E14BE">
          <w:rPr>
            <w:noProof/>
            <w:webHidden/>
          </w:rPr>
        </w:r>
        <w:r w:rsidR="003E14BE">
          <w:rPr>
            <w:noProof/>
            <w:webHidden/>
          </w:rPr>
          <w:fldChar w:fldCharType="separate"/>
        </w:r>
        <w:r w:rsidR="00433CBA">
          <w:rPr>
            <w:noProof/>
            <w:webHidden/>
          </w:rPr>
          <w:t>28</w:t>
        </w:r>
        <w:r w:rsidR="003E14BE">
          <w:rPr>
            <w:noProof/>
            <w:webHidden/>
          </w:rPr>
          <w:fldChar w:fldCharType="end"/>
        </w:r>
      </w:hyperlink>
    </w:p>
    <w:p w14:paraId="168504A5" w14:textId="2136C48E" w:rsidR="003E14BE" w:rsidRDefault="002B534A">
      <w:pPr>
        <w:pStyle w:val="Spistreci1"/>
        <w:rPr>
          <w:rFonts w:asciiTheme="minorHAnsi" w:eastAsiaTheme="minorEastAsia" w:hAnsiTheme="minorHAnsi" w:cstheme="minorBidi"/>
          <w:b w:val="0"/>
          <w:caps w:val="0"/>
          <w:noProof/>
          <w:color w:val="auto"/>
          <w:spacing w:val="0"/>
          <w:sz w:val="22"/>
          <w:lang w:eastAsia="pl-PL"/>
        </w:rPr>
      </w:pPr>
      <w:hyperlink w:anchor="_Toc146114998" w:history="1">
        <w:r w:rsidR="003E14BE" w:rsidRPr="005E2074">
          <w:rPr>
            <w:rStyle w:val="Hipercze"/>
            <w:rFonts w:cstheme="minorHAnsi"/>
            <w:noProof/>
            <w:lang w:bidi="en-US"/>
          </w:rPr>
          <w:t>4.</w:t>
        </w:r>
        <w:r w:rsidR="003E14BE">
          <w:rPr>
            <w:rFonts w:asciiTheme="minorHAnsi" w:eastAsiaTheme="minorEastAsia" w:hAnsiTheme="minorHAnsi" w:cstheme="minorBidi"/>
            <w:b w:val="0"/>
            <w:caps w:val="0"/>
            <w:noProof/>
            <w:color w:val="auto"/>
            <w:spacing w:val="0"/>
            <w:sz w:val="22"/>
            <w:lang w:eastAsia="pl-PL"/>
          </w:rPr>
          <w:tab/>
        </w:r>
        <w:r w:rsidR="003E14BE" w:rsidRPr="005E2074">
          <w:rPr>
            <w:rStyle w:val="Hipercze"/>
            <w:rFonts w:cstheme="minorHAnsi"/>
            <w:noProof/>
            <w:lang w:bidi="en-US"/>
          </w:rPr>
          <w:t>Organizacja programu polityki zdrowotnej</w:t>
        </w:r>
        <w:r w:rsidR="003E14BE">
          <w:rPr>
            <w:noProof/>
            <w:webHidden/>
          </w:rPr>
          <w:tab/>
        </w:r>
        <w:r w:rsidR="003E14BE">
          <w:rPr>
            <w:noProof/>
            <w:webHidden/>
          </w:rPr>
          <w:fldChar w:fldCharType="begin"/>
        </w:r>
        <w:r w:rsidR="003E14BE">
          <w:rPr>
            <w:noProof/>
            <w:webHidden/>
          </w:rPr>
          <w:instrText xml:space="preserve"> PAGEREF _Toc146114998 \h </w:instrText>
        </w:r>
        <w:r w:rsidR="003E14BE">
          <w:rPr>
            <w:noProof/>
            <w:webHidden/>
          </w:rPr>
        </w:r>
        <w:r w:rsidR="003E14BE">
          <w:rPr>
            <w:noProof/>
            <w:webHidden/>
          </w:rPr>
          <w:fldChar w:fldCharType="separate"/>
        </w:r>
        <w:r w:rsidR="00433CBA">
          <w:rPr>
            <w:noProof/>
            <w:webHidden/>
          </w:rPr>
          <w:t>29</w:t>
        </w:r>
        <w:r w:rsidR="003E14BE">
          <w:rPr>
            <w:noProof/>
            <w:webHidden/>
          </w:rPr>
          <w:fldChar w:fldCharType="end"/>
        </w:r>
      </w:hyperlink>
    </w:p>
    <w:p w14:paraId="080FF4D4" w14:textId="41E438E5" w:rsidR="003E14BE" w:rsidRDefault="002B534A">
      <w:pPr>
        <w:pStyle w:val="Spistreci2"/>
        <w:rPr>
          <w:rFonts w:asciiTheme="minorHAnsi" w:eastAsiaTheme="minorEastAsia" w:hAnsiTheme="minorHAnsi" w:cstheme="minorBidi"/>
          <w:noProof/>
          <w:sz w:val="22"/>
          <w:lang w:eastAsia="pl-PL"/>
        </w:rPr>
      </w:pPr>
      <w:hyperlink w:anchor="_Toc146114999" w:history="1">
        <w:r w:rsidR="003E14BE" w:rsidRPr="005E2074">
          <w:rPr>
            <w:rStyle w:val="Hipercze"/>
            <w:rFonts w:cstheme="minorHAnsi"/>
            <w:b/>
            <w:noProof/>
            <w:lang w:bidi="en-US"/>
          </w:rPr>
          <w:t>4.1.</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 xml:space="preserve">Etapy </w:t>
        </w:r>
        <w:r w:rsidR="003E14BE" w:rsidRPr="00441CD1">
          <w:rPr>
            <w:rStyle w:val="Hipercze"/>
            <w:rFonts w:asciiTheme="minorHAnsi" w:hAnsiTheme="minorHAnsi" w:cstheme="minorHAnsi"/>
            <w:noProof/>
            <w:lang w:bidi="en-US"/>
          </w:rPr>
          <w:t>programu</w:t>
        </w:r>
        <w:r w:rsidR="003E14BE" w:rsidRPr="005E2074">
          <w:rPr>
            <w:rStyle w:val="Hipercze"/>
            <w:rFonts w:cstheme="minorHAnsi"/>
            <w:noProof/>
            <w:lang w:bidi="en-US"/>
          </w:rPr>
          <w:t xml:space="preserve"> polityki zdrowotnej i działania podejmowane w ramach etapów</w:t>
        </w:r>
        <w:r w:rsidR="003E14BE">
          <w:rPr>
            <w:noProof/>
            <w:webHidden/>
          </w:rPr>
          <w:tab/>
        </w:r>
        <w:r w:rsidR="003E14BE">
          <w:rPr>
            <w:noProof/>
            <w:webHidden/>
          </w:rPr>
          <w:fldChar w:fldCharType="begin"/>
        </w:r>
        <w:r w:rsidR="003E14BE">
          <w:rPr>
            <w:noProof/>
            <w:webHidden/>
          </w:rPr>
          <w:instrText xml:space="preserve"> PAGEREF _Toc146114999 \h </w:instrText>
        </w:r>
        <w:r w:rsidR="003E14BE">
          <w:rPr>
            <w:noProof/>
            <w:webHidden/>
          </w:rPr>
        </w:r>
        <w:r w:rsidR="003E14BE">
          <w:rPr>
            <w:noProof/>
            <w:webHidden/>
          </w:rPr>
          <w:fldChar w:fldCharType="separate"/>
        </w:r>
        <w:r w:rsidR="00433CBA">
          <w:rPr>
            <w:noProof/>
            <w:webHidden/>
          </w:rPr>
          <w:t>29</w:t>
        </w:r>
        <w:r w:rsidR="003E14BE">
          <w:rPr>
            <w:noProof/>
            <w:webHidden/>
          </w:rPr>
          <w:fldChar w:fldCharType="end"/>
        </w:r>
      </w:hyperlink>
    </w:p>
    <w:p w14:paraId="6730160C" w14:textId="7F48427C" w:rsidR="003E14BE" w:rsidRDefault="002B534A">
      <w:pPr>
        <w:pStyle w:val="Spistreci2"/>
        <w:rPr>
          <w:rFonts w:asciiTheme="minorHAnsi" w:eastAsiaTheme="minorEastAsia" w:hAnsiTheme="minorHAnsi" w:cstheme="minorBidi"/>
          <w:noProof/>
          <w:sz w:val="22"/>
          <w:lang w:eastAsia="pl-PL"/>
        </w:rPr>
      </w:pPr>
      <w:hyperlink w:anchor="_Toc146115000" w:history="1">
        <w:r w:rsidR="003E14BE" w:rsidRPr="005E2074">
          <w:rPr>
            <w:rStyle w:val="Hipercze"/>
            <w:rFonts w:cstheme="minorHAnsi"/>
            <w:b/>
            <w:noProof/>
            <w:lang w:bidi="en-US"/>
          </w:rPr>
          <w:t>4.2.</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Warunki realizacji programu polityki zdrowotnej dotyczące personelu, wyposażenia i warunków lokalowych</w:t>
        </w:r>
        <w:r w:rsidR="003E14BE">
          <w:rPr>
            <w:noProof/>
            <w:webHidden/>
          </w:rPr>
          <w:tab/>
        </w:r>
        <w:r w:rsidR="003E14BE">
          <w:rPr>
            <w:noProof/>
            <w:webHidden/>
          </w:rPr>
          <w:fldChar w:fldCharType="begin"/>
        </w:r>
        <w:r w:rsidR="003E14BE">
          <w:rPr>
            <w:noProof/>
            <w:webHidden/>
          </w:rPr>
          <w:instrText xml:space="preserve"> PAGEREF _Toc146115000 \h </w:instrText>
        </w:r>
        <w:r w:rsidR="003E14BE">
          <w:rPr>
            <w:noProof/>
            <w:webHidden/>
          </w:rPr>
        </w:r>
        <w:r w:rsidR="003E14BE">
          <w:rPr>
            <w:noProof/>
            <w:webHidden/>
          </w:rPr>
          <w:fldChar w:fldCharType="separate"/>
        </w:r>
        <w:r w:rsidR="00433CBA">
          <w:rPr>
            <w:noProof/>
            <w:webHidden/>
          </w:rPr>
          <w:t>31</w:t>
        </w:r>
        <w:r w:rsidR="003E14BE">
          <w:rPr>
            <w:noProof/>
            <w:webHidden/>
          </w:rPr>
          <w:fldChar w:fldCharType="end"/>
        </w:r>
      </w:hyperlink>
    </w:p>
    <w:p w14:paraId="3ACAAA91" w14:textId="2CFDD22B" w:rsidR="003E14BE" w:rsidRDefault="002B534A">
      <w:pPr>
        <w:pStyle w:val="Spistreci1"/>
        <w:rPr>
          <w:rFonts w:asciiTheme="minorHAnsi" w:eastAsiaTheme="minorEastAsia" w:hAnsiTheme="minorHAnsi" w:cstheme="minorBidi"/>
          <w:b w:val="0"/>
          <w:caps w:val="0"/>
          <w:noProof/>
          <w:color w:val="auto"/>
          <w:spacing w:val="0"/>
          <w:sz w:val="22"/>
          <w:lang w:eastAsia="pl-PL"/>
        </w:rPr>
      </w:pPr>
      <w:hyperlink w:anchor="_Toc146115001" w:history="1">
        <w:r w:rsidR="003E14BE" w:rsidRPr="005E2074">
          <w:rPr>
            <w:rStyle w:val="Hipercze"/>
            <w:rFonts w:cstheme="minorHAnsi"/>
            <w:noProof/>
            <w:lang w:bidi="en-US"/>
          </w:rPr>
          <w:t>5.</w:t>
        </w:r>
        <w:r w:rsidR="003E14BE">
          <w:rPr>
            <w:rFonts w:asciiTheme="minorHAnsi" w:eastAsiaTheme="minorEastAsia" w:hAnsiTheme="minorHAnsi" w:cstheme="minorBidi"/>
            <w:b w:val="0"/>
            <w:caps w:val="0"/>
            <w:noProof/>
            <w:color w:val="auto"/>
            <w:spacing w:val="0"/>
            <w:sz w:val="22"/>
            <w:lang w:eastAsia="pl-PL"/>
          </w:rPr>
          <w:tab/>
        </w:r>
        <w:r w:rsidR="003E14BE" w:rsidRPr="005E2074">
          <w:rPr>
            <w:rStyle w:val="Hipercze"/>
            <w:rFonts w:cstheme="minorHAnsi"/>
            <w:noProof/>
            <w:lang w:bidi="en-US"/>
          </w:rPr>
          <w:t>Sposób monitorowania i ewaluacji programu polityki zdrowotnej</w:t>
        </w:r>
        <w:r w:rsidR="003E14BE">
          <w:rPr>
            <w:noProof/>
            <w:webHidden/>
          </w:rPr>
          <w:tab/>
        </w:r>
        <w:r w:rsidR="003E14BE">
          <w:rPr>
            <w:noProof/>
            <w:webHidden/>
          </w:rPr>
          <w:fldChar w:fldCharType="begin"/>
        </w:r>
        <w:r w:rsidR="003E14BE">
          <w:rPr>
            <w:noProof/>
            <w:webHidden/>
          </w:rPr>
          <w:instrText xml:space="preserve"> PAGEREF _Toc146115001 \h </w:instrText>
        </w:r>
        <w:r w:rsidR="003E14BE">
          <w:rPr>
            <w:noProof/>
            <w:webHidden/>
          </w:rPr>
        </w:r>
        <w:r w:rsidR="003E14BE">
          <w:rPr>
            <w:noProof/>
            <w:webHidden/>
          </w:rPr>
          <w:fldChar w:fldCharType="separate"/>
        </w:r>
        <w:r w:rsidR="00433CBA">
          <w:rPr>
            <w:noProof/>
            <w:webHidden/>
          </w:rPr>
          <w:t>33</w:t>
        </w:r>
        <w:r w:rsidR="003E14BE">
          <w:rPr>
            <w:noProof/>
            <w:webHidden/>
          </w:rPr>
          <w:fldChar w:fldCharType="end"/>
        </w:r>
      </w:hyperlink>
    </w:p>
    <w:p w14:paraId="0BFE5F36" w14:textId="339F4127" w:rsidR="003E14BE" w:rsidRDefault="002B534A">
      <w:pPr>
        <w:pStyle w:val="Spistreci2"/>
        <w:rPr>
          <w:rFonts w:asciiTheme="minorHAnsi" w:eastAsiaTheme="minorEastAsia" w:hAnsiTheme="minorHAnsi" w:cstheme="minorBidi"/>
          <w:noProof/>
          <w:sz w:val="22"/>
          <w:lang w:eastAsia="pl-PL"/>
        </w:rPr>
      </w:pPr>
      <w:hyperlink w:anchor="_Toc146115002" w:history="1">
        <w:r w:rsidR="003E14BE" w:rsidRPr="005E2074">
          <w:rPr>
            <w:rStyle w:val="Hipercze"/>
            <w:rFonts w:cstheme="minorHAnsi"/>
            <w:b/>
            <w:noProof/>
            <w:lang w:bidi="en-US"/>
          </w:rPr>
          <w:t>5.1.</w:t>
        </w:r>
        <w:r w:rsidR="003E14BE">
          <w:rPr>
            <w:rFonts w:asciiTheme="minorHAnsi" w:eastAsiaTheme="minorEastAsia" w:hAnsiTheme="minorHAnsi" w:cstheme="minorBidi"/>
            <w:noProof/>
            <w:sz w:val="22"/>
            <w:lang w:eastAsia="pl-PL"/>
          </w:rPr>
          <w:tab/>
        </w:r>
        <w:r w:rsidR="003E14BE" w:rsidRPr="00441CD1">
          <w:rPr>
            <w:rStyle w:val="Hipercze"/>
            <w:rFonts w:asciiTheme="minorHAnsi" w:hAnsiTheme="minorHAnsi" w:cstheme="minorHAnsi"/>
            <w:noProof/>
            <w:lang w:bidi="en-US"/>
          </w:rPr>
          <w:t>Monitorowanie</w:t>
        </w:r>
        <w:r w:rsidR="003E14BE">
          <w:rPr>
            <w:noProof/>
            <w:webHidden/>
          </w:rPr>
          <w:tab/>
        </w:r>
        <w:r w:rsidR="003E14BE">
          <w:rPr>
            <w:noProof/>
            <w:webHidden/>
          </w:rPr>
          <w:fldChar w:fldCharType="begin"/>
        </w:r>
        <w:r w:rsidR="003E14BE">
          <w:rPr>
            <w:noProof/>
            <w:webHidden/>
          </w:rPr>
          <w:instrText xml:space="preserve"> PAGEREF _Toc146115002 \h </w:instrText>
        </w:r>
        <w:r w:rsidR="003E14BE">
          <w:rPr>
            <w:noProof/>
            <w:webHidden/>
          </w:rPr>
        </w:r>
        <w:r w:rsidR="003E14BE">
          <w:rPr>
            <w:noProof/>
            <w:webHidden/>
          </w:rPr>
          <w:fldChar w:fldCharType="separate"/>
        </w:r>
        <w:r w:rsidR="00433CBA">
          <w:rPr>
            <w:noProof/>
            <w:webHidden/>
          </w:rPr>
          <w:t>33</w:t>
        </w:r>
        <w:r w:rsidR="003E14BE">
          <w:rPr>
            <w:noProof/>
            <w:webHidden/>
          </w:rPr>
          <w:fldChar w:fldCharType="end"/>
        </w:r>
      </w:hyperlink>
    </w:p>
    <w:p w14:paraId="389748A0" w14:textId="4F5F4783" w:rsidR="003E14BE" w:rsidRDefault="002B534A">
      <w:pPr>
        <w:pStyle w:val="Spistreci2"/>
        <w:rPr>
          <w:rFonts w:asciiTheme="minorHAnsi" w:eastAsiaTheme="minorEastAsia" w:hAnsiTheme="minorHAnsi" w:cstheme="minorBidi"/>
          <w:noProof/>
          <w:sz w:val="22"/>
          <w:lang w:eastAsia="pl-PL"/>
        </w:rPr>
      </w:pPr>
      <w:hyperlink w:anchor="_Toc146115003" w:history="1">
        <w:r w:rsidR="003E14BE" w:rsidRPr="005E2074">
          <w:rPr>
            <w:rStyle w:val="Hipercze"/>
            <w:rFonts w:cstheme="minorHAnsi"/>
            <w:b/>
            <w:noProof/>
            <w:lang w:bidi="en-US"/>
          </w:rPr>
          <w:t>5.2.</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Ewaluacja</w:t>
        </w:r>
        <w:r w:rsidR="003E14BE">
          <w:rPr>
            <w:noProof/>
            <w:webHidden/>
          </w:rPr>
          <w:tab/>
        </w:r>
        <w:r w:rsidR="003E14BE">
          <w:rPr>
            <w:noProof/>
            <w:webHidden/>
          </w:rPr>
          <w:fldChar w:fldCharType="begin"/>
        </w:r>
        <w:r w:rsidR="003E14BE">
          <w:rPr>
            <w:noProof/>
            <w:webHidden/>
          </w:rPr>
          <w:instrText xml:space="preserve"> PAGEREF _Toc146115003 \h </w:instrText>
        </w:r>
        <w:r w:rsidR="003E14BE">
          <w:rPr>
            <w:noProof/>
            <w:webHidden/>
          </w:rPr>
        </w:r>
        <w:r w:rsidR="003E14BE">
          <w:rPr>
            <w:noProof/>
            <w:webHidden/>
          </w:rPr>
          <w:fldChar w:fldCharType="separate"/>
        </w:r>
        <w:r w:rsidR="00433CBA">
          <w:rPr>
            <w:noProof/>
            <w:webHidden/>
          </w:rPr>
          <w:t>35</w:t>
        </w:r>
        <w:r w:rsidR="003E14BE">
          <w:rPr>
            <w:noProof/>
            <w:webHidden/>
          </w:rPr>
          <w:fldChar w:fldCharType="end"/>
        </w:r>
      </w:hyperlink>
    </w:p>
    <w:p w14:paraId="1EC9E9D5" w14:textId="6C76A3D6" w:rsidR="003E14BE" w:rsidRDefault="002B534A">
      <w:pPr>
        <w:pStyle w:val="Spistreci1"/>
        <w:rPr>
          <w:rFonts w:asciiTheme="minorHAnsi" w:eastAsiaTheme="minorEastAsia" w:hAnsiTheme="minorHAnsi" w:cstheme="minorBidi"/>
          <w:b w:val="0"/>
          <w:caps w:val="0"/>
          <w:noProof/>
          <w:color w:val="auto"/>
          <w:spacing w:val="0"/>
          <w:sz w:val="22"/>
          <w:lang w:eastAsia="pl-PL"/>
        </w:rPr>
      </w:pPr>
      <w:hyperlink w:anchor="_Toc146115004" w:history="1">
        <w:r w:rsidR="003E14BE" w:rsidRPr="005E2074">
          <w:rPr>
            <w:rStyle w:val="Hipercze"/>
            <w:rFonts w:cstheme="minorHAnsi"/>
            <w:noProof/>
            <w:lang w:bidi="en-US"/>
          </w:rPr>
          <w:t>6.</w:t>
        </w:r>
        <w:r w:rsidR="003E14BE">
          <w:rPr>
            <w:rFonts w:asciiTheme="minorHAnsi" w:eastAsiaTheme="minorEastAsia" w:hAnsiTheme="minorHAnsi" w:cstheme="minorBidi"/>
            <w:b w:val="0"/>
            <w:caps w:val="0"/>
            <w:noProof/>
            <w:color w:val="auto"/>
            <w:spacing w:val="0"/>
            <w:sz w:val="22"/>
            <w:lang w:eastAsia="pl-PL"/>
          </w:rPr>
          <w:tab/>
        </w:r>
        <w:r w:rsidR="003E14BE" w:rsidRPr="005E2074">
          <w:rPr>
            <w:rStyle w:val="Hipercze"/>
            <w:rFonts w:cstheme="minorHAnsi"/>
            <w:noProof/>
            <w:lang w:bidi="en-US"/>
          </w:rPr>
          <w:t>Budżet programu polityki zdrowotnej</w:t>
        </w:r>
        <w:r w:rsidR="003E14BE">
          <w:rPr>
            <w:noProof/>
            <w:webHidden/>
          </w:rPr>
          <w:tab/>
        </w:r>
        <w:r w:rsidR="003E14BE">
          <w:rPr>
            <w:noProof/>
            <w:webHidden/>
          </w:rPr>
          <w:fldChar w:fldCharType="begin"/>
        </w:r>
        <w:r w:rsidR="003E14BE">
          <w:rPr>
            <w:noProof/>
            <w:webHidden/>
          </w:rPr>
          <w:instrText xml:space="preserve"> PAGEREF _Toc146115004 \h </w:instrText>
        </w:r>
        <w:r w:rsidR="003E14BE">
          <w:rPr>
            <w:noProof/>
            <w:webHidden/>
          </w:rPr>
        </w:r>
        <w:r w:rsidR="003E14BE">
          <w:rPr>
            <w:noProof/>
            <w:webHidden/>
          </w:rPr>
          <w:fldChar w:fldCharType="separate"/>
        </w:r>
        <w:r w:rsidR="00433CBA">
          <w:rPr>
            <w:noProof/>
            <w:webHidden/>
          </w:rPr>
          <w:t>36</w:t>
        </w:r>
        <w:r w:rsidR="003E14BE">
          <w:rPr>
            <w:noProof/>
            <w:webHidden/>
          </w:rPr>
          <w:fldChar w:fldCharType="end"/>
        </w:r>
      </w:hyperlink>
    </w:p>
    <w:p w14:paraId="431C63B3" w14:textId="031B3123" w:rsidR="003E14BE" w:rsidRDefault="002B534A">
      <w:pPr>
        <w:pStyle w:val="Spistreci2"/>
        <w:rPr>
          <w:rFonts w:asciiTheme="minorHAnsi" w:eastAsiaTheme="minorEastAsia" w:hAnsiTheme="minorHAnsi" w:cstheme="minorBidi"/>
          <w:noProof/>
          <w:sz w:val="22"/>
          <w:lang w:eastAsia="pl-PL"/>
        </w:rPr>
      </w:pPr>
      <w:hyperlink w:anchor="_Toc146115005" w:history="1">
        <w:r w:rsidR="003E14BE" w:rsidRPr="005E2074">
          <w:rPr>
            <w:rStyle w:val="Hipercze"/>
            <w:rFonts w:cstheme="minorHAnsi"/>
            <w:b/>
            <w:noProof/>
            <w:lang w:bidi="en-US"/>
          </w:rPr>
          <w:t>6.1.</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Koszty jednostkowe</w:t>
        </w:r>
        <w:r w:rsidR="003E14BE">
          <w:rPr>
            <w:noProof/>
            <w:webHidden/>
          </w:rPr>
          <w:tab/>
        </w:r>
        <w:r w:rsidR="003E14BE">
          <w:rPr>
            <w:noProof/>
            <w:webHidden/>
          </w:rPr>
          <w:fldChar w:fldCharType="begin"/>
        </w:r>
        <w:r w:rsidR="003E14BE">
          <w:rPr>
            <w:noProof/>
            <w:webHidden/>
          </w:rPr>
          <w:instrText xml:space="preserve"> PAGEREF _Toc146115005 \h </w:instrText>
        </w:r>
        <w:r w:rsidR="003E14BE">
          <w:rPr>
            <w:noProof/>
            <w:webHidden/>
          </w:rPr>
        </w:r>
        <w:r w:rsidR="003E14BE">
          <w:rPr>
            <w:noProof/>
            <w:webHidden/>
          </w:rPr>
          <w:fldChar w:fldCharType="separate"/>
        </w:r>
        <w:r w:rsidR="00433CBA">
          <w:rPr>
            <w:noProof/>
            <w:webHidden/>
          </w:rPr>
          <w:t>36</w:t>
        </w:r>
        <w:r w:rsidR="003E14BE">
          <w:rPr>
            <w:noProof/>
            <w:webHidden/>
          </w:rPr>
          <w:fldChar w:fldCharType="end"/>
        </w:r>
      </w:hyperlink>
    </w:p>
    <w:p w14:paraId="3329A345" w14:textId="2C9B7185" w:rsidR="003E14BE" w:rsidRDefault="002B534A">
      <w:pPr>
        <w:pStyle w:val="Spistreci2"/>
        <w:rPr>
          <w:rFonts w:asciiTheme="minorHAnsi" w:eastAsiaTheme="minorEastAsia" w:hAnsiTheme="minorHAnsi" w:cstheme="minorBidi"/>
          <w:noProof/>
          <w:sz w:val="22"/>
          <w:lang w:eastAsia="pl-PL"/>
        </w:rPr>
      </w:pPr>
      <w:hyperlink w:anchor="_Toc146115006" w:history="1">
        <w:r w:rsidR="003E14BE" w:rsidRPr="005E2074">
          <w:rPr>
            <w:rStyle w:val="Hipercze"/>
            <w:rFonts w:cstheme="minorHAnsi"/>
            <w:b/>
            <w:noProof/>
            <w:lang w:bidi="en-US"/>
          </w:rPr>
          <w:t>6.2.</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Koszty całkowite</w:t>
        </w:r>
        <w:r w:rsidR="003E14BE">
          <w:rPr>
            <w:noProof/>
            <w:webHidden/>
          </w:rPr>
          <w:tab/>
        </w:r>
        <w:r w:rsidR="003E14BE">
          <w:rPr>
            <w:noProof/>
            <w:webHidden/>
          </w:rPr>
          <w:fldChar w:fldCharType="begin"/>
        </w:r>
        <w:r w:rsidR="003E14BE">
          <w:rPr>
            <w:noProof/>
            <w:webHidden/>
          </w:rPr>
          <w:instrText xml:space="preserve"> PAGEREF _Toc146115006 \h </w:instrText>
        </w:r>
        <w:r w:rsidR="003E14BE">
          <w:rPr>
            <w:noProof/>
            <w:webHidden/>
          </w:rPr>
        </w:r>
        <w:r w:rsidR="003E14BE">
          <w:rPr>
            <w:noProof/>
            <w:webHidden/>
          </w:rPr>
          <w:fldChar w:fldCharType="separate"/>
        </w:r>
        <w:r w:rsidR="00433CBA">
          <w:rPr>
            <w:noProof/>
            <w:webHidden/>
          </w:rPr>
          <w:t>38</w:t>
        </w:r>
        <w:r w:rsidR="003E14BE">
          <w:rPr>
            <w:noProof/>
            <w:webHidden/>
          </w:rPr>
          <w:fldChar w:fldCharType="end"/>
        </w:r>
      </w:hyperlink>
    </w:p>
    <w:p w14:paraId="5F694E5A" w14:textId="69DC7FF2" w:rsidR="003E14BE" w:rsidRDefault="002B534A">
      <w:pPr>
        <w:pStyle w:val="Spistreci2"/>
        <w:rPr>
          <w:rFonts w:asciiTheme="minorHAnsi" w:eastAsiaTheme="minorEastAsia" w:hAnsiTheme="minorHAnsi" w:cstheme="minorBidi"/>
          <w:noProof/>
          <w:sz w:val="22"/>
          <w:lang w:eastAsia="pl-PL"/>
        </w:rPr>
      </w:pPr>
      <w:hyperlink w:anchor="_Toc146115007" w:history="1">
        <w:r w:rsidR="003E14BE" w:rsidRPr="005E2074">
          <w:rPr>
            <w:rStyle w:val="Hipercze"/>
            <w:rFonts w:cstheme="minorHAnsi"/>
            <w:b/>
            <w:noProof/>
            <w:lang w:bidi="en-US"/>
          </w:rPr>
          <w:t>6.3.</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Źródła finansowania</w:t>
        </w:r>
        <w:r w:rsidR="003E14BE">
          <w:rPr>
            <w:noProof/>
            <w:webHidden/>
          </w:rPr>
          <w:tab/>
        </w:r>
        <w:r w:rsidR="003E14BE">
          <w:rPr>
            <w:noProof/>
            <w:webHidden/>
          </w:rPr>
          <w:fldChar w:fldCharType="begin"/>
        </w:r>
        <w:r w:rsidR="003E14BE">
          <w:rPr>
            <w:noProof/>
            <w:webHidden/>
          </w:rPr>
          <w:instrText xml:space="preserve"> PAGEREF _Toc146115007 \h </w:instrText>
        </w:r>
        <w:r w:rsidR="003E14BE">
          <w:rPr>
            <w:noProof/>
            <w:webHidden/>
          </w:rPr>
        </w:r>
        <w:r w:rsidR="003E14BE">
          <w:rPr>
            <w:noProof/>
            <w:webHidden/>
          </w:rPr>
          <w:fldChar w:fldCharType="separate"/>
        </w:r>
        <w:r w:rsidR="00433CBA">
          <w:rPr>
            <w:noProof/>
            <w:webHidden/>
          </w:rPr>
          <w:t>38</w:t>
        </w:r>
        <w:r w:rsidR="003E14BE">
          <w:rPr>
            <w:noProof/>
            <w:webHidden/>
          </w:rPr>
          <w:fldChar w:fldCharType="end"/>
        </w:r>
      </w:hyperlink>
    </w:p>
    <w:p w14:paraId="65EFCD0D" w14:textId="708AEE43" w:rsidR="00441CD1" w:rsidRDefault="002B534A">
      <w:pPr>
        <w:pStyle w:val="Spistreci1"/>
        <w:rPr>
          <w:rFonts w:asciiTheme="minorHAnsi" w:eastAsiaTheme="minorEastAsia" w:hAnsiTheme="minorHAnsi" w:cstheme="minorBidi"/>
          <w:b w:val="0"/>
          <w:caps w:val="0"/>
          <w:noProof/>
          <w:color w:val="auto"/>
          <w:spacing w:val="0"/>
          <w:sz w:val="22"/>
          <w:lang w:eastAsia="pl-PL"/>
        </w:rPr>
      </w:pPr>
      <w:hyperlink w:anchor="_Toc146115008" w:history="1">
        <w:r w:rsidR="003E14BE" w:rsidRPr="005E2074">
          <w:rPr>
            <w:rStyle w:val="Hipercze"/>
            <w:rFonts w:cstheme="minorHAnsi"/>
            <w:noProof/>
            <w:lang w:bidi="en-US"/>
          </w:rPr>
          <w:t>Bibliografia</w:t>
        </w:r>
        <w:r w:rsidR="003E14BE">
          <w:rPr>
            <w:noProof/>
            <w:webHidden/>
          </w:rPr>
          <w:tab/>
        </w:r>
        <w:r w:rsidR="003E14BE">
          <w:rPr>
            <w:noProof/>
            <w:webHidden/>
          </w:rPr>
          <w:fldChar w:fldCharType="begin"/>
        </w:r>
        <w:r w:rsidR="003E14BE">
          <w:rPr>
            <w:noProof/>
            <w:webHidden/>
          </w:rPr>
          <w:instrText xml:space="preserve"> PAGEREF _Toc146115008 \h </w:instrText>
        </w:r>
        <w:r w:rsidR="003E14BE">
          <w:rPr>
            <w:noProof/>
            <w:webHidden/>
          </w:rPr>
        </w:r>
        <w:r w:rsidR="003E14BE">
          <w:rPr>
            <w:noProof/>
            <w:webHidden/>
          </w:rPr>
          <w:fldChar w:fldCharType="separate"/>
        </w:r>
        <w:r w:rsidR="00433CBA">
          <w:rPr>
            <w:noProof/>
            <w:webHidden/>
          </w:rPr>
          <w:t>39</w:t>
        </w:r>
        <w:r w:rsidR="003E14BE">
          <w:rPr>
            <w:noProof/>
            <w:webHidden/>
          </w:rPr>
          <w:fldChar w:fldCharType="end"/>
        </w:r>
      </w:hyperlink>
    </w:p>
    <w:p w14:paraId="7863B06A" w14:textId="1B5FA78B" w:rsidR="00441CD1" w:rsidRDefault="00441CD1" w:rsidP="00441CD1">
      <w:pPr>
        <w:rPr>
          <w:rFonts w:eastAsiaTheme="minorEastAsia"/>
          <w:lang w:eastAsia="pl-PL" w:bidi="ar-SA"/>
        </w:rPr>
      </w:pPr>
    </w:p>
    <w:p w14:paraId="3FAB3B24" w14:textId="77777777" w:rsidR="003E14BE" w:rsidRPr="00441CD1" w:rsidRDefault="003E14BE" w:rsidP="00441CD1">
      <w:pPr>
        <w:ind w:firstLine="708"/>
        <w:rPr>
          <w:rFonts w:eastAsiaTheme="minorEastAsia"/>
          <w:lang w:eastAsia="pl-PL" w:bidi="ar-SA"/>
        </w:rPr>
      </w:pPr>
    </w:p>
    <w:p w14:paraId="0FE6ACFA" w14:textId="3B56B7E6" w:rsidR="00A80621" w:rsidRPr="00BC10F2" w:rsidRDefault="007941FC" w:rsidP="009249A3">
      <w:pPr>
        <w:pStyle w:val="Nagwek1"/>
        <w:rPr>
          <w:rFonts w:asciiTheme="minorHAnsi" w:hAnsiTheme="minorHAnsi" w:cstheme="minorHAnsi"/>
        </w:rPr>
      </w:pPr>
      <w:r w:rsidRPr="00BC10F2">
        <w:rPr>
          <w:rFonts w:asciiTheme="minorHAnsi" w:hAnsiTheme="minorHAnsi" w:cstheme="minorHAnsi"/>
        </w:rPr>
        <w:lastRenderedPageBreak/>
        <w:fldChar w:fldCharType="end"/>
      </w:r>
      <w:bookmarkStart w:id="2" w:name="_Toc146114983"/>
      <w:r w:rsidRPr="00BC10F2">
        <w:rPr>
          <w:rFonts w:asciiTheme="minorHAnsi" w:hAnsiTheme="minorHAnsi" w:cstheme="minorHAnsi"/>
        </w:rPr>
        <w:t>Opis choroby lub problemu zdrowotnego i uzasadnienie wprowadzenia programu polityki zdrowotnej</w:t>
      </w:r>
      <w:bookmarkEnd w:id="2"/>
    </w:p>
    <w:p w14:paraId="1F86A660" w14:textId="77777777" w:rsidR="00A80621" w:rsidRPr="00BC10F2" w:rsidRDefault="007941FC">
      <w:pPr>
        <w:pStyle w:val="Nagwek2"/>
        <w:rPr>
          <w:rFonts w:asciiTheme="minorHAnsi" w:hAnsiTheme="minorHAnsi" w:cstheme="minorHAnsi"/>
        </w:rPr>
      </w:pPr>
      <w:bookmarkStart w:id="3" w:name="_Toc146114984"/>
      <w:r w:rsidRPr="00BC10F2">
        <w:rPr>
          <w:rFonts w:asciiTheme="minorHAnsi" w:hAnsiTheme="minorHAnsi" w:cstheme="minorHAnsi"/>
        </w:rPr>
        <w:t>Opis problemu zdrowotnego i epidemiologia</w:t>
      </w:r>
      <w:bookmarkEnd w:id="3"/>
    </w:p>
    <w:p w14:paraId="0BA96328"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b/>
        </w:rPr>
        <w:t>Osteoporoza</w:t>
      </w:r>
      <w:r w:rsidRPr="00BC10F2">
        <w:rPr>
          <w:rFonts w:asciiTheme="minorHAnsi" w:hAnsiTheme="minorHAnsi" w:cstheme="minorHAnsi"/>
        </w:rPr>
        <w:t xml:space="preserve"> to układowa choroba szkieletu, charakteryzująca się zwiększonym ryzykiem złamań kości w następstwie zmniejszenia ich odporności mechanicznej. Odporność mechaniczna kości jest uwarunkowana gęstością mineralną (MDB) i jakością tkanki kostnej. Do złamania niskoenergetycznego (patologicznego) może dojść nie tylko z powodu osteoporozy, lecz np. z powodu nowotworu. Złamanie niskoenergetyczne definiuje się jako złamanie pod wpływem siły, która nie łamie zdrowej kości (upadek z wysokości własnego ciała lub wystąpienie złamania samoistnego). Wyróżnia się dwa rodzaje osteoporozy:</w:t>
      </w:r>
    </w:p>
    <w:p w14:paraId="7C4DA46F"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pierwotna, która rozwija się u kobiet po menopauzie i rzadziej u mężczyzn w podeszłym wieku,</w:t>
      </w:r>
    </w:p>
    <w:p w14:paraId="49AA2B49"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 xml:space="preserve">wtórna – jest następstwem różnych stanów patologicznych lub wynikiem działania niektórych leków, najczęściej </w:t>
      </w:r>
      <w:proofErr w:type="spellStart"/>
      <w:r w:rsidRPr="00BC10F2">
        <w:rPr>
          <w:rFonts w:asciiTheme="minorHAnsi" w:hAnsiTheme="minorHAnsi" w:cstheme="minorHAnsi"/>
        </w:rPr>
        <w:t>glikokortykosteroidów</w:t>
      </w:r>
      <w:proofErr w:type="spellEnd"/>
      <w:r w:rsidRPr="00BC10F2">
        <w:rPr>
          <w:rFonts w:asciiTheme="minorHAnsi" w:hAnsiTheme="minorHAnsi" w:cstheme="minorHAnsi"/>
        </w:rPr>
        <w:t xml:space="preserve"> (Szczeklik 2017).</w:t>
      </w:r>
    </w:p>
    <w:p w14:paraId="204B7E31"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Postać pierwotna osteoporozy dzieli się na:</w:t>
      </w:r>
    </w:p>
    <w:p w14:paraId="0B34DC25"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rPr>
        <w:t>idiopatyczną (młodzieńczą), charakteryzującą się występowaniem zaburzeń wzrostu szkieletu o nieustalonej etiologii,</w:t>
      </w:r>
    </w:p>
    <w:p w14:paraId="05EE2FB7"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rPr>
        <w:t>postać inwolucyjną związaną z nieprawidłowym procesem metabolicznym kości. Wyróżnia się:</w:t>
      </w:r>
    </w:p>
    <w:p w14:paraId="1DA942C5"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osteoporozę inwolucyjną typu I (</w:t>
      </w:r>
      <w:proofErr w:type="spellStart"/>
      <w:r w:rsidRPr="00BC10F2">
        <w:rPr>
          <w:rFonts w:asciiTheme="minorHAnsi" w:hAnsiTheme="minorHAnsi" w:cstheme="minorHAnsi"/>
        </w:rPr>
        <w:t>pomenopauzalną</w:t>
      </w:r>
      <w:proofErr w:type="spellEnd"/>
      <w:r w:rsidRPr="00BC10F2">
        <w:rPr>
          <w:rFonts w:asciiTheme="minorHAnsi" w:hAnsiTheme="minorHAnsi" w:cstheme="minorHAnsi"/>
        </w:rPr>
        <w:t xml:space="preserve">), która występuje u kobiet w wieku 50-60 lat. Jest ona konsekwencją utraty tkanki kostnej spowodowanej ustaniem funkcjonowania </w:t>
      </w:r>
      <w:proofErr w:type="spellStart"/>
      <w:r w:rsidRPr="00BC10F2">
        <w:rPr>
          <w:rFonts w:asciiTheme="minorHAnsi" w:hAnsiTheme="minorHAnsi" w:cstheme="minorHAnsi"/>
        </w:rPr>
        <w:t>endokrynnych</w:t>
      </w:r>
      <w:proofErr w:type="spellEnd"/>
      <w:r w:rsidRPr="00BC10F2">
        <w:rPr>
          <w:rFonts w:asciiTheme="minorHAnsi" w:hAnsiTheme="minorHAnsi" w:cstheme="minorHAnsi"/>
        </w:rPr>
        <w:t xml:space="preserve"> gruczołów jajnikowych. Działanie estrogenów na tkankę kostną polegające na stymulowaniu osteogenezy oraz hamowaniu procesu resorpcji kości zostaje wstrzymane. W jej przebiegu najczęściej dochodzi do złamań trzonów kręgowych oraz bliższej części kości promieniowej; </w:t>
      </w:r>
    </w:p>
    <w:p w14:paraId="01733764"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osteoporozę inwolucyjną typu II (starczą) dotykającą kobiety oraz mężczyzn po 75 roku życia. Przyczyną powstającego procesu chorobowego jest zmniejszona aktywność komórek kościotwórczych osteoblastów oraz witaminy D</w:t>
      </w:r>
      <w:r w:rsidRPr="00BC10F2">
        <w:rPr>
          <w:rFonts w:asciiTheme="minorHAnsi" w:hAnsiTheme="minorHAnsi" w:cstheme="minorHAnsi"/>
          <w:vertAlign w:val="subscript"/>
        </w:rPr>
        <w:t>3.</w:t>
      </w:r>
      <w:r w:rsidRPr="00BC10F2">
        <w:rPr>
          <w:rFonts w:asciiTheme="minorHAnsi" w:hAnsiTheme="minorHAnsi" w:cstheme="minorHAnsi"/>
        </w:rPr>
        <w:t xml:space="preserve"> W jej przebiegu dochodzi do złamań bliższej części udowej i trzonów kręgów (Janiszewska 2015). </w:t>
      </w:r>
    </w:p>
    <w:p w14:paraId="3C20B72B"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b/>
          <w:bCs w:val="0"/>
        </w:rPr>
        <w:t>Czynniki ryzyka rozwoju osteoporozy pierwotnej:</w:t>
      </w:r>
    </w:p>
    <w:p w14:paraId="4E1FBD2B" w14:textId="77777777" w:rsidR="00A80621" w:rsidRPr="00BC10F2" w:rsidRDefault="007941FC" w:rsidP="000B2BB8">
      <w:pPr>
        <w:pStyle w:val="Listanumerowana1"/>
        <w:numPr>
          <w:ilvl w:val="0"/>
          <w:numId w:val="15"/>
        </w:numPr>
        <w:rPr>
          <w:rFonts w:asciiTheme="minorHAnsi" w:hAnsiTheme="minorHAnsi" w:cstheme="minorHAnsi"/>
        </w:rPr>
      </w:pPr>
      <w:r w:rsidRPr="00BC10F2">
        <w:rPr>
          <w:rFonts w:asciiTheme="minorHAnsi" w:hAnsiTheme="minorHAnsi" w:cstheme="minorHAnsi"/>
        </w:rPr>
        <w:t>genetyczne i demograficzne:</w:t>
      </w:r>
    </w:p>
    <w:p w14:paraId="32A90A0A" w14:textId="77777777" w:rsidR="00A80621" w:rsidRPr="00BC10F2" w:rsidRDefault="007941FC" w:rsidP="000B2BB8">
      <w:pPr>
        <w:pStyle w:val="Listanumerowana21"/>
        <w:numPr>
          <w:ilvl w:val="1"/>
          <w:numId w:val="32"/>
        </w:numPr>
        <w:rPr>
          <w:rFonts w:asciiTheme="minorHAnsi" w:hAnsiTheme="minorHAnsi" w:cstheme="minorHAnsi"/>
        </w:rPr>
      </w:pPr>
      <w:r w:rsidRPr="00BC10F2">
        <w:rPr>
          <w:rFonts w:asciiTheme="minorHAnsi" w:hAnsiTheme="minorHAnsi" w:cstheme="minorHAnsi"/>
        </w:rPr>
        <w:t>predyspozycja rodzinna;</w:t>
      </w:r>
    </w:p>
    <w:p w14:paraId="19F2FF4C"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wiek (kobiety &gt; 65 lat, mężczyźni &gt;75 lat);</w:t>
      </w:r>
    </w:p>
    <w:p w14:paraId="1A38BC09"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lastRenderedPageBreak/>
        <w:t>płeć żeńska;</w:t>
      </w:r>
    </w:p>
    <w:p w14:paraId="0D926C4E"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rasa biała i żółta (osteoporoza występuje 3 razy częściej niż u rasy czarnej), BMI &lt;18 kg/m2;</w:t>
      </w:r>
    </w:p>
    <w:p w14:paraId="4551A74E" w14:textId="77777777" w:rsidR="00A80621" w:rsidRPr="00BC10F2" w:rsidRDefault="007941FC" w:rsidP="000B2BB8">
      <w:pPr>
        <w:pStyle w:val="Listanumerowana1"/>
        <w:numPr>
          <w:ilvl w:val="0"/>
          <w:numId w:val="15"/>
        </w:numPr>
        <w:rPr>
          <w:rFonts w:asciiTheme="minorHAnsi" w:hAnsiTheme="minorHAnsi" w:cstheme="minorHAnsi"/>
        </w:rPr>
      </w:pPr>
      <w:r w:rsidRPr="00BC10F2">
        <w:rPr>
          <w:rFonts w:asciiTheme="minorHAnsi" w:hAnsiTheme="minorHAnsi" w:cstheme="minorHAnsi"/>
        </w:rPr>
        <w:t>stan prokreacyjny:</w:t>
      </w:r>
    </w:p>
    <w:p w14:paraId="688C334D" w14:textId="77777777" w:rsidR="00A80621" w:rsidRPr="00BC10F2" w:rsidRDefault="007941FC" w:rsidP="000B2BB8">
      <w:pPr>
        <w:pStyle w:val="Listanumerowana21"/>
        <w:numPr>
          <w:ilvl w:val="1"/>
          <w:numId w:val="33"/>
        </w:numPr>
        <w:rPr>
          <w:rFonts w:asciiTheme="minorHAnsi" w:hAnsiTheme="minorHAnsi" w:cstheme="minorHAnsi"/>
        </w:rPr>
      </w:pPr>
      <w:r w:rsidRPr="00BC10F2">
        <w:rPr>
          <w:rFonts w:asciiTheme="minorHAnsi" w:hAnsiTheme="minorHAnsi" w:cstheme="minorHAnsi"/>
        </w:rPr>
        <w:t>niedobór hormonów płciowych o różnej etiologii;</w:t>
      </w:r>
    </w:p>
    <w:p w14:paraId="6598F440"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przedłużony brak miesiączki – późne pokwitanie, okresy niedoboru estrogenów (np. związane  z jadłowstrętem psychicznym lub bardzo intensywnymi ćwiczeniami fizycznymi);</w:t>
      </w:r>
    </w:p>
    <w:p w14:paraId="37DF2EF1"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nierodzenie;</w:t>
      </w:r>
    </w:p>
    <w:p w14:paraId="0818986A"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stan </w:t>
      </w:r>
      <w:proofErr w:type="spellStart"/>
      <w:r w:rsidRPr="00BC10F2">
        <w:rPr>
          <w:rFonts w:asciiTheme="minorHAnsi" w:hAnsiTheme="minorHAnsi" w:cstheme="minorHAnsi"/>
        </w:rPr>
        <w:t>pomenopauzalny</w:t>
      </w:r>
      <w:proofErr w:type="spellEnd"/>
      <w:r w:rsidRPr="00BC10F2">
        <w:rPr>
          <w:rFonts w:asciiTheme="minorHAnsi" w:hAnsiTheme="minorHAnsi" w:cstheme="minorHAnsi"/>
        </w:rPr>
        <w:t xml:space="preserve"> (zwłaszcza przedwczesny, w tym po usunięciu jajników);</w:t>
      </w:r>
    </w:p>
    <w:p w14:paraId="329BCB36"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czynniki związane z odżywianiem i stylem życia;</w:t>
      </w:r>
    </w:p>
    <w:p w14:paraId="1DCFB302"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mała podaż wapnia (zapotrzebowanie dobowe na wapń w okresie 1.–10. r.ż. ~800 mg, </w:t>
      </w:r>
      <w:r w:rsidRPr="00BC10F2">
        <w:rPr>
          <w:rFonts w:asciiTheme="minorHAnsi" w:hAnsiTheme="minorHAnsi" w:cstheme="minorHAnsi"/>
        </w:rPr>
        <w:br/>
        <w:t>u młodzieży dojrzewającej i osób dorosłych – 1000–1200 mg, u kobiet w ciąży i w okresie laktacji, po menopauzie i u osób w podeszłym wieku – 1200–1300 mg; dobowa podaż wapnia w diecie polskiej pokrywa jego zapotrzebowanie zwykle w 50-60%, a 40% kobiet spożywa &lt;500 mg/d);</w:t>
      </w:r>
    </w:p>
    <w:p w14:paraId="441305C7"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niedobór witaminy D;</w:t>
      </w:r>
    </w:p>
    <w:p w14:paraId="28D18A05"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mała lub nadmierna podaż fosforu; </w:t>
      </w:r>
    </w:p>
    <w:p w14:paraId="09A8BCC8"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niedobory białkowe lub dieta </w:t>
      </w:r>
      <w:proofErr w:type="spellStart"/>
      <w:r w:rsidRPr="00BC10F2">
        <w:rPr>
          <w:rFonts w:asciiTheme="minorHAnsi" w:hAnsiTheme="minorHAnsi" w:cstheme="minorHAnsi"/>
        </w:rPr>
        <w:t>bogatobiałkowa</w:t>
      </w:r>
      <w:proofErr w:type="spellEnd"/>
      <w:r w:rsidRPr="00BC10F2">
        <w:rPr>
          <w:rFonts w:asciiTheme="minorHAnsi" w:hAnsiTheme="minorHAnsi" w:cstheme="minorHAnsi"/>
        </w:rPr>
        <w:t xml:space="preserve"> (niedobór białka w okresie rozwoju prowadzi do zaburzeń wchłaniania białka, a u osób starszych jest przyczyną zwiększenia utraty masy kostnej i zmniejszenia siły mięśniowej, co predysponuje do upadków);</w:t>
      </w:r>
    </w:p>
    <w:p w14:paraId="295F0BC4"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palenie tytoniu;</w:t>
      </w:r>
    </w:p>
    <w:p w14:paraId="3E532024"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alkoholizm;</w:t>
      </w:r>
    </w:p>
    <w:p w14:paraId="1604D8ED"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nadmierne spożywanie kawy (picie &gt; 3 filiżanek kawy dziennie, zwłaszcza przy niewielkim spożyciu wapnia, może wywierać szkodliwy wpływ na bilans wapniowy ustroju);</w:t>
      </w:r>
    </w:p>
    <w:p w14:paraId="5302B963"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siedzący tryb życia (kość dostosowuje swoją masę i strukturę do obciążeń mechanicznych,  a brak obciążenia powoduje jej demineralizację i osłabienie; ponadto zanik mięśni i ograniczona sprawność ruchowa zwiększają ryzyko upadków i złamań). (Raport </w:t>
      </w:r>
      <w:proofErr w:type="spellStart"/>
      <w:r w:rsidRPr="00BC10F2">
        <w:rPr>
          <w:rFonts w:asciiTheme="minorHAnsi" w:hAnsiTheme="minorHAnsi" w:cstheme="minorHAnsi"/>
        </w:rPr>
        <w:t>AOTMiT</w:t>
      </w:r>
      <w:proofErr w:type="spellEnd"/>
      <w:r w:rsidRPr="00BC10F2">
        <w:rPr>
          <w:rFonts w:asciiTheme="minorHAnsi" w:hAnsiTheme="minorHAnsi" w:cstheme="minorHAnsi"/>
        </w:rPr>
        <w:t xml:space="preserve"> 2018).</w:t>
      </w:r>
    </w:p>
    <w:p w14:paraId="2A8EFB22"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b/>
          <w:bCs w:val="0"/>
        </w:rPr>
        <w:t>Czynniki ryzyka osteoporozy wtórnej:</w:t>
      </w:r>
    </w:p>
    <w:p w14:paraId="4A451DF8" w14:textId="77777777" w:rsidR="00A80621" w:rsidRPr="00BC10F2" w:rsidRDefault="007941FC" w:rsidP="000B2BB8">
      <w:pPr>
        <w:pStyle w:val="Listanumerowana1"/>
        <w:numPr>
          <w:ilvl w:val="0"/>
          <w:numId w:val="16"/>
        </w:numPr>
        <w:rPr>
          <w:rFonts w:asciiTheme="minorHAnsi" w:hAnsiTheme="minorHAnsi" w:cstheme="minorHAnsi"/>
        </w:rPr>
      </w:pPr>
      <w:r w:rsidRPr="00BC10F2">
        <w:rPr>
          <w:rFonts w:asciiTheme="minorHAnsi" w:hAnsiTheme="minorHAnsi" w:cstheme="minorHAnsi"/>
        </w:rPr>
        <w:t>choroby gastroenterologiczne:</w:t>
      </w:r>
    </w:p>
    <w:p w14:paraId="589B8C08" w14:textId="77777777" w:rsidR="00A80621" w:rsidRPr="00BC10F2" w:rsidRDefault="007941FC" w:rsidP="000B2BB8">
      <w:pPr>
        <w:pStyle w:val="Listanumerowana21"/>
        <w:numPr>
          <w:ilvl w:val="1"/>
          <w:numId w:val="34"/>
        </w:numPr>
        <w:rPr>
          <w:rFonts w:asciiTheme="minorHAnsi" w:hAnsiTheme="minorHAnsi" w:cstheme="minorHAnsi"/>
        </w:rPr>
      </w:pPr>
      <w:r w:rsidRPr="00BC10F2">
        <w:rPr>
          <w:rFonts w:asciiTheme="minorHAnsi" w:hAnsiTheme="minorHAnsi" w:cstheme="minorHAnsi"/>
        </w:rPr>
        <w:t>choroba trzewna i zespoły złego wchłaniania;</w:t>
      </w:r>
    </w:p>
    <w:p w14:paraId="6258000C"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ciężka niewydolność wątroby;</w:t>
      </w:r>
    </w:p>
    <w:p w14:paraId="6506B0D6"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pierwotna marskość wątroby;</w:t>
      </w:r>
    </w:p>
    <w:p w14:paraId="4CBAF1D6"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operacyjne leczenie otyłości;</w:t>
      </w:r>
    </w:p>
    <w:p w14:paraId="3ADC6E64" w14:textId="77777777" w:rsidR="00A80621" w:rsidRPr="00BC10F2" w:rsidRDefault="007941FC" w:rsidP="000B2BB8">
      <w:pPr>
        <w:pStyle w:val="Listanumerowana1"/>
        <w:numPr>
          <w:ilvl w:val="0"/>
          <w:numId w:val="16"/>
        </w:numPr>
        <w:rPr>
          <w:rFonts w:asciiTheme="minorHAnsi" w:hAnsiTheme="minorHAnsi" w:cstheme="minorHAnsi"/>
        </w:rPr>
      </w:pPr>
      <w:r w:rsidRPr="00BC10F2">
        <w:rPr>
          <w:rFonts w:asciiTheme="minorHAnsi" w:hAnsiTheme="minorHAnsi" w:cstheme="minorHAnsi"/>
        </w:rPr>
        <w:t>stany niedożywienia:</w:t>
      </w:r>
    </w:p>
    <w:p w14:paraId="3583CF64" w14:textId="77777777" w:rsidR="00A80621" w:rsidRPr="00BC10F2" w:rsidRDefault="007941FC" w:rsidP="000B2BB8">
      <w:pPr>
        <w:pStyle w:val="Listanumerowana21"/>
        <w:numPr>
          <w:ilvl w:val="1"/>
          <w:numId w:val="35"/>
        </w:numPr>
        <w:rPr>
          <w:rFonts w:asciiTheme="minorHAnsi" w:hAnsiTheme="minorHAnsi" w:cstheme="minorHAnsi"/>
        </w:rPr>
      </w:pPr>
      <w:r w:rsidRPr="00BC10F2">
        <w:rPr>
          <w:rFonts w:asciiTheme="minorHAnsi" w:hAnsiTheme="minorHAnsi" w:cstheme="minorHAnsi"/>
        </w:rPr>
        <w:t>jadłowstręt psychiczny;</w:t>
      </w:r>
    </w:p>
    <w:p w14:paraId="1CB7F9BC"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diety jarskie;</w:t>
      </w:r>
    </w:p>
    <w:p w14:paraId="58F462EF" w14:textId="77777777" w:rsidR="00A80621" w:rsidRPr="00BC10F2" w:rsidRDefault="007941FC">
      <w:pPr>
        <w:pStyle w:val="Listanumerowana1"/>
        <w:rPr>
          <w:rFonts w:asciiTheme="minorHAnsi" w:hAnsiTheme="minorHAnsi" w:cstheme="minorHAnsi"/>
        </w:rPr>
      </w:pPr>
      <w:proofErr w:type="spellStart"/>
      <w:r w:rsidRPr="00BC10F2">
        <w:rPr>
          <w:rFonts w:asciiTheme="minorHAnsi" w:hAnsiTheme="minorHAnsi" w:cstheme="minorHAnsi"/>
        </w:rPr>
        <w:t>endokrynopatie</w:t>
      </w:r>
      <w:proofErr w:type="spellEnd"/>
      <w:r w:rsidRPr="00BC10F2">
        <w:rPr>
          <w:rFonts w:asciiTheme="minorHAnsi" w:hAnsiTheme="minorHAnsi" w:cstheme="minorHAnsi"/>
        </w:rPr>
        <w:t>:</w:t>
      </w:r>
    </w:p>
    <w:p w14:paraId="32844929"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lastRenderedPageBreak/>
        <w:t>pierwotny lub wtórny brak miesiączki;</w:t>
      </w:r>
    </w:p>
    <w:p w14:paraId="17F777AC"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przedwczesna menopauza;</w:t>
      </w:r>
    </w:p>
    <w:p w14:paraId="0BB6C9CB"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pierwotny lub wtórny </w:t>
      </w:r>
      <w:proofErr w:type="spellStart"/>
      <w:r w:rsidRPr="00BC10F2">
        <w:rPr>
          <w:rFonts w:asciiTheme="minorHAnsi" w:hAnsiTheme="minorHAnsi" w:cstheme="minorHAnsi"/>
        </w:rPr>
        <w:t>hipogonadyzm</w:t>
      </w:r>
      <w:proofErr w:type="spellEnd"/>
      <w:r w:rsidRPr="00BC10F2">
        <w:rPr>
          <w:rFonts w:asciiTheme="minorHAnsi" w:hAnsiTheme="minorHAnsi" w:cstheme="minorHAnsi"/>
        </w:rPr>
        <w:t>;</w:t>
      </w:r>
    </w:p>
    <w:p w14:paraId="7E682F15"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pierwotna nadczynność przytarczyc;</w:t>
      </w:r>
    </w:p>
    <w:p w14:paraId="7DE33DA0"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nadczynność tarczycy;</w:t>
      </w:r>
    </w:p>
    <w:p w14:paraId="11C00CDA"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nadczynność kory nadnerczy (zespół Cushinga);</w:t>
      </w:r>
    </w:p>
    <w:p w14:paraId="0FB9C610"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rPr>
        <w:t>choroby powodujące zaburzenia czynności układu ruchu:</w:t>
      </w:r>
    </w:p>
    <w:p w14:paraId="64F0167F"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zapalne układowe choroby reumatyczne;</w:t>
      </w:r>
    </w:p>
    <w:p w14:paraId="699BF94D"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zapalenia swoiste i nieswoiste kości i stawów;</w:t>
      </w:r>
    </w:p>
    <w:p w14:paraId="1FB7DFC8"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stany po urazach układu ruchu;</w:t>
      </w:r>
    </w:p>
    <w:p w14:paraId="6C10C934"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wady wrodzone układu ruchu;</w:t>
      </w:r>
    </w:p>
    <w:p w14:paraId="5B03D004"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choroba zwyrodnieniowa stawów obwodowych i kręgosłupa;</w:t>
      </w:r>
    </w:p>
    <w:p w14:paraId="3C501AAC"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zespoły </w:t>
      </w:r>
      <w:proofErr w:type="spellStart"/>
      <w:r w:rsidRPr="00BC10F2">
        <w:rPr>
          <w:rFonts w:asciiTheme="minorHAnsi" w:hAnsiTheme="minorHAnsi" w:cstheme="minorHAnsi"/>
        </w:rPr>
        <w:t>poporażenne</w:t>
      </w:r>
      <w:proofErr w:type="spellEnd"/>
      <w:r w:rsidRPr="00BC10F2">
        <w:rPr>
          <w:rFonts w:asciiTheme="minorHAnsi" w:hAnsiTheme="minorHAnsi" w:cstheme="minorHAnsi"/>
        </w:rPr>
        <w:t>;</w:t>
      </w:r>
    </w:p>
    <w:p w14:paraId="681BFD91"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choroba Parkinsona;</w:t>
      </w:r>
    </w:p>
    <w:p w14:paraId="14DB8FA7"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stwardnienie rozsiane;</w:t>
      </w:r>
    </w:p>
    <w:p w14:paraId="4622A354" w14:textId="77777777" w:rsidR="00A80621" w:rsidRPr="00BC10F2" w:rsidRDefault="007941FC">
      <w:pPr>
        <w:pStyle w:val="Listanumerowana21"/>
        <w:rPr>
          <w:rFonts w:asciiTheme="minorHAnsi" w:hAnsiTheme="minorHAnsi" w:cstheme="minorHAnsi"/>
        </w:rPr>
      </w:pPr>
      <w:proofErr w:type="spellStart"/>
      <w:r w:rsidRPr="00BC10F2">
        <w:rPr>
          <w:rFonts w:asciiTheme="minorHAnsi" w:hAnsiTheme="minorHAnsi" w:cstheme="minorHAnsi"/>
        </w:rPr>
        <w:t>sarkopenia</w:t>
      </w:r>
      <w:proofErr w:type="spellEnd"/>
      <w:r w:rsidRPr="00BC10F2">
        <w:rPr>
          <w:rFonts w:asciiTheme="minorHAnsi" w:hAnsiTheme="minorHAnsi" w:cstheme="minorHAnsi"/>
        </w:rPr>
        <w:t xml:space="preserve"> i choroby mięśni;</w:t>
      </w:r>
    </w:p>
    <w:p w14:paraId="39E0A70E"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unieruchomienie z innych powodów;</w:t>
      </w:r>
    </w:p>
    <w:p w14:paraId="7A75A03F"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rPr>
        <w:t>choroby nerek;</w:t>
      </w:r>
    </w:p>
    <w:p w14:paraId="0D917AC4"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rPr>
        <w:t>choroby nowotworowe;</w:t>
      </w:r>
    </w:p>
    <w:p w14:paraId="211F57A5"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rPr>
        <w:t>cukrzyca. (Głuszko 2016)</w:t>
      </w:r>
    </w:p>
    <w:p w14:paraId="4A720F63"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Osteoporozę jako jednostkę chorobową można rozpoznać po stwierdzeniu zmniejszonej gęstości mineralnej kości (BMD, ang. </w:t>
      </w:r>
      <w:proofErr w:type="spellStart"/>
      <w:r w:rsidRPr="00BC10F2">
        <w:rPr>
          <w:rFonts w:asciiTheme="minorHAnsi" w:hAnsiTheme="minorHAnsi" w:cstheme="minorHAnsi"/>
        </w:rPr>
        <w:t>bone</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mineral</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density</w:t>
      </w:r>
      <w:proofErr w:type="spellEnd"/>
      <w:r w:rsidRPr="00BC10F2">
        <w:rPr>
          <w:rFonts w:asciiTheme="minorHAnsi" w:hAnsiTheme="minorHAnsi" w:cstheme="minorHAnsi"/>
        </w:rPr>
        <w:t>) – wskaźnik T (ang. T-</w:t>
      </w:r>
      <w:proofErr w:type="spellStart"/>
      <w:r w:rsidRPr="00BC10F2">
        <w:rPr>
          <w:rFonts w:asciiTheme="minorHAnsi" w:hAnsiTheme="minorHAnsi" w:cstheme="minorHAnsi"/>
        </w:rPr>
        <w:t>score</w:t>
      </w:r>
      <w:proofErr w:type="spellEnd"/>
      <w:r w:rsidRPr="00BC10F2">
        <w:rPr>
          <w:rFonts w:asciiTheme="minorHAnsi" w:hAnsiTheme="minorHAnsi" w:cstheme="minorHAnsi"/>
        </w:rPr>
        <w:t>) o wartości ≤–2,5 u kobiet po menopauzie oraz mężczyzn w wieku ≥50 lat. U osób młodszych muszą występować dodatkowe czynniki ryzyka i zwykle jest to osteoporoza wtórna. W diagnostyce osteoporozy wskazana jest ocena bezwzględnego dziesięcioletniego ryzyka złamania na podstawie występowania u pacjenta czynników ryzyka złamań (Szczeklik 2017).</w:t>
      </w:r>
    </w:p>
    <w:p w14:paraId="14C51685"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Ryzyko złamań w poszczególnych krajach i grupach etnicznych może się znacznie różnić. Szacuje się, że w wysoko rozwiniętych krajach europejskich ok. 40% kobiet 50-letnich do końca życia doznaje ≥1 złamania związanego z osteoporozą; najczęściej złamania kręgu, bliższego końca kości udowej lub kości przedramienia. Ryzyko złamań u mężczyzn jest mniejsze (13-30% do końca życia u mężczyzn 50-letnich) (Szczeklik 2017). </w:t>
      </w:r>
    </w:p>
    <w:p w14:paraId="67FD9FB7"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Oszacowano, że na świecie u 50-letniej kobiety rasy białej prawdopodobieństwo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sięga 40%, w tym złamania szyjki kości udowej 17,5%, kości promieniowej i kręgosłupa 16%. Ryzyko złamań u mężczyzny jest trzykrotnie mniejsze. Specjaliści z zakresu chorób reumatologicznych szacują, że ryzyko złamania bliższego odcinka kości udowej u kobiety znacznie przewyższa wspólne ryzyko zachorowania na chorobę nowotworową jajnika, macicy i piersi, natomiast prawdopodobieństwo zgonu na skutek złamania jest większe </w:t>
      </w:r>
      <w:r w:rsidRPr="00BC10F2">
        <w:rPr>
          <w:rFonts w:asciiTheme="minorHAnsi" w:hAnsiTheme="minorHAnsi" w:cstheme="minorHAnsi"/>
        </w:rPr>
        <w:lastRenderedPageBreak/>
        <w:t xml:space="preserve">niż zgonu jako następstwa raka piersi. Niepokojąco przedstawiają się dane dotyczące złamań bliższego odcinka kości udowej na świecie. </w:t>
      </w:r>
    </w:p>
    <w:p w14:paraId="07E5208D"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Szacuje się, że liczba ta wzrośnie w roku 2025 do 4 mln a w roku 2050 aż do 6 mln. 20% osób ze złamaniem przeżywa jedynie pierwsze 6 miesięcy, zaś 50% - 12 miesięcy. Pacjenci, którzy przeżywają, najczęściej doświadczają trwałego kalectwa czy niepełnosprawności. Następstwa złamań znacznie wpływają na jakość życia oraz funkcjonowanie w społeczeństwie. Często potrzebna jest pomoc osób trzecich, która wiąże się ze wzrostem kosztów opieki medycznej. (Janiszewska 2015). W Polsce w 2018 roku na 100 tys. mieszkańców powyżej 50 roku życia przypadały 882 złamania. Liczba złamań jest zróżnicowana między województwami i waha się od 734 do 1 071 przypadających na 100 tys. mieszkańców powyżej 50 roku życia. W województwie mazowieckim zanotowano nawet 1 409 złamań/100 tys. mieszkańców (Ostrołęka), a średnia liczba złamań na 100 tys. mieszkańców wyniosła 1 014 tys. na 100 tys. mieszkańców. (NFZ o Zdrowiu. Osteoporoza)</w:t>
      </w:r>
    </w:p>
    <w:p w14:paraId="7C1E785E"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W oparciu o kryteria diagnostyczne WHO (wskaźnik T-</w:t>
      </w:r>
      <w:proofErr w:type="spellStart"/>
      <w:r w:rsidRPr="00BC10F2">
        <w:rPr>
          <w:rFonts w:asciiTheme="minorHAnsi" w:hAnsiTheme="minorHAnsi" w:cstheme="minorHAnsi"/>
        </w:rPr>
        <w:t>score</w:t>
      </w:r>
      <w:proofErr w:type="spellEnd"/>
      <w:r w:rsidRPr="00BC10F2">
        <w:rPr>
          <w:rFonts w:asciiTheme="minorHAnsi" w:hAnsiTheme="minorHAnsi" w:cstheme="minorHAnsi"/>
        </w:rPr>
        <w:t xml:space="preserve"> ≤–2,5), szacuje się, że ok. 22 mln kobiet i 5,5 mln mężczyzn w wieku od 50 do 84 lat w UE cierpi na osteoporozę (dane za rok 2010). Z prognoz wynika, że w związku ze zmianami demograficznymi, do 2025 roku liczba ta wzrośnie o 23% sięgając 33,9 mln osób. W 2010 r. zaobserwowano ok. 3,5 mln nowych złamań wśród mieszkańców UE (z czego 2/3 u kobiet) (</w:t>
      </w:r>
      <w:proofErr w:type="spellStart"/>
      <w:r w:rsidRPr="00BC10F2">
        <w:rPr>
          <w:rFonts w:asciiTheme="minorHAnsi" w:hAnsiTheme="minorHAnsi" w:cstheme="minorHAnsi"/>
        </w:rPr>
        <w:t>Hernlund</w:t>
      </w:r>
      <w:proofErr w:type="spellEnd"/>
      <w:r w:rsidRPr="00BC10F2">
        <w:rPr>
          <w:rFonts w:asciiTheme="minorHAnsi" w:hAnsiTheme="minorHAnsi" w:cstheme="minorHAnsi"/>
        </w:rPr>
        <w:t xml:space="preserve"> 2013).</w:t>
      </w:r>
    </w:p>
    <w:p w14:paraId="37FCA25D" w14:textId="77777777" w:rsidR="00A80621" w:rsidRPr="00BC10F2" w:rsidRDefault="007941FC">
      <w:pPr>
        <w:pStyle w:val="Nagwek2"/>
        <w:rPr>
          <w:rFonts w:asciiTheme="minorHAnsi" w:hAnsiTheme="minorHAnsi" w:cstheme="minorHAnsi"/>
        </w:rPr>
      </w:pPr>
      <w:bookmarkStart w:id="4" w:name="_Toc146114985"/>
      <w:r w:rsidRPr="00BC10F2">
        <w:rPr>
          <w:rFonts w:asciiTheme="minorHAnsi" w:hAnsiTheme="minorHAnsi" w:cstheme="minorHAnsi"/>
        </w:rPr>
        <w:t>Epidemiologia dla Warszawy</w:t>
      </w:r>
      <w:bookmarkEnd w:id="4"/>
    </w:p>
    <w:p w14:paraId="431894E7" w14:textId="268BA9A2"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Na podstawie danych z GUS (Ludność. Stan i struktura ludności oraz ruch naturalny w przekroju terytorialnym w 2022 r. Stan w dniu 30 czerwca 2022) liczba kobiet w grupie wiekowej powyżej 64 lat (65+) w Warszawie wynosiła 227 379, natomiast w latach 2020-2022 waha się od  224 do 227 tys. Populacja kobiet w grupie wiekowej 40-64 lat w Warszawie wynosiła w latach 2020-2021 305-308 tys. kobiet. Ta grupa wiekowa charakteryzuje się mniejszym ryzykiem osteoporozy niż kobiety w wieku co najmniej 65 lat, co jest widoczne choćby na poziomie parametrów chorobowości rejestrowanej NFZ: w populacji kobiet w wieku 65-79 lat chorobowość rejestrowana to 9,2-14,3%, natomiast w grupach wiekowych 50-54; 55-59 i 60-64 jest to odpowiednio 2,1%; 4,7% i 7,0% (brak danych o grupie wiekowej 40-50). Łącznie chorobowość rejestrowana osteoporozy wśród kobiet 40-64 w Polce wynosiła ok. 80-90 tys. osób. (NFZ o Zdrowiu. Osteoporoza). </w:t>
      </w:r>
    </w:p>
    <w:p w14:paraId="6ECE201F" w14:textId="77777777" w:rsidR="00395636" w:rsidRPr="00BC10F2" w:rsidRDefault="00395636" w:rsidP="00395636">
      <w:pPr>
        <w:pStyle w:val="Tekstpodstawowy"/>
        <w:rPr>
          <w:rFonts w:asciiTheme="minorHAnsi" w:hAnsiTheme="minorHAnsi" w:cstheme="minorHAnsi"/>
        </w:rPr>
      </w:pPr>
      <w:r w:rsidRPr="00BC10F2">
        <w:rPr>
          <w:rFonts w:asciiTheme="minorHAnsi" w:hAnsiTheme="minorHAnsi" w:cstheme="minorHAnsi"/>
        </w:rPr>
        <w:t xml:space="preserve">Liczebność populacji mężczyzn w  grupie wiekowej powyżej 74 lat (75+) była w tych latach równa 51-52 tys. </w:t>
      </w:r>
    </w:p>
    <w:p w14:paraId="21153CF5" w14:textId="2903261F" w:rsidR="00A80621" w:rsidRPr="00BC10F2" w:rsidRDefault="007941FC">
      <w:pPr>
        <w:pStyle w:val="Tekstpodstawowy"/>
        <w:rPr>
          <w:rFonts w:asciiTheme="minorHAnsi" w:hAnsiTheme="minorHAnsi" w:cstheme="minorHAnsi"/>
        </w:rPr>
      </w:pPr>
      <w:r w:rsidRPr="00BC10F2">
        <w:rPr>
          <w:rFonts w:asciiTheme="minorHAnsi" w:hAnsiTheme="minorHAnsi" w:cstheme="minorHAnsi"/>
        </w:rPr>
        <w:t>Ze względu na możliwy budżet Programu, najwyższe ryzyko osteoporozy w tej grupie oraz ze względu na</w:t>
      </w:r>
      <w:r w:rsidR="00395636" w:rsidRPr="00BC10F2">
        <w:rPr>
          <w:rFonts w:asciiTheme="minorHAnsi" w:hAnsiTheme="minorHAnsi" w:cstheme="minorHAnsi"/>
        </w:rPr>
        <w:t xml:space="preserve"> dużą</w:t>
      </w:r>
      <w:r w:rsidRPr="00BC10F2">
        <w:rPr>
          <w:rFonts w:asciiTheme="minorHAnsi" w:hAnsiTheme="minorHAnsi" w:cstheme="minorHAnsi"/>
        </w:rPr>
        <w:t xml:space="preserve"> liczebność </w:t>
      </w:r>
      <w:r w:rsidR="00395636" w:rsidRPr="00BC10F2">
        <w:rPr>
          <w:rFonts w:asciiTheme="minorHAnsi" w:hAnsiTheme="minorHAnsi" w:cstheme="minorHAnsi"/>
        </w:rPr>
        <w:t xml:space="preserve">samej tylko </w:t>
      </w:r>
      <w:r w:rsidRPr="00BC10F2">
        <w:rPr>
          <w:rFonts w:asciiTheme="minorHAnsi" w:hAnsiTheme="minorHAnsi" w:cstheme="minorHAnsi"/>
        </w:rPr>
        <w:t>populacj</w:t>
      </w:r>
      <w:r w:rsidR="00395636" w:rsidRPr="00BC10F2">
        <w:rPr>
          <w:rFonts w:asciiTheme="minorHAnsi" w:hAnsiTheme="minorHAnsi" w:cstheme="minorHAnsi"/>
        </w:rPr>
        <w:t>i</w:t>
      </w:r>
      <w:r w:rsidRPr="00BC10F2">
        <w:rPr>
          <w:rFonts w:asciiTheme="minorHAnsi" w:hAnsiTheme="minorHAnsi" w:cstheme="minorHAnsi"/>
        </w:rPr>
        <w:t xml:space="preserve"> kobiet 65+, realizację Programu ograniczono do tej grupy wiekowej. </w:t>
      </w:r>
    </w:p>
    <w:p w14:paraId="46D05114" w14:textId="77777777" w:rsidR="00A80621" w:rsidRPr="00BC10F2" w:rsidRDefault="00A80621">
      <w:pPr>
        <w:rPr>
          <w:rFonts w:asciiTheme="minorHAnsi" w:hAnsiTheme="minorHAnsi" w:cstheme="minorHAnsi"/>
          <w:b/>
        </w:rPr>
      </w:pPr>
    </w:p>
    <w:p w14:paraId="40C35072" w14:textId="19EC03FE" w:rsidR="00A80621" w:rsidRPr="00BC10F2" w:rsidRDefault="007941FC">
      <w:pPr>
        <w:pStyle w:val="Legenda1"/>
        <w:pageBreakBefore/>
        <w:rPr>
          <w:rFonts w:asciiTheme="minorHAnsi" w:hAnsiTheme="minorHAnsi" w:cstheme="minorHAnsi"/>
        </w:rPr>
      </w:pPr>
      <w:r w:rsidRPr="00BC10F2">
        <w:rPr>
          <w:rFonts w:asciiTheme="minorHAnsi" w:hAnsiTheme="minorHAnsi" w:cstheme="minorHAnsi"/>
        </w:rPr>
        <w:lastRenderedPageBreak/>
        <w:t xml:space="preserve">Tabela </w:t>
      </w:r>
      <w:r w:rsidR="0037769B" w:rsidRPr="00BC10F2">
        <w:rPr>
          <w:rFonts w:asciiTheme="minorHAnsi" w:hAnsiTheme="minorHAnsi" w:cstheme="minorHAnsi"/>
        </w:rPr>
        <w:fldChar w:fldCharType="begin"/>
      </w:r>
      <w:r w:rsidR="0037769B" w:rsidRPr="00BC10F2">
        <w:rPr>
          <w:rFonts w:asciiTheme="minorHAnsi" w:hAnsiTheme="minorHAnsi" w:cstheme="minorHAnsi"/>
        </w:rPr>
        <w:instrText xml:space="preserve"> SEQ "Tabela" \* ARABIC </w:instrText>
      </w:r>
      <w:r w:rsidR="0037769B" w:rsidRPr="00BC10F2">
        <w:rPr>
          <w:rFonts w:asciiTheme="minorHAnsi" w:hAnsiTheme="minorHAnsi" w:cstheme="minorHAnsi"/>
        </w:rPr>
        <w:fldChar w:fldCharType="separate"/>
      </w:r>
      <w:r w:rsidR="00433CBA">
        <w:rPr>
          <w:rFonts w:asciiTheme="minorHAnsi" w:hAnsiTheme="minorHAnsi" w:cstheme="minorHAnsi"/>
          <w:noProof/>
        </w:rPr>
        <w:t>1</w:t>
      </w:r>
      <w:r w:rsidR="0037769B" w:rsidRPr="00BC10F2">
        <w:rPr>
          <w:rFonts w:asciiTheme="minorHAnsi" w:hAnsiTheme="minorHAnsi" w:cstheme="minorHAnsi"/>
          <w:noProof/>
        </w:rPr>
        <w:fldChar w:fldCharType="end"/>
      </w:r>
      <w:r w:rsidRPr="00BC10F2">
        <w:rPr>
          <w:rFonts w:asciiTheme="minorHAnsi" w:hAnsiTheme="minorHAnsi" w:cstheme="minorHAnsi"/>
        </w:rPr>
        <w:t>.</w:t>
      </w:r>
      <w:r w:rsidRPr="00BC10F2">
        <w:rPr>
          <w:rFonts w:asciiTheme="minorHAnsi" w:hAnsiTheme="minorHAnsi" w:cstheme="minorHAnsi"/>
        </w:rPr>
        <w:tab/>
      </w:r>
      <w:r w:rsidRPr="00BC10F2">
        <w:rPr>
          <w:rFonts w:asciiTheme="minorHAnsi" w:hAnsiTheme="minorHAnsi" w:cstheme="minorHAnsi"/>
        </w:rPr>
        <w:br/>
        <w:t>Liczebność wybranych grup płci i wieku w Warszawie – Bank Danych Lokalnych GUS; Ludność. Stan i struktura ludności oraz ruch naturalny w przekroju terytorialnym w 2022 r (stan na dzień 30 czerwca 2022)</w:t>
      </w:r>
    </w:p>
    <w:tbl>
      <w:tblPr>
        <w:tblW w:w="5000" w:type="pct"/>
        <w:tblInd w:w="85" w:type="dxa"/>
        <w:tblLayout w:type="fixed"/>
        <w:tblCellMar>
          <w:top w:w="85" w:type="dxa"/>
          <w:left w:w="85" w:type="dxa"/>
          <w:bottom w:w="85" w:type="dxa"/>
          <w:right w:w="85" w:type="dxa"/>
        </w:tblCellMar>
        <w:tblLook w:val="0000" w:firstRow="0" w:lastRow="0" w:firstColumn="0" w:lastColumn="0" w:noHBand="0" w:noVBand="0"/>
      </w:tblPr>
      <w:tblGrid>
        <w:gridCol w:w="1423"/>
        <w:gridCol w:w="2551"/>
        <w:gridCol w:w="2551"/>
        <w:gridCol w:w="2547"/>
      </w:tblGrid>
      <w:tr w:rsidR="00A80621" w:rsidRPr="00BC10F2" w14:paraId="4219C12A" w14:textId="77777777">
        <w:tc>
          <w:tcPr>
            <w:tcW w:w="1422" w:type="dxa"/>
            <w:tcBorders>
              <w:top w:val="single" w:sz="12" w:space="0" w:color="000000"/>
              <w:bottom w:val="single" w:sz="4" w:space="0" w:color="000000"/>
            </w:tcBorders>
            <w:shd w:val="clear" w:color="auto" w:fill="F3F0FA"/>
            <w:vAlign w:val="center"/>
          </w:tcPr>
          <w:p w14:paraId="1FF1F9A3" w14:textId="77777777" w:rsidR="00A80621" w:rsidRPr="00BC10F2" w:rsidRDefault="007941FC">
            <w:pPr>
              <w:pStyle w:val="Tabela-TekstnagwekIrzdniebieskieto"/>
              <w:widowControl w:val="0"/>
              <w:rPr>
                <w:rFonts w:asciiTheme="minorHAnsi" w:hAnsiTheme="minorHAnsi" w:cstheme="minorHAnsi"/>
              </w:rPr>
            </w:pPr>
            <w:r w:rsidRPr="00BC10F2">
              <w:rPr>
                <w:rFonts w:asciiTheme="minorHAnsi" w:hAnsiTheme="minorHAnsi" w:cstheme="minorHAnsi"/>
                <w:lang w:bidi="ar-SA"/>
              </w:rPr>
              <w:t xml:space="preserve">Grupa </w:t>
            </w:r>
          </w:p>
        </w:tc>
        <w:tc>
          <w:tcPr>
            <w:tcW w:w="2551" w:type="dxa"/>
            <w:tcBorders>
              <w:top w:val="single" w:sz="12" w:space="0" w:color="000000"/>
              <w:bottom w:val="single" w:sz="4" w:space="0" w:color="000000"/>
            </w:tcBorders>
            <w:shd w:val="clear" w:color="auto" w:fill="F3F0FA"/>
            <w:vAlign w:val="center"/>
          </w:tcPr>
          <w:p w14:paraId="21029BFD" w14:textId="77777777" w:rsidR="00A80621" w:rsidRPr="00BC10F2" w:rsidRDefault="007941FC">
            <w:pPr>
              <w:pStyle w:val="Tabela-TekstnagwekIrzdniebieskieto"/>
              <w:widowControl w:val="0"/>
              <w:rPr>
                <w:rFonts w:asciiTheme="minorHAnsi" w:hAnsiTheme="minorHAnsi" w:cstheme="minorHAnsi"/>
              </w:rPr>
            </w:pPr>
            <w:r w:rsidRPr="00BC10F2">
              <w:rPr>
                <w:rFonts w:asciiTheme="minorHAnsi" w:hAnsiTheme="minorHAnsi" w:cstheme="minorHAnsi"/>
                <w:lang w:bidi="ar-SA"/>
              </w:rPr>
              <w:t>2020</w:t>
            </w:r>
          </w:p>
        </w:tc>
        <w:tc>
          <w:tcPr>
            <w:tcW w:w="2551" w:type="dxa"/>
            <w:tcBorders>
              <w:top w:val="single" w:sz="12" w:space="0" w:color="000000"/>
              <w:bottom w:val="single" w:sz="4" w:space="0" w:color="000000"/>
            </w:tcBorders>
            <w:shd w:val="clear" w:color="auto" w:fill="F3F0FA"/>
            <w:vAlign w:val="center"/>
          </w:tcPr>
          <w:p w14:paraId="7C26EE1B" w14:textId="77777777" w:rsidR="00A80621" w:rsidRPr="00BC10F2" w:rsidRDefault="007941FC">
            <w:pPr>
              <w:pStyle w:val="Tabela-TekstnagwekIrzdniebieskieto"/>
              <w:widowControl w:val="0"/>
              <w:rPr>
                <w:rFonts w:asciiTheme="minorHAnsi" w:hAnsiTheme="minorHAnsi" w:cstheme="minorHAnsi"/>
              </w:rPr>
            </w:pPr>
            <w:r w:rsidRPr="00BC10F2">
              <w:rPr>
                <w:rFonts w:asciiTheme="minorHAnsi" w:hAnsiTheme="minorHAnsi" w:cstheme="minorHAnsi"/>
                <w:lang w:bidi="ar-SA"/>
              </w:rPr>
              <w:t>2021</w:t>
            </w:r>
          </w:p>
        </w:tc>
        <w:tc>
          <w:tcPr>
            <w:tcW w:w="2547" w:type="dxa"/>
            <w:tcBorders>
              <w:top w:val="single" w:sz="12" w:space="0" w:color="000000"/>
              <w:bottom w:val="single" w:sz="4" w:space="0" w:color="000000"/>
            </w:tcBorders>
            <w:shd w:val="clear" w:color="auto" w:fill="F3F0FA"/>
            <w:vAlign w:val="center"/>
          </w:tcPr>
          <w:p w14:paraId="7C8980A9" w14:textId="77777777" w:rsidR="00A80621" w:rsidRPr="00BC10F2" w:rsidRDefault="007941FC">
            <w:pPr>
              <w:pStyle w:val="Tabela-TekstnagwekIrzdniebieskieto"/>
              <w:widowControl w:val="0"/>
              <w:rPr>
                <w:rFonts w:asciiTheme="minorHAnsi" w:hAnsiTheme="minorHAnsi" w:cstheme="minorHAnsi"/>
              </w:rPr>
            </w:pPr>
            <w:r w:rsidRPr="00BC10F2">
              <w:rPr>
                <w:rFonts w:asciiTheme="minorHAnsi" w:hAnsiTheme="minorHAnsi" w:cstheme="minorHAnsi"/>
                <w:lang w:bidi="ar-SA"/>
              </w:rPr>
              <w:t>2022 (30.06).</w:t>
            </w:r>
          </w:p>
        </w:tc>
      </w:tr>
      <w:tr w:rsidR="00A80621" w:rsidRPr="00BC10F2" w14:paraId="2603C209" w14:textId="77777777">
        <w:trPr>
          <w:trHeight w:val="65"/>
        </w:trPr>
        <w:tc>
          <w:tcPr>
            <w:tcW w:w="1422" w:type="dxa"/>
            <w:tcBorders>
              <w:top w:val="single" w:sz="4" w:space="0" w:color="000000"/>
              <w:bottom w:val="single" w:sz="12" w:space="0" w:color="000000"/>
            </w:tcBorders>
            <w:shd w:val="clear" w:color="auto" w:fill="F2F2F2"/>
            <w:vAlign w:val="center"/>
          </w:tcPr>
          <w:p w14:paraId="71144624" w14:textId="77777777" w:rsidR="00A80621" w:rsidRPr="00BC10F2" w:rsidRDefault="007941FC">
            <w:pPr>
              <w:pStyle w:val="Tabela-TekstpodstawowyWyrodkowany"/>
              <w:widowControl w:val="0"/>
              <w:rPr>
                <w:rFonts w:asciiTheme="minorHAnsi" w:hAnsiTheme="minorHAnsi" w:cstheme="minorHAnsi"/>
              </w:rPr>
            </w:pPr>
            <w:r w:rsidRPr="00BC10F2">
              <w:rPr>
                <w:rFonts w:asciiTheme="minorHAnsi" w:hAnsiTheme="minorHAnsi" w:cstheme="minorHAnsi"/>
                <w:lang w:bidi="ar-SA"/>
              </w:rPr>
              <w:t>Kobiety 65+</w:t>
            </w:r>
          </w:p>
        </w:tc>
        <w:tc>
          <w:tcPr>
            <w:tcW w:w="2551" w:type="dxa"/>
            <w:tcBorders>
              <w:top w:val="single" w:sz="4" w:space="0" w:color="000000"/>
              <w:bottom w:val="single" w:sz="12" w:space="0" w:color="000000"/>
            </w:tcBorders>
            <w:shd w:val="clear" w:color="auto" w:fill="auto"/>
            <w:vAlign w:val="center"/>
          </w:tcPr>
          <w:p w14:paraId="31D3C3C5" w14:textId="77777777" w:rsidR="00A80621" w:rsidRPr="00BC10F2" w:rsidRDefault="007941FC">
            <w:pPr>
              <w:pStyle w:val="Tabela-TekstpodstawowyWyrodkowany"/>
              <w:widowControl w:val="0"/>
              <w:rPr>
                <w:rFonts w:asciiTheme="minorHAnsi" w:hAnsiTheme="minorHAnsi" w:cstheme="minorHAnsi"/>
              </w:rPr>
            </w:pPr>
            <w:r w:rsidRPr="00BC10F2">
              <w:rPr>
                <w:rFonts w:asciiTheme="minorHAnsi" w:hAnsiTheme="minorHAnsi" w:cstheme="minorHAnsi"/>
                <w:lang w:bidi="ar-SA"/>
              </w:rPr>
              <w:t>224 112</w:t>
            </w:r>
          </w:p>
        </w:tc>
        <w:tc>
          <w:tcPr>
            <w:tcW w:w="2551" w:type="dxa"/>
            <w:tcBorders>
              <w:top w:val="single" w:sz="4" w:space="0" w:color="000000"/>
              <w:bottom w:val="single" w:sz="12" w:space="0" w:color="000000"/>
            </w:tcBorders>
            <w:shd w:val="clear" w:color="auto" w:fill="auto"/>
            <w:vAlign w:val="center"/>
          </w:tcPr>
          <w:p w14:paraId="240A3D9A" w14:textId="77777777" w:rsidR="00A80621" w:rsidRPr="00BC10F2" w:rsidRDefault="007941FC">
            <w:pPr>
              <w:pStyle w:val="Tabela-TekstpodstawowyWyrodkowany"/>
              <w:widowControl w:val="0"/>
              <w:rPr>
                <w:rFonts w:asciiTheme="minorHAnsi" w:hAnsiTheme="minorHAnsi" w:cstheme="minorHAnsi"/>
              </w:rPr>
            </w:pPr>
            <w:r w:rsidRPr="00BC10F2">
              <w:rPr>
                <w:rFonts w:asciiTheme="minorHAnsi" w:hAnsiTheme="minorHAnsi" w:cstheme="minorHAnsi"/>
                <w:lang w:bidi="ar-SA"/>
              </w:rPr>
              <w:t>226 286</w:t>
            </w:r>
          </w:p>
        </w:tc>
        <w:tc>
          <w:tcPr>
            <w:tcW w:w="2547" w:type="dxa"/>
            <w:tcBorders>
              <w:top w:val="single" w:sz="4" w:space="0" w:color="000000"/>
              <w:bottom w:val="single" w:sz="12" w:space="0" w:color="000000"/>
            </w:tcBorders>
            <w:shd w:val="clear" w:color="auto" w:fill="auto"/>
            <w:vAlign w:val="center"/>
          </w:tcPr>
          <w:p w14:paraId="37E9F90A" w14:textId="77777777" w:rsidR="00A80621" w:rsidRPr="00BC10F2" w:rsidRDefault="007941FC">
            <w:pPr>
              <w:pStyle w:val="Tabela-TekstpodstawowyWyrodkowany"/>
              <w:widowControl w:val="0"/>
              <w:rPr>
                <w:rFonts w:asciiTheme="minorHAnsi" w:hAnsiTheme="minorHAnsi" w:cstheme="minorHAnsi"/>
              </w:rPr>
            </w:pPr>
            <w:r w:rsidRPr="00BC10F2">
              <w:rPr>
                <w:rFonts w:asciiTheme="minorHAnsi" w:hAnsiTheme="minorHAnsi" w:cstheme="minorHAnsi"/>
                <w:lang w:bidi="ar-SA"/>
              </w:rPr>
              <w:t>227 379</w:t>
            </w:r>
          </w:p>
        </w:tc>
      </w:tr>
    </w:tbl>
    <w:p w14:paraId="79379F18" w14:textId="77777777" w:rsidR="00A80621" w:rsidRPr="00BC10F2" w:rsidRDefault="00A80621">
      <w:pPr>
        <w:pStyle w:val="Tekstopisupodelementem"/>
        <w:rPr>
          <w:rFonts w:asciiTheme="minorHAnsi" w:hAnsiTheme="minorHAnsi" w:cstheme="minorHAnsi"/>
        </w:rPr>
      </w:pPr>
    </w:p>
    <w:p w14:paraId="65DF5507"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Po naturalnej menopauzie u ok. 25 % kobiet rozwija się osteoporoza, a ryzyko złamania w pozostałym okresie życia sięga u mieszkanek Europy ok. 40 %. U mężczyzn, którzy mają większą szczytową masę kostną i u których andropauza postępuje stopniowo, utrata masy kostnej jest wolniejsza, tak więc życiowe ryzyko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u mężczyzny po 50 roku życia wynosi kilkanaście procent w zależności od populacji. U osób obu płci, w młodszych grupach wiekowych (&lt;40 r. ż.) pojawia się głównie osteoporoza wtórna, która może wystąpić i wieku starszym (to łącznie ok 30% chorych na osteoporozę). Brak jednak zupełnie danych dotyczących liczby złamań niskoenergetycznych w grupie wiekowej 18 – 50 lat.</w:t>
      </w:r>
    </w:p>
    <w:p w14:paraId="43CDCA61"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Zgodnie z badaniami WHO oraz SCOPE w krajach Unii Europejskiej w populacji w wieku powyżej 50 lat osteoporoza występuje u 22,1% kobiet oraz 6,6% mężczyzn (MPZ 2018, </w:t>
      </w:r>
      <w:proofErr w:type="spellStart"/>
      <w:r w:rsidRPr="00BC10F2">
        <w:rPr>
          <w:rFonts w:asciiTheme="minorHAnsi" w:hAnsiTheme="minorHAnsi" w:cstheme="minorHAnsi"/>
        </w:rPr>
        <w:t>Kanis</w:t>
      </w:r>
      <w:proofErr w:type="spellEnd"/>
      <w:r w:rsidRPr="00BC10F2">
        <w:rPr>
          <w:rFonts w:asciiTheme="minorHAnsi" w:hAnsiTheme="minorHAnsi" w:cstheme="minorHAnsi"/>
        </w:rPr>
        <w:t xml:space="preserve"> 2013). Niska gęstość mineralna kości, w tym osteoporoza i niska masa kostna odpowiadały w roku 2019 za utratę 105 513.42 lat życia skorygowanych niesprawnością (DALY, </w:t>
      </w:r>
      <w:proofErr w:type="spellStart"/>
      <w:r w:rsidRPr="00BC10F2">
        <w:rPr>
          <w:rFonts w:asciiTheme="minorHAnsi" w:hAnsiTheme="minorHAnsi" w:cstheme="minorHAnsi"/>
        </w:rPr>
        <w:t>disability</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adjusted</w:t>
      </w:r>
      <w:proofErr w:type="spellEnd"/>
      <w:r w:rsidRPr="00BC10F2">
        <w:rPr>
          <w:rFonts w:asciiTheme="minorHAnsi" w:hAnsiTheme="minorHAnsi" w:cstheme="minorHAnsi"/>
        </w:rPr>
        <w:t xml:space="preserve"> life </w:t>
      </w:r>
      <w:proofErr w:type="spellStart"/>
      <w:r w:rsidRPr="00BC10F2">
        <w:rPr>
          <w:rFonts w:asciiTheme="minorHAnsi" w:hAnsiTheme="minorHAnsi" w:cstheme="minorHAnsi"/>
        </w:rPr>
        <w:t>years</w:t>
      </w:r>
      <w:proofErr w:type="spellEnd"/>
      <w:r w:rsidRPr="00BC10F2">
        <w:rPr>
          <w:rFonts w:asciiTheme="minorHAnsi" w:hAnsiTheme="minorHAnsi" w:cstheme="minorHAnsi"/>
        </w:rPr>
        <w:t>) (</w:t>
      </w:r>
      <w:proofErr w:type="spellStart"/>
      <w:r w:rsidRPr="00BC10F2">
        <w:rPr>
          <w:rFonts w:asciiTheme="minorHAnsi" w:hAnsiTheme="minorHAnsi" w:cstheme="minorHAnsi"/>
        </w:rPr>
        <w:t>Shen</w:t>
      </w:r>
      <w:proofErr w:type="spellEnd"/>
      <w:r w:rsidRPr="00BC10F2">
        <w:rPr>
          <w:rFonts w:asciiTheme="minorHAnsi" w:hAnsiTheme="minorHAnsi" w:cstheme="minorHAnsi"/>
        </w:rPr>
        <w:t xml:space="preserve"> 2022).</w:t>
      </w:r>
    </w:p>
    <w:p w14:paraId="48D9C71A" w14:textId="17FC0BEA"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Biorąc pod uwagę obserwowaną w danych NFZ w 2016 liczbę chorych – ok. 606 tys. (osoby w wieku powyżej 50. r.ż. z rozpoznaniem M.80 - Osteoporoza ze złamaniem patologicznym lub M.81 - Osteoporoza bez patologicznego złamania), teoretyczna liczba chorych wynosi ok. 2,16 mln osób (estymowaną jako wskazany przez WHO procent populacji powyżej 50. r.ż.), co wskazuje, </w:t>
      </w:r>
      <w:r w:rsidR="00395636" w:rsidRPr="00BC10F2">
        <w:rPr>
          <w:rFonts w:asciiTheme="minorHAnsi" w:hAnsiTheme="minorHAnsi" w:cstheme="minorHAnsi"/>
        </w:rPr>
        <w:t>ż</w:t>
      </w:r>
      <w:r w:rsidRPr="00BC10F2">
        <w:rPr>
          <w:rFonts w:asciiTheme="minorHAnsi" w:hAnsiTheme="minorHAnsi" w:cstheme="minorHAnsi"/>
        </w:rPr>
        <w:t xml:space="preserve">e stopień wykrywalności osteoporozy definiowany jako stosunek liczby </w:t>
      </w:r>
      <w:proofErr w:type="spellStart"/>
      <w:r w:rsidRPr="00BC10F2">
        <w:rPr>
          <w:rFonts w:asciiTheme="minorHAnsi" w:hAnsiTheme="minorHAnsi" w:cstheme="minorHAnsi"/>
        </w:rPr>
        <w:t>zachorowań</w:t>
      </w:r>
      <w:proofErr w:type="spellEnd"/>
      <w:r w:rsidRPr="00BC10F2">
        <w:rPr>
          <w:rFonts w:asciiTheme="minorHAnsi" w:hAnsiTheme="minorHAnsi" w:cstheme="minorHAnsi"/>
        </w:rPr>
        <w:t xml:space="preserve"> zarejestrowanych do teoretycznych wynosi 28,1% w Polsce. (MPZ 2018).</w:t>
      </w:r>
    </w:p>
    <w:p w14:paraId="65B7FE72"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województwie mazowieckim w roku 2016 obserwowano 126,96 tys. chorych, podczas gdy teoretyczną liczbę chorych oszacowano na 298,35 tys., co oznacza, że szacowany stopień wykrywalności 42,6%. Surowy i standaryzowany współczynnik chorobowości rejestrowanej w roku 2018 w województwie mazowieckim wyniosły odpowiednio 5620 i 5316 / 100 000 osób powyżej 50 roku życia. W całej Polsce w grupie wiekowej 40-64 estymowana liczba osób z niezdiagnozowaną osteoporozą wynosi ponad 400 tys. osób, a w grupie wiekowej 65+ jest to ok. 1,3 mln chorych bez diagnozy. (NFZ o Zdrowiu. Osteoporoza 2019). </w:t>
      </w:r>
    </w:p>
    <w:p w14:paraId="5EA938A0"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Szacowany na podstawie danych NFZ wskaźnik złamań </w:t>
      </w:r>
      <w:proofErr w:type="spellStart"/>
      <w:r w:rsidRPr="00BC10F2">
        <w:rPr>
          <w:rFonts w:asciiTheme="minorHAnsi" w:hAnsiTheme="minorHAnsi" w:cstheme="minorHAnsi"/>
        </w:rPr>
        <w:t>osteoporotycznych</w:t>
      </w:r>
      <w:proofErr w:type="spellEnd"/>
      <w:r w:rsidRPr="00BC10F2">
        <w:rPr>
          <w:rFonts w:asciiTheme="minorHAnsi" w:hAnsiTheme="minorHAnsi" w:cstheme="minorHAnsi"/>
        </w:rPr>
        <w:t xml:space="preserve"> wyniósł w województwie mazowieckim 1014 na 100 tys. ludności powyżej 50. roku życia (wskaźnik surowy) i 978 złamań na 100 tys. ludności powyżej 50 roku życia (wskaźnik standaryzowany). Surowy współczynnik śmiertelności przy złamaniu w tym województwie wyniósł 12,5%. (NFZ o Zdrowiu. Osteoporoza 2019). </w:t>
      </w:r>
    </w:p>
    <w:p w14:paraId="1CEE2A78" w14:textId="77777777" w:rsidR="00A80621" w:rsidRPr="00BC10F2" w:rsidRDefault="007941FC">
      <w:pPr>
        <w:pStyle w:val="Nagwek2"/>
        <w:pageBreakBefore/>
        <w:rPr>
          <w:rFonts w:asciiTheme="minorHAnsi" w:hAnsiTheme="minorHAnsi" w:cstheme="minorHAnsi"/>
        </w:rPr>
      </w:pPr>
      <w:bookmarkStart w:id="5" w:name="_Toc146114986"/>
      <w:r w:rsidRPr="00BC10F2">
        <w:rPr>
          <w:rFonts w:asciiTheme="minorHAnsi" w:hAnsiTheme="minorHAnsi" w:cstheme="minorHAnsi"/>
        </w:rPr>
        <w:lastRenderedPageBreak/>
        <w:t>Opis obecnego postępowania</w:t>
      </w:r>
      <w:bookmarkEnd w:id="5"/>
    </w:p>
    <w:p w14:paraId="77DFF6FC"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Diagnostyka osteoporozy polega na pomiarze gęstości mineralnej kości (BMD). Gęstość mineralna kości świadczy o wytrzymałości, poziomie zmineralizowania i zawartości struktury tkanki kostnej. Pomiaru dokonuje się metodą densytometrii, która wykorzystuje zjawisko </w:t>
      </w:r>
      <w:proofErr w:type="spellStart"/>
      <w:r w:rsidRPr="00BC10F2">
        <w:rPr>
          <w:rFonts w:asciiTheme="minorHAnsi" w:hAnsiTheme="minorHAnsi" w:cstheme="minorHAnsi"/>
        </w:rPr>
        <w:t>absorpcjometrii</w:t>
      </w:r>
      <w:proofErr w:type="spellEnd"/>
      <w:r w:rsidRPr="00BC10F2">
        <w:rPr>
          <w:rFonts w:asciiTheme="minorHAnsi" w:hAnsiTheme="minorHAnsi" w:cstheme="minorHAnsi"/>
        </w:rPr>
        <w:t xml:space="preserve"> promieniowania rentgenowskiego o podwójnej energii (DXA). Jest to najczęściej wykorzystywana metoda w zakresie diagnostyki osteoporozy, ponieważ charakteryzuje się dużą czułością oraz powtarzalnością wyników. Opiera się na różnicy absorpcji promieniowania rentgenowskiego tkanki kostnej i tkanek miękkich organizmu. Gęstość mineralną kości bada się zwykle dla tych części układu kostnego, które najczęściej ulegają osłabieniu (bliższa kość udowa, kręgosłup, dystalny odcinek kości przedramienia). Wynik badania podawany jest w g/cm³. Badanie przesiewowe gęstości mineralnej kości zalecane jest osobom po 50 roku życia z przebytym złamaniem a także kobietom po 65 roku życia. (Smektała 2020)</w:t>
      </w:r>
    </w:p>
    <w:p w14:paraId="661326FE"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W praktyce, rozpoznanie osteoporozy stawia się na podstawie kryteriów densytometrycznych zaproponowanych przez WHO. Wynik badania przedstawiany jest jako wskaźnik T (T-</w:t>
      </w:r>
      <w:proofErr w:type="spellStart"/>
      <w:r w:rsidRPr="00BC10F2">
        <w:rPr>
          <w:rFonts w:asciiTheme="minorHAnsi" w:hAnsiTheme="minorHAnsi" w:cstheme="minorHAnsi"/>
        </w:rPr>
        <w:t>score</w:t>
      </w:r>
      <w:proofErr w:type="spellEnd"/>
      <w:r w:rsidRPr="00BC10F2">
        <w:rPr>
          <w:rFonts w:asciiTheme="minorHAnsi" w:hAnsiTheme="minorHAnsi" w:cstheme="minorHAnsi"/>
        </w:rPr>
        <w:t>), który wyraża liczbę odchyleń standardowych (SD) od punktu odniesienia, jakim jest szczytowa masa kostna. Interpretacja wskaźnika T u kobiet po menopauzie i mężczyzn jest następująca:</w:t>
      </w:r>
    </w:p>
    <w:p w14:paraId="07CBCB73"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&gt;-1 SD – wartość prawidłowa</w:t>
      </w:r>
    </w:p>
    <w:p w14:paraId="3048A0D8"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od -1 do -2,5 SD – osteopenia</w:t>
      </w:r>
    </w:p>
    <w:p w14:paraId="6D4F3C6F"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&lt;-2,5 SD – osteoporoza</w:t>
      </w:r>
    </w:p>
    <w:p w14:paraId="13CE507C"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 xml:space="preserve">&lt;-2,5 SD i złamanie </w:t>
      </w:r>
      <w:proofErr w:type="spellStart"/>
      <w:r w:rsidRPr="00BC10F2">
        <w:rPr>
          <w:rFonts w:asciiTheme="minorHAnsi" w:hAnsiTheme="minorHAnsi" w:cstheme="minorHAnsi"/>
        </w:rPr>
        <w:t>osteoporotyczne</w:t>
      </w:r>
      <w:proofErr w:type="spellEnd"/>
      <w:r w:rsidRPr="00BC10F2">
        <w:rPr>
          <w:rFonts w:asciiTheme="minorHAnsi" w:hAnsiTheme="minorHAnsi" w:cstheme="minorHAnsi"/>
        </w:rPr>
        <w:t xml:space="preserve"> – osteoporoza zaawansowana (Dardzińska 2016).</w:t>
      </w:r>
    </w:p>
    <w:p w14:paraId="6CF256B9"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Drugą metodą diagnostyczną jest FRAX (</w:t>
      </w:r>
      <w:proofErr w:type="spellStart"/>
      <w:r w:rsidRPr="00BC10F2">
        <w:rPr>
          <w:rFonts w:asciiTheme="minorHAnsi" w:hAnsiTheme="minorHAnsi" w:cstheme="minorHAnsi"/>
        </w:rPr>
        <w:t>Fracture</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Assessment</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Tool</w:t>
      </w:r>
      <w:proofErr w:type="spellEnd"/>
      <w:r w:rsidRPr="00BC10F2">
        <w:rPr>
          <w:rFonts w:asciiTheme="minorHAnsi" w:hAnsiTheme="minorHAnsi" w:cstheme="minorHAnsi"/>
        </w:rPr>
        <w:t xml:space="preserve">). Metoda ta umożliwia oszacowanie ryzyka złamań w oparciu o dane epidemiologiczne oraz występujące czynniki ryzyka. Decyzje terapeutyczne podejmowane są u chorych, którzy odniosą największe korzyści z leczenia. Stosując metodę FRAX, wylicza się dziesięcioletnie ryzyko złamań </w:t>
      </w:r>
      <w:proofErr w:type="spellStart"/>
      <w:r w:rsidRPr="00BC10F2">
        <w:rPr>
          <w:rFonts w:asciiTheme="minorHAnsi" w:hAnsiTheme="minorHAnsi" w:cstheme="minorHAnsi"/>
        </w:rPr>
        <w:t>osteoporotycznych</w:t>
      </w:r>
      <w:proofErr w:type="spellEnd"/>
      <w:r w:rsidRPr="00BC10F2">
        <w:rPr>
          <w:rFonts w:asciiTheme="minorHAnsi" w:hAnsiTheme="minorHAnsi" w:cstheme="minorHAnsi"/>
        </w:rPr>
        <w:t xml:space="preserve"> biorąc pod uwagę:</w:t>
      </w:r>
    </w:p>
    <w:p w14:paraId="27F5E175"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wartość BMD,</w:t>
      </w:r>
    </w:p>
    <w:p w14:paraId="1ED70EDC"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wzrost,</w:t>
      </w:r>
    </w:p>
    <w:p w14:paraId="3B61E118"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masę ciała.</w:t>
      </w:r>
    </w:p>
    <w:p w14:paraId="35052106"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Należy także uwzględnić inne, dodatkowe czynniki ryzyka niskiej masy kostnej (np. leczenie glikokortykoidami lub fakt nosicielstwa HIV).(</w:t>
      </w:r>
      <w:proofErr w:type="spellStart"/>
      <w:r w:rsidRPr="00BC10F2">
        <w:rPr>
          <w:rFonts w:asciiTheme="minorHAnsi" w:hAnsiTheme="minorHAnsi" w:cstheme="minorHAnsi"/>
        </w:rPr>
        <w:t>Rabijewski</w:t>
      </w:r>
      <w:proofErr w:type="spellEnd"/>
      <w:r w:rsidRPr="00BC10F2">
        <w:rPr>
          <w:rFonts w:asciiTheme="minorHAnsi" w:hAnsiTheme="minorHAnsi" w:cstheme="minorHAnsi"/>
        </w:rPr>
        <w:t xml:space="preserve"> 2017) Metoda FRAX nie uwzględnia zmiennych dla wieku poniżej 40 lat, osób leczonych na osteoporozę. Skuteczność w przypadku prawdopodobieństwa złamań w odcinku biodrowym kręgosłupa nie została zatwierdzona. Ze względu na wynikające ograniczenia, metodę FRAX stosuje się pomocniczo przy pomiarze BMD. Metoda FRAX może być stosowana w ocenie zarówno postępu kostnego, jak i skuteczności leczenia. BMD należy mierzyć co 6-12 miesięcy.</w:t>
      </w:r>
    </w:p>
    <w:p w14:paraId="20D0ABB6"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lastRenderedPageBreak/>
        <w:t>Wykonanie badania rentgenowskiego pozwala zdiagnozować osteoporozę jedynie w bardzo zaawansowanym stadium, w momencie gdy porowatość kości jest tak duża, że jest na nim widoczna. W związku z tym, badania rentgenowskiego nie stosuje się w powszechnej praktyce lekarskiej. Ponadto zalecane jest wykonanie dodatkowych badań laboratoryjnych takich jak: pomiar stężenia wapnia, fosforu i aktywnej witaminy D w surowicy krwi. (</w:t>
      </w:r>
      <w:proofErr w:type="spellStart"/>
      <w:r w:rsidRPr="00BC10F2">
        <w:rPr>
          <w:rFonts w:asciiTheme="minorHAnsi" w:hAnsiTheme="minorHAnsi" w:cstheme="minorHAnsi"/>
        </w:rPr>
        <w:t>Smekała</w:t>
      </w:r>
      <w:proofErr w:type="spellEnd"/>
      <w:r w:rsidRPr="00BC10F2">
        <w:rPr>
          <w:rFonts w:asciiTheme="minorHAnsi" w:hAnsiTheme="minorHAnsi" w:cstheme="minorHAnsi"/>
        </w:rPr>
        <w:t xml:space="preserve"> 2020)</w:t>
      </w:r>
    </w:p>
    <w:p w14:paraId="0058385E"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Zgodnie z aktualnymi wytycznymi, badanie </w:t>
      </w:r>
      <w:proofErr w:type="spellStart"/>
      <w:r w:rsidRPr="00BC10F2">
        <w:rPr>
          <w:rFonts w:asciiTheme="minorHAnsi" w:hAnsiTheme="minorHAnsi" w:cstheme="minorHAnsi"/>
        </w:rPr>
        <w:t>absorpcjometrii</w:t>
      </w:r>
      <w:proofErr w:type="spellEnd"/>
      <w:r w:rsidRPr="00BC10F2">
        <w:rPr>
          <w:rFonts w:asciiTheme="minorHAnsi" w:hAnsiTheme="minorHAnsi" w:cstheme="minorHAnsi"/>
        </w:rPr>
        <w:t xml:space="preserve"> rentgenowskiej o podwójnej energii (DXA) pozostaje złotym standardem służącym wykonaniu pomiaru BMD w rozpoznaniu osteoporozy (WFO 2017, ICSI 2017, AACE/ACE 2016, MCG 2016, ESC 2012). Metoda DXA wciąż pozostaje rekomendowaną metodą w diagnostyce osteoporozy i monitorowaniu efektów terapii (USPSTF 2018a, AACE/ACE 2016, MCG 2016, ISCD 2015, ESCEO/IOF 2013, ESC 2012). Za podstawę rozpoznania osteoporozy uznaje się wartość T- </w:t>
      </w:r>
      <w:proofErr w:type="spellStart"/>
      <w:r w:rsidRPr="00BC10F2">
        <w:rPr>
          <w:rFonts w:asciiTheme="minorHAnsi" w:hAnsiTheme="minorHAnsi" w:cstheme="minorHAnsi"/>
        </w:rPr>
        <w:t>score</w:t>
      </w:r>
      <w:proofErr w:type="spellEnd"/>
      <w:r w:rsidRPr="00BC10F2">
        <w:rPr>
          <w:rFonts w:asciiTheme="minorHAnsi" w:hAnsiTheme="minorHAnsi" w:cstheme="minorHAnsi"/>
        </w:rPr>
        <w:t xml:space="preserve"> ≤ - 2,5 zgodną z kryteriami WHO (WFO 2017, ESCEO/IOF 2013 oraz CTFPHC 2010, 2013, AACE/ACE 2016, ACOG 2012). </w:t>
      </w:r>
    </w:p>
    <w:p w14:paraId="53771A0E"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Większość rekomendacji dotyczących badań przesiewowych, rekomenduje ich wykonywanie w populacji kobiet ≥65 r.ż. z wykorzystaniem jedynie badania densytometrycznego (pomiar BMD) - USPSTF 2018a, ACR 2017, ICSI 2017, ACOG 2012, ESC 2012, NOF 2014, ISCD/IOF 2011. Poprzedzenie densytometrii oceną ryzyka złamania za pomocą odpowiedniego narzędzia oceny ryzyka złamania wśród kobiet ≥65 r.ż. rekomenduje NICE 2017, NOGG 2017 oraz AACE/ACE 2016. NICE wskazuje na możliwość zastosowania narzędzia FRAX lub </w:t>
      </w:r>
      <w:proofErr w:type="spellStart"/>
      <w:r w:rsidRPr="00BC10F2">
        <w:rPr>
          <w:rFonts w:asciiTheme="minorHAnsi" w:hAnsiTheme="minorHAnsi" w:cstheme="minorHAnsi"/>
        </w:rPr>
        <w:t>QFracture</w:t>
      </w:r>
      <w:proofErr w:type="spellEnd"/>
      <w:r w:rsidRPr="00BC10F2">
        <w:rPr>
          <w:rFonts w:asciiTheme="minorHAnsi" w:hAnsiTheme="minorHAnsi" w:cstheme="minorHAnsi"/>
        </w:rPr>
        <w:t xml:space="preserve"> (wykorzystywanego w populacji brytyjskiej). Badanie przesiewowe mężczyzn &gt;70 r.ż. z zastosowaniem densytometrii zalecane jest przez następujące towarzystwa naukowe: ACR 2017, ESC 2012, NOF 2014, ISCD/IOF 2011 (Rekomendacja Prezesa </w:t>
      </w:r>
      <w:proofErr w:type="spellStart"/>
      <w:r w:rsidRPr="00BC10F2">
        <w:rPr>
          <w:rFonts w:asciiTheme="minorHAnsi" w:hAnsiTheme="minorHAnsi" w:cstheme="minorHAnsi"/>
        </w:rPr>
        <w:t>AOTMiT</w:t>
      </w:r>
      <w:proofErr w:type="spellEnd"/>
      <w:r w:rsidRPr="00BC10F2">
        <w:rPr>
          <w:rFonts w:asciiTheme="minorHAnsi" w:hAnsiTheme="minorHAnsi" w:cstheme="minorHAnsi"/>
        </w:rPr>
        <w:t xml:space="preserve"> 30.11.2020).</w:t>
      </w:r>
    </w:p>
    <w:p w14:paraId="1B2F75DD"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Zgodnie z rozporządzeniem Ministra Zdrowia z 6 listopada 2013 r. w sprawie świadczeń gwarantowanych z zakresu ambulatoryjnej opieki specjalistycznej badanie densytometryczne gwarantowane jest w ramach działalności poradni specjalistycznych z zakresu: chorób metabolicznych, endokrynologii, geriatrii, reumatologii, ortopedii i traumatologii narządu ruchu. Aktualnie w Polsce realizowany jest Program Koordynacji Profilaktyki Złamań </w:t>
      </w:r>
      <w:proofErr w:type="spellStart"/>
      <w:r w:rsidRPr="00BC10F2">
        <w:rPr>
          <w:rFonts w:asciiTheme="minorHAnsi" w:hAnsiTheme="minorHAnsi" w:cstheme="minorHAnsi"/>
        </w:rPr>
        <w:t>Osteoporotycznych</w:t>
      </w:r>
      <w:proofErr w:type="spellEnd"/>
      <w:r w:rsidRPr="00BC10F2">
        <w:rPr>
          <w:rFonts w:asciiTheme="minorHAnsi" w:hAnsiTheme="minorHAnsi" w:cstheme="minorHAnsi"/>
        </w:rPr>
        <w:t xml:space="preserve"> do którego kwalifikują się kobiety w wieku 50-70, u których osteoporoza nie została do tej pory zdiagnozowana. Program realizowany jest w ramach Programu Operacyjnego Wiedza, Edukacja, Rozwój. </w:t>
      </w:r>
    </w:p>
    <w:p w14:paraId="06C95AEF"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Edukacja ukierunkowana na profilaktykę problemów zdrowotnych występujących u osób starszych, w szczególności w zakresie urazów i prewencji upadków oraz zasad unikania skutków </w:t>
      </w:r>
      <w:proofErr w:type="spellStart"/>
      <w:r w:rsidRPr="00BC10F2">
        <w:rPr>
          <w:rFonts w:asciiTheme="minorHAnsi" w:hAnsiTheme="minorHAnsi" w:cstheme="minorHAnsi"/>
        </w:rPr>
        <w:t>polipragmazji</w:t>
      </w:r>
      <w:proofErr w:type="spellEnd"/>
      <w:r w:rsidRPr="00BC10F2">
        <w:rPr>
          <w:rFonts w:asciiTheme="minorHAnsi" w:hAnsiTheme="minorHAnsi" w:cstheme="minorHAnsi"/>
        </w:rPr>
        <w:t xml:space="preserve"> wskazanym w Rozporządzeniu Rady Ministrów z dnia 30 marca 2021 r. w sprawie Narodowego Programu Zdrowia na lata 2021-2025.</w:t>
      </w:r>
    </w:p>
    <w:p w14:paraId="75B2266A"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ramach świadczeń gwarantowanych w ramach ambulatoryjnej opieki specjalistycznej (AOS) realizowana jest „Porada specjalistyczna – leczenie osteoporozy”. W ramach ww. porady realizowane są badania densytometryczna DXA kręgosłupa i kości udowej, badania laboratoryjne i mikrobiologiczne, USG oraz RTG. </w:t>
      </w:r>
    </w:p>
    <w:p w14:paraId="4E789510"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lastRenderedPageBreak/>
        <w:t xml:space="preserve">W całej Polsce liczba osób, którym udzielono świadczenia podczas których sprawozdano osteoporozę jako główną lub współistniejącą przyczynę udzielenia świadczenia wynosiła od 163,9 tys. w 2013 roku do 177,0 tys. w 2018 roku. Jednocześnie spadła liczba porad im udzielonych—z 337,5 tys. w 2013 roku do 331,8 tys. w 2018 roku. Prawie 80% z tych porad zostało udzielonych w poradni osteoporozy (43,9%) lub reumatologicznej (35,0%). W latach 2013–2018 rokrocznie ze świadczeń na poziomie Podstawowej Opieki Zdrowotnej korzystało prawie 150 tys. pacjentów. Każdemu z nich udzielono średnio ok. dwóch porad rocznie. </w:t>
      </w:r>
    </w:p>
    <w:p w14:paraId="02FB57AA"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W analizowanym okresie nastąpił spadek o 35% (z 21,8 tys. do 13,7 tys.) liczby hospitalizacji, podczas których sprawozdano osteoporozę jako rozpoznania główne lub współistniejące, przy jednoczesnym spadku liczby pacjentów o 26% (z 13,7 tys. do 10,1 tys.). Prawie połowa z tych hospitalizacji odbyła się na oddziałach reumatologicznym (24,0%) i oddziale chorób wewnętrznych (23,8%). (NFZ o zdrowiu. Osteoporoza).</w:t>
      </w:r>
    </w:p>
    <w:p w14:paraId="7226181D" w14:textId="36A67760" w:rsidR="00A80621" w:rsidRPr="00BC10F2" w:rsidRDefault="007941FC" w:rsidP="00063001">
      <w:pPr>
        <w:pStyle w:val="Tekstpodstawowy"/>
        <w:rPr>
          <w:rFonts w:asciiTheme="minorHAnsi" w:hAnsiTheme="minorHAnsi" w:cstheme="minorHAnsi"/>
        </w:rPr>
      </w:pPr>
      <w:r w:rsidRPr="00BC10F2">
        <w:rPr>
          <w:rFonts w:asciiTheme="minorHAnsi" w:hAnsiTheme="minorHAnsi" w:cstheme="minorHAnsi"/>
        </w:rPr>
        <w:t xml:space="preserve">Liczba osób, u których wykonano badanie DXA na 100 tys. ludności powyżej 50 roku życia w województwie mazowieckim w latach 2013-2018 wynosiła 2,4-2,7 tys. osób, podczas gdy średnio w Polsce było to 1,0-1,2 tys. osób. Podczas gdy liczba osób, u których wykonuje się badanie DXA charakteryzuje się w Polsce trendem wzrostowym, w latach 2013-2018 wyraźnie spadła liczba chorych realizujących recepty na leki refundowane stosowane w leczeniu osteoporozy – w roku 2013 było to 189 tys. pacjentów, natomiast w roku 2018: 133 tys. pacjentów (analiza obejmuje substancje czynne </w:t>
      </w:r>
      <w:proofErr w:type="spellStart"/>
      <w:r w:rsidRPr="00BC10F2">
        <w:rPr>
          <w:rFonts w:asciiTheme="minorHAnsi" w:hAnsiTheme="minorHAnsi" w:cstheme="minorHAnsi"/>
        </w:rPr>
        <w:t>alendronian</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ibandronian</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ryzedronian</w:t>
      </w:r>
      <w:proofErr w:type="spellEnd"/>
      <w:r w:rsidRPr="00BC10F2">
        <w:rPr>
          <w:rFonts w:asciiTheme="minorHAnsi" w:hAnsiTheme="minorHAnsi" w:cstheme="minorHAnsi"/>
        </w:rPr>
        <w:t xml:space="preserve"> i </w:t>
      </w:r>
      <w:proofErr w:type="spellStart"/>
      <w:r w:rsidRPr="00BC10F2">
        <w:rPr>
          <w:rFonts w:asciiTheme="minorHAnsi" w:hAnsiTheme="minorHAnsi" w:cstheme="minorHAnsi"/>
        </w:rPr>
        <w:t>denosumab</w:t>
      </w:r>
      <w:proofErr w:type="spellEnd"/>
      <w:r w:rsidRPr="00BC10F2">
        <w:rPr>
          <w:rFonts w:asciiTheme="minorHAnsi" w:hAnsiTheme="minorHAnsi" w:cstheme="minorHAnsi"/>
        </w:rPr>
        <w:t xml:space="preserve">). Równocześnie jednak wzrosła wartość leków refundowanych – z 32,1 mln zł w 2013 roku (z czego 14,6 mln zł stanowiły dopłaty pacjentów) do 47,6 mln zł w 2018 roku (z czego 7,0 mln zł to dopłaty pacjentów) (NFZ o Zdrowiu. Osteoporoza). </w:t>
      </w:r>
    </w:p>
    <w:p w14:paraId="14C5ED33" w14:textId="5F0237DE" w:rsidR="00063001" w:rsidRPr="00BC10F2" w:rsidRDefault="00063001" w:rsidP="00063001">
      <w:pPr>
        <w:pStyle w:val="Tekstpodstawowy"/>
        <w:rPr>
          <w:rFonts w:asciiTheme="minorHAnsi" w:hAnsiTheme="minorHAnsi" w:cstheme="minorHAnsi"/>
        </w:rPr>
      </w:pPr>
      <w:r w:rsidRPr="00BC10F2">
        <w:rPr>
          <w:rFonts w:asciiTheme="minorHAnsi" w:hAnsiTheme="minorHAnsi" w:cstheme="minorHAnsi"/>
        </w:rPr>
        <w:t xml:space="preserve">Informacje o dotychczas zrealizowanych programach, w tym z zakresu profilaktyki osteoporozy np. programach </w:t>
      </w:r>
      <w:proofErr w:type="spellStart"/>
      <w:r w:rsidRPr="00BC10F2">
        <w:rPr>
          <w:rFonts w:asciiTheme="minorHAnsi" w:hAnsiTheme="minorHAnsi" w:cstheme="minorHAnsi"/>
        </w:rPr>
        <w:t>screeningowych</w:t>
      </w:r>
      <w:proofErr w:type="spellEnd"/>
      <w:r w:rsidRPr="00BC10F2">
        <w:rPr>
          <w:rFonts w:asciiTheme="minorHAnsi" w:hAnsiTheme="minorHAnsi" w:cstheme="minorHAnsi"/>
        </w:rPr>
        <w:t>, działających poradniach osteoporozy, akcjach informacyjnych:</w:t>
      </w:r>
    </w:p>
    <w:p w14:paraId="74A12BC3" w14:textId="5CCD882F" w:rsidR="00E31314" w:rsidRPr="00BC10F2" w:rsidRDefault="00E31314" w:rsidP="00E31314">
      <w:pPr>
        <w:pStyle w:val="Tekstpodstawowy"/>
        <w:rPr>
          <w:rFonts w:asciiTheme="minorHAnsi" w:hAnsiTheme="minorHAnsi" w:cstheme="minorHAnsi"/>
        </w:rPr>
      </w:pPr>
      <w:r w:rsidRPr="00BC10F2">
        <w:rPr>
          <w:rFonts w:asciiTheme="minorHAnsi" w:hAnsiTheme="minorHAnsi" w:cstheme="minorHAnsi"/>
        </w:rPr>
        <w:t xml:space="preserve">Obecnie (dane na </w:t>
      </w:r>
      <w:r w:rsidR="001053AA">
        <w:rPr>
          <w:rFonts w:asciiTheme="minorHAnsi" w:hAnsiTheme="minorHAnsi" w:cstheme="minorHAnsi"/>
        </w:rPr>
        <w:t>dzień 17-07-2023) na terenie m.</w:t>
      </w:r>
      <w:r w:rsidRPr="00BC10F2">
        <w:rPr>
          <w:rFonts w:asciiTheme="minorHAnsi" w:hAnsiTheme="minorHAnsi" w:cstheme="minorHAnsi"/>
        </w:rPr>
        <w:t xml:space="preserve">st. Warszawy działa 11 placówek udzielających świadczenia w poradni osteoporozy w ramach NFZ. Najwięcej takich placówek jest w dzielnicach Mokotów i Śródmieście (po 2). Średni czas oczekiwania na świadczenie to 162 dni. Najkrócej na świadczenie czeka się 20 dni, a u świadczeniodawcy z najdłuższą kolejką najbliższy wolny termin jest za 574 dni. </w:t>
      </w:r>
    </w:p>
    <w:p w14:paraId="6618C947" w14:textId="77777777" w:rsidR="00E31314" w:rsidRPr="00BC10F2" w:rsidRDefault="00E31314" w:rsidP="00E10754">
      <w:pPr>
        <w:pStyle w:val="Tekstpodstawowy"/>
        <w:rPr>
          <w:rFonts w:asciiTheme="minorHAnsi" w:hAnsiTheme="minorHAnsi" w:cstheme="minorHAnsi"/>
        </w:rPr>
      </w:pPr>
      <w:r w:rsidRPr="00BC10F2">
        <w:rPr>
          <w:rFonts w:asciiTheme="minorHAnsi" w:hAnsiTheme="minorHAnsi" w:cstheme="minorHAnsi"/>
        </w:rPr>
        <w:t xml:space="preserve">Przychodnie osteoporozy w Warszawie oferują badania densytometryczne oraz konsultacje lekarskie pod kątem osteoporozy oraz innych chorób cywilizacyjnych. Gabinety Lekarskie w Warszawie zapewniają kompleksową opiekę specjalistyczną osobom zagrożonym i chorym na osteoporozę. W placówkach wykonywane są badania laboratoryjne, pomagające w leczeniu i pełnej diagnozie. Przychodnie wyposażone są w najnowocześniejszy sprzęt specjalistyczny dzięki, któremu można wykonać między innymi badanie gęstość minerałów składających się na kość. Badanie to wykonywane jest nieodpłatnie, wyłącznie w przypadku gdy pacjent posiada skierowanie od lekarza specjalisty. Na podstawie badania densytometrycznego, lekarskiego i analitycznych, specjaliści diagnozują pacjenta i wykluczają lub potwierdzają osteoporozę oraz określane zostaje ryzyko złamania kości. </w:t>
      </w:r>
      <w:r w:rsidRPr="00BC10F2">
        <w:rPr>
          <w:rFonts w:asciiTheme="minorHAnsi" w:hAnsiTheme="minorHAnsi" w:cstheme="minorHAnsi"/>
        </w:rPr>
        <w:lastRenderedPageBreak/>
        <w:t>Następnym krokiem staje się wdrożenie odpowiedniego leczenia. Poradnie realizują świadczenia w ramach kontraktu z NFZ. Do oddziału osteoporozy w Warszawie wymagane jest skierowanie od lekarza rodzinnego.</w:t>
      </w:r>
    </w:p>
    <w:p w14:paraId="5FEEA94B" w14:textId="77777777" w:rsidR="00E31314" w:rsidRPr="00BC10F2" w:rsidRDefault="00E31314" w:rsidP="00E10754">
      <w:pPr>
        <w:pStyle w:val="Tekstpodstawowy"/>
        <w:rPr>
          <w:rFonts w:asciiTheme="minorHAnsi" w:hAnsiTheme="minorHAnsi" w:cstheme="minorHAnsi"/>
        </w:rPr>
      </w:pPr>
      <w:r w:rsidRPr="00BC10F2">
        <w:rPr>
          <w:rFonts w:asciiTheme="minorHAnsi" w:hAnsiTheme="minorHAnsi" w:cstheme="minorHAnsi"/>
        </w:rPr>
        <w:t>W województwie mazowieckim jest jeszcze 12 ośrodków, w których w ramach Narodowego Funduszu Zdrowia jest poradnia osteoporozy. Kolejka w nich wynosi średnio 160 dni.</w:t>
      </w:r>
    </w:p>
    <w:p w14:paraId="61E18FCA" w14:textId="66A27A7F" w:rsidR="00E31314" w:rsidRPr="00BC10F2" w:rsidRDefault="00E31314" w:rsidP="00E10754">
      <w:pPr>
        <w:pStyle w:val="Tekstpodstawowy"/>
        <w:rPr>
          <w:rFonts w:asciiTheme="minorHAnsi" w:hAnsiTheme="minorHAnsi" w:cstheme="minorHAnsi"/>
        </w:rPr>
      </w:pPr>
      <w:r w:rsidRPr="00BC10F2">
        <w:rPr>
          <w:rFonts w:asciiTheme="minorHAnsi" w:hAnsiTheme="minorHAnsi" w:cstheme="minorHAnsi"/>
        </w:rPr>
        <w:t>Poradnie osteoporozy</w:t>
      </w:r>
      <w:r w:rsidR="00E10754" w:rsidRPr="00BC10F2">
        <w:rPr>
          <w:rFonts w:asciiTheme="minorHAnsi" w:hAnsiTheme="minorHAnsi" w:cstheme="minorHAnsi"/>
        </w:rPr>
        <w:t xml:space="preserve"> w </w:t>
      </w:r>
      <w:r w:rsidRPr="00BC10F2">
        <w:rPr>
          <w:rFonts w:asciiTheme="minorHAnsi" w:hAnsiTheme="minorHAnsi" w:cstheme="minorHAnsi"/>
        </w:rPr>
        <w:t>Warszaw</w:t>
      </w:r>
      <w:r w:rsidR="00E10754" w:rsidRPr="00BC10F2">
        <w:rPr>
          <w:rFonts w:asciiTheme="minorHAnsi" w:hAnsiTheme="minorHAnsi" w:cstheme="minorHAnsi"/>
        </w:rPr>
        <w:t>ie</w:t>
      </w:r>
      <w:r w:rsidRPr="00BC10F2">
        <w:rPr>
          <w:rFonts w:asciiTheme="minorHAnsi" w:hAnsiTheme="minorHAnsi" w:cstheme="minorHAnsi"/>
        </w:rPr>
        <w:t>:</w:t>
      </w:r>
    </w:p>
    <w:p w14:paraId="255627A7"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1.</w:t>
      </w:r>
      <w:r w:rsidRPr="00BC10F2">
        <w:rPr>
          <w:rFonts w:asciiTheme="minorHAnsi" w:hAnsiTheme="minorHAnsi" w:cstheme="minorHAnsi"/>
        </w:rPr>
        <w:tab/>
        <w:t>Poradnia osteoporozy - Centralna Wojskowa Przychodnia Lekarska "</w:t>
      </w:r>
      <w:proofErr w:type="spellStart"/>
      <w:r w:rsidRPr="00BC10F2">
        <w:rPr>
          <w:rFonts w:asciiTheme="minorHAnsi" w:hAnsiTheme="minorHAnsi" w:cstheme="minorHAnsi"/>
        </w:rPr>
        <w:t>Cepelek</w:t>
      </w:r>
      <w:proofErr w:type="spellEnd"/>
      <w:r w:rsidRPr="00BC10F2">
        <w:rPr>
          <w:rFonts w:asciiTheme="minorHAnsi" w:hAnsiTheme="minorHAnsi" w:cstheme="minorHAnsi"/>
        </w:rPr>
        <w:t>" SPZOZ</w:t>
      </w:r>
    </w:p>
    <w:p w14:paraId="753C0164"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Ul. Koszykowa 78, Warszawa Śródmieście</w:t>
      </w:r>
    </w:p>
    <w:p w14:paraId="1A0E3D5C"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2.</w:t>
      </w:r>
      <w:r w:rsidRPr="00BC10F2">
        <w:rPr>
          <w:rFonts w:asciiTheme="minorHAnsi" w:hAnsiTheme="minorHAnsi" w:cstheme="minorHAnsi"/>
        </w:rPr>
        <w:tab/>
        <w:t>Poradnia osteoporozy  - Centrum Kompleksowej Rehabilitacji</w:t>
      </w:r>
    </w:p>
    <w:p w14:paraId="2F54B8C8"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Ul. Wawrzyńca Surowieckiego 8, Warszawa Ursynów</w:t>
      </w:r>
    </w:p>
    <w:p w14:paraId="4FAFD8E8" w14:textId="28C43992"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3.</w:t>
      </w:r>
      <w:r w:rsidRPr="00BC10F2">
        <w:rPr>
          <w:rFonts w:asciiTheme="minorHAnsi" w:hAnsiTheme="minorHAnsi" w:cstheme="minorHAnsi"/>
        </w:rPr>
        <w:tab/>
        <w:t>Poradnia osteoporozy - Centrum Medyczne Rafał</w:t>
      </w:r>
      <w:r w:rsidR="00E10754" w:rsidRPr="00BC10F2">
        <w:rPr>
          <w:rFonts w:asciiTheme="minorHAnsi" w:hAnsiTheme="minorHAnsi" w:cstheme="minorHAnsi"/>
        </w:rPr>
        <w:t xml:space="preserve">; </w:t>
      </w:r>
      <w:r w:rsidRPr="00BC10F2">
        <w:rPr>
          <w:rFonts w:asciiTheme="minorHAnsi" w:hAnsiTheme="minorHAnsi" w:cstheme="minorHAnsi"/>
        </w:rPr>
        <w:t>Ul. Wiosny Ludów 69, Warszawa Ursus</w:t>
      </w:r>
    </w:p>
    <w:p w14:paraId="19434A76" w14:textId="0B37ACA4"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4.</w:t>
      </w:r>
      <w:r w:rsidRPr="00BC10F2">
        <w:rPr>
          <w:rFonts w:asciiTheme="minorHAnsi" w:hAnsiTheme="minorHAnsi" w:cstheme="minorHAnsi"/>
        </w:rPr>
        <w:tab/>
        <w:t>Poradnia osteoporozy - Krajowe Centrum Osteoporozy</w:t>
      </w:r>
      <w:r w:rsidR="00E10754" w:rsidRPr="00BC10F2">
        <w:rPr>
          <w:rFonts w:asciiTheme="minorHAnsi" w:hAnsiTheme="minorHAnsi" w:cstheme="minorHAnsi"/>
        </w:rPr>
        <w:t xml:space="preserve">; </w:t>
      </w:r>
      <w:r w:rsidRPr="00BC10F2">
        <w:rPr>
          <w:rFonts w:asciiTheme="minorHAnsi" w:hAnsiTheme="minorHAnsi" w:cstheme="minorHAnsi"/>
        </w:rPr>
        <w:t>Ul. Syrokomli 32, Warszawa Targówek</w:t>
      </w:r>
    </w:p>
    <w:p w14:paraId="32CD42A1" w14:textId="0F303F7D"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5.</w:t>
      </w:r>
      <w:r w:rsidRPr="00BC10F2">
        <w:rPr>
          <w:rFonts w:asciiTheme="minorHAnsi" w:hAnsiTheme="minorHAnsi" w:cstheme="minorHAnsi"/>
        </w:rPr>
        <w:tab/>
        <w:t xml:space="preserve">Poradnia osteoporozy </w:t>
      </w:r>
      <w:r w:rsidR="00E10754" w:rsidRPr="00BC10F2">
        <w:rPr>
          <w:rFonts w:asciiTheme="minorHAnsi" w:hAnsiTheme="minorHAnsi" w:cstheme="minorHAnsi"/>
        </w:rPr>
        <w:t>–</w:t>
      </w:r>
      <w:r w:rsidRPr="00BC10F2">
        <w:rPr>
          <w:rFonts w:asciiTheme="minorHAnsi" w:hAnsiTheme="minorHAnsi" w:cstheme="minorHAnsi"/>
        </w:rPr>
        <w:t xml:space="preserve"> </w:t>
      </w:r>
      <w:proofErr w:type="spellStart"/>
      <w:r w:rsidRPr="00BC10F2">
        <w:rPr>
          <w:rFonts w:asciiTheme="minorHAnsi" w:hAnsiTheme="minorHAnsi" w:cstheme="minorHAnsi"/>
        </w:rPr>
        <w:t>Medikar</w:t>
      </w:r>
      <w:proofErr w:type="spellEnd"/>
      <w:r w:rsidR="00E10754" w:rsidRPr="00BC10F2">
        <w:rPr>
          <w:rFonts w:asciiTheme="minorHAnsi" w:hAnsiTheme="minorHAnsi" w:cstheme="minorHAnsi"/>
        </w:rPr>
        <w:t xml:space="preserve">; </w:t>
      </w:r>
      <w:r w:rsidRPr="00BC10F2">
        <w:rPr>
          <w:rFonts w:asciiTheme="minorHAnsi" w:hAnsiTheme="minorHAnsi" w:cstheme="minorHAnsi"/>
        </w:rPr>
        <w:t>Ul. Puławska 120/124, Warszawa Mokotów</w:t>
      </w:r>
    </w:p>
    <w:p w14:paraId="0781FBE6"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6.</w:t>
      </w:r>
      <w:r w:rsidRPr="00BC10F2">
        <w:rPr>
          <w:rFonts w:asciiTheme="minorHAnsi" w:hAnsiTheme="minorHAnsi" w:cstheme="minorHAnsi"/>
        </w:rPr>
        <w:tab/>
        <w:t>Poradnia osteoporozy - Narodowy Instytut Geriatrii, Reumatologii i Rehabilitacji</w:t>
      </w:r>
    </w:p>
    <w:p w14:paraId="20A95F21"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Ul. Spartańska 1, Warszawa Mokotów</w:t>
      </w:r>
    </w:p>
    <w:p w14:paraId="20F045B9" w14:textId="17FB2CC1"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7.</w:t>
      </w:r>
      <w:r w:rsidRPr="00BC10F2">
        <w:rPr>
          <w:rFonts w:asciiTheme="minorHAnsi" w:hAnsiTheme="minorHAnsi" w:cstheme="minorHAnsi"/>
        </w:rPr>
        <w:tab/>
        <w:t>Poradnia osteoporozy- Specjalistyczna Przychodnia Lekarska dla Pracowników Wojska SPZOZ w Warszawie</w:t>
      </w:r>
      <w:r w:rsidR="00E10754" w:rsidRPr="00BC10F2">
        <w:rPr>
          <w:rFonts w:asciiTheme="minorHAnsi" w:hAnsiTheme="minorHAnsi" w:cstheme="minorHAnsi"/>
        </w:rPr>
        <w:t xml:space="preserve">; </w:t>
      </w:r>
      <w:r w:rsidRPr="00BC10F2">
        <w:rPr>
          <w:rFonts w:asciiTheme="minorHAnsi" w:hAnsiTheme="minorHAnsi" w:cstheme="minorHAnsi"/>
        </w:rPr>
        <w:t>Ul. Nowowiejska 31, Warszawa Śródmieście</w:t>
      </w:r>
    </w:p>
    <w:p w14:paraId="35893C52" w14:textId="6F380095"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8.</w:t>
      </w:r>
      <w:r w:rsidRPr="00BC10F2">
        <w:rPr>
          <w:rFonts w:asciiTheme="minorHAnsi" w:hAnsiTheme="minorHAnsi" w:cstheme="minorHAnsi"/>
        </w:rPr>
        <w:tab/>
        <w:t>Poradnia osteoporozy - SPZZLO Warszawa-Żoliborz</w:t>
      </w:r>
      <w:r w:rsidR="00E10754" w:rsidRPr="00BC10F2">
        <w:rPr>
          <w:rFonts w:asciiTheme="minorHAnsi" w:hAnsiTheme="minorHAnsi" w:cstheme="minorHAnsi"/>
        </w:rPr>
        <w:t xml:space="preserve">; </w:t>
      </w:r>
      <w:r w:rsidRPr="00BC10F2">
        <w:rPr>
          <w:rFonts w:asciiTheme="minorHAnsi" w:hAnsiTheme="minorHAnsi" w:cstheme="minorHAnsi"/>
        </w:rPr>
        <w:t>Ul. Szajnochy 8, Warszawa Żoliborz</w:t>
      </w:r>
    </w:p>
    <w:p w14:paraId="6CDBF40C"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9.</w:t>
      </w:r>
      <w:r w:rsidRPr="00BC10F2">
        <w:rPr>
          <w:rFonts w:asciiTheme="minorHAnsi" w:hAnsiTheme="minorHAnsi" w:cstheme="minorHAnsi"/>
        </w:rPr>
        <w:tab/>
        <w:t>Poradnia osteoporozy - Wojskowy Instytut Medyczny - Państwowy Instytut Badawczy</w:t>
      </w:r>
    </w:p>
    <w:p w14:paraId="4D2E5D88"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Ul. Szaserów 128, Warszawa Praga-Południe</w:t>
      </w:r>
    </w:p>
    <w:p w14:paraId="06C6F6E9"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10.</w:t>
      </w:r>
      <w:r w:rsidRPr="00BC10F2">
        <w:rPr>
          <w:rFonts w:asciiTheme="minorHAnsi" w:hAnsiTheme="minorHAnsi" w:cstheme="minorHAnsi"/>
        </w:rPr>
        <w:tab/>
        <w:t>Poradnia osteoporozy - SZPZLO Warszawa Bemowo-Włochy</w:t>
      </w:r>
    </w:p>
    <w:p w14:paraId="19FB0D95"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Ul. Waleriana Czumy 1, Warszawa Bemowo</w:t>
      </w:r>
    </w:p>
    <w:p w14:paraId="1C3EC4BE" w14:textId="5247FB15"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11.</w:t>
      </w:r>
      <w:r w:rsidRPr="00BC10F2">
        <w:rPr>
          <w:rFonts w:asciiTheme="minorHAnsi" w:hAnsiTheme="minorHAnsi" w:cstheme="minorHAnsi"/>
        </w:rPr>
        <w:tab/>
        <w:t>Poradnia osteoporozy – SZPZLO Warszawa-Wawer</w:t>
      </w:r>
      <w:r w:rsidR="00E10754" w:rsidRPr="00BC10F2">
        <w:rPr>
          <w:rFonts w:asciiTheme="minorHAnsi" w:hAnsiTheme="minorHAnsi" w:cstheme="minorHAnsi"/>
        </w:rPr>
        <w:t xml:space="preserve">; </w:t>
      </w:r>
      <w:r w:rsidRPr="00BC10F2">
        <w:rPr>
          <w:rFonts w:asciiTheme="minorHAnsi" w:hAnsiTheme="minorHAnsi" w:cstheme="minorHAnsi"/>
        </w:rPr>
        <w:t>Ul. Strusia 4/8, Warszawa Wawer</w:t>
      </w:r>
    </w:p>
    <w:p w14:paraId="2F0E5F74"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Miejskie podmioty lecznicze, w których można wykonać badanie densytometryczne to:</w:t>
      </w:r>
    </w:p>
    <w:p w14:paraId="5570A1FB"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w:t>
      </w:r>
      <w:r w:rsidRPr="00BC10F2">
        <w:rPr>
          <w:rFonts w:asciiTheme="minorHAnsi" w:hAnsiTheme="minorHAnsi" w:cstheme="minorHAnsi"/>
        </w:rPr>
        <w:tab/>
        <w:t xml:space="preserve">SZPZLO Warszawa Bemowo-Włochy ul. Czumy 1, </w:t>
      </w:r>
    </w:p>
    <w:p w14:paraId="5D0306E7"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w:t>
      </w:r>
      <w:r w:rsidRPr="00BC10F2">
        <w:rPr>
          <w:rFonts w:asciiTheme="minorHAnsi" w:hAnsiTheme="minorHAnsi" w:cstheme="minorHAnsi"/>
        </w:rPr>
        <w:tab/>
        <w:t xml:space="preserve">SPZZLO Warszawa-Żoliborz ul. Szajnochy 8, </w:t>
      </w:r>
    </w:p>
    <w:p w14:paraId="73263129" w14:textId="634D53EF"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w:t>
      </w:r>
      <w:r w:rsidRPr="00BC10F2">
        <w:rPr>
          <w:rFonts w:asciiTheme="minorHAnsi" w:hAnsiTheme="minorHAnsi" w:cstheme="minorHAnsi"/>
        </w:rPr>
        <w:tab/>
        <w:t>SZPZLO Warszawa-Wawer ul. Strusia 4/8.</w:t>
      </w:r>
    </w:p>
    <w:p w14:paraId="538A440A" w14:textId="77777777" w:rsidR="00E10754" w:rsidRPr="00BC10F2" w:rsidRDefault="00E10754" w:rsidP="00E10754">
      <w:pPr>
        <w:pStyle w:val="Tekstpodstawowy"/>
        <w:spacing w:line="276" w:lineRule="auto"/>
        <w:rPr>
          <w:rFonts w:asciiTheme="minorHAnsi" w:hAnsiTheme="minorHAnsi" w:cstheme="minorHAnsi"/>
        </w:rPr>
      </w:pPr>
    </w:p>
    <w:p w14:paraId="6B78BAB7" w14:textId="19BC44B1" w:rsidR="00162F17" w:rsidRPr="00BC10F2" w:rsidRDefault="00162F17" w:rsidP="00162F17">
      <w:pPr>
        <w:pStyle w:val="Tekstpodstawowy"/>
        <w:rPr>
          <w:rFonts w:asciiTheme="minorHAnsi" w:hAnsiTheme="minorHAnsi" w:cstheme="minorHAnsi"/>
        </w:rPr>
      </w:pPr>
      <w:r w:rsidRPr="00BC10F2">
        <w:rPr>
          <w:rFonts w:asciiTheme="minorHAnsi" w:hAnsiTheme="minorHAnsi" w:cstheme="minorHAnsi"/>
        </w:rPr>
        <w:lastRenderedPageBreak/>
        <w:t xml:space="preserve">Miasto st. Warszawa od wielu lat włącza się w </w:t>
      </w:r>
      <w:r w:rsidR="00E10754" w:rsidRPr="00BC10F2">
        <w:rPr>
          <w:rFonts w:asciiTheme="minorHAnsi" w:hAnsiTheme="minorHAnsi" w:cstheme="minorHAnsi"/>
        </w:rPr>
        <w:t>k</w:t>
      </w:r>
      <w:r w:rsidRPr="00BC10F2">
        <w:rPr>
          <w:rFonts w:asciiTheme="minorHAnsi" w:hAnsiTheme="minorHAnsi" w:cstheme="minorHAnsi"/>
        </w:rPr>
        <w:t xml:space="preserve">ampanie edukacyjno-informacyjne realizowane w ramach Światowego Dnia Osteoporozy (20 października) oraz Światowego Dnia Chorych na Osteoporozę (24 czerwca). Hasłem kampanii Światowego Dnia Osteoporozy w roku 2022 było „Wspinaj się po zdrowie kości”, w roku 2021 - „Podejmij działania dla zdrowia swoich kości”. Również w ramach Światowego Dnia Chorych na Osteoporozę na stronie internetowej i mediach społecznościowych Urzędu zamieszczane są miasta materiały edukacyjno-informacyjne, prowadzone są również </w:t>
      </w:r>
      <w:r w:rsidR="00E10754" w:rsidRPr="00BC10F2">
        <w:rPr>
          <w:rFonts w:asciiTheme="minorHAnsi" w:hAnsiTheme="minorHAnsi" w:cstheme="minorHAnsi"/>
        </w:rPr>
        <w:t>webinaria</w:t>
      </w:r>
      <w:r w:rsidRPr="00BC10F2">
        <w:rPr>
          <w:rFonts w:asciiTheme="minorHAnsi" w:hAnsiTheme="minorHAnsi" w:cstheme="minorHAnsi"/>
        </w:rPr>
        <w:t xml:space="preserve"> i wykłady na ten temat. W październiku 2019 akcję informacyjną na Mazowszu, w ramach ogólnopolskiej akcji informacyjnej NFZ dotyczącej profilaktyki osteoporozy, prowadził mazowiecki NFZ ("Środa z profilaktyką" w mazowieckim NFZ: Jak ustrzec się osteoporozy, Osteoporoza: „cichy złodziej kości”).</w:t>
      </w:r>
    </w:p>
    <w:p w14:paraId="2899D32A" w14:textId="6BA8857D" w:rsidR="00162F17" w:rsidRPr="00BC10F2" w:rsidRDefault="00162F17" w:rsidP="00162F17">
      <w:pPr>
        <w:pStyle w:val="Tekstpodstawowy"/>
        <w:rPr>
          <w:rFonts w:asciiTheme="minorHAnsi" w:hAnsiTheme="minorHAnsi" w:cstheme="minorHAnsi"/>
        </w:rPr>
      </w:pPr>
      <w:r w:rsidRPr="00BC10F2">
        <w:rPr>
          <w:rFonts w:asciiTheme="minorHAnsi" w:hAnsiTheme="minorHAnsi" w:cstheme="minorHAnsi"/>
        </w:rPr>
        <w:t>Na terenie Mazowsza, w tym w Warszawie, prowadzony jest obecnie (w okresie od 1 marca 2019 r. do 30 listopada 2023 r.) projekt „Program Profilaktyki Osteoporozy Narodowego Instytutu Geriatrii, Reumatologii i Rehabilitacji” (Projekt współfinansowany ze środków Unii Europejskiej w ramach Europejskiego Funduszu Społecznego, POWR.05.01.00-00-0012/18). Głównym celem projektu jest wdrożenie w ośrodkach uczestniczących w programie skoordynowanego systemu wczesnej identyfikacji kobiet w wieku 50-70 lat zagrożonych złamaniami niskoenergetycznymi oraz chorych z już dokonanymi złamaniami i kierowania ich do właściwego Specjalistycznego Ośrodka Profilaktyki Osteoporozy. Program ma pozwolić na wczesne wykrywanie podwyższonego ryzyka osteoporozy, szczególnie u kobiet będących w wieku aktywności zawodowej i umożliwienie leczenia choroby na wczesnym etapie, co zwiększa szanse na powodzenie leczenia i szanse utrzymania dobrego zdrowia pacjentek.</w:t>
      </w:r>
    </w:p>
    <w:p w14:paraId="3B15F649" w14:textId="521F3D40" w:rsidR="00162F17" w:rsidRPr="00BC10F2" w:rsidRDefault="00015982" w:rsidP="00162F17">
      <w:pPr>
        <w:pStyle w:val="Tekstpodstawowy"/>
        <w:rPr>
          <w:rFonts w:asciiTheme="minorHAnsi" w:hAnsiTheme="minorHAnsi" w:cstheme="minorHAnsi"/>
        </w:rPr>
      </w:pPr>
      <w:r w:rsidRPr="00BC10F2">
        <w:rPr>
          <w:rFonts w:asciiTheme="minorHAnsi" w:hAnsiTheme="minorHAnsi" w:cstheme="minorHAnsi"/>
        </w:rPr>
        <w:t xml:space="preserve">Miasto st. Warszawa prowadzi również program promocji zdrowia </w:t>
      </w:r>
      <w:r w:rsidRPr="00BC10F2">
        <w:rPr>
          <w:rFonts w:asciiTheme="minorHAnsi" w:hAnsiTheme="minorHAnsi" w:cstheme="minorHAnsi"/>
          <w:i/>
        </w:rPr>
        <w:t>Aktywny Senior</w:t>
      </w:r>
      <w:r w:rsidRPr="00BC10F2">
        <w:rPr>
          <w:rFonts w:asciiTheme="minorHAnsi" w:hAnsiTheme="minorHAnsi" w:cstheme="minorHAnsi"/>
        </w:rPr>
        <w:t xml:space="preserve"> kierowany do mieszkanek i mieszkańców stolicy, którego jednym z celów jest profilaktyka osteoporozy. W programie tym, re</w:t>
      </w:r>
      <w:r w:rsidR="001053AA">
        <w:rPr>
          <w:rFonts w:asciiTheme="minorHAnsi" w:hAnsiTheme="minorHAnsi" w:cstheme="minorHAnsi"/>
        </w:rPr>
        <w:t>alizowanym na terenie całego m.</w:t>
      </w:r>
      <w:r w:rsidRPr="00BC10F2">
        <w:rPr>
          <w:rFonts w:asciiTheme="minorHAnsi" w:hAnsiTheme="minorHAnsi" w:cstheme="minorHAnsi"/>
        </w:rPr>
        <w:t>st. Warszawy, za pomocą zajęć edukacyjnych oraz ruchowych, zachęca się osoby po 60 roku życia do właściwego sposobu odżywi</w:t>
      </w:r>
      <w:r w:rsidR="001053AA">
        <w:rPr>
          <w:rFonts w:asciiTheme="minorHAnsi" w:hAnsiTheme="minorHAnsi" w:cstheme="minorHAnsi"/>
        </w:rPr>
        <w:t>ania i zdrowego stylu życia. M.</w:t>
      </w:r>
      <w:r w:rsidRPr="00BC10F2">
        <w:rPr>
          <w:rFonts w:asciiTheme="minorHAnsi" w:hAnsiTheme="minorHAnsi" w:cstheme="minorHAnsi"/>
        </w:rPr>
        <w:t xml:space="preserve">st. Warszawa organizuje oraz finansuje na terenie swoich dzielnic szereg zajęć profilaktyczno-rekreacyjnych adresowanych do seniorek i seniorów, których również jednym z ważnych celów jest profilaktyka osteoporozy. Wśród takich programów można wymienić takie programy jak: </w:t>
      </w:r>
      <w:r w:rsidRPr="00BC10F2">
        <w:rPr>
          <w:rFonts w:asciiTheme="minorHAnsi" w:hAnsiTheme="minorHAnsi" w:cstheme="minorHAnsi"/>
          <w:i/>
        </w:rPr>
        <w:t xml:space="preserve">Zdrowy kręgosłup – senior, program Sport 50+, </w:t>
      </w:r>
      <w:proofErr w:type="spellStart"/>
      <w:r w:rsidRPr="00BC10F2">
        <w:rPr>
          <w:rFonts w:asciiTheme="minorHAnsi" w:hAnsiTheme="minorHAnsi" w:cstheme="minorHAnsi"/>
          <w:i/>
        </w:rPr>
        <w:t>Nordic</w:t>
      </w:r>
      <w:proofErr w:type="spellEnd"/>
      <w:r w:rsidRPr="00BC10F2">
        <w:rPr>
          <w:rFonts w:asciiTheme="minorHAnsi" w:hAnsiTheme="minorHAnsi" w:cstheme="minorHAnsi"/>
          <w:i/>
        </w:rPr>
        <w:t xml:space="preserve"> </w:t>
      </w:r>
      <w:proofErr w:type="spellStart"/>
      <w:r w:rsidRPr="00BC10F2">
        <w:rPr>
          <w:rFonts w:asciiTheme="minorHAnsi" w:hAnsiTheme="minorHAnsi" w:cstheme="minorHAnsi"/>
          <w:i/>
        </w:rPr>
        <w:t>Walking</w:t>
      </w:r>
      <w:proofErr w:type="spellEnd"/>
      <w:r w:rsidRPr="00BC10F2">
        <w:rPr>
          <w:rFonts w:asciiTheme="minorHAnsi" w:hAnsiTheme="minorHAnsi" w:cstheme="minorHAnsi"/>
          <w:i/>
        </w:rPr>
        <w:t xml:space="preserve"> dla seniorów, </w:t>
      </w:r>
      <w:proofErr w:type="spellStart"/>
      <w:r w:rsidRPr="00BC10F2">
        <w:rPr>
          <w:rFonts w:asciiTheme="minorHAnsi" w:hAnsiTheme="minorHAnsi" w:cstheme="minorHAnsi"/>
          <w:i/>
        </w:rPr>
        <w:t>Pilates</w:t>
      </w:r>
      <w:proofErr w:type="spellEnd"/>
      <w:r w:rsidRPr="00BC10F2">
        <w:rPr>
          <w:rFonts w:asciiTheme="minorHAnsi" w:hAnsiTheme="minorHAnsi" w:cstheme="minorHAnsi"/>
          <w:i/>
        </w:rPr>
        <w:t xml:space="preserve"> dla seniorów, Gimnastyka dla seniorów/seniorek, Gimnastyka w wodzie i rehabilitacja ruchowa w wodzie dla seniorów, podnoszenie sprawności fizycznej mieszkańców </w:t>
      </w:r>
      <w:r w:rsidRPr="00BC10F2">
        <w:rPr>
          <w:rFonts w:asciiTheme="minorHAnsi" w:hAnsiTheme="minorHAnsi" w:cstheme="minorHAnsi"/>
        </w:rPr>
        <w:t xml:space="preserve">i inne programy rekreacyjno-sportowe. </w:t>
      </w:r>
      <w:r w:rsidR="001053AA">
        <w:rPr>
          <w:rFonts w:asciiTheme="minorHAnsi" w:hAnsiTheme="minorHAnsi" w:cstheme="minorHAnsi"/>
        </w:rPr>
        <w:t>M.</w:t>
      </w:r>
      <w:r w:rsidR="004747A4" w:rsidRPr="00BC10F2">
        <w:rPr>
          <w:rFonts w:asciiTheme="minorHAnsi" w:hAnsiTheme="minorHAnsi" w:cstheme="minorHAnsi"/>
        </w:rPr>
        <w:t>st. Warszawa prowadzi kampanie informujące o korzyściach z aktywności fizycznej i zdrowego stylu życia, np. Kampania społeczna „Bądź aktywny” realizowana przez Biuro Sportu i Rekreacji oraz  Sportowy Uniwersytet.</w:t>
      </w:r>
      <w:r w:rsidRPr="00BC10F2">
        <w:rPr>
          <w:rFonts w:asciiTheme="minorHAnsi" w:hAnsiTheme="minorHAnsi" w:cstheme="minorHAnsi"/>
        </w:rPr>
        <w:t xml:space="preserve">  </w:t>
      </w:r>
    </w:p>
    <w:p w14:paraId="3A781589" w14:textId="413C4B47" w:rsidR="00A80621" w:rsidRPr="00BC10F2" w:rsidRDefault="007941FC">
      <w:pPr>
        <w:pStyle w:val="Nagwek2"/>
        <w:pageBreakBefore/>
        <w:rPr>
          <w:rFonts w:asciiTheme="minorHAnsi" w:hAnsiTheme="minorHAnsi" w:cstheme="minorHAnsi"/>
        </w:rPr>
      </w:pPr>
      <w:bookmarkStart w:id="6" w:name="_Toc146114987"/>
      <w:r w:rsidRPr="00BC10F2">
        <w:rPr>
          <w:rFonts w:asciiTheme="minorHAnsi" w:hAnsiTheme="minorHAnsi" w:cstheme="minorHAnsi"/>
        </w:rPr>
        <w:lastRenderedPageBreak/>
        <w:t>Uzasadnienie wdrożenia programu</w:t>
      </w:r>
      <w:bookmarkEnd w:id="6"/>
    </w:p>
    <w:p w14:paraId="2BDEEC22" w14:textId="4AB00ED6" w:rsidR="00A80621" w:rsidRPr="00BC10F2" w:rsidRDefault="007941FC">
      <w:pPr>
        <w:pStyle w:val="Tekstpodstawowy"/>
        <w:rPr>
          <w:rFonts w:asciiTheme="minorHAnsi" w:hAnsiTheme="minorHAnsi" w:cstheme="minorHAnsi"/>
        </w:rPr>
      </w:pPr>
      <w:r w:rsidRPr="00BC10F2">
        <w:rPr>
          <w:rFonts w:asciiTheme="minorHAnsi" w:hAnsiTheme="minorHAnsi" w:cstheme="minorHAnsi"/>
        </w:rPr>
        <w:t>Dane epidemiologiczne wskazują, że liczba osób z osteoporozą wynosi w Polsce ponad 2 mln, a jedynie ok. 30% ma j</w:t>
      </w:r>
      <w:r w:rsidR="00395636" w:rsidRPr="00BC10F2">
        <w:rPr>
          <w:rFonts w:asciiTheme="minorHAnsi" w:hAnsiTheme="minorHAnsi" w:cstheme="minorHAnsi"/>
        </w:rPr>
        <w:t>ą</w:t>
      </w:r>
      <w:r w:rsidRPr="00BC10F2">
        <w:rPr>
          <w:rFonts w:asciiTheme="minorHAnsi" w:hAnsiTheme="minorHAnsi" w:cstheme="minorHAnsi"/>
        </w:rPr>
        <w:t xml:space="preserve"> rozpoznaną. Dane dotyczące stanu leczenia wskazują na konieczność poprawy diagnostyki szczególnie w populacji osób powyżej 65+ roku życia na poziomie POZ poprzez poprawę wskaźników zgłaszania się oraz koordynację działań pomiędzy POZ a ambulatoryjną opiekę specjalistyczną (poradnie osteoporozy czy reumatologicznymi). Brak tych działań prowadzi do nierównego dostępu chorych do tego typu poradni na terenie m.</w:t>
      </w:r>
      <w:r w:rsidR="001053AA">
        <w:rPr>
          <w:rFonts w:asciiTheme="minorHAnsi" w:hAnsiTheme="minorHAnsi" w:cstheme="minorHAnsi"/>
        </w:rPr>
        <w:t>st.</w:t>
      </w:r>
      <w:r w:rsidRPr="00BC10F2">
        <w:rPr>
          <w:rFonts w:asciiTheme="minorHAnsi" w:hAnsiTheme="minorHAnsi" w:cstheme="minorHAnsi"/>
        </w:rPr>
        <w:t xml:space="preserve"> Warszawa i konieczność poprawy opieki, w tym w zakresie edukacji dotyczących zaleceń stylu życia, zapobiegania upadkom u osób starszych oraz leczenia farmakologicznego. </w:t>
      </w:r>
    </w:p>
    <w:p w14:paraId="712C5E1B" w14:textId="02B3C8F4" w:rsidR="00063001" w:rsidRPr="00BC10F2" w:rsidRDefault="00063001" w:rsidP="00063001">
      <w:pPr>
        <w:autoSpaceDE w:val="0"/>
        <w:autoSpaceDN w:val="0"/>
        <w:adjustRightInd w:val="0"/>
        <w:spacing w:after="0" w:line="360" w:lineRule="auto"/>
        <w:jc w:val="both"/>
        <w:rPr>
          <w:rFonts w:asciiTheme="minorHAnsi" w:hAnsiTheme="minorHAnsi" w:cstheme="minorHAnsi"/>
        </w:rPr>
      </w:pPr>
      <w:r w:rsidRPr="00BC10F2">
        <w:rPr>
          <w:rFonts w:asciiTheme="minorHAnsi" w:hAnsiTheme="minorHAnsi" w:cstheme="minorHAnsi"/>
        </w:rPr>
        <w:t xml:space="preserve">Obecnie w Polsce realizowane są następujące  programy dotyczące profilaktyki osteoporozy: </w:t>
      </w:r>
    </w:p>
    <w:p w14:paraId="4E2319BC" w14:textId="466A591C" w:rsidR="00063001" w:rsidRPr="00BC10F2" w:rsidRDefault="00063001" w:rsidP="000B2BB8">
      <w:pPr>
        <w:pStyle w:val="Akapitzlist"/>
        <w:numPr>
          <w:ilvl w:val="0"/>
          <w:numId w:val="31"/>
        </w:numPr>
        <w:spacing w:line="360" w:lineRule="auto"/>
        <w:jc w:val="both"/>
        <w:rPr>
          <w:rFonts w:asciiTheme="minorHAnsi" w:hAnsiTheme="minorHAnsi" w:cstheme="minorHAnsi"/>
          <w:sz w:val="20"/>
          <w:szCs w:val="20"/>
        </w:rPr>
      </w:pPr>
      <w:r w:rsidRPr="00BC10F2">
        <w:rPr>
          <w:rFonts w:asciiTheme="minorHAnsi" w:hAnsiTheme="minorHAnsi" w:cstheme="minorHAnsi"/>
          <w:sz w:val="20"/>
          <w:szCs w:val="20"/>
        </w:rPr>
        <w:t xml:space="preserve">Program Koordynacji Profilaktyki Złamań </w:t>
      </w:r>
      <w:proofErr w:type="spellStart"/>
      <w:r w:rsidRPr="00BC10F2">
        <w:rPr>
          <w:rFonts w:asciiTheme="minorHAnsi" w:hAnsiTheme="minorHAnsi" w:cstheme="minorHAnsi"/>
          <w:sz w:val="20"/>
          <w:szCs w:val="20"/>
        </w:rPr>
        <w:t>Osteoporotycznych</w:t>
      </w:r>
      <w:proofErr w:type="spellEnd"/>
      <w:r w:rsidRPr="00BC10F2">
        <w:rPr>
          <w:rFonts w:asciiTheme="minorHAnsi" w:hAnsiTheme="minorHAnsi" w:cstheme="minorHAnsi"/>
          <w:sz w:val="20"/>
          <w:szCs w:val="20"/>
        </w:rPr>
        <w:t>, do którego kwalifik</w:t>
      </w:r>
      <w:r w:rsidR="00985180" w:rsidRPr="00BC10F2">
        <w:rPr>
          <w:rFonts w:asciiTheme="minorHAnsi" w:hAnsiTheme="minorHAnsi" w:cstheme="minorHAnsi"/>
          <w:sz w:val="20"/>
          <w:szCs w:val="20"/>
        </w:rPr>
        <w:t xml:space="preserve">ują się kobiety w wieku 50-70, </w:t>
      </w:r>
      <w:r w:rsidRPr="00BC10F2">
        <w:rPr>
          <w:rFonts w:asciiTheme="minorHAnsi" w:hAnsiTheme="minorHAnsi" w:cstheme="minorHAnsi"/>
          <w:sz w:val="20"/>
          <w:szCs w:val="20"/>
        </w:rPr>
        <w:t>u których osteoporoza nie została do tej pory zdiagnozowana. Program realizowany jest w ramach Programu Operacyjnego Wiedza, Edukacja, Rozwój. (Program POWR.05.01.00-IP.05-00-007/18 współfinansowany przez Unię Europejską ze środków Europejskiego Funduszu Społecznego) przez wybrane w drodze konkursu ośrodki (np. Narodowy Instytut Geriatrii, Reumatologii i Rehabilitacji)</w:t>
      </w:r>
    </w:p>
    <w:p w14:paraId="339F18BD" w14:textId="77777777" w:rsidR="00063001" w:rsidRPr="00BC10F2" w:rsidRDefault="00063001" w:rsidP="00063001">
      <w:pPr>
        <w:pStyle w:val="Akapitzlist"/>
        <w:spacing w:line="360" w:lineRule="auto"/>
        <w:jc w:val="both"/>
        <w:rPr>
          <w:rFonts w:asciiTheme="minorHAnsi" w:hAnsiTheme="minorHAnsi" w:cstheme="minorHAnsi"/>
          <w:sz w:val="20"/>
          <w:szCs w:val="20"/>
        </w:rPr>
      </w:pPr>
      <w:r w:rsidRPr="00BC10F2">
        <w:rPr>
          <w:rFonts w:asciiTheme="minorHAnsi" w:hAnsiTheme="minorHAnsi" w:cstheme="minorHAnsi"/>
          <w:sz w:val="20"/>
          <w:szCs w:val="20"/>
        </w:rPr>
        <w:t xml:space="preserve">Szczegóły: </w:t>
      </w:r>
      <w:hyperlink r:id="rId9" w:history="1">
        <w:r w:rsidRPr="00BC10F2">
          <w:rPr>
            <w:rStyle w:val="Hipercze"/>
            <w:rFonts w:asciiTheme="minorHAnsi" w:hAnsiTheme="minorHAnsi" w:cstheme="minorHAnsi"/>
            <w:sz w:val="20"/>
            <w:szCs w:val="20"/>
          </w:rPr>
          <w:t>https://pacjent.gov.pl/programy-profilaktyczne/profilaktyka-osteoporozy</w:t>
        </w:r>
      </w:hyperlink>
      <w:r w:rsidRPr="00BC10F2">
        <w:rPr>
          <w:rFonts w:asciiTheme="minorHAnsi" w:hAnsiTheme="minorHAnsi" w:cstheme="minorHAnsi"/>
          <w:sz w:val="20"/>
          <w:szCs w:val="20"/>
        </w:rPr>
        <w:t xml:space="preserve"> </w:t>
      </w:r>
    </w:p>
    <w:p w14:paraId="7984E386" w14:textId="77777777" w:rsidR="00063001" w:rsidRPr="00BC10F2" w:rsidRDefault="00063001" w:rsidP="000B2BB8">
      <w:pPr>
        <w:pStyle w:val="Akapitzlist"/>
        <w:numPr>
          <w:ilvl w:val="0"/>
          <w:numId w:val="31"/>
        </w:numPr>
        <w:spacing w:line="360" w:lineRule="auto"/>
        <w:jc w:val="both"/>
        <w:rPr>
          <w:rFonts w:asciiTheme="minorHAnsi" w:hAnsiTheme="minorHAnsi" w:cstheme="minorHAnsi"/>
          <w:sz w:val="20"/>
          <w:szCs w:val="20"/>
        </w:rPr>
      </w:pPr>
      <w:r w:rsidRPr="00BC10F2">
        <w:rPr>
          <w:rFonts w:asciiTheme="minorHAnsi" w:hAnsiTheme="minorHAnsi" w:cstheme="minorHAnsi"/>
          <w:sz w:val="20"/>
          <w:szCs w:val="20"/>
        </w:rPr>
        <w:t>Samorządowy program polityki zdrowotnej w zakresie profilaktyki i wczesnego wykrywania osteoporozy wśród mieszkańców województwa mazowieckiego, realizowany z budżetu województwa mazowieckiego (Opinia Prezesa Agencji Oceny Technologii Medycznych i Taryfikacji nr 79/2020 z dnia 30 października 2020 r. o projekcie programu polityki zdrowotnej pn. „Program profilaktyki i wczesnego wykrywania osteoporozy na lata 2021-2025”)</w:t>
      </w:r>
    </w:p>
    <w:p w14:paraId="22159325" w14:textId="597D0C9C" w:rsidR="00A80621" w:rsidRPr="00BC10F2" w:rsidRDefault="007941FC">
      <w:pPr>
        <w:pStyle w:val="Tekstpodstawowy"/>
        <w:rPr>
          <w:rFonts w:asciiTheme="minorHAnsi" w:hAnsiTheme="minorHAnsi" w:cstheme="minorHAnsi"/>
        </w:rPr>
      </w:pPr>
      <w:r w:rsidRPr="00BC10F2">
        <w:rPr>
          <w:rFonts w:asciiTheme="minorHAnsi" w:hAnsiTheme="minorHAnsi" w:cstheme="minorHAnsi"/>
        </w:rPr>
        <w:t>Proponowany program został stworzony zgodnie z Rekomendacją Prezesa AOTMIT</w:t>
      </w:r>
      <w:r w:rsidR="00395636" w:rsidRPr="00BC10F2">
        <w:rPr>
          <w:rFonts w:asciiTheme="minorHAnsi" w:hAnsiTheme="minorHAnsi" w:cstheme="minorHAnsi"/>
        </w:rPr>
        <w:t xml:space="preserve"> nr 9/2020</w:t>
      </w:r>
      <w:r w:rsidRPr="00BC10F2">
        <w:rPr>
          <w:rFonts w:asciiTheme="minorHAnsi" w:hAnsiTheme="minorHAnsi" w:cstheme="minorHAnsi"/>
        </w:rPr>
        <w:t xml:space="preserve"> z dnia 30 listopada 2020 i opiera się na rekomendacjach zarówno ekspertów polskich jak i międzynarodowych. Wskazane interwencje znajdują potwierdzenie w analizie dowodów naukowych</w:t>
      </w:r>
      <w:r w:rsidR="00395636" w:rsidRPr="00BC10F2">
        <w:rPr>
          <w:rFonts w:asciiTheme="minorHAnsi" w:hAnsiTheme="minorHAnsi" w:cstheme="minorHAnsi"/>
        </w:rPr>
        <w:t>.</w:t>
      </w:r>
      <w:r w:rsidRPr="00BC10F2">
        <w:rPr>
          <w:rFonts w:asciiTheme="minorHAnsi" w:hAnsiTheme="minorHAnsi" w:cstheme="minorHAnsi"/>
        </w:rPr>
        <w:t xml:space="preserve"> W przeglądzie systematycznym badań RCT </w:t>
      </w:r>
      <w:proofErr w:type="spellStart"/>
      <w:r w:rsidRPr="00BC10F2">
        <w:rPr>
          <w:rFonts w:asciiTheme="minorHAnsi" w:hAnsiTheme="minorHAnsi" w:cstheme="minorHAnsi"/>
        </w:rPr>
        <w:t>Kastner</w:t>
      </w:r>
      <w:proofErr w:type="spellEnd"/>
      <w:r w:rsidRPr="00BC10F2">
        <w:rPr>
          <w:rFonts w:asciiTheme="minorHAnsi" w:hAnsiTheme="minorHAnsi" w:cstheme="minorHAnsi"/>
        </w:rPr>
        <w:t xml:space="preserve"> 2017 stwierdzono, że wdrażanie kompleksowych, wielokomponentowych interwencji (edukacja + informacja zwrotna + kontrola + ocena ryzyka + </w:t>
      </w:r>
      <w:proofErr w:type="spellStart"/>
      <w:r w:rsidRPr="00BC10F2">
        <w:rPr>
          <w:rFonts w:asciiTheme="minorHAnsi" w:hAnsiTheme="minorHAnsi" w:cstheme="minorHAnsi"/>
        </w:rPr>
        <w:t>skr</w:t>
      </w:r>
      <w:r w:rsidR="00395636" w:rsidRPr="00BC10F2">
        <w:rPr>
          <w:rFonts w:asciiTheme="minorHAnsi" w:hAnsiTheme="minorHAnsi" w:cstheme="minorHAnsi"/>
        </w:rPr>
        <w:t>i</w:t>
      </w:r>
      <w:r w:rsidRPr="00BC10F2">
        <w:rPr>
          <w:rFonts w:asciiTheme="minorHAnsi" w:hAnsiTheme="minorHAnsi" w:cstheme="minorHAnsi"/>
        </w:rPr>
        <w:t>ning</w:t>
      </w:r>
      <w:proofErr w:type="spellEnd"/>
      <w:r w:rsidRPr="00BC10F2">
        <w:rPr>
          <w:rFonts w:asciiTheme="minorHAnsi" w:hAnsiTheme="minorHAnsi" w:cstheme="minorHAnsi"/>
        </w:rPr>
        <w:t xml:space="preserve">) z zakresu osteoporozy, znacząco wpływa na przyspieszenie rozpoczęcia leczenia osteoporozy, jednak nie zaobserwowano istotnego statystycznie wpływu żadnej z interwencji na redukcję złamań. </w:t>
      </w:r>
    </w:p>
    <w:p w14:paraId="30BAAE29"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Wśród dostępnych narzędzi służących ocenie ryzyka występowania osteoporozy wytyczne te wymieniają OST, ORAI, OSIRIS, SCORE oraz FRAX. Wśród testów przesiewowych wskazuje się na DXA biodra oraz odcinka lędźwiowego kręgosłupa (uznawany za najczęściej stosowany). Z kolei NICE 2017 rekomenduje do oszacowania bezwzględnego ryzyka złamania stosowanie narzędzia FRAX lub </w:t>
      </w:r>
      <w:proofErr w:type="spellStart"/>
      <w:r w:rsidRPr="00BC10F2">
        <w:rPr>
          <w:rFonts w:asciiTheme="minorHAnsi" w:hAnsiTheme="minorHAnsi" w:cstheme="minorHAnsi"/>
        </w:rPr>
        <w:t>QFracture</w:t>
      </w:r>
      <w:proofErr w:type="spellEnd"/>
      <w:r w:rsidRPr="00BC10F2">
        <w:rPr>
          <w:rFonts w:asciiTheme="minorHAnsi" w:hAnsiTheme="minorHAnsi" w:cstheme="minorHAnsi"/>
        </w:rPr>
        <w:t xml:space="preserve">. Należy jednak zaznaczyć, że kalkulator </w:t>
      </w:r>
      <w:proofErr w:type="spellStart"/>
      <w:r w:rsidRPr="00BC10F2">
        <w:rPr>
          <w:rFonts w:asciiTheme="minorHAnsi" w:hAnsiTheme="minorHAnsi" w:cstheme="minorHAnsi"/>
        </w:rPr>
        <w:t>QFracture</w:t>
      </w:r>
      <w:proofErr w:type="spellEnd"/>
      <w:r w:rsidRPr="00BC10F2">
        <w:rPr>
          <w:rFonts w:asciiTheme="minorHAnsi" w:hAnsiTheme="minorHAnsi" w:cstheme="minorHAnsi"/>
        </w:rPr>
        <w:t xml:space="preserve"> jest przeznaczony dla populacji brytyjskiej. Cześć wytycznych podkreśla również ograniczenia narzędzia FRAX, które dot. m.in. ograniczone możliwości pomiaru BMD, brak uwzględnienia wszystkich możliwych czynników ryzyka, brak uwzględnienia w oszacowaniu liczby wypalanych papierosów, dokładnej ilości </w:t>
      </w:r>
      <w:r w:rsidRPr="00BC10F2">
        <w:rPr>
          <w:rFonts w:asciiTheme="minorHAnsi" w:hAnsiTheme="minorHAnsi" w:cstheme="minorHAnsi"/>
        </w:rPr>
        <w:lastRenderedPageBreak/>
        <w:t>spożywanego alkoholu, stopnia ekspozycji na glikokortykoidy, a także faktu, iż dwa wcześniejsze złamania w przeszłości niosą za sobą większe ryzyko niż jedno złamanie.</w:t>
      </w:r>
    </w:p>
    <w:p w14:paraId="04B82BD2"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Wszystkie dokumenty wytycznych zalecają prowadzenie działań przesiewowych poprzez ocenę ryzyka złamań w grupach osób narażonych na rozwój osteoporozy (głownie kobiety po menopauzie i starsi mężczyźni). Identyfikacja tego ryzyka i czynników go wywołujących powinna być wykonywana przy użyciu narzędzia FRAX, który pozwala oszacować 10-letnie ryzyko złamania kości. Identyfikacja dokonanego złamania niskoenergetycznego lub wykazanie podwyższonego ryzyka złamań metodą FRAX powinno skutkować przejściem do pogłębionej diagnostyki różnicowej, densytometrii, ew. badań biochemicznych i w konsekwencji podjęcia adekwatnej terapii. Wytyczne zgodnie wskazują, że DXA pozostaje złotym standardem służącym wykonaniu pomiaru BMD w rozpoznaniu osteoporozy. Metoda DXA wciąż pozostaje rekomendowaną metodą w diagnostyce osteoporozy i monitorowaniu efektów terapii.</w:t>
      </w:r>
    </w:p>
    <w:p w14:paraId="2875D15C"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Metoda FRAX</w:t>
      </w:r>
      <w:r w:rsidRPr="00BC10F2">
        <w:rPr>
          <w:rFonts w:asciiTheme="minorHAnsi" w:hAnsiTheme="minorHAnsi" w:cstheme="minorHAnsi"/>
          <w:vertAlign w:val="superscript"/>
        </w:rPr>
        <w:t>®</w:t>
      </w:r>
      <w:r w:rsidRPr="00BC10F2">
        <w:rPr>
          <w:rFonts w:asciiTheme="minorHAnsi" w:hAnsiTheme="minorHAnsi" w:cstheme="minorHAnsi"/>
        </w:rPr>
        <w:t xml:space="preserve"> została opracowana przez badaczy University of Sheffield dla potrzeb WHO w celu oceny u badanych osób ryzyka złamania. Obliczenie opiera się na indywidualnej charakterystyce pacjenta, która integruje ryzyko wynikające z klinicznych czynników ryzyka jak również (ale niekoniecznie) z gęstością mineralną kości (BMD) w zakresie szyjki kości udowej (badanie BMD w diagnostyce wstępnej można pominąć). Uwzględnione czynniki ryzyka: wiek, płeć wartość BMD w szyjce kości udowej (opcjonalnie), wcześniejsze złamania, wartość BMI, złamania bliższego końca kości udowej u rodziców, aktualne palenie papierosów, spożywanie dużych ilości alkoholu, występowanie reumatoidalnego zapalenie stawów, stosowanie </w:t>
      </w:r>
      <w:proofErr w:type="spellStart"/>
      <w:r w:rsidRPr="00BC10F2">
        <w:rPr>
          <w:rFonts w:asciiTheme="minorHAnsi" w:hAnsiTheme="minorHAnsi" w:cstheme="minorHAnsi"/>
        </w:rPr>
        <w:t>glikokortykosteroidów</w:t>
      </w:r>
      <w:proofErr w:type="spellEnd"/>
      <w:r w:rsidRPr="00BC10F2">
        <w:rPr>
          <w:rFonts w:asciiTheme="minorHAnsi" w:hAnsiTheme="minorHAnsi" w:cstheme="minorHAnsi"/>
        </w:rPr>
        <w:t xml:space="preserve"> lub innych czynników ryzyka osteoporozy wtórnej. Kalkulator jest dostosowany do oceny ryzyka w ściśle określonych populacjach, w populacji Polski jest to kalkulator – FRAX-PL i jest właściwym narzędziem dla populacji w wieku &gt;50 lat. </w:t>
      </w:r>
    </w:p>
    <w:p w14:paraId="4AED877E"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Wykazano, że w polskiej populacji 10 letnie ryzyko złamań głównych 10% jest ryzykiem wysokim wymagającym interwencji terapeutycznej. Kalkulator nie wskazuje jednak jaka to ma być interwencja. Łatwy dostęp poprzez stronę internetową http://www.shef.ac.uk/FRAX/index.htm umożliwia szybką ocenę ryzyka. Warunkiem jest staranny pomiar wzrostu i masy ciała badanej osoby (BMI). Już samo obniżenie wzrostu pacjentki o 3-4 cm może być objawem złamań kręgów. Osoby z określonym ryzykiem średnim (od 5%) mogą wymagać dalszej diagnostyki, wszyscy powinni mieć określone i docelowo eliminowane czynniki ryzyka, takie jak skłonność do upadków, spoczynkowy tryb życia, niedobory dietetyczne, niedobór witaminy D, używki itd. i zalecone działania prewencyjne. Ustalenie przez lekarza POZ podwyższonego ryzyka złamań lub też istnienia chorób, leków lub innych stanów powiązanych z występowaniem osteoporoz wtórnych wymaga skierowania chorego do leczenia specjalistycznego zgodnie z wytycznymi polskimi (WFO 2017)</w:t>
      </w:r>
    </w:p>
    <w:p w14:paraId="1573DB25"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Na podstawie odnalezionych rekomendacji można wyodrębnić trzy główne grupy, do których mogą być skierowane badania w kierunku wczesnego wykrywania osteoporozy – kobiety ≥65 r.ż., kobiety po menopauzie &lt;65 r.ż. oraz mężczyźni &gt;50 r.ż. (w szczególności &gt;70 r.ż.). Poniżej wskazano szczegółowe informacje z wytycznych dot. poszczególnych grup pacjentów. W ramach programach zostaną uwzględnione kobiety w wieku ≥65 r.ż. </w:t>
      </w:r>
      <w:r w:rsidRPr="00BC10F2">
        <w:rPr>
          <w:rFonts w:asciiTheme="minorHAnsi" w:hAnsiTheme="minorHAnsi" w:cstheme="minorHAnsi"/>
        </w:rPr>
        <w:lastRenderedPageBreak/>
        <w:t xml:space="preserve">Większość odnalezionych rekomendacji (USPSTF 2018a, ACR 2017, ICSI 2017, ACOG 2012, ESC 2012, NOF 2014, ISCD/IOF 2011) dotyczących badań przesiewowych, rekomenduje ich wykonywanie w populacji kobiet ≥65 r.ż. z wykorzystaniem jedynie badania densytometrycznego (pomiar BMD, ang. </w:t>
      </w:r>
      <w:proofErr w:type="spellStart"/>
      <w:r w:rsidRPr="00BC10F2">
        <w:rPr>
          <w:rFonts w:asciiTheme="minorHAnsi" w:hAnsiTheme="minorHAnsi" w:cstheme="minorHAnsi"/>
        </w:rPr>
        <w:t>bone</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mineral</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density</w:t>
      </w:r>
      <w:proofErr w:type="spellEnd"/>
      <w:r w:rsidRPr="00BC10F2">
        <w:rPr>
          <w:rFonts w:asciiTheme="minorHAnsi" w:hAnsiTheme="minorHAnsi" w:cstheme="minorHAnsi"/>
        </w:rPr>
        <w:t>). Wytyczne USPSTF 2018 wskazują, że ocena ryzyka wystąpienia osteoporozy powinna obejmować: występowanie wśród rodziców złamań biodra, palenie papierosów, nadmierne spożywanie alkoholu i niską masę ciała, w przypadku kobiet istotny jest także stan menopauzalny.</w:t>
      </w:r>
    </w:p>
    <w:p w14:paraId="18AAE346"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Odnalezione rekomendacje (WFO 2017, NOGG 2017, RACGP 2017, EULAR/EFORT 2016, SOGC 2014, SMS 2013) wskazują na szereg interwencji, które mają zastosowanie w prewencji osteoporozy. Podkreśla się przede wszystkim znaczenie odpowiedniej podaży wapnia i witaminy D w pożywieniu, aktywnego ruchowo trybu życia, eliminację używek - alkohol i papierosy. Główne zalecenie dotyczy tego, aby w szeroko pojętej profilaktyce osteoporozy dążyć do zapewnienia prawidłowej podaży wapnia w codziennej diecie oraz podaży witaminy D.</w:t>
      </w:r>
    </w:p>
    <w:p w14:paraId="6EDDBD2F"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Prewencja złamań obejmuje wszystkich, także osoby z niskim ryzykiem złamań (&lt;5%). Zdrowy, aktywny ruchowo tryb życia, eliminacja używek, odpowiednia dieta, ograniczenie stosowania leków zwiększających ryzyko złamań, prewencja upadków i urazów, odpowiednia edukacja społeczeństwa stanowią podstawowy warunek ograniczenia ryzyka rozwoju osteoporozy i jej powikłań (WFO 2017).</w:t>
      </w:r>
    </w:p>
    <w:p w14:paraId="4BAF9C39"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W profilaktyce osteoporozy zaleca się ograniczenie spożycia alkoholu do maksymalnie 2 jednostek dziennie oraz zaprzestanie palenia papierosów (ICSI 2017, RACGP 2017, AACE/ACE 2016, EULAR/EFORT 2016, MCG 2016, SMS 2013, ESC 2012). Zwłaszcza u mężczyzn ESC 2012 zaleca ograniczenie picia alkoholu do ilości &lt;3-4 jednostek alkoholu dziennie.</w:t>
      </w:r>
    </w:p>
    <w:p w14:paraId="2B092321"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USPSTF stwierdza, że obecne dowody są niewystarczające do oceny bilansu korzyści i szkód związanych z suplementacją witaminy D oraz wapniem (w odniesieniu zarówno do jednego, jak i połączenia obu suplementów) w profilaktyce pierwotnej złamań wśród mężczyzn oraz kobiet przed menopauzą mieszkających samodzielnie (USPSTF 2018c). Dodatkowo USPSTF 2018b nie rekomenduje suplementacji witaminą D w celu prewencji upadków wśród osób ≥65. r.ż. mieszkających samodzielnie.</w:t>
      </w:r>
    </w:p>
    <w:p w14:paraId="18957C76"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W przypadku osób z osteoporozą lub zagrożonych jej wystąpieniem rekomenduje się wykonywanie regularnych ćwiczeń fizycznych, w tym przede wszystkim: obciążeniowych, oporowych, poprawiających równowagę, a także wzmacniających siłę mięśniową, które będą dostosowane do indywidulanych potrzeb i możliwości pacjenta (NOGG 2017, RACGP 2017, SMS 2013, AACE/ACE 2016, CTFPHC 2010, 2013). NOGG 2017 i RACGP 2017 zaznaczają, że ćwiczenia obciążeniowe oraz na równowagę mają korzystny wpływ na BMD.</w:t>
      </w:r>
    </w:p>
    <w:p w14:paraId="39D47BAE" w14:textId="77777777" w:rsidR="00A80621" w:rsidRPr="00BC10F2" w:rsidRDefault="00A80621">
      <w:pPr>
        <w:rPr>
          <w:rFonts w:asciiTheme="minorHAnsi" w:hAnsiTheme="minorHAnsi" w:cstheme="minorHAnsi"/>
          <w:b/>
          <w:bCs w:val="0"/>
          <w:sz w:val="22"/>
          <w:szCs w:val="22"/>
        </w:rPr>
      </w:pPr>
    </w:p>
    <w:p w14:paraId="2799A09F" w14:textId="77777777" w:rsidR="00A80621" w:rsidRPr="00BC10F2" w:rsidRDefault="007941FC">
      <w:pPr>
        <w:pStyle w:val="Nagwek1"/>
        <w:rPr>
          <w:rFonts w:asciiTheme="minorHAnsi" w:hAnsiTheme="minorHAnsi" w:cstheme="minorHAnsi"/>
        </w:rPr>
      </w:pPr>
      <w:bookmarkStart w:id="7" w:name="_Toc146114988"/>
      <w:r w:rsidRPr="00BC10F2">
        <w:rPr>
          <w:rFonts w:asciiTheme="minorHAnsi" w:hAnsiTheme="minorHAnsi" w:cstheme="minorHAnsi"/>
        </w:rPr>
        <w:lastRenderedPageBreak/>
        <w:t>Cele programu polityki zdrowotnej i mierniki efektywności jego realizacji</w:t>
      </w:r>
      <w:bookmarkEnd w:id="7"/>
    </w:p>
    <w:p w14:paraId="4BB3C881" w14:textId="77777777" w:rsidR="00A80621" w:rsidRPr="00BC10F2" w:rsidRDefault="007941FC">
      <w:pPr>
        <w:pStyle w:val="Nagwek2"/>
        <w:rPr>
          <w:rFonts w:asciiTheme="minorHAnsi" w:hAnsiTheme="minorHAnsi" w:cstheme="minorHAnsi"/>
        </w:rPr>
      </w:pPr>
      <w:bookmarkStart w:id="8" w:name="_Toc146114989"/>
      <w:r w:rsidRPr="00BC10F2">
        <w:rPr>
          <w:rFonts w:asciiTheme="minorHAnsi" w:hAnsiTheme="minorHAnsi" w:cstheme="minorHAnsi"/>
        </w:rPr>
        <w:t>Cel główny</w:t>
      </w:r>
      <w:bookmarkEnd w:id="8"/>
      <w:r w:rsidRPr="00BC10F2">
        <w:rPr>
          <w:rFonts w:asciiTheme="minorHAnsi" w:hAnsiTheme="minorHAnsi" w:cstheme="minorHAnsi"/>
        </w:rPr>
        <w:t xml:space="preserve"> </w:t>
      </w:r>
    </w:p>
    <w:p w14:paraId="4B1FE769"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Uzyskanie lub utrzymanie wysokiego poziomu wiedzy z zakresu profilaktyki osteoporozy oraz zapobiegania złamaniom </w:t>
      </w:r>
      <w:proofErr w:type="spellStart"/>
      <w:r w:rsidRPr="00BC10F2">
        <w:rPr>
          <w:rFonts w:asciiTheme="minorHAnsi" w:hAnsiTheme="minorHAnsi" w:cstheme="minorHAnsi"/>
        </w:rPr>
        <w:t>osteoporotycznym</w:t>
      </w:r>
      <w:proofErr w:type="spellEnd"/>
      <w:r w:rsidRPr="00BC10F2">
        <w:rPr>
          <w:rFonts w:asciiTheme="minorHAnsi" w:hAnsiTheme="minorHAnsi" w:cstheme="minorHAnsi"/>
        </w:rPr>
        <w:t>, obejmującej zagadnienia teoretyczne i praktyczne, u co najmniej 70% uczestników programu (kobiet powyżej 65 roku życia + personelu medycznego).</w:t>
      </w:r>
    </w:p>
    <w:p w14:paraId="21FD8C3A" w14:textId="77777777" w:rsidR="00A80621" w:rsidRPr="00BC10F2" w:rsidRDefault="007941FC">
      <w:pPr>
        <w:pStyle w:val="Nagwek2"/>
        <w:rPr>
          <w:rFonts w:asciiTheme="minorHAnsi" w:hAnsiTheme="minorHAnsi" w:cstheme="minorHAnsi"/>
        </w:rPr>
      </w:pPr>
      <w:bookmarkStart w:id="9" w:name="_Toc146114990"/>
      <w:r w:rsidRPr="00BC10F2">
        <w:rPr>
          <w:rFonts w:asciiTheme="minorHAnsi" w:hAnsiTheme="minorHAnsi" w:cstheme="minorHAnsi"/>
        </w:rPr>
        <w:t>Cele szczegółowe</w:t>
      </w:r>
      <w:bookmarkEnd w:id="9"/>
    </w:p>
    <w:p w14:paraId="16F941D3" w14:textId="761D8542" w:rsidR="00A80621" w:rsidRPr="00BC10F2" w:rsidRDefault="007941FC">
      <w:pPr>
        <w:pStyle w:val="Tekstpodstawowy"/>
        <w:rPr>
          <w:rFonts w:asciiTheme="minorHAnsi" w:hAnsiTheme="minorHAnsi" w:cstheme="minorHAnsi"/>
        </w:rPr>
      </w:pPr>
      <w:r w:rsidRPr="00BC10F2">
        <w:rPr>
          <w:rFonts w:asciiTheme="minorHAnsi" w:hAnsiTheme="minorHAnsi" w:cstheme="minorHAnsi"/>
        </w:rPr>
        <w:t>Poprzez wdrożenie w ośrodkach uczestniczących w programie skutecznego schematu postępowania w zakresie identyfikacji pacjentów zagrożonych wysokim ryzykiem złamań niskoenergetycznych i identyfikacji osób z dokonanymi już złamaniami</w:t>
      </w:r>
    </w:p>
    <w:p w14:paraId="30D56BF4" w14:textId="26CFAC05" w:rsidR="009671DE" w:rsidRPr="00BC10F2" w:rsidRDefault="007941FC" w:rsidP="000B2BB8">
      <w:pPr>
        <w:pStyle w:val="Listanumerowana1"/>
        <w:numPr>
          <w:ilvl w:val="0"/>
          <w:numId w:val="17"/>
        </w:numPr>
        <w:rPr>
          <w:rFonts w:asciiTheme="minorHAnsi" w:hAnsiTheme="minorHAnsi" w:cstheme="minorHAnsi"/>
        </w:rPr>
      </w:pPr>
      <w:r w:rsidRPr="00BC10F2">
        <w:rPr>
          <w:rFonts w:asciiTheme="minorHAnsi" w:hAnsiTheme="minorHAnsi" w:cstheme="minorHAnsi"/>
        </w:rPr>
        <w:t xml:space="preserve">Uzyskanie lub utrzymanie wysokiego poziomu wiedzy teoretycznej i praktycznej wśród 70% świadczeniobiorców w zakresie profilaktyki pierwotnej osteoporozy, zapobiegania upadkom oraz postępowania w sytuacji podwyższonego zagrożenia złamaniami </w:t>
      </w:r>
      <w:proofErr w:type="spellStart"/>
      <w:r w:rsidRPr="00BC10F2">
        <w:rPr>
          <w:rFonts w:asciiTheme="minorHAnsi" w:hAnsiTheme="minorHAnsi" w:cstheme="minorHAnsi"/>
        </w:rPr>
        <w:t>osteoporotycznymi</w:t>
      </w:r>
      <w:proofErr w:type="spellEnd"/>
      <w:r w:rsidRPr="00BC10F2">
        <w:rPr>
          <w:rFonts w:asciiTheme="minorHAnsi" w:hAnsiTheme="minorHAnsi" w:cstheme="minorHAnsi"/>
        </w:rPr>
        <w:t>.</w:t>
      </w:r>
    </w:p>
    <w:p w14:paraId="080709F8" w14:textId="30A66C2F" w:rsidR="00AD347C" w:rsidRPr="00BC10F2" w:rsidRDefault="00AD347C" w:rsidP="000B2BB8">
      <w:pPr>
        <w:pStyle w:val="Listanumerowana1"/>
        <w:numPr>
          <w:ilvl w:val="0"/>
          <w:numId w:val="17"/>
        </w:numPr>
        <w:rPr>
          <w:rFonts w:asciiTheme="minorHAnsi" w:hAnsiTheme="minorHAnsi" w:cstheme="minorHAnsi"/>
        </w:rPr>
      </w:pPr>
      <w:r w:rsidRPr="00BC10F2">
        <w:rPr>
          <w:rFonts w:asciiTheme="minorHAnsi" w:hAnsiTheme="minorHAnsi" w:cstheme="minorHAnsi"/>
        </w:rPr>
        <w:t xml:space="preserve">Uzyskanie lub utrzymanie wysokiego poziomu wiedzy teoretycznej i praktycznej wśród 80% personelu medycznego w zakresie profilaktyki pierwotnej, diagnozowania, różnicowania i leczenia osteoporozy oraz zapobiegania złamaniom </w:t>
      </w:r>
      <w:proofErr w:type="spellStart"/>
      <w:r w:rsidRPr="00BC10F2">
        <w:rPr>
          <w:rFonts w:asciiTheme="minorHAnsi" w:hAnsiTheme="minorHAnsi" w:cstheme="minorHAnsi"/>
        </w:rPr>
        <w:t>osteoporotycznym</w:t>
      </w:r>
      <w:proofErr w:type="spellEnd"/>
      <w:r w:rsidRPr="00BC10F2">
        <w:rPr>
          <w:rFonts w:asciiTheme="minorHAnsi" w:hAnsiTheme="minorHAnsi" w:cstheme="minorHAnsi"/>
        </w:rPr>
        <w:t xml:space="preserve"> i upadkom.</w:t>
      </w:r>
    </w:p>
    <w:p w14:paraId="7EEE31EE" w14:textId="25FD67AE" w:rsidR="00A80621" w:rsidRPr="00BC10F2" w:rsidRDefault="007941FC" w:rsidP="000B2BB8">
      <w:pPr>
        <w:pStyle w:val="Listanumerowana1"/>
        <w:numPr>
          <w:ilvl w:val="0"/>
          <w:numId w:val="17"/>
        </w:numPr>
        <w:rPr>
          <w:rFonts w:asciiTheme="minorHAnsi" w:hAnsiTheme="minorHAnsi" w:cstheme="minorHAnsi"/>
        </w:rPr>
      </w:pPr>
      <w:r w:rsidRPr="00BC10F2">
        <w:rPr>
          <w:rFonts w:asciiTheme="minorHAnsi" w:hAnsiTheme="minorHAnsi" w:cstheme="minorHAnsi"/>
        </w:rPr>
        <w:t xml:space="preserve">Przeprowadzenie </w:t>
      </w:r>
      <w:r w:rsidR="008634E2" w:rsidRPr="00BC10F2">
        <w:rPr>
          <w:rFonts w:asciiTheme="minorHAnsi" w:hAnsiTheme="minorHAnsi" w:cstheme="minorHAnsi"/>
        </w:rPr>
        <w:t xml:space="preserve">w co najmniej 90% populacji świadczeniobiorców (kobiet 65+ włączonych do programu) </w:t>
      </w:r>
      <w:r w:rsidRPr="00BC10F2">
        <w:rPr>
          <w:rFonts w:asciiTheme="minorHAnsi" w:hAnsiTheme="minorHAnsi" w:cstheme="minorHAnsi"/>
        </w:rPr>
        <w:t xml:space="preserve"> badań FRAX w kierunku osteoporozy, oraz wykonanie </w:t>
      </w:r>
      <w:r w:rsidR="008634E2" w:rsidRPr="00BC10F2">
        <w:rPr>
          <w:rFonts w:asciiTheme="minorHAnsi" w:hAnsiTheme="minorHAnsi" w:cstheme="minorHAnsi"/>
        </w:rPr>
        <w:t xml:space="preserve">badania </w:t>
      </w:r>
      <w:r w:rsidRPr="00BC10F2">
        <w:rPr>
          <w:rFonts w:asciiTheme="minorHAnsi" w:hAnsiTheme="minorHAnsi" w:cstheme="minorHAnsi"/>
        </w:rPr>
        <w:t>DEX u co najmniej 90%</w:t>
      </w:r>
      <w:r w:rsidR="008634E2" w:rsidRPr="00BC10F2">
        <w:rPr>
          <w:rFonts w:asciiTheme="minorHAnsi" w:hAnsiTheme="minorHAnsi" w:cstheme="minorHAnsi"/>
        </w:rPr>
        <w:t xml:space="preserve"> kobiet zakwalifikowanych badaniem FRAX</w:t>
      </w:r>
      <w:r w:rsidRPr="00BC10F2">
        <w:rPr>
          <w:rFonts w:asciiTheme="minorHAnsi" w:hAnsiTheme="minorHAnsi" w:cstheme="minorHAnsi"/>
        </w:rPr>
        <w:t xml:space="preserve">. </w:t>
      </w:r>
    </w:p>
    <w:p w14:paraId="12FE6203" w14:textId="77777777" w:rsidR="00A80621" w:rsidRPr="00BC10F2" w:rsidRDefault="007941FC">
      <w:pPr>
        <w:pStyle w:val="Tekstpodstawowy"/>
        <w:rPr>
          <w:rFonts w:asciiTheme="minorHAnsi" w:hAnsiTheme="minorHAnsi" w:cstheme="minorHAnsi"/>
        </w:rPr>
      </w:pPr>
      <w:r w:rsidRPr="00BC10F2">
        <w:rPr>
          <w:rStyle w:val="markedcontent"/>
          <w:rFonts w:asciiTheme="minorHAnsi" w:hAnsiTheme="minorHAnsi" w:cstheme="minorHAnsi"/>
        </w:rPr>
        <w:t xml:space="preserve">Program powinien zdecydowanie przyczynić się do wdrażania przyczynowego leczenia farmakologicznego u osób z rozpoznaniem osteoporozy w ramach programu w ramach istniejącej struktury organizacyjnej świadczeniodawców. Efektywne funkcjonowanie programu powinno w oparciu o zdobyte doświadczenia zaowocować w przyszłości kontynuowaniem podobnej struktury świadczeń w ramach działań finansowanych przez NFZ. </w:t>
      </w:r>
    </w:p>
    <w:p w14:paraId="4402CBF4" w14:textId="77777777" w:rsidR="00A80621" w:rsidRPr="00BC10F2" w:rsidRDefault="00A80621">
      <w:pPr>
        <w:pStyle w:val="Teksttreci20"/>
        <w:shd w:val="clear" w:color="auto" w:fill="auto"/>
        <w:spacing w:before="120" w:line="360" w:lineRule="auto"/>
        <w:ind w:firstLine="0"/>
        <w:rPr>
          <w:rFonts w:asciiTheme="minorHAnsi" w:hAnsiTheme="minorHAnsi" w:cstheme="minorHAnsi"/>
          <w:sz w:val="18"/>
          <w:szCs w:val="18"/>
        </w:rPr>
      </w:pPr>
    </w:p>
    <w:p w14:paraId="3A5738B1" w14:textId="77777777" w:rsidR="00A80621" w:rsidRPr="00BC10F2" w:rsidRDefault="007941FC">
      <w:pPr>
        <w:pStyle w:val="Nagwek2"/>
        <w:rPr>
          <w:rFonts w:asciiTheme="minorHAnsi" w:hAnsiTheme="minorHAnsi" w:cstheme="minorHAnsi"/>
        </w:rPr>
      </w:pPr>
      <w:bookmarkStart w:id="10" w:name="_Toc146114991"/>
      <w:r w:rsidRPr="00BC10F2">
        <w:rPr>
          <w:rFonts w:asciiTheme="minorHAnsi" w:hAnsiTheme="minorHAnsi" w:cstheme="minorHAnsi"/>
        </w:rPr>
        <w:lastRenderedPageBreak/>
        <w:t>Mierniki efektywności realizacji programu polityki zdrowotnej</w:t>
      </w:r>
      <w:bookmarkEnd w:id="10"/>
    </w:p>
    <w:p w14:paraId="3F26AB1A" w14:textId="20E83478" w:rsidR="00A80621" w:rsidRPr="00BC10F2" w:rsidRDefault="007941FC">
      <w:pPr>
        <w:pStyle w:val="Legenda1"/>
        <w:rPr>
          <w:rFonts w:asciiTheme="minorHAnsi" w:hAnsiTheme="minorHAnsi" w:cstheme="minorHAnsi"/>
        </w:rPr>
      </w:pPr>
      <w:r w:rsidRPr="00BC10F2">
        <w:rPr>
          <w:rFonts w:asciiTheme="minorHAnsi" w:hAnsiTheme="minorHAnsi" w:cstheme="minorHAnsi"/>
        </w:rPr>
        <w:t xml:space="preserve">Tabela </w:t>
      </w:r>
      <w:r w:rsidR="0037769B" w:rsidRPr="00BC10F2">
        <w:rPr>
          <w:rFonts w:asciiTheme="minorHAnsi" w:hAnsiTheme="minorHAnsi" w:cstheme="minorHAnsi"/>
        </w:rPr>
        <w:fldChar w:fldCharType="begin"/>
      </w:r>
      <w:r w:rsidR="0037769B" w:rsidRPr="00BC10F2">
        <w:rPr>
          <w:rFonts w:asciiTheme="minorHAnsi" w:hAnsiTheme="minorHAnsi" w:cstheme="minorHAnsi"/>
        </w:rPr>
        <w:instrText xml:space="preserve"> SEQ "Tabela" \* ARABIC </w:instrText>
      </w:r>
      <w:r w:rsidR="0037769B" w:rsidRPr="00BC10F2">
        <w:rPr>
          <w:rFonts w:asciiTheme="minorHAnsi" w:hAnsiTheme="minorHAnsi" w:cstheme="minorHAnsi"/>
        </w:rPr>
        <w:fldChar w:fldCharType="separate"/>
      </w:r>
      <w:r w:rsidR="00433CBA">
        <w:rPr>
          <w:rFonts w:asciiTheme="minorHAnsi" w:hAnsiTheme="minorHAnsi" w:cstheme="minorHAnsi"/>
          <w:noProof/>
        </w:rPr>
        <w:t>2</w:t>
      </w:r>
      <w:r w:rsidR="0037769B" w:rsidRPr="00BC10F2">
        <w:rPr>
          <w:rFonts w:asciiTheme="minorHAnsi" w:hAnsiTheme="minorHAnsi" w:cstheme="minorHAnsi"/>
          <w:noProof/>
        </w:rPr>
        <w:fldChar w:fldCharType="end"/>
      </w:r>
      <w:r w:rsidRPr="00BC10F2">
        <w:rPr>
          <w:rFonts w:asciiTheme="minorHAnsi" w:hAnsiTheme="minorHAnsi" w:cstheme="minorHAnsi"/>
        </w:rPr>
        <w:t>.</w:t>
      </w:r>
      <w:r w:rsidRPr="00BC10F2">
        <w:rPr>
          <w:rFonts w:asciiTheme="minorHAnsi" w:hAnsiTheme="minorHAnsi" w:cstheme="minorHAnsi"/>
        </w:rPr>
        <w:tab/>
      </w:r>
      <w:r w:rsidRPr="00BC10F2">
        <w:rPr>
          <w:rFonts w:asciiTheme="minorHAnsi" w:hAnsiTheme="minorHAnsi" w:cstheme="minorHAnsi"/>
        </w:rPr>
        <w:br/>
        <w:t>Cele i mierniki efektywności realizacji programu polityki zdrowotnej</w:t>
      </w:r>
    </w:p>
    <w:tbl>
      <w:tblPr>
        <w:tblW w:w="9271" w:type="dxa"/>
        <w:tblInd w:w="85" w:type="dxa"/>
        <w:tblLayout w:type="fixed"/>
        <w:tblCellMar>
          <w:top w:w="85" w:type="dxa"/>
          <w:left w:w="85" w:type="dxa"/>
          <w:bottom w:w="85" w:type="dxa"/>
          <w:right w:w="85" w:type="dxa"/>
        </w:tblCellMar>
        <w:tblLook w:val="0000" w:firstRow="0" w:lastRow="0" w:firstColumn="0" w:lastColumn="0" w:noHBand="0" w:noVBand="0"/>
      </w:tblPr>
      <w:tblGrid>
        <w:gridCol w:w="2801"/>
        <w:gridCol w:w="6470"/>
      </w:tblGrid>
      <w:tr w:rsidR="00A80621" w:rsidRPr="00BC10F2" w14:paraId="09987107" w14:textId="77777777" w:rsidTr="00E10754">
        <w:trPr>
          <w:trHeight w:val="93"/>
        </w:trPr>
        <w:tc>
          <w:tcPr>
            <w:tcW w:w="2801" w:type="dxa"/>
            <w:tcBorders>
              <w:top w:val="single" w:sz="12" w:space="0" w:color="000000"/>
              <w:bottom w:val="single" w:sz="4" w:space="0" w:color="000000"/>
            </w:tcBorders>
            <w:shd w:val="clear" w:color="auto" w:fill="F3F0FA"/>
            <w:vAlign w:val="center"/>
          </w:tcPr>
          <w:p w14:paraId="497EE541" w14:textId="77777777" w:rsidR="00A80621" w:rsidRPr="00BC10F2" w:rsidRDefault="007941FC">
            <w:pPr>
              <w:pStyle w:val="Tabela-TekstnagwekIrzdniebieskieto"/>
              <w:widowControl w:val="0"/>
              <w:rPr>
                <w:rFonts w:asciiTheme="minorHAnsi" w:hAnsiTheme="minorHAnsi" w:cstheme="minorHAnsi"/>
              </w:rPr>
            </w:pPr>
            <w:r w:rsidRPr="00BC10F2">
              <w:rPr>
                <w:rFonts w:asciiTheme="minorHAnsi" w:hAnsiTheme="minorHAnsi" w:cstheme="minorHAnsi"/>
              </w:rPr>
              <w:t xml:space="preserve">Cel </w:t>
            </w:r>
          </w:p>
        </w:tc>
        <w:tc>
          <w:tcPr>
            <w:tcW w:w="6470" w:type="dxa"/>
            <w:tcBorders>
              <w:top w:val="single" w:sz="12" w:space="0" w:color="000000"/>
              <w:bottom w:val="single" w:sz="4" w:space="0" w:color="000000"/>
            </w:tcBorders>
            <w:shd w:val="clear" w:color="auto" w:fill="F3F0FA"/>
            <w:vAlign w:val="center"/>
          </w:tcPr>
          <w:p w14:paraId="242DBC2B" w14:textId="77777777" w:rsidR="00A80621" w:rsidRPr="00BC10F2" w:rsidRDefault="007941FC">
            <w:pPr>
              <w:pStyle w:val="Tabela-TekstnagwekIrzdniebieskieto"/>
              <w:widowControl w:val="0"/>
              <w:rPr>
                <w:rFonts w:asciiTheme="minorHAnsi" w:hAnsiTheme="minorHAnsi" w:cstheme="minorHAnsi"/>
              </w:rPr>
            </w:pPr>
            <w:r w:rsidRPr="00BC10F2">
              <w:rPr>
                <w:rFonts w:asciiTheme="minorHAnsi" w:hAnsiTheme="minorHAnsi" w:cstheme="minorHAnsi"/>
              </w:rPr>
              <w:t xml:space="preserve">Miernik </w:t>
            </w:r>
          </w:p>
        </w:tc>
      </w:tr>
      <w:tr w:rsidR="00A80621" w:rsidRPr="00BC10F2" w14:paraId="7ED1A8E2" w14:textId="77777777" w:rsidTr="00E10754">
        <w:trPr>
          <w:trHeight w:val="325"/>
        </w:trPr>
        <w:tc>
          <w:tcPr>
            <w:tcW w:w="2801" w:type="dxa"/>
            <w:tcBorders>
              <w:top w:val="single" w:sz="4" w:space="0" w:color="000000"/>
              <w:bottom w:val="single" w:sz="4" w:space="0" w:color="000000"/>
            </w:tcBorders>
            <w:shd w:val="clear" w:color="auto" w:fill="auto"/>
            <w:vAlign w:val="center"/>
          </w:tcPr>
          <w:p w14:paraId="3834BDE2"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Główny </w:t>
            </w:r>
          </w:p>
        </w:tc>
        <w:tc>
          <w:tcPr>
            <w:tcW w:w="6470" w:type="dxa"/>
            <w:tcBorders>
              <w:top w:val="single" w:sz="4" w:space="0" w:color="000000"/>
              <w:bottom w:val="single" w:sz="4" w:space="0" w:color="000000"/>
            </w:tcBorders>
            <w:shd w:val="clear" w:color="auto" w:fill="auto"/>
            <w:vAlign w:val="center"/>
          </w:tcPr>
          <w:p w14:paraId="5A65649C"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Odsetek osób – łącznie świadczeniobiorcy + personel medyczny, u których w post-teście odnotowano wysoki poziom wiedzy (co najmniej 70% w 65% wyników prawidłowych), względem wszystkich osób, które wypełniły </w:t>
            </w:r>
            <w:proofErr w:type="spellStart"/>
            <w:r w:rsidRPr="00BC10F2">
              <w:rPr>
                <w:rFonts w:asciiTheme="minorHAnsi" w:hAnsiTheme="minorHAnsi" w:cstheme="minorHAnsi"/>
              </w:rPr>
              <w:t>pre</w:t>
            </w:r>
            <w:proofErr w:type="spellEnd"/>
            <w:r w:rsidRPr="00BC10F2">
              <w:rPr>
                <w:rFonts w:asciiTheme="minorHAnsi" w:hAnsiTheme="minorHAnsi" w:cstheme="minorHAnsi"/>
              </w:rPr>
              <w:t xml:space="preserve">-test w ramach programu. </w:t>
            </w:r>
          </w:p>
        </w:tc>
      </w:tr>
      <w:tr w:rsidR="00A80621" w:rsidRPr="00BC10F2" w14:paraId="24FC2532" w14:textId="77777777" w:rsidTr="00E10754">
        <w:trPr>
          <w:trHeight w:val="325"/>
        </w:trPr>
        <w:tc>
          <w:tcPr>
            <w:tcW w:w="2801" w:type="dxa"/>
            <w:tcBorders>
              <w:top w:val="single" w:sz="4" w:space="0" w:color="000000"/>
              <w:bottom w:val="single" w:sz="4" w:space="0" w:color="000000"/>
            </w:tcBorders>
            <w:shd w:val="clear" w:color="auto" w:fill="auto"/>
            <w:vAlign w:val="center"/>
          </w:tcPr>
          <w:p w14:paraId="4C48DBBD"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Cel szczegółowy 1</w:t>
            </w:r>
          </w:p>
          <w:p w14:paraId="2222C265"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(świadczeniobiorcy)</w:t>
            </w:r>
          </w:p>
        </w:tc>
        <w:tc>
          <w:tcPr>
            <w:tcW w:w="6470" w:type="dxa"/>
            <w:tcBorders>
              <w:top w:val="single" w:sz="4" w:space="0" w:color="000000"/>
              <w:bottom w:val="single" w:sz="4" w:space="0" w:color="000000"/>
            </w:tcBorders>
            <w:shd w:val="clear" w:color="auto" w:fill="auto"/>
            <w:vAlign w:val="center"/>
          </w:tcPr>
          <w:p w14:paraId="2A886347" w14:textId="2F26ED1A"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Odsetek wszystkich kobiet, u których w post-teście odnotowano wysoki poziom wiedzy (co najmniej 65% wynik</w:t>
            </w:r>
            <w:r w:rsidR="00AD347C" w:rsidRPr="00BC10F2">
              <w:rPr>
                <w:rFonts w:asciiTheme="minorHAnsi" w:hAnsiTheme="minorHAnsi" w:cstheme="minorHAnsi"/>
              </w:rPr>
              <w:t>ów</w:t>
            </w:r>
            <w:r w:rsidRPr="00BC10F2">
              <w:rPr>
                <w:rFonts w:asciiTheme="minorHAnsi" w:hAnsiTheme="minorHAnsi" w:cstheme="minorHAnsi"/>
              </w:rPr>
              <w:t xml:space="preserve">), względem wszystkich osób, które wypełniły </w:t>
            </w:r>
            <w:proofErr w:type="spellStart"/>
            <w:r w:rsidRPr="00BC10F2">
              <w:rPr>
                <w:rFonts w:asciiTheme="minorHAnsi" w:hAnsiTheme="minorHAnsi" w:cstheme="minorHAnsi"/>
              </w:rPr>
              <w:t>pre</w:t>
            </w:r>
            <w:proofErr w:type="spellEnd"/>
            <w:r w:rsidRPr="00BC10F2">
              <w:rPr>
                <w:rFonts w:asciiTheme="minorHAnsi" w:hAnsiTheme="minorHAnsi" w:cstheme="minorHAnsi"/>
              </w:rPr>
              <w:t>-test - dotyczy celu głównego.</w:t>
            </w:r>
          </w:p>
          <w:p w14:paraId="4D555250" w14:textId="77777777" w:rsidR="00A80621" w:rsidRPr="00BC10F2" w:rsidRDefault="00A80621">
            <w:pPr>
              <w:pStyle w:val="Textbody"/>
              <w:widowControl w:val="0"/>
              <w:spacing w:after="0"/>
              <w:ind w:firstLine="180"/>
              <w:jc w:val="left"/>
              <w:rPr>
                <w:rFonts w:asciiTheme="minorHAnsi" w:hAnsiTheme="minorHAnsi" w:cstheme="minorHAnsi"/>
                <w:sz w:val="14"/>
                <w:szCs w:val="14"/>
              </w:rPr>
            </w:pPr>
          </w:p>
          <w:p w14:paraId="5D43B7C1" w14:textId="48D89F2B" w:rsidR="00A80621" w:rsidRPr="00BC10F2" w:rsidRDefault="007941FC">
            <w:pPr>
              <w:pStyle w:val="Textbody"/>
              <w:widowControl w:val="0"/>
              <w:spacing w:after="0" w:line="240" w:lineRule="auto"/>
              <w:jc w:val="center"/>
              <w:rPr>
                <w:rFonts w:asciiTheme="minorHAnsi" w:hAnsiTheme="minorHAnsi" w:cstheme="minorHAnsi"/>
              </w:rPr>
            </w:pPr>
            <w:r w:rsidRPr="00BC10F2">
              <w:rPr>
                <w:rFonts w:asciiTheme="minorHAnsi" w:hAnsiTheme="minorHAnsi" w:cstheme="minorHAnsi"/>
                <w:sz w:val="14"/>
                <w:szCs w:val="14"/>
              </w:rPr>
              <w:t>Liczba osób, u których w post-teście odnotowano wysoki poziom wiedzy</w:t>
            </w:r>
          </w:p>
          <w:p w14:paraId="09ED4826" w14:textId="79CD3708" w:rsidR="00A80621" w:rsidRPr="00BC10F2" w:rsidRDefault="007941FC">
            <w:pPr>
              <w:pStyle w:val="Textbody"/>
              <w:widowControl w:val="0"/>
              <w:spacing w:after="0" w:line="240" w:lineRule="auto"/>
              <w:ind w:left="180"/>
              <w:jc w:val="left"/>
              <w:rPr>
                <w:rFonts w:asciiTheme="minorHAnsi" w:hAnsiTheme="minorHAnsi" w:cstheme="minorHAnsi"/>
              </w:rPr>
            </w:pPr>
            <w:r w:rsidRPr="00BC10F2">
              <w:rPr>
                <w:rFonts w:asciiTheme="minorHAnsi" w:hAnsiTheme="minorHAnsi" w:cstheme="minorHAnsi"/>
                <w:sz w:val="14"/>
                <w:szCs w:val="14"/>
              </w:rPr>
              <w:t xml:space="preserve">Wskaźnik nr 1 = </w:t>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00AD347C" w:rsidRPr="00BC10F2">
              <w:rPr>
                <w:rFonts w:asciiTheme="minorHAnsi" w:hAnsiTheme="minorHAnsi" w:cstheme="minorHAnsi"/>
                <w:strike/>
                <w:sz w:val="14"/>
                <w:szCs w:val="14"/>
              </w:rPr>
              <w:t xml:space="preserve">         </w:t>
            </w:r>
            <w:r w:rsidRPr="00BC10F2">
              <w:rPr>
                <w:rFonts w:asciiTheme="minorHAnsi" w:hAnsiTheme="minorHAnsi" w:cstheme="minorHAnsi"/>
                <w:sz w:val="14"/>
                <w:szCs w:val="14"/>
              </w:rPr>
              <w:t xml:space="preserve">   x 100</w:t>
            </w:r>
          </w:p>
          <w:p w14:paraId="6EF595E5" w14:textId="77777777" w:rsidR="00A80621" w:rsidRPr="00BC10F2" w:rsidRDefault="007941FC">
            <w:pPr>
              <w:pStyle w:val="Textbody"/>
              <w:widowControl w:val="0"/>
              <w:spacing w:after="0" w:line="240" w:lineRule="auto"/>
              <w:ind w:left="2127"/>
              <w:jc w:val="left"/>
              <w:rPr>
                <w:rFonts w:asciiTheme="minorHAnsi" w:hAnsiTheme="minorHAnsi" w:cstheme="minorHAnsi"/>
              </w:rPr>
            </w:pPr>
            <w:r w:rsidRPr="00BC10F2">
              <w:rPr>
                <w:rFonts w:asciiTheme="minorHAnsi" w:hAnsiTheme="minorHAnsi" w:cstheme="minorHAnsi"/>
                <w:sz w:val="14"/>
                <w:szCs w:val="14"/>
              </w:rPr>
              <w:t xml:space="preserve">Liczba osób, które wypełniły </w:t>
            </w:r>
            <w:proofErr w:type="spellStart"/>
            <w:r w:rsidRPr="00BC10F2">
              <w:rPr>
                <w:rFonts w:asciiTheme="minorHAnsi" w:hAnsiTheme="minorHAnsi" w:cstheme="minorHAnsi"/>
                <w:sz w:val="14"/>
                <w:szCs w:val="14"/>
              </w:rPr>
              <w:t>pre</w:t>
            </w:r>
            <w:proofErr w:type="spellEnd"/>
            <w:r w:rsidRPr="00BC10F2">
              <w:rPr>
                <w:rFonts w:asciiTheme="minorHAnsi" w:hAnsiTheme="minorHAnsi" w:cstheme="minorHAnsi"/>
                <w:sz w:val="14"/>
                <w:szCs w:val="14"/>
              </w:rPr>
              <w:t xml:space="preserve">-test </w:t>
            </w:r>
          </w:p>
          <w:p w14:paraId="5E8465F4" w14:textId="77777777" w:rsidR="00A80621" w:rsidRPr="00BC10F2" w:rsidRDefault="00A80621">
            <w:pPr>
              <w:pStyle w:val="Textbody"/>
              <w:widowControl w:val="0"/>
              <w:spacing w:after="0"/>
              <w:ind w:left="1418" w:firstLine="709"/>
              <w:jc w:val="left"/>
              <w:rPr>
                <w:rFonts w:asciiTheme="minorHAnsi" w:hAnsiTheme="minorHAnsi" w:cstheme="minorHAnsi"/>
                <w:sz w:val="14"/>
                <w:szCs w:val="14"/>
              </w:rPr>
            </w:pPr>
          </w:p>
          <w:p w14:paraId="184833E9"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Osiągnięcie zaplanowanej wartości miernika na poziomie minimum 70%.</w:t>
            </w:r>
          </w:p>
        </w:tc>
      </w:tr>
      <w:tr w:rsidR="00A80621" w:rsidRPr="00BC10F2" w14:paraId="5005A467" w14:textId="77777777" w:rsidTr="00E10754">
        <w:trPr>
          <w:trHeight w:val="211"/>
        </w:trPr>
        <w:tc>
          <w:tcPr>
            <w:tcW w:w="2801" w:type="dxa"/>
            <w:tcBorders>
              <w:top w:val="single" w:sz="4" w:space="0" w:color="000000"/>
              <w:bottom w:val="single" w:sz="4" w:space="0" w:color="000000"/>
            </w:tcBorders>
            <w:shd w:val="clear" w:color="auto" w:fill="auto"/>
            <w:vAlign w:val="center"/>
          </w:tcPr>
          <w:p w14:paraId="782BC7CD"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Cel szczegółowy 2</w:t>
            </w:r>
          </w:p>
          <w:p w14:paraId="429CFF1B"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(pers. Medyczny)</w:t>
            </w:r>
          </w:p>
        </w:tc>
        <w:tc>
          <w:tcPr>
            <w:tcW w:w="6470" w:type="dxa"/>
            <w:tcBorders>
              <w:top w:val="single" w:sz="4" w:space="0" w:color="000000"/>
              <w:bottom w:val="single" w:sz="4" w:space="0" w:color="000000"/>
            </w:tcBorders>
            <w:shd w:val="clear" w:color="auto" w:fill="auto"/>
            <w:vAlign w:val="center"/>
          </w:tcPr>
          <w:p w14:paraId="1BF37D90"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Odsetek uczestników spośród personelu medycznego, u których w post-teście odnotowano wysoki poziom wiedzy (co najmniej 80% prawidłowych odpowiedzi), względem wszystkich uczestników – personelu medycznego, którzy wypełnili </w:t>
            </w:r>
            <w:proofErr w:type="spellStart"/>
            <w:r w:rsidRPr="00BC10F2">
              <w:rPr>
                <w:rFonts w:asciiTheme="minorHAnsi" w:hAnsiTheme="minorHAnsi" w:cstheme="minorHAnsi"/>
              </w:rPr>
              <w:t>pre</w:t>
            </w:r>
            <w:proofErr w:type="spellEnd"/>
            <w:r w:rsidRPr="00BC10F2">
              <w:rPr>
                <w:rFonts w:asciiTheme="minorHAnsi" w:hAnsiTheme="minorHAnsi" w:cstheme="minorHAnsi"/>
              </w:rPr>
              <w:t>-test .</w:t>
            </w:r>
          </w:p>
          <w:p w14:paraId="6724AD1D" w14:textId="77777777" w:rsidR="00A80621" w:rsidRPr="00BC10F2" w:rsidRDefault="00A80621">
            <w:pPr>
              <w:pStyle w:val="Tabela-TekstpodstawowyDolewej"/>
              <w:widowControl w:val="0"/>
              <w:rPr>
                <w:rFonts w:asciiTheme="minorHAnsi" w:hAnsiTheme="minorHAnsi" w:cstheme="minorHAnsi"/>
              </w:rPr>
            </w:pPr>
          </w:p>
          <w:p w14:paraId="561D4354" w14:textId="77777777" w:rsidR="00AD347C" w:rsidRPr="00BC10F2" w:rsidRDefault="007941FC">
            <w:pPr>
              <w:pStyle w:val="Textbody"/>
              <w:widowControl w:val="0"/>
              <w:spacing w:after="0" w:line="240" w:lineRule="auto"/>
              <w:ind w:left="2127"/>
              <w:jc w:val="left"/>
              <w:rPr>
                <w:rFonts w:asciiTheme="minorHAnsi" w:hAnsiTheme="minorHAnsi" w:cstheme="minorHAnsi"/>
                <w:sz w:val="14"/>
                <w:szCs w:val="14"/>
              </w:rPr>
            </w:pPr>
            <w:r w:rsidRPr="00BC10F2">
              <w:rPr>
                <w:rFonts w:asciiTheme="minorHAnsi" w:hAnsiTheme="minorHAnsi" w:cstheme="minorHAnsi"/>
                <w:sz w:val="14"/>
                <w:szCs w:val="14"/>
              </w:rPr>
              <w:t xml:space="preserve">Liczba osób, u których w post-teście odnotowano wysoki </w:t>
            </w:r>
          </w:p>
          <w:p w14:paraId="05122D65" w14:textId="3BACC961" w:rsidR="00A80621" w:rsidRPr="00BC10F2" w:rsidRDefault="007941FC" w:rsidP="00AD347C">
            <w:pPr>
              <w:pStyle w:val="Textbody"/>
              <w:widowControl w:val="0"/>
              <w:spacing w:after="0" w:line="240" w:lineRule="auto"/>
              <w:ind w:left="2127"/>
              <w:jc w:val="left"/>
              <w:rPr>
                <w:rFonts w:asciiTheme="minorHAnsi" w:hAnsiTheme="minorHAnsi" w:cstheme="minorHAnsi"/>
                <w:sz w:val="14"/>
                <w:szCs w:val="14"/>
              </w:rPr>
            </w:pPr>
            <w:r w:rsidRPr="00BC10F2">
              <w:rPr>
                <w:rFonts w:asciiTheme="minorHAnsi" w:hAnsiTheme="minorHAnsi" w:cstheme="minorHAnsi"/>
                <w:sz w:val="14"/>
                <w:szCs w:val="14"/>
              </w:rPr>
              <w:t>poziom wiedzy (co najmniej 80%)</w:t>
            </w:r>
          </w:p>
          <w:p w14:paraId="256438D6" w14:textId="388F6BB3" w:rsidR="00A80621" w:rsidRPr="00BC10F2" w:rsidRDefault="007941FC">
            <w:pPr>
              <w:pStyle w:val="Textbody"/>
              <w:widowControl w:val="0"/>
              <w:spacing w:after="0" w:line="240" w:lineRule="auto"/>
              <w:ind w:left="180"/>
              <w:jc w:val="left"/>
              <w:rPr>
                <w:rFonts w:asciiTheme="minorHAnsi" w:hAnsiTheme="minorHAnsi" w:cstheme="minorHAnsi"/>
              </w:rPr>
            </w:pPr>
            <w:r w:rsidRPr="00BC10F2">
              <w:rPr>
                <w:rFonts w:asciiTheme="minorHAnsi" w:hAnsiTheme="minorHAnsi" w:cstheme="minorHAnsi"/>
                <w:sz w:val="14"/>
                <w:szCs w:val="14"/>
              </w:rPr>
              <w:t xml:space="preserve">Wskaźnik nr 2 = </w:t>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z w:val="14"/>
                <w:szCs w:val="14"/>
              </w:rPr>
              <w:t xml:space="preserve">  x 100</w:t>
            </w:r>
          </w:p>
          <w:p w14:paraId="10E5259D" w14:textId="77777777" w:rsidR="00A80621" w:rsidRPr="00BC10F2" w:rsidRDefault="007941FC" w:rsidP="00AD347C">
            <w:pPr>
              <w:pStyle w:val="Textbody"/>
              <w:widowControl w:val="0"/>
              <w:spacing w:after="0" w:line="240" w:lineRule="auto"/>
              <w:jc w:val="left"/>
              <w:rPr>
                <w:rFonts w:asciiTheme="minorHAnsi" w:hAnsiTheme="minorHAnsi" w:cstheme="minorHAnsi"/>
              </w:rPr>
            </w:pPr>
            <w:r w:rsidRPr="00BC10F2">
              <w:rPr>
                <w:rFonts w:asciiTheme="minorHAnsi" w:hAnsiTheme="minorHAnsi" w:cstheme="minorHAnsi"/>
                <w:sz w:val="14"/>
                <w:szCs w:val="14"/>
              </w:rPr>
              <w:t xml:space="preserve">Liczba osób, które wypełniły </w:t>
            </w:r>
            <w:proofErr w:type="spellStart"/>
            <w:r w:rsidRPr="00BC10F2">
              <w:rPr>
                <w:rFonts w:asciiTheme="minorHAnsi" w:hAnsiTheme="minorHAnsi" w:cstheme="minorHAnsi"/>
                <w:sz w:val="14"/>
                <w:szCs w:val="14"/>
              </w:rPr>
              <w:t>pre</w:t>
            </w:r>
            <w:proofErr w:type="spellEnd"/>
            <w:r w:rsidRPr="00BC10F2">
              <w:rPr>
                <w:rFonts w:asciiTheme="minorHAnsi" w:hAnsiTheme="minorHAnsi" w:cstheme="minorHAnsi"/>
                <w:sz w:val="14"/>
                <w:szCs w:val="14"/>
              </w:rPr>
              <w:t xml:space="preserve">-test </w:t>
            </w:r>
          </w:p>
          <w:p w14:paraId="41E0B088" w14:textId="77777777" w:rsidR="00A80621" w:rsidRPr="00BC10F2" w:rsidRDefault="00A80621">
            <w:pPr>
              <w:pStyle w:val="Textbody"/>
              <w:widowControl w:val="0"/>
              <w:spacing w:after="0"/>
              <w:ind w:left="1418" w:firstLine="709"/>
              <w:jc w:val="left"/>
              <w:rPr>
                <w:rFonts w:asciiTheme="minorHAnsi" w:hAnsiTheme="minorHAnsi" w:cstheme="minorHAnsi"/>
                <w:sz w:val="14"/>
                <w:szCs w:val="14"/>
              </w:rPr>
            </w:pPr>
          </w:p>
          <w:p w14:paraId="63E12998"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Osiągnięcie zaplanowanej wartości miernika na poziomie minimum 80%.</w:t>
            </w:r>
          </w:p>
        </w:tc>
      </w:tr>
      <w:tr w:rsidR="00A80621" w:rsidRPr="00BC10F2" w14:paraId="42DE6AEB" w14:textId="77777777" w:rsidTr="00E10754">
        <w:trPr>
          <w:trHeight w:val="211"/>
        </w:trPr>
        <w:tc>
          <w:tcPr>
            <w:tcW w:w="2801" w:type="dxa"/>
            <w:tcBorders>
              <w:top w:val="single" w:sz="4" w:space="0" w:color="000000"/>
              <w:bottom w:val="single" w:sz="12" w:space="0" w:color="000000"/>
            </w:tcBorders>
            <w:shd w:val="clear" w:color="auto" w:fill="auto"/>
            <w:vAlign w:val="center"/>
          </w:tcPr>
          <w:p w14:paraId="0380EAC0"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Cel szczegółowy 3 </w:t>
            </w:r>
          </w:p>
        </w:tc>
        <w:tc>
          <w:tcPr>
            <w:tcW w:w="6470" w:type="dxa"/>
            <w:tcBorders>
              <w:top w:val="single" w:sz="4" w:space="0" w:color="000000"/>
              <w:bottom w:val="single" w:sz="12" w:space="0" w:color="000000"/>
            </w:tcBorders>
            <w:shd w:val="clear" w:color="auto" w:fill="auto"/>
            <w:vAlign w:val="center"/>
          </w:tcPr>
          <w:p w14:paraId="03BA6760" w14:textId="77777777" w:rsidR="00A80621" w:rsidRPr="00BC10F2" w:rsidRDefault="007941FC">
            <w:pPr>
              <w:pStyle w:val="Tabela-TekstpodstawowyDolewej"/>
              <w:widowControl w:val="0"/>
              <w:rPr>
                <w:rFonts w:asciiTheme="minorHAnsi" w:hAnsiTheme="minorHAnsi" w:cstheme="minorHAnsi"/>
                <w:szCs w:val="18"/>
              </w:rPr>
            </w:pPr>
            <w:r w:rsidRPr="00BC10F2">
              <w:rPr>
                <w:rFonts w:asciiTheme="minorHAnsi" w:hAnsiTheme="minorHAnsi" w:cstheme="minorHAnsi"/>
                <w:szCs w:val="18"/>
              </w:rPr>
              <w:t>Wskaźnik nr 3 – odsetek uczestników z wynikiem FRAX ≥5% względem wszystkich uczestników, dla których w ramach programu wykonano ocenę FRAX.</w:t>
            </w:r>
          </w:p>
          <w:p w14:paraId="211C7404" w14:textId="77777777" w:rsidR="00A80621" w:rsidRPr="00BC10F2" w:rsidRDefault="00A80621">
            <w:pPr>
              <w:pStyle w:val="Tabela-TekstpodstawowyDolewej"/>
              <w:widowControl w:val="0"/>
              <w:rPr>
                <w:rFonts w:asciiTheme="minorHAnsi" w:hAnsiTheme="minorHAnsi" w:cstheme="minorHAnsi"/>
                <w:szCs w:val="18"/>
              </w:rPr>
            </w:pPr>
          </w:p>
          <w:p w14:paraId="5B9B8263" w14:textId="77777777" w:rsidR="00A80621" w:rsidRPr="00BC10F2" w:rsidRDefault="007941FC">
            <w:pPr>
              <w:pStyle w:val="Textbody"/>
              <w:widowControl w:val="0"/>
              <w:spacing w:after="0" w:line="240" w:lineRule="auto"/>
              <w:ind w:left="2127"/>
              <w:jc w:val="left"/>
              <w:rPr>
                <w:rFonts w:asciiTheme="minorHAnsi" w:hAnsiTheme="minorHAnsi" w:cstheme="minorHAnsi"/>
                <w:sz w:val="18"/>
                <w:szCs w:val="18"/>
              </w:rPr>
            </w:pPr>
            <w:r w:rsidRPr="00BC10F2">
              <w:rPr>
                <w:rFonts w:asciiTheme="minorHAnsi" w:hAnsiTheme="minorHAnsi" w:cstheme="minorHAnsi"/>
                <w:sz w:val="18"/>
                <w:szCs w:val="18"/>
              </w:rPr>
              <w:t>Liczba osób z wynikiem FRAX ≥5%</w:t>
            </w:r>
          </w:p>
          <w:p w14:paraId="77E5EDFF" w14:textId="25931EE2" w:rsidR="00A80621" w:rsidRPr="00BC10F2" w:rsidRDefault="007941FC">
            <w:pPr>
              <w:pStyle w:val="Textbody"/>
              <w:widowControl w:val="0"/>
              <w:spacing w:after="0" w:line="240" w:lineRule="auto"/>
              <w:ind w:left="180"/>
              <w:jc w:val="left"/>
              <w:rPr>
                <w:rFonts w:asciiTheme="minorHAnsi" w:hAnsiTheme="minorHAnsi" w:cstheme="minorHAnsi"/>
                <w:sz w:val="18"/>
                <w:szCs w:val="18"/>
              </w:rPr>
            </w:pPr>
            <w:r w:rsidRPr="00BC10F2">
              <w:rPr>
                <w:rFonts w:asciiTheme="minorHAnsi" w:hAnsiTheme="minorHAnsi" w:cstheme="minorHAnsi"/>
                <w:sz w:val="18"/>
                <w:szCs w:val="18"/>
              </w:rPr>
              <w:t xml:space="preserve">Wskaźnik nr 3 = </w:t>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z w:val="18"/>
                <w:szCs w:val="18"/>
              </w:rPr>
              <w:t xml:space="preserve">  x 100</w:t>
            </w:r>
          </w:p>
          <w:p w14:paraId="64FFB1A4" w14:textId="77777777" w:rsidR="00AD347C" w:rsidRPr="00BC10F2" w:rsidRDefault="007941FC">
            <w:pPr>
              <w:pStyle w:val="Textbody"/>
              <w:widowControl w:val="0"/>
              <w:spacing w:after="0" w:line="240" w:lineRule="auto"/>
              <w:ind w:left="2127"/>
              <w:jc w:val="left"/>
              <w:rPr>
                <w:rFonts w:asciiTheme="minorHAnsi" w:hAnsiTheme="minorHAnsi" w:cstheme="minorHAnsi"/>
                <w:sz w:val="18"/>
                <w:szCs w:val="18"/>
              </w:rPr>
            </w:pPr>
            <w:r w:rsidRPr="00BC10F2">
              <w:rPr>
                <w:rFonts w:asciiTheme="minorHAnsi" w:hAnsiTheme="minorHAnsi" w:cstheme="minorHAnsi"/>
                <w:sz w:val="18"/>
                <w:szCs w:val="18"/>
              </w:rPr>
              <w:t xml:space="preserve">Liczba osób u których wykonano ocenę </w:t>
            </w:r>
          </w:p>
          <w:p w14:paraId="4AE84E44" w14:textId="645FAF9E" w:rsidR="00A80621" w:rsidRPr="00BC10F2" w:rsidRDefault="007941FC">
            <w:pPr>
              <w:pStyle w:val="Textbody"/>
              <w:widowControl w:val="0"/>
              <w:spacing w:after="0" w:line="240" w:lineRule="auto"/>
              <w:ind w:left="2127"/>
              <w:jc w:val="left"/>
              <w:rPr>
                <w:rFonts w:asciiTheme="minorHAnsi" w:hAnsiTheme="minorHAnsi" w:cstheme="minorHAnsi"/>
                <w:sz w:val="18"/>
                <w:szCs w:val="18"/>
              </w:rPr>
            </w:pPr>
            <w:r w:rsidRPr="00BC10F2">
              <w:rPr>
                <w:rFonts w:asciiTheme="minorHAnsi" w:hAnsiTheme="minorHAnsi" w:cstheme="minorHAnsi"/>
                <w:sz w:val="18"/>
                <w:szCs w:val="18"/>
              </w:rPr>
              <w:t>FRAX (wizyta kwalifikacyjn</w:t>
            </w:r>
            <w:r w:rsidR="00AD347C" w:rsidRPr="00BC10F2">
              <w:rPr>
                <w:rFonts w:asciiTheme="minorHAnsi" w:hAnsiTheme="minorHAnsi" w:cstheme="minorHAnsi"/>
                <w:sz w:val="18"/>
                <w:szCs w:val="18"/>
              </w:rPr>
              <w:t>a</w:t>
            </w:r>
            <w:r w:rsidRPr="00BC10F2">
              <w:rPr>
                <w:rFonts w:asciiTheme="minorHAnsi" w:hAnsiTheme="minorHAnsi" w:cstheme="minorHAnsi"/>
                <w:sz w:val="18"/>
                <w:szCs w:val="18"/>
              </w:rPr>
              <w:t>)</w:t>
            </w:r>
          </w:p>
          <w:p w14:paraId="4D0F5FA4" w14:textId="77777777" w:rsidR="00A80621" w:rsidRPr="00BC10F2" w:rsidRDefault="00A80621">
            <w:pPr>
              <w:pStyle w:val="Textbody"/>
              <w:widowControl w:val="0"/>
              <w:spacing w:after="0" w:line="240" w:lineRule="auto"/>
              <w:ind w:left="2127"/>
              <w:jc w:val="left"/>
              <w:rPr>
                <w:rFonts w:asciiTheme="minorHAnsi" w:hAnsiTheme="minorHAnsi" w:cstheme="minorHAnsi"/>
                <w:sz w:val="18"/>
                <w:szCs w:val="18"/>
              </w:rPr>
            </w:pPr>
          </w:p>
          <w:p w14:paraId="44960253" w14:textId="77777777" w:rsidR="00A80621" w:rsidRPr="00BC10F2" w:rsidRDefault="007941FC">
            <w:pPr>
              <w:pStyle w:val="Tabela-TekstpodstawowyDolewej"/>
              <w:widowControl w:val="0"/>
              <w:rPr>
                <w:rFonts w:asciiTheme="minorHAnsi" w:hAnsiTheme="minorHAnsi" w:cstheme="minorHAnsi"/>
                <w:szCs w:val="18"/>
              </w:rPr>
            </w:pPr>
            <w:r w:rsidRPr="00BC10F2">
              <w:rPr>
                <w:rFonts w:asciiTheme="minorHAnsi" w:hAnsiTheme="minorHAnsi" w:cstheme="minorHAnsi"/>
                <w:szCs w:val="18"/>
              </w:rPr>
              <w:t xml:space="preserve">Przeprowadzenie u co najmniej 90% badań FRAX w kierunku osteoporozy w populacji świadczeniobiorców (kobiet 65+ włączonych do programu), </w:t>
            </w:r>
          </w:p>
          <w:p w14:paraId="49E3F3E2" w14:textId="77777777" w:rsidR="00A80621" w:rsidRPr="00BC10F2" w:rsidRDefault="00A80621">
            <w:pPr>
              <w:pStyle w:val="Tabela-TekstpodstawowyDolewej"/>
              <w:widowControl w:val="0"/>
              <w:rPr>
                <w:rFonts w:asciiTheme="minorHAnsi" w:hAnsiTheme="minorHAnsi" w:cstheme="minorHAnsi"/>
                <w:szCs w:val="18"/>
              </w:rPr>
            </w:pPr>
          </w:p>
          <w:p w14:paraId="490FF4C0" w14:textId="77777777" w:rsidR="00A80621" w:rsidRPr="00BC10F2" w:rsidRDefault="007941FC">
            <w:pPr>
              <w:pStyle w:val="Tabela-TekstpodstawowyDolewej"/>
              <w:widowControl w:val="0"/>
              <w:rPr>
                <w:rFonts w:asciiTheme="minorHAnsi" w:hAnsiTheme="minorHAnsi" w:cstheme="minorHAnsi"/>
                <w:szCs w:val="18"/>
              </w:rPr>
            </w:pPr>
            <w:r w:rsidRPr="00BC10F2">
              <w:rPr>
                <w:rFonts w:asciiTheme="minorHAnsi" w:hAnsiTheme="minorHAnsi" w:cstheme="minorHAnsi"/>
                <w:szCs w:val="18"/>
              </w:rPr>
              <w:t>Wskaźnik nr 4 – odsetek uczestników z wynikiem BMD T-</w:t>
            </w:r>
            <w:proofErr w:type="spellStart"/>
            <w:r w:rsidRPr="00BC10F2">
              <w:rPr>
                <w:rFonts w:asciiTheme="minorHAnsi" w:hAnsiTheme="minorHAnsi" w:cstheme="minorHAnsi"/>
                <w:szCs w:val="18"/>
              </w:rPr>
              <w:t>score</w:t>
            </w:r>
            <w:proofErr w:type="spellEnd"/>
            <w:r w:rsidRPr="00BC10F2">
              <w:rPr>
                <w:rFonts w:asciiTheme="minorHAnsi" w:hAnsiTheme="minorHAnsi" w:cstheme="minorHAnsi"/>
                <w:szCs w:val="18"/>
              </w:rPr>
              <w:t xml:space="preserve"> ≤–2,5 względem wszystkich świadczeniobiorców, dla których przeprowadzono badanie DXA w ramach programu (wykonanej u co najmniej 90% pacjentek z FRAX ≥5%)</w:t>
            </w:r>
          </w:p>
          <w:p w14:paraId="042D46D1" w14:textId="77777777" w:rsidR="00A80621" w:rsidRPr="00BC10F2" w:rsidRDefault="00A80621">
            <w:pPr>
              <w:pStyle w:val="Textbody"/>
              <w:widowControl w:val="0"/>
              <w:spacing w:after="0"/>
              <w:jc w:val="left"/>
              <w:rPr>
                <w:rFonts w:asciiTheme="minorHAnsi" w:hAnsiTheme="minorHAnsi" w:cstheme="minorHAnsi"/>
                <w:sz w:val="18"/>
                <w:szCs w:val="18"/>
              </w:rPr>
            </w:pPr>
          </w:p>
          <w:p w14:paraId="580263F7" w14:textId="77777777" w:rsidR="00A80621" w:rsidRPr="00BC10F2" w:rsidRDefault="007941FC">
            <w:pPr>
              <w:pStyle w:val="Textbody"/>
              <w:widowControl w:val="0"/>
              <w:spacing w:after="0" w:line="240" w:lineRule="auto"/>
              <w:ind w:left="2127"/>
              <w:jc w:val="left"/>
              <w:rPr>
                <w:rFonts w:asciiTheme="minorHAnsi" w:hAnsiTheme="minorHAnsi" w:cstheme="minorHAnsi"/>
                <w:sz w:val="18"/>
                <w:szCs w:val="18"/>
              </w:rPr>
            </w:pPr>
            <w:r w:rsidRPr="00BC10F2">
              <w:rPr>
                <w:rFonts w:asciiTheme="minorHAnsi" w:hAnsiTheme="minorHAnsi" w:cstheme="minorHAnsi"/>
                <w:sz w:val="18"/>
                <w:szCs w:val="18"/>
              </w:rPr>
              <w:t>Liczba osób z wynikiem BMD T-</w:t>
            </w:r>
            <w:proofErr w:type="spellStart"/>
            <w:r w:rsidRPr="00BC10F2">
              <w:rPr>
                <w:rFonts w:asciiTheme="minorHAnsi" w:hAnsiTheme="minorHAnsi" w:cstheme="minorHAnsi"/>
                <w:sz w:val="18"/>
                <w:szCs w:val="18"/>
              </w:rPr>
              <w:t>score</w:t>
            </w:r>
            <w:proofErr w:type="spellEnd"/>
            <w:r w:rsidRPr="00BC10F2">
              <w:rPr>
                <w:rFonts w:asciiTheme="minorHAnsi" w:hAnsiTheme="minorHAnsi" w:cstheme="minorHAnsi"/>
                <w:sz w:val="18"/>
                <w:szCs w:val="18"/>
              </w:rPr>
              <w:t xml:space="preserve">≤–2,5 </w:t>
            </w:r>
          </w:p>
          <w:p w14:paraId="6EC1E2BA" w14:textId="12AE9752" w:rsidR="00A80621" w:rsidRPr="00BC10F2" w:rsidRDefault="007941FC">
            <w:pPr>
              <w:pStyle w:val="Textbody"/>
              <w:widowControl w:val="0"/>
              <w:spacing w:after="0" w:line="240" w:lineRule="auto"/>
              <w:ind w:left="180"/>
              <w:jc w:val="left"/>
              <w:rPr>
                <w:rFonts w:asciiTheme="minorHAnsi" w:hAnsiTheme="minorHAnsi" w:cstheme="minorHAnsi"/>
                <w:sz w:val="18"/>
                <w:szCs w:val="18"/>
              </w:rPr>
            </w:pPr>
            <w:r w:rsidRPr="00BC10F2">
              <w:rPr>
                <w:rFonts w:asciiTheme="minorHAnsi" w:hAnsiTheme="minorHAnsi" w:cstheme="minorHAnsi"/>
                <w:sz w:val="18"/>
                <w:szCs w:val="18"/>
              </w:rPr>
              <w:t xml:space="preserve">Wskaźnik nr 4 = </w:t>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z w:val="18"/>
                <w:szCs w:val="18"/>
              </w:rPr>
              <w:t xml:space="preserve">   x 100</w:t>
            </w:r>
          </w:p>
          <w:p w14:paraId="63DAE844" w14:textId="77777777" w:rsidR="00AD347C" w:rsidRPr="00BC10F2" w:rsidRDefault="007941FC">
            <w:pPr>
              <w:pStyle w:val="Textbody"/>
              <w:widowControl w:val="0"/>
              <w:spacing w:after="0" w:line="240" w:lineRule="auto"/>
              <w:ind w:left="2127"/>
              <w:jc w:val="left"/>
              <w:rPr>
                <w:rFonts w:asciiTheme="minorHAnsi" w:hAnsiTheme="minorHAnsi" w:cstheme="minorHAnsi"/>
                <w:sz w:val="18"/>
                <w:szCs w:val="18"/>
              </w:rPr>
            </w:pPr>
            <w:r w:rsidRPr="00BC10F2">
              <w:rPr>
                <w:rFonts w:asciiTheme="minorHAnsi" w:hAnsiTheme="minorHAnsi" w:cstheme="minorHAnsi"/>
                <w:sz w:val="18"/>
                <w:szCs w:val="18"/>
              </w:rPr>
              <w:t>Liczba osób u których przeprowadzono</w:t>
            </w:r>
          </w:p>
          <w:p w14:paraId="1F23FE45" w14:textId="4EEFE2C1" w:rsidR="00A80621" w:rsidRPr="00BC10F2" w:rsidRDefault="007941FC">
            <w:pPr>
              <w:pStyle w:val="Textbody"/>
              <w:widowControl w:val="0"/>
              <w:spacing w:after="0" w:line="240" w:lineRule="auto"/>
              <w:ind w:left="2127"/>
              <w:jc w:val="left"/>
              <w:rPr>
                <w:rFonts w:asciiTheme="minorHAnsi" w:hAnsiTheme="minorHAnsi" w:cstheme="minorHAnsi"/>
                <w:sz w:val="18"/>
                <w:szCs w:val="18"/>
              </w:rPr>
            </w:pPr>
            <w:r w:rsidRPr="00BC10F2">
              <w:rPr>
                <w:rFonts w:asciiTheme="minorHAnsi" w:hAnsiTheme="minorHAnsi" w:cstheme="minorHAnsi"/>
                <w:sz w:val="18"/>
                <w:szCs w:val="18"/>
              </w:rPr>
              <w:t xml:space="preserve"> badanie FRAX (w czasie wizyty kwalifikującej)</w:t>
            </w:r>
          </w:p>
        </w:tc>
      </w:tr>
    </w:tbl>
    <w:p w14:paraId="69B888A5" w14:textId="77777777" w:rsidR="00A80621" w:rsidRPr="00BC10F2" w:rsidRDefault="00A80621">
      <w:pPr>
        <w:pStyle w:val="Tekstopisupodelementem"/>
        <w:rPr>
          <w:rFonts w:asciiTheme="minorHAnsi" w:hAnsiTheme="minorHAnsi" w:cstheme="minorHAnsi"/>
        </w:rPr>
      </w:pPr>
    </w:p>
    <w:p w14:paraId="675F0286" w14:textId="77777777" w:rsidR="00A80621" w:rsidRPr="00BC10F2" w:rsidRDefault="00A80621">
      <w:pPr>
        <w:rPr>
          <w:rFonts w:asciiTheme="minorHAnsi" w:hAnsiTheme="minorHAnsi" w:cstheme="minorHAnsi"/>
          <w:b/>
          <w:sz w:val="28"/>
          <w:szCs w:val="28"/>
        </w:rPr>
      </w:pPr>
    </w:p>
    <w:p w14:paraId="42F0ADB0" w14:textId="77777777" w:rsidR="00A80621" w:rsidRPr="00BC10F2" w:rsidRDefault="007941FC">
      <w:pPr>
        <w:pStyle w:val="Nagwek1"/>
        <w:rPr>
          <w:rFonts w:asciiTheme="minorHAnsi" w:hAnsiTheme="minorHAnsi" w:cstheme="minorHAnsi"/>
        </w:rPr>
      </w:pPr>
      <w:bookmarkStart w:id="11" w:name="_Toc146114992"/>
      <w:r w:rsidRPr="00BC10F2">
        <w:rPr>
          <w:rFonts w:asciiTheme="minorHAnsi" w:hAnsiTheme="minorHAnsi" w:cstheme="minorHAnsi"/>
        </w:rPr>
        <w:lastRenderedPageBreak/>
        <w:t>Charakterystyka populacji docelowej oraz charakterystyka interwencji, jakie są planowane w ramach programu polityki zdrowotnej</w:t>
      </w:r>
      <w:bookmarkEnd w:id="11"/>
    </w:p>
    <w:p w14:paraId="26441F11" w14:textId="77777777" w:rsidR="00A80621" w:rsidRPr="00BC10F2" w:rsidRDefault="007941FC">
      <w:pPr>
        <w:pStyle w:val="Nagwek2"/>
        <w:rPr>
          <w:rFonts w:asciiTheme="minorHAnsi" w:hAnsiTheme="minorHAnsi" w:cstheme="minorHAnsi"/>
        </w:rPr>
      </w:pPr>
      <w:bookmarkStart w:id="12" w:name="_Toc146114993"/>
      <w:r w:rsidRPr="00BC10F2">
        <w:rPr>
          <w:rFonts w:asciiTheme="minorHAnsi" w:hAnsiTheme="minorHAnsi" w:cstheme="minorHAnsi"/>
        </w:rPr>
        <w:t>Populacja docelowa</w:t>
      </w:r>
      <w:bookmarkEnd w:id="12"/>
    </w:p>
    <w:p w14:paraId="1E6898C2" w14:textId="7A5184FE"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Do programu zostaną włączone osoby z miasta stołecznego Warszawa, które spełniły kryteria kwalifikacji do udziału w programie wskazane w podrozdziale </w:t>
      </w:r>
      <w:r w:rsidR="008634E2" w:rsidRPr="00BC10F2">
        <w:rPr>
          <w:rFonts w:asciiTheme="minorHAnsi" w:hAnsiTheme="minorHAnsi" w:cstheme="minorHAnsi"/>
        </w:rPr>
        <w:t>3</w:t>
      </w:r>
      <w:r w:rsidRPr="00BC10F2">
        <w:rPr>
          <w:rFonts w:asciiTheme="minorHAnsi" w:hAnsiTheme="minorHAnsi" w:cstheme="minorHAnsi"/>
        </w:rPr>
        <w:t>.2 „Kryteria kwalifikacji do udziału w programie polityki zdrowotnej oraz kryteria wyłączenia z programu polityki zdrowotnej”.</w:t>
      </w:r>
    </w:p>
    <w:p w14:paraId="2DB90C31"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programie wyróżnia się dwie grupy uczestników: I grupa – kobiety 65+ korzystające z działań w zakresie profilaktyki i wczesnego wykrywania osteoporozy; II grupa – personel medyczny korzystający ze szkoleń. Dodatkowo do osób z populacji ogólnej (od 18 r.ż.) Warszawy zostanie skierowana kampania informacyjno-edukacyjna, umożliwiająca zapoznanie się z o toczącym się programie, oraz o materiałach edukacyjnych skierowanych do wszystkich mieszkańców Warszawy. Wszystkie działania są podejmowane zgodnie z Rekomendacją nr 9/2020 Prezesa </w:t>
      </w:r>
      <w:proofErr w:type="spellStart"/>
      <w:r w:rsidRPr="00BC10F2">
        <w:rPr>
          <w:rFonts w:asciiTheme="minorHAnsi" w:hAnsiTheme="minorHAnsi" w:cstheme="minorHAnsi"/>
        </w:rPr>
        <w:t>AOTMiT</w:t>
      </w:r>
      <w:proofErr w:type="spellEnd"/>
      <w:r w:rsidRPr="00BC10F2">
        <w:rPr>
          <w:rFonts w:asciiTheme="minorHAnsi" w:hAnsiTheme="minorHAnsi" w:cstheme="minorHAnsi"/>
        </w:rPr>
        <w:t xml:space="preserve"> z dnia 30 listopada 2020 r. </w:t>
      </w:r>
    </w:p>
    <w:p w14:paraId="10C73059" w14:textId="42995301" w:rsidR="00063001" w:rsidRPr="00BC10F2" w:rsidRDefault="00063001">
      <w:pPr>
        <w:pStyle w:val="Tekstpodstawowy"/>
        <w:rPr>
          <w:rFonts w:asciiTheme="minorHAnsi" w:hAnsiTheme="minorHAnsi" w:cstheme="minorHAnsi"/>
        </w:rPr>
      </w:pPr>
      <w:r w:rsidRPr="00BC10F2">
        <w:rPr>
          <w:rFonts w:asciiTheme="minorHAnsi" w:hAnsiTheme="minorHAnsi" w:cstheme="minorHAnsi"/>
        </w:rPr>
        <w:t xml:space="preserve">Kompleksową interwencją tj. łącznie działaniami informacyjno-edukacyjnymi oraz oceną ryzyka wystąpienia poważnych złamań </w:t>
      </w:r>
      <w:proofErr w:type="spellStart"/>
      <w:r w:rsidRPr="00BC10F2">
        <w:rPr>
          <w:rFonts w:asciiTheme="minorHAnsi" w:hAnsiTheme="minorHAnsi" w:cstheme="minorHAnsi"/>
        </w:rPr>
        <w:t>osteoporotycznych</w:t>
      </w:r>
      <w:proofErr w:type="spellEnd"/>
      <w:r w:rsidRPr="00BC10F2">
        <w:rPr>
          <w:rFonts w:asciiTheme="minorHAnsi" w:hAnsiTheme="minorHAnsi" w:cstheme="minorHAnsi"/>
        </w:rPr>
        <w:t xml:space="preserve"> z użyciem narzędzia FRAX w ramach programu nie będą objęte ze względu na ograniczenia finansowe (budżet miasta na obecną chwilę nie pozwala na włączenie tych populacji): populacja kobiet w wieku 40-64 lat z co najmniej jednym dodatkowym czynnikiem ryzyka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mieszkających na terenie Warszawy oraz mężczyźni ≥ 75 roku życia mieszkający na terenie Warszawy.</w:t>
      </w:r>
    </w:p>
    <w:p w14:paraId="2F1572BE" w14:textId="05C6C238" w:rsidR="00A80621" w:rsidRPr="00BC10F2" w:rsidRDefault="007941FC">
      <w:pPr>
        <w:pStyle w:val="Tekstpodstawowy"/>
        <w:rPr>
          <w:rFonts w:asciiTheme="minorHAnsi" w:hAnsiTheme="minorHAnsi" w:cstheme="minorHAnsi"/>
        </w:rPr>
      </w:pPr>
      <w:r w:rsidRPr="00BC10F2">
        <w:rPr>
          <w:rFonts w:asciiTheme="minorHAnsi" w:hAnsiTheme="minorHAnsi" w:cstheme="minorHAnsi"/>
        </w:rPr>
        <w:t>Zgodnie z danymi GUS w 2022 r. w m.</w:t>
      </w:r>
      <w:r w:rsidR="008634E2" w:rsidRPr="00BC10F2">
        <w:rPr>
          <w:rFonts w:asciiTheme="minorHAnsi" w:hAnsiTheme="minorHAnsi" w:cstheme="minorHAnsi"/>
        </w:rPr>
        <w:t>st.</w:t>
      </w:r>
      <w:r w:rsidRPr="00BC10F2">
        <w:rPr>
          <w:rFonts w:asciiTheme="minorHAnsi" w:hAnsiTheme="minorHAnsi" w:cstheme="minorHAnsi"/>
        </w:rPr>
        <w:t xml:space="preserve"> Warszawa populacja kobiet 65+ życia wynosiła 227 379. Populacja ogólna osób dorosłych wynosiła 1 532 028 osób (dane na dzień 30.06. 2022), a populacja powyżej 50 roku życia wynosiła 637 671 </w:t>
      </w:r>
      <w:r w:rsidR="008634E2" w:rsidRPr="00BC10F2">
        <w:rPr>
          <w:rFonts w:asciiTheme="minorHAnsi" w:hAnsiTheme="minorHAnsi" w:cstheme="minorHAnsi"/>
        </w:rPr>
        <w:t>(</w:t>
      </w:r>
      <w:r w:rsidRPr="00BC10F2">
        <w:rPr>
          <w:rFonts w:asciiTheme="minorHAnsi" w:hAnsiTheme="minorHAnsi" w:cstheme="minorHAnsi"/>
        </w:rPr>
        <w:t>do której skierowana kampania edukacyjno-informacyjna</w:t>
      </w:r>
      <w:r w:rsidR="008634E2" w:rsidRPr="00BC10F2">
        <w:rPr>
          <w:rFonts w:asciiTheme="minorHAnsi" w:hAnsiTheme="minorHAnsi" w:cstheme="minorHAnsi"/>
        </w:rPr>
        <w:t>)</w:t>
      </w:r>
      <w:r w:rsidRPr="00BC10F2">
        <w:rPr>
          <w:rFonts w:asciiTheme="minorHAnsi" w:hAnsiTheme="minorHAnsi" w:cstheme="minorHAnsi"/>
        </w:rPr>
        <w:t xml:space="preserve">. </w:t>
      </w:r>
      <w:r w:rsidR="00063001" w:rsidRPr="00BC10F2">
        <w:rPr>
          <w:rFonts w:asciiTheme="minorHAnsi" w:hAnsiTheme="minorHAnsi" w:cstheme="minorHAnsi"/>
        </w:rPr>
        <w:t xml:space="preserve">W Programie kompleksową interwencją tj. łącznie działaniami informacyjno-edukacyjnymi oraz oceną ryzyka wystąpienia poważnych złamań </w:t>
      </w:r>
      <w:proofErr w:type="spellStart"/>
      <w:r w:rsidR="00063001" w:rsidRPr="00BC10F2">
        <w:rPr>
          <w:rFonts w:asciiTheme="minorHAnsi" w:hAnsiTheme="minorHAnsi" w:cstheme="minorHAnsi"/>
        </w:rPr>
        <w:t>osteoporotycznych</w:t>
      </w:r>
      <w:proofErr w:type="spellEnd"/>
      <w:r w:rsidR="00063001" w:rsidRPr="00BC10F2">
        <w:rPr>
          <w:rFonts w:asciiTheme="minorHAnsi" w:hAnsiTheme="minorHAnsi" w:cstheme="minorHAnsi"/>
        </w:rPr>
        <w:t xml:space="preserve"> z użyciem narzędzia FRAX skorzysta ok. </w:t>
      </w:r>
      <w:r w:rsidRPr="00BC10F2">
        <w:rPr>
          <w:rFonts w:asciiTheme="minorHAnsi" w:hAnsiTheme="minorHAnsi" w:cstheme="minorHAnsi"/>
        </w:rPr>
        <w:t xml:space="preserve"> 7 </w:t>
      </w:r>
      <w:r w:rsidR="008634E2" w:rsidRPr="00BC10F2">
        <w:rPr>
          <w:rFonts w:asciiTheme="minorHAnsi" w:hAnsiTheme="minorHAnsi" w:cstheme="minorHAnsi"/>
        </w:rPr>
        <w:t>0</w:t>
      </w:r>
      <w:r w:rsidRPr="00BC10F2">
        <w:rPr>
          <w:rFonts w:asciiTheme="minorHAnsi" w:hAnsiTheme="minorHAnsi" w:cstheme="minorHAnsi"/>
        </w:rPr>
        <w:t>00 kobiet 65+, co stanowi 3,</w:t>
      </w:r>
      <w:r w:rsidR="00B52EC0" w:rsidRPr="00BC10F2">
        <w:rPr>
          <w:rFonts w:asciiTheme="minorHAnsi" w:hAnsiTheme="minorHAnsi" w:cstheme="minorHAnsi"/>
        </w:rPr>
        <w:t>01</w:t>
      </w:r>
      <w:r w:rsidRPr="00BC10F2">
        <w:rPr>
          <w:rFonts w:asciiTheme="minorHAnsi" w:hAnsiTheme="minorHAnsi" w:cstheme="minorHAnsi"/>
        </w:rPr>
        <w:t>% tej populacji, a z kampanii edukacyjno-informacyjnej skorzysta co najmniej 3</w:t>
      </w:r>
      <w:r w:rsidR="00FD1D1E" w:rsidRPr="00BC10F2">
        <w:rPr>
          <w:rFonts w:asciiTheme="minorHAnsi" w:hAnsiTheme="minorHAnsi" w:cstheme="minorHAnsi"/>
        </w:rPr>
        <w:t>5</w:t>
      </w:r>
      <w:r w:rsidR="001053AA">
        <w:rPr>
          <w:rFonts w:asciiTheme="minorHAnsi" w:hAnsiTheme="minorHAnsi" w:cstheme="minorHAnsi"/>
        </w:rPr>
        <w:t>% populacji 50+ osób w m.</w:t>
      </w:r>
      <w:r w:rsidRPr="00BC10F2">
        <w:rPr>
          <w:rFonts w:asciiTheme="minorHAnsi" w:hAnsiTheme="minorHAnsi" w:cstheme="minorHAnsi"/>
        </w:rPr>
        <w:t>st. Warszawa</w:t>
      </w:r>
      <w:r w:rsidR="00FD1D1E" w:rsidRPr="00BC10F2">
        <w:rPr>
          <w:rFonts w:asciiTheme="minorHAnsi" w:hAnsiTheme="minorHAnsi" w:cstheme="minorHAnsi"/>
        </w:rPr>
        <w:t>, a więc co najmniej 223 185 osób.</w:t>
      </w:r>
    </w:p>
    <w:p w14:paraId="57DBE831" w14:textId="77777777" w:rsidR="00A80621" w:rsidRPr="00BC10F2" w:rsidRDefault="007941FC">
      <w:pPr>
        <w:pStyle w:val="Nagwek2"/>
        <w:pageBreakBefore/>
        <w:rPr>
          <w:rFonts w:asciiTheme="minorHAnsi" w:hAnsiTheme="minorHAnsi" w:cstheme="minorHAnsi"/>
        </w:rPr>
      </w:pPr>
      <w:bookmarkStart w:id="13" w:name="_Toc146114994"/>
      <w:r w:rsidRPr="00BC10F2">
        <w:rPr>
          <w:rFonts w:asciiTheme="minorHAnsi" w:hAnsiTheme="minorHAnsi" w:cstheme="minorHAnsi"/>
        </w:rPr>
        <w:lastRenderedPageBreak/>
        <w:t>Kryteria kwalifikacji do udziału w programie polityki zdrowotnej oraz kryteria wyłączenia z programu polityki zdrowotnej</w:t>
      </w:r>
      <w:bookmarkEnd w:id="13"/>
    </w:p>
    <w:p w14:paraId="2A67924B" w14:textId="77777777" w:rsidR="00A80621" w:rsidRPr="00BC10F2" w:rsidRDefault="007941FC">
      <w:pPr>
        <w:spacing w:line="360" w:lineRule="auto"/>
        <w:rPr>
          <w:rFonts w:asciiTheme="minorHAnsi" w:hAnsiTheme="minorHAnsi" w:cstheme="minorHAnsi"/>
        </w:rPr>
      </w:pPr>
      <w:r w:rsidRPr="00BC10F2">
        <w:rPr>
          <w:rFonts w:asciiTheme="minorHAnsi" w:hAnsiTheme="minorHAnsi" w:cstheme="minorHAnsi"/>
          <w:b/>
          <w:sz w:val="22"/>
          <w:szCs w:val="22"/>
        </w:rPr>
        <w:t>Kryteria włączenia do programu polityki zdrowotnej</w:t>
      </w:r>
    </w:p>
    <w:p w14:paraId="62640FB3"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Do programu zostaną zakwalifikowane osoby spełniające jednocześnie wszystkie kryteria wskazane w pkt 1-3. Niespełnienie nawet jednego kryterium określonego w pkt 1-3 stanowi przeciwwskazanie do udziału w programie.</w:t>
      </w:r>
    </w:p>
    <w:p w14:paraId="33BB38AB" w14:textId="77777777" w:rsidR="00A80621" w:rsidRPr="00BC10F2" w:rsidRDefault="00A80621">
      <w:pPr>
        <w:spacing w:line="360" w:lineRule="auto"/>
        <w:rPr>
          <w:rFonts w:asciiTheme="minorHAnsi" w:hAnsiTheme="minorHAnsi" w:cstheme="minorHAnsi"/>
        </w:rPr>
      </w:pPr>
    </w:p>
    <w:p w14:paraId="3079CE84" w14:textId="77777777" w:rsidR="00A80621" w:rsidRPr="00BC10F2" w:rsidRDefault="007941FC">
      <w:pPr>
        <w:spacing w:line="360" w:lineRule="auto"/>
        <w:rPr>
          <w:rFonts w:asciiTheme="minorHAnsi" w:hAnsiTheme="minorHAnsi" w:cstheme="minorHAnsi"/>
        </w:rPr>
      </w:pPr>
      <w:bookmarkStart w:id="14" w:name="_Hlk66966982"/>
      <w:r w:rsidRPr="00BC10F2">
        <w:rPr>
          <w:rFonts w:asciiTheme="minorHAnsi" w:hAnsiTheme="minorHAnsi" w:cstheme="minorHAnsi"/>
          <w:b/>
          <w:sz w:val="22"/>
          <w:szCs w:val="22"/>
        </w:rPr>
        <w:t>Kryteria kwalifikacji do udziału w programie – I grupa (kobiety 65+)</w:t>
      </w:r>
      <w:bookmarkEnd w:id="14"/>
    </w:p>
    <w:p w14:paraId="4BF461FD"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Kryteria formalne, które muszą zostać spełnione jednocześnie:</w:t>
      </w:r>
    </w:p>
    <w:p w14:paraId="6BC2E478" w14:textId="77777777" w:rsidR="00B52EC0" w:rsidRPr="00BC10F2" w:rsidRDefault="007941FC" w:rsidP="000B2BB8">
      <w:pPr>
        <w:pStyle w:val="Listanumerowana1"/>
        <w:numPr>
          <w:ilvl w:val="0"/>
          <w:numId w:val="18"/>
        </w:numPr>
        <w:rPr>
          <w:rFonts w:asciiTheme="minorHAnsi" w:hAnsiTheme="minorHAnsi" w:cstheme="minorHAnsi"/>
        </w:rPr>
      </w:pPr>
      <w:r w:rsidRPr="00BC10F2">
        <w:rPr>
          <w:rFonts w:asciiTheme="minorHAnsi" w:hAnsiTheme="minorHAnsi" w:cstheme="minorHAnsi"/>
        </w:rPr>
        <w:t xml:space="preserve"> Osoba aplikująca (kobieta) do programu, w dniu zgłoszenia musi mieć ukończone 65 lat, </w:t>
      </w:r>
    </w:p>
    <w:p w14:paraId="72A21C13" w14:textId="5FFC43D3" w:rsidR="00A80621" w:rsidRPr="00BC10F2" w:rsidRDefault="007941FC" w:rsidP="000B2BB8">
      <w:pPr>
        <w:pStyle w:val="Listanumerowana1"/>
        <w:numPr>
          <w:ilvl w:val="0"/>
          <w:numId w:val="18"/>
        </w:numPr>
        <w:rPr>
          <w:rFonts w:asciiTheme="minorHAnsi" w:hAnsiTheme="minorHAnsi" w:cstheme="minorHAnsi"/>
        </w:rPr>
      </w:pPr>
      <w:r w:rsidRPr="00BC10F2">
        <w:rPr>
          <w:rFonts w:asciiTheme="minorHAnsi" w:hAnsiTheme="minorHAnsi" w:cstheme="minorHAnsi"/>
        </w:rPr>
        <w:t>Osoba aplikująca do programu, w dniu zgłoszenia musi:</w:t>
      </w:r>
    </w:p>
    <w:p w14:paraId="501BFFB6"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mieszkać na terenie Miasta Stołecznego Warszawy (tj. musi być osobą fizyczną mieszkającą na terenie miasta Warszawa w rozumieniu Kodeksu cywilnego</w:t>
      </w:r>
      <w:r w:rsidRPr="00BC10F2">
        <w:rPr>
          <w:rStyle w:val="Odwoanieprzypisudolnego"/>
          <w:rFonts w:asciiTheme="minorHAnsi" w:hAnsiTheme="minorHAnsi" w:cstheme="minorHAnsi"/>
        </w:rPr>
        <w:footnoteReference w:id="2"/>
      </w:r>
      <w:r w:rsidRPr="00BC10F2">
        <w:rPr>
          <w:rFonts w:asciiTheme="minorHAnsi" w:hAnsiTheme="minorHAnsi" w:cstheme="minorHAnsi"/>
        </w:rPr>
        <w:t>);</w:t>
      </w:r>
    </w:p>
    <w:p w14:paraId="5D2DB7DE"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udzielić świadomej zgody na udział w programie;</w:t>
      </w:r>
    </w:p>
    <w:p w14:paraId="3DF395D1"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złożyć pisemne oświadczenie, że nie jest obecnie uczestnikiem innego programu o podobnym charakterze finansowanym ze środków publicznych i nie uczestniczyła w tego typu programie w ciągu ostatnich 24 miesięcy; </w:t>
      </w:r>
    </w:p>
    <w:p w14:paraId="44C7486B"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złożyć pisemne oświadczenie, że w ciągu ostatnich 24 miesięcy nie miała przeprowadzonego badania densytometrycznego.</w:t>
      </w:r>
    </w:p>
    <w:p w14:paraId="2C321461"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Weryfikacja kryteriów z pkt 2 obywa się na podstawie wypełnionego kwestionariusza (opracowanego na podstawie powyższych kryteriów) i umieszczona w dokumentacji medycznej (w wersji drukowanej). </w:t>
      </w:r>
    </w:p>
    <w:p w14:paraId="1844891C" w14:textId="77777777" w:rsidR="00A80621" w:rsidRPr="00BC10F2" w:rsidRDefault="007941FC">
      <w:pPr>
        <w:spacing w:before="240" w:line="360" w:lineRule="auto"/>
        <w:rPr>
          <w:rFonts w:asciiTheme="minorHAnsi" w:hAnsiTheme="minorHAnsi" w:cstheme="minorHAnsi"/>
        </w:rPr>
      </w:pPr>
      <w:r w:rsidRPr="00BC10F2">
        <w:rPr>
          <w:rFonts w:asciiTheme="minorHAnsi" w:hAnsiTheme="minorHAnsi" w:cstheme="minorHAnsi"/>
          <w:b/>
          <w:sz w:val="22"/>
          <w:szCs w:val="22"/>
        </w:rPr>
        <w:t xml:space="preserve">Kryteria wyłączenia i wykluczenia z programu polityki zdrowotnej – I grupa </w:t>
      </w:r>
    </w:p>
    <w:p w14:paraId="184CAFAC" w14:textId="0157227C" w:rsidR="00A80621" w:rsidRPr="00BC10F2" w:rsidRDefault="007941FC">
      <w:pPr>
        <w:pStyle w:val="Tekstpodstawowy"/>
        <w:rPr>
          <w:rFonts w:asciiTheme="minorHAnsi" w:hAnsiTheme="minorHAnsi" w:cstheme="minorHAnsi"/>
        </w:rPr>
      </w:pPr>
      <w:r w:rsidRPr="00BC10F2">
        <w:rPr>
          <w:rStyle w:val="Bodytext12ptExact7"/>
          <w:rFonts w:asciiTheme="minorHAnsi" w:hAnsiTheme="minorHAnsi" w:cstheme="minorHAnsi"/>
          <w:sz w:val="20"/>
          <w:szCs w:val="20"/>
          <w:shd w:val="clear" w:color="auto" w:fill="auto"/>
        </w:rPr>
        <w:t>Niespełnienie co najmniej jednego z kryteriów włączenia do programu określonych powyżej (dot. kobiet powyżej 65 r.ż.) oraz przedłożenie realizatorowi przez uczestnika programu pisemnej rezygnacji z udziału w programie powoduje wyłączenie z programu.</w:t>
      </w:r>
    </w:p>
    <w:p w14:paraId="50FC0B50" w14:textId="77777777" w:rsidR="00A80621" w:rsidRPr="00BC10F2" w:rsidRDefault="007941FC">
      <w:pPr>
        <w:pStyle w:val="Tekstpodstawowy"/>
        <w:rPr>
          <w:rFonts w:asciiTheme="minorHAnsi" w:hAnsiTheme="minorHAnsi" w:cstheme="minorHAnsi"/>
        </w:rPr>
      </w:pPr>
      <w:r w:rsidRPr="00BC10F2">
        <w:rPr>
          <w:rStyle w:val="Bodytext12ptExact7"/>
          <w:rFonts w:asciiTheme="minorHAnsi" w:hAnsiTheme="minorHAnsi" w:cstheme="minorHAnsi"/>
          <w:sz w:val="20"/>
          <w:szCs w:val="20"/>
          <w:shd w:val="clear" w:color="auto" w:fill="auto"/>
        </w:rPr>
        <w:t>Ponadto, wyłączenie z programu powodują następujące kryteria:</w:t>
      </w:r>
    </w:p>
    <w:p w14:paraId="1314ADBB" w14:textId="77777777" w:rsidR="00B52EC0" w:rsidRPr="00BC10F2" w:rsidRDefault="007941FC" w:rsidP="000B2BB8">
      <w:pPr>
        <w:pStyle w:val="Listanumerowana1"/>
        <w:numPr>
          <w:ilvl w:val="0"/>
          <w:numId w:val="19"/>
        </w:numPr>
        <w:rPr>
          <w:rFonts w:asciiTheme="minorHAnsi" w:hAnsiTheme="minorHAnsi" w:cstheme="minorHAnsi"/>
        </w:rPr>
      </w:pPr>
      <w:r w:rsidRPr="00BC10F2">
        <w:rPr>
          <w:rStyle w:val="Bodytext12ptExact7"/>
          <w:rFonts w:asciiTheme="minorHAnsi" w:hAnsiTheme="minorHAnsi" w:cstheme="minorHAnsi"/>
          <w:sz w:val="20"/>
          <w:szCs w:val="20"/>
          <w:shd w:val="clear" w:color="auto" w:fill="auto"/>
        </w:rPr>
        <w:lastRenderedPageBreak/>
        <w:t>Uczestnictwo w działaniach edukacyjnych obejmujących profilaktykę osteoporozy w ciągu poprzednich 24 miesięcy.</w:t>
      </w:r>
    </w:p>
    <w:p w14:paraId="31F4B9A4" w14:textId="77777777" w:rsidR="00B52EC0" w:rsidRPr="00BC10F2" w:rsidRDefault="007941FC" w:rsidP="000B2BB8">
      <w:pPr>
        <w:pStyle w:val="Listanumerowana1"/>
        <w:numPr>
          <w:ilvl w:val="0"/>
          <w:numId w:val="19"/>
        </w:numPr>
        <w:rPr>
          <w:rStyle w:val="Bodytext12ptExact7"/>
          <w:rFonts w:asciiTheme="minorHAnsi" w:hAnsiTheme="minorHAnsi" w:cstheme="minorHAnsi"/>
          <w:color w:val="auto"/>
          <w:sz w:val="20"/>
          <w:szCs w:val="20"/>
          <w:shd w:val="clear" w:color="auto" w:fill="auto"/>
        </w:rPr>
      </w:pPr>
      <w:r w:rsidRPr="00BC10F2">
        <w:rPr>
          <w:rStyle w:val="Bodytext12ptExact7"/>
          <w:rFonts w:asciiTheme="minorHAnsi" w:hAnsiTheme="minorHAnsi" w:cstheme="minorHAnsi"/>
          <w:sz w:val="20"/>
          <w:szCs w:val="20"/>
          <w:shd w:val="clear" w:color="auto" w:fill="auto"/>
        </w:rPr>
        <w:t>Zdiagnozowana wcześniej osteoporoza.</w:t>
      </w:r>
    </w:p>
    <w:p w14:paraId="7E22BE9B" w14:textId="77777777" w:rsidR="00B52EC0" w:rsidRPr="00BC10F2" w:rsidRDefault="007941FC" w:rsidP="000B2BB8">
      <w:pPr>
        <w:pStyle w:val="Listanumerowana1"/>
        <w:numPr>
          <w:ilvl w:val="0"/>
          <w:numId w:val="19"/>
        </w:numPr>
        <w:rPr>
          <w:rStyle w:val="Bodytext12ptExact7"/>
          <w:rFonts w:asciiTheme="minorHAnsi" w:hAnsiTheme="minorHAnsi" w:cstheme="minorHAnsi"/>
          <w:color w:val="auto"/>
          <w:sz w:val="20"/>
          <w:szCs w:val="20"/>
          <w:shd w:val="clear" w:color="auto" w:fill="auto"/>
        </w:rPr>
      </w:pPr>
      <w:r w:rsidRPr="00BC10F2">
        <w:rPr>
          <w:rStyle w:val="Bodytext12ptExact7"/>
          <w:rFonts w:asciiTheme="minorHAnsi" w:hAnsiTheme="minorHAnsi" w:cstheme="minorHAnsi"/>
          <w:sz w:val="20"/>
          <w:szCs w:val="20"/>
          <w:shd w:val="clear" w:color="auto" w:fill="auto"/>
        </w:rPr>
        <w:t>Ostatni pomiar BMD za pomocą DXA na szyjce kości udowej w ciągu poprzednich 24 miesięcy przy jednoczesnym braku nowych czynników ryzyka od czasu tego pomiaru.</w:t>
      </w:r>
    </w:p>
    <w:p w14:paraId="47F2CE4A" w14:textId="77777777" w:rsidR="00B52EC0" w:rsidRPr="00BC10F2" w:rsidRDefault="007941FC" w:rsidP="000B2BB8">
      <w:pPr>
        <w:pStyle w:val="Listanumerowana1"/>
        <w:numPr>
          <w:ilvl w:val="0"/>
          <w:numId w:val="19"/>
        </w:numPr>
        <w:rPr>
          <w:rStyle w:val="Bodytext12ptExact7"/>
          <w:rFonts w:asciiTheme="minorHAnsi" w:hAnsiTheme="minorHAnsi" w:cstheme="minorHAnsi"/>
          <w:color w:val="auto"/>
          <w:sz w:val="20"/>
          <w:szCs w:val="20"/>
          <w:shd w:val="clear" w:color="auto" w:fill="auto"/>
        </w:rPr>
      </w:pPr>
      <w:r w:rsidRPr="00BC10F2">
        <w:rPr>
          <w:rStyle w:val="Bodytext12ptExact7"/>
          <w:rFonts w:asciiTheme="minorHAnsi" w:hAnsiTheme="minorHAnsi" w:cstheme="minorHAnsi"/>
          <w:sz w:val="20"/>
          <w:szCs w:val="20"/>
          <w:shd w:val="clear" w:color="auto" w:fill="auto"/>
        </w:rPr>
        <w:t>Obecność przeciwskazań do pomiaru DXA przez szyjkę kości udowej, np. obustronna endoproteza stawu biodrowego, ciąża znaczna otyłość.</w:t>
      </w:r>
    </w:p>
    <w:p w14:paraId="6AE95228" w14:textId="3BBC7575" w:rsidR="00A80621" w:rsidRPr="00BC10F2" w:rsidRDefault="007941FC" w:rsidP="000B2BB8">
      <w:pPr>
        <w:pStyle w:val="Listanumerowana1"/>
        <w:numPr>
          <w:ilvl w:val="0"/>
          <w:numId w:val="19"/>
        </w:numPr>
        <w:rPr>
          <w:rFonts w:asciiTheme="minorHAnsi" w:hAnsiTheme="minorHAnsi" w:cstheme="minorHAnsi"/>
        </w:rPr>
      </w:pPr>
      <w:r w:rsidRPr="00BC10F2">
        <w:rPr>
          <w:rStyle w:val="Bodytext12ptExact7"/>
          <w:rFonts w:asciiTheme="minorHAnsi" w:hAnsiTheme="minorHAnsi" w:cstheme="minorHAnsi"/>
          <w:sz w:val="20"/>
          <w:szCs w:val="20"/>
          <w:shd w:val="clear" w:color="auto" w:fill="auto"/>
        </w:rPr>
        <w:t xml:space="preserve"> Ponowne uczestnictwo w programie i wcześniejsze skorzystanie ze wszystkich dostępnych interwencji w ramach programu.</w:t>
      </w:r>
    </w:p>
    <w:p w14:paraId="1401C54A" w14:textId="77777777" w:rsidR="00A80621" w:rsidRPr="00BC10F2" w:rsidRDefault="007941FC">
      <w:pPr>
        <w:pStyle w:val="Tekstpodstawowy"/>
        <w:tabs>
          <w:tab w:val="left" w:pos="320"/>
        </w:tabs>
        <w:rPr>
          <w:rFonts w:asciiTheme="minorHAnsi" w:hAnsiTheme="minorHAnsi" w:cstheme="minorHAnsi"/>
        </w:rPr>
      </w:pPr>
      <w:r w:rsidRPr="00BC10F2">
        <w:rPr>
          <w:rStyle w:val="Bodytext12ptExact7"/>
          <w:rFonts w:asciiTheme="minorHAnsi" w:hAnsiTheme="minorHAnsi" w:cstheme="minorHAnsi"/>
          <w:b/>
          <w:sz w:val="22"/>
          <w:szCs w:val="22"/>
        </w:rPr>
        <w:t>Kryterium włączenia i wykluczenia do programu polityki zdrowotnej – II grupa:</w:t>
      </w:r>
    </w:p>
    <w:p w14:paraId="22FA6BFF" w14:textId="111BBA2C" w:rsidR="00A80621" w:rsidRPr="00BC10F2" w:rsidRDefault="007941FC">
      <w:pPr>
        <w:pStyle w:val="Tekstpodstawowy"/>
        <w:rPr>
          <w:rFonts w:asciiTheme="minorHAnsi" w:hAnsiTheme="minorHAnsi" w:cstheme="minorHAnsi"/>
        </w:rPr>
      </w:pPr>
      <w:r w:rsidRPr="00BC10F2">
        <w:rPr>
          <w:rStyle w:val="Bodytext12ptExact7"/>
          <w:rFonts w:asciiTheme="minorHAnsi" w:hAnsiTheme="minorHAnsi" w:cstheme="minorHAnsi"/>
          <w:sz w:val="20"/>
          <w:szCs w:val="20"/>
          <w:shd w:val="clear" w:color="auto" w:fill="auto"/>
        </w:rPr>
        <w:t xml:space="preserve">Zgodnie z Rekomendacją nr 9/2020 Prezesa </w:t>
      </w:r>
      <w:proofErr w:type="spellStart"/>
      <w:r w:rsidRPr="00BC10F2">
        <w:rPr>
          <w:rStyle w:val="Bodytext12ptExact7"/>
          <w:rFonts w:asciiTheme="minorHAnsi" w:hAnsiTheme="minorHAnsi" w:cstheme="minorHAnsi"/>
          <w:sz w:val="20"/>
          <w:szCs w:val="20"/>
          <w:shd w:val="clear" w:color="auto" w:fill="auto"/>
        </w:rPr>
        <w:t>AOTMiT</w:t>
      </w:r>
      <w:proofErr w:type="spellEnd"/>
      <w:r w:rsidRPr="00BC10F2">
        <w:rPr>
          <w:rStyle w:val="Bodytext12ptExact7"/>
          <w:rFonts w:asciiTheme="minorHAnsi" w:hAnsiTheme="minorHAnsi" w:cstheme="minorHAnsi"/>
          <w:sz w:val="20"/>
          <w:szCs w:val="20"/>
          <w:shd w:val="clear" w:color="auto" w:fill="auto"/>
        </w:rPr>
        <w:t xml:space="preserve"> z dnia 30 listopada 2020 r., do udziału w szkoleniu kwalifikuje się personel medyczny zaangażowany w realizację programu, który będzie miał kontakt ze uczestnikami np.: lekarze, pielęgniarki, koordynatorzy medyczni. Z programu szkoleń wykluczone są osoby, które ukończyły </w:t>
      </w:r>
      <w:r w:rsidRPr="00BC10F2">
        <w:rPr>
          <w:rFonts w:asciiTheme="minorHAnsi" w:hAnsiTheme="minorHAnsi" w:cstheme="minorHAnsi"/>
        </w:rPr>
        <w:t>w ciągu poprzednich 2 lat dla personelu medycznego obejmującego tę samą tematykę i poziom szczegółowości (na podstawie oświadczenia) lub lekarze posiadając</w:t>
      </w:r>
      <w:r w:rsidR="00CC3C73" w:rsidRPr="00BC10F2">
        <w:rPr>
          <w:rFonts w:asciiTheme="minorHAnsi" w:hAnsiTheme="minorHAnsi" w:cstheme="minorHAnsi"/>
        </w:rPr>
        <w:t>y</w:t>
      </w:r>
      <w:r w:rsidRPr="00BC10F2">
        <w:rPr>
          <w:rFonts w:asciiTheme="minorHAnsi" w:hAnsiTheme="minorHAnsi" w:cstheme="minorHAnsi"/>
        </w:rPr>
        <w:t xml:space="preserve"> specjalizację z reumatologii.</w:t>
      </w:r>
    </w:p>
    <w:p w14:paraId="7C0DCD61" w14:textId="77777777" w:rsidR="00A80621" w:rsidRPr="00BC10F2" w:rsidRDefault="007941FC">
      <w:pPr>
        <w:pStyle w:val="Nagwek2"/>
        <w:rPr>
          <w:rFonts w:asciiTheme="minorHAnsi" w:hAnsiTheme="minorHAnsi" w:cstheme="minorHAnsi"/>
        </w:rPr>
      </w:pPr>
      <w:bookmarkStart w:id="15" w:name="_Toc146114995"/>
      <w:r w:rsidRPr="00BC10F2">
        <w:rPr>
          <w:rFonts w:asciiTheme="minorHAnsi" w:hAnsiTheme="minorHAnsi" w:cstheme="minorHAnsi"/>
        </w:rPr>
        <w:t>Planowane interwencje</w:t>
      </w:r>
      <w:bookmarkEnd w:id="15"/>
    </w:p>
    <w:p w14:paraId="388D07D6" w14:textId="67BCF4B3" w:rsidR="00A80621" w:rsidRPr="00BC10F2" w:rsidRDefault="007941FC">
      <w:pPr>
        <w:pStyle w:val="Legenda1"/>
        <w:rPr>
          <w:rFonts w:asciiTheme="minorHAnsi" w:hAnsiTheme="minorHAnsi" w:cstheme="minorHAnsi"/>
        </w:rPr>
      </w:pPr>
      <w:r w:rsidRPr="00BC10F2">
        <w:rPr>
          <w:rFonts w:asciiTheme="minorHAnsi" w:hAnsiTheme="minorHAnsi" w:cstheme="minorHAnsi"/>
        </w:rPr>
        <w:t xml:space="preserve">Tabela </w:t>
      </w:r>
      <w:r w:rsidR="0037769B" w:rsidRPr="00BC10F2">
        <w:rPr>
          <w:rFonts w:asciiTheme="minorHAnsi" w:hAnsiTheme="minorHAnsi" w:cstheme="minorHAnsi"/>
        </w:rPr>
        <w:fldChar w:fldCharType="begin"/>
      </w:r>
      <w:r w:rsidR="0037769B" w:rsidRPr="00BC10F2">
        <w:rPr>
          <w:rFonts w:asciiTheme="minorHAnsi" w:hAnsiTheme="minorHAnsi" w:cstheme="minorHAnsi"/>
        </w:rPr>
        <w:instrText xml:space="preserve"> SEQ "Tabela" \* ARABIC </w:instrText>
      </w:r>
      <w:r w:rsidR="0037769B" w:rsidRPr="00BC10F2">
        <w:rPr>
          <w:rFonts w:asciiTheme="minorHAnsi" w:hAnsiTheme="minorHAnsi" w:cstheme="minorHAnsi"/>
        </w:rPr>
        <w:fldChar w:fldCharType="separate"/>
      </w:r>
      <w:r w:rsidR="00433CBA">
        <w:rPr>
          <w:rFonts w:asciiTheme="minorHAnsi" w:hAnsiTheme="minorHAnsi" w:cstheme="minorHAnsi"/>
          <w:noProof/>
        </w:rPr>
        <w:t>3</w:t>
      </w:r>
      <w:r w:rsidR="0037769B" w:rsidRPr="00BC10F2">
        <w:rPr>
          <w:rFonts w:asciiTheme="minorHAnsi" w:hAnsiTheme="minorHAnsi" w:cstheme="minorHAnsi"/>
          <w:noProof/>
        </w:rPr>
        <w:fldChar w:fldCharType="end"/>
      </w:r>
      <w:r w:rsidRPr="00BC10F2">
        <w:rPr>
          <w:rFonts w:asciiTheme="minorHAnsi" w:hAnsiTheme="minorHAnsi" w:cstheme="minorHAnsi"/>
        </w:rPr>
        <w:t>.</w:t>
      </w:r>
      <w:r w:rsidRPr="00BC10F2">
        <w:rPr>
          <w:rFonts w:asciiTheme="minorHAnsi" w:hAnsiTheme="minorHAnsi" w:cstheme="minorHAnsi"/>
        </w:rPr>
        <w:tab/>
      </w:r>
      <w:r w:rsidRPr="00BC10F2">
        <w:rPr>
          <w:rFonts w:asciiTheme="minorHAnsi" w:hAnsiTheme="minorHAnsi" w:cstheme="minorHAnsi"/>
        </w:rPr>
        <w:br/>
        <w:t>Planowane interwencje</w:t>
      </w:r>
    </w:p>
    <w:tbl>
      <w:tblPr>
        <w:tblW w:w="5000" w:type="pct"/>
        <w:tblInd w:w="85" w:type="dxa"/>
        <w:tblLayout w:type="fixed"/>
        <w:tblCellMar>
          <w:top w:w="85" w:type="dxa"/>
          <w:left w:w="85" w:type="dxa"/>
          <w:bottom w:w="85" w:type="dxa"/>
          <w:right w:w="85" w:type="dxa"/>
        </w:tblCellMar>
        <w:tblLook w:val="0000" w:firstRow="0" w:lastRow="0" w:firstColumn="0" w:lastColumn="0" w:noHBand="0" w:noVBand="0"/>
      </w:tblPr>
      <w:tblGrid>
        <w:gridCol w:w="3307"/>
        <w:gridCol w:w="5765"/>
      </w:tblGrid>
      <w:tr w:rsidR="00A80621" w:rsidRPr="00BC10F2" w14:paraId="45B6884C" w14:textId="77777777">
        <w:trPr>
          <w:trHeight w:val="93"/>
        </w:trPr>
        <w:tc>
          <w:tcPr>
            <w:tcW w:w="3307" w:type="dxa"/>
            <w:tcBorders>
              <w:top w:val="single" w:sz="12" w:space="0" w:color="000000"/>
              <w:bottom w:val="single" w:sz="4" w:space="0" w:color="000000"/>
            </w:tcBorders>
            <w:shd w:val="clear" w:color="auto" w:fill="F3F0FA"/>
            <w:vAlign w:val="center"/>
          </w:tcPr>
          <w:p w14:paraId="1572717D" w14:textId="77777777" w:rsidR="00A80621" w:rsidRPr="00BC10F2" w:rsidRDefault="007941FC">
            <w:pPr>
              <w:pStyle w:val="Tabela-TekstnagwekIrzdniebieskieto"/>
              <w:widowControl w:val="0"/>
              <w:rPr>
                <w:rFonts w:asciiTheme="minorHAnsi" w:hAnsiTheme="minorHAnsi" w:cstheme="minorHAnsi"/>
              </w:rPr>
            </w:pPr>
            <w:r w:rsidRPr="00BC10F2">
              <w:rPr>
                <w:rFonts w:asciiTheme="minorHAnsi" w:hAnsiTheme="minorHAnsi" w:cstheme="minorHAnsi"/>
              </w:rPr>
              <w:t xml:space="preserve">Interwencja </w:t>
            </w:r>
          </w:p>
        </w:tc>
        <w:tc>
          <w:tcPr>
            <w:tcW w:w="5764" w:type="dxa"/>
            <w:tcBorders>
              <w:top w:val="single" w:sz="12" w:space="0" w:color="000000"/>
              <w:bottom w:val="single" w:sz="4" w:space="0" w:color="000000"/>
            </w:tcBorders>
            <w:shd w:val="clear" w:color="auto" w:fill="F3F0FA"/>
            <w:vAlign w:val="center"/>
          </w:tcPr>
          <w:p w14:paraId="62788C98" w14:textId="77777777" w:rsidR="00A80621" w:rsidRPr="00BC10F2" w:rsidRDefault="007941FC">
            <w:pPr>
              <w:pStyle w:val="Tabela-TekstnagwekIrzdniebieskieto"/>
              <w:widowControl w:val="0"/>
              <w:rPr>
                <w:rFonts w:asciiTheme="minorHAnsi" w:hAnsiTheme="minorHAnsi" w:cstheme="minorHAnsi"/>
              </w:rPr>
            </w:pPr>
            <w:r w:rsidRPr="00BC10F2">
              <w:rPr>
                <w:rFonts w:asciiTheme="minorHAnsi" w:hAnsiTheme="minorHAnsi" w:cstheme="minorHAnsi"/>
              </w:rPr>
              <w:t xml:space="preserve">Opis populacji docelowej </w:t>
            </w:r>
          </w:p>
        </w:tc>
      </w:tr>
      <w:tr w:rsidR="00A80621" w:rsidRPr="00BC10F2" w14:paraId="7A85634E" w14:textId="77777777">
        <w:trPr>
          <w:trHeight w:val="93"/>
        </w:trPr>
        <w:tc>
          <w:tcPr>
            <w:tcW w:w="3307" w:type="dxa"/>
            <w:tcBorders>
              <w:top w:val="single" w:sz="4" w:space="0" w:color="000000"/>
              <w:bottom w:val="single" w:sz="4" w:space="0" w:color="000000"/>
            </w:tcBorders>
            <w:shd w:val="clear" w:color="auto" w:fill="auto"/>
            <w:vAlign w:val="center"/>
          </w:tcPr>
          <w:p w14:paraId="0697A6BA" w14:textId="77777777" w:rsidR="00A80621" w:rsidRPr="00BC10F2" w:rsidRDefault="007941FC">
            <w:pPr>
              <w:pStyle w:val="Tabela-Listanumerowana"/>
              <w:widowControl w:val="0"/>
              <w:rPr>
                <w:rFonts w:asciiTheme="minorHAnsi" w:hAnsiTheme="minorHAnsi" w:cstheme="minorHAnsi"/>
              </w:rPr>
            </w:pPr>
            <w:r w:rsidRPr="00BC10F2">
              <w:rPr>
                <w:rFonts w:asciiTheme="minorHAnsi" w:hAnsiTheme="minorHAnsi" w:cstheme="minorHAnsi"/>
                <w:b/>
                <w:bCs w:val="0"/>
              </w:rPr>
              <w:t xml:space="preserve">Działania informacyjno-edukacyjne </w:t>
            </w:r>
          </w:p>
        </w:tc>
        <w:tc>
          <w:tcPr>
            <w:tcW w:w="5764" w:type="dxa"/>
            <w:tcBorders>
              <w:top w:val="single" w:sz="4" w:space="0" w:color="000000"/>
              <w:bottom w:val="single" w:sz="4" w:space="0" w:color="000000"/>
            </w:tcBorders>
            <w:shd w:val="clear" w:color="auto" w:fill="auto"/>
            <w:vAlign w:val="center"/>
          </w:tcPr>
          <w:p w14:paraId="02E3DC41" w14:textId="0AB519B2" w:rsidR="00A80621" w:rsidRPr="00BC10F2" w:rsidRDefault="007941FC" w:rsidP="001053AA">
            <w:pPr>
              <w:pStyle w:val="Tabela-TekstpodstawowyDolewej"/>
              <w:widowControl w:val="0"/>
              <w:rPr>
                <w:rFonts w:asciiTheme="minorHAnsi" w:hAnsiTheme="minorHAnsi" w:cstheme="minorHAnsi"/>
              </w:rPr>
            </w:pPr>
            <w:r w:rsidRPr="00BC10F2">
              <w:rPr>
                <w:rFonts w:asciiTheme="minorHAnsi" w:hAnsiTheme="minorHAnsi" w:cstheme="minorHAnsi"/>
              </w:rPr>
              <w:t>Populacja ogólna osób 50</w:t>
            </w:r>
            <w:r w:rsidR="009D4506" w:rsidRPr="00BC10F2">
              <w:rPr>
                <w:rFonts w:asciiTheme="minorHAnsi" w:hAnsiTheme="minorHAnsi" w:cstheme="minorHAnsi"/>
              </w:rPr>
              <w:t>+</w:t>
            </w:r>
            <w:r w:rsidRPr="00BC10F2">
              <w:rPr>
                <w:rFonts w:asciiTheme="minorHAnsi" w:hAnsiTheme="minorHAnsi" w:cstheme="minorHAnsi"/>
              </w:rPr>
              <w:t xml:space="preserve"> zamieszkująca m.st. Warszawa. </w:t>
            </w:r>
          </w:p>
        </w:tc>
      </w:tr>
      <w:tr w:rsidR="00A80621" w:rsidRPr="00BC10F2" w14:paraId="4EA77E2D" w14:textId="77777777">
        <w:trPr>
          <w:trHeight w:val="803"/>
        </w:trPr>
        <w:tc>
          <w:tcPr>
            <w:tcW w:w="3307" w:type="dxa"/>
            <w:tcBorders>
              <w:top w:val="single" w:sz="4" w:space="0" w:color="000000"/>
              <w:bottom w:val="single" w:sz="4" w:space="0" w:color="000000"/>
            </w:tcBorders>
            <w:shd w:val="clear" w:color="auto" w:fill="auto"/>
            <w:vAlign w:val="center"/>
          </w:tcPr>
          <w:p w14:paraId="6A3FA24B" w14:textId="77777777" w:rsidR="00A80621" w:rsidRPr="00BC10F2" w:rsidRDefault="007941FC">
            <w:pPr>
              <w:pStyle w:val="Tabela-Listanumerowana"/>
              <w:widowControl w:val="0"/>
              <w:rPr>
                <w:rFonts w:asciiTheme="minorHAnsi" w:hAnsiTheme="minorHAnsi" w:cstheme="minorHAnsi"/>
              </w:rPr>
            </w:pPr>
            <w:r w:rsidRPr="00BC10F2">
              <w:rPr>
                <w:rFonts w:asciiTheme="minorHAnsi" w:hAnsiTheme="minorHAnsi" w:cstheme="minorHAnsi"/>
                <w:b/>
                <w:bCs w:val="0"/>
              </w:rPr>
              <w:t xml:space="preserve">Szkolenia personelu medycznego </w:t>
            </w:r>
          </w:p>
        </w:tc>
        <w:tc>
          <w:tcPr>
            <w:tcW w:w="5764" w:type="dxa"/>
            <w:tcBorders>
              <w:top w:val="single" w:sz="4" w:space="0" w:color="000000"/>
              <w:bottom w:val="single" w:sz="4" w:space="0" w:color="000000"/>
            </w:tcBorders>
            <w:shd w:val="clear" w:color="auto" w:fill="auto"/>
            <w:vAlign w:val="center"/>
          </w:tcPr>
          <w:p w14:paraId="26420ADD"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Personel medyczny zatrudniony w placówkach realizujących – lekarze, pielęgniarki, koordynatorki.  </w:t>
            </w:r>
          </w:p>
        </w:tc>
      </w:tr>
      <w:tr w:rsidR="00A80621" w:rsidRPr="00BC10F2" w14:paraId="0A0B6299" w14:textId="77777777">
        <w:trPr>
          <w:trHeight w:val="553"/>
        </w:trPr>
        <w:tc>
          <w:tcPr>
            <w:tcW w:w="3307" w:type="dxa"/>
            <w:tcBorders>
              <w:top w:val="single" w:sz="4" w:space="0" w:color="000000"/>
              <w:bottom w:val="single" w:sz="4" w:space="0" w:color="000000"/>
            </w:tcBorders>
            <w:shd w:val="clear" w:color="auto" w:fill="auto"/>
            <w:vAlign w:val="center"/>
          </w:tcPr>
          <w:p w14:paraId="0AA05F8A" w14:textId="77777777" w:rsidR="00A80621" w:rsidRPr="00BC10F2" w:rsidRDefault="007941FC">
            <w:pPr>
              <w:pStyle w:val="Tabela-Listanumerowana"/>
              <w:widowControl w:val="0"/>
              <w:rPr>
                <w:rFonts w:asciiTheme="minorHAnsi" w:hAnsiTheme="minorHAnsi" w:cstheme="minorHAnsi"/>
              </w:rPr>
            </w:pPr>
            <w:r w:rsidRPr="00BC10F2">
              <w:rPr>
                <w:rFonts w:asciiTheme="minorHAnsi" w:hAnsiTheme="minorHAnsi" w:cstheme="minorHAnsi"/>
                <w:b/>
                <w:bCs w:val="0"/>
              </w:rPr>
              <w:t xml:space="preserve">Wizyta kwalifikująca - ocena ryzyka poważnego złamania </w:t>
            </w:r>
            <w:proofErr w:type="spellStart"/>
            <w:r w:rsidRPr="00BC10F2">
              <w:rPr>
                <w:rFonts w:asciiTheme="minorHAnsi" w:hAnsiTheme="minorHAnsi" w:cstheme="minorHAnsi"/>
                <w:b/>
                <w:bCs w:val="0"/>
              </w:rPr>
              <w:t>osteoporotycznego</w:t>
            </w:r>
            <w:proofErr w:type="spellEnd"/>
            <w:r w:rsidRPr="00BC10F2">
              <w:rPr>
                <w:rFonts w:asciiTheme="minorHAnsi" w:hAnsiTheme="minorHAnsi" w:cstheme="minorHAnsi"/>
                <w:b/>
                <w:bCs w:val="0"/>
              </w:rPr>
              <w:t xml:space="preserve"> narzędziem FRAX </w:t>
            </w:r>
          </w:p>
        </w:tc>
        <w:tc>
          <w:tcPr>
            <w:tcW w:w="5764" w:type="dxa"/>
            <w:tcBorders>
              <w:top w:val="single" w:sz="4" w:space="0" w:color="000000"/>
              <w:bottom w:val="single" w:sz="4" w:space="0" w:color="000000"/>
            </w:tcBorders>
            <w:shd w:val="clear" w:color="auto" w:fill="auto"/>
            <w:vAlign w:val="center"/>
          </w:tcPr>
          <w:p w14:paraId="457DE6C8"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Kobiety w wieku ≥65 lat, i zgodnie z kryteriami włączenia i wykluczenia </w:t>
            </w:r>
          </w:p>
        </w:tc>
      </w:tr>
      <w:tr w:rsidR="00A80621" w:rsidRPr="00BC10F2" w14:paraId="44CF1BD5" w14:textId="77777777">
        <w:trPr>
          <w:trHeight w:val="555"/>
        </w:trPr>
        <w:tc>
          <w:tcPr>
            <w:tcW w:w="3307" w:type="dxa"/>
            <w:tcBorders>
              <w:top w:val="single" w:sz="4" w:space="0" w:color="000000"/>
              <w:bottom w:val="single" w:sz="4" w:space="0" w:color="000000"/>
            </w:tcBorders>
            <w:shd w:val="clear" w:color="auto" w:fill="auto"/>
            <w:vAlign w:val="center"/>
          </w:tcPr>
          <w:p w14:paraId="71D2362F" w14:textId="77777777" w:rsidR="00A80621" w:rsidRPr="00BC10F2" w:rsidRDefault="007941FC">
            <w:pPr>
              <w:pStyle w:val="Tabela-Listanumerowana"/>
              <w:widowControl w:val="0"/>
              <w:rPr>
                <w:rFonts w:asciiTheme="minorHAnsi" w:hAnsiTheme="minorHAnsi" w:cstheme="minorHAnsi"/>
              </w:rPr>
            </w:pPr>
            <w:r w:rsidRPr="00BC10F2">
              <w:rPr>
                <w:rFonts w:asciiTheme="minorHAnsi" w:hAnsiTheme="minorHAnsi" w:cstheme="minorHAnsi"/>
                <w:b/>
                <w:bCs w:val="0"/>
              </w:rPr>
              <w:t xml:space="preserve">Pomiar BMD za pomocą DXA </w:t>
            </w:r>
          </w:p>
        </w:tc>
        <w:tc>
          <w:tcPr>
            <w:tcW w:w="5764" w:type="dxa"/>
            <w:tcBorders>
              <w:top w:val="single" w:sz="4" w:space="0" w:color="000000"/>
              <w:bottom w:val="single" w:sz="4" w:space="0" w:color="000000"/>
            </w:tcBorders>
            <w:shd w:val="clear" w:color="auto" w:fill="auto"/>
            <w:vAlign w:val="center"/>
          </w:tcPr>
          <w:p w14:paraId="2875A887"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Uczestnicy programu, u których ryzyko poważnego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ocenionego narzędziem FRAX na podstawie danych z formularza zgłoszeniowego wyniosło ≥5%. </w:t>
            </w:r>
          </w:p>
        </w:tc>
      </w:tr>
      <w:tr w:rsidR="00A80621" w:rsidRPr="00BC10F2" w14:paraId="34E2F92D" w14:textId="77777777">
        <w:trPr>
          <w:trHeight w:val="325"/>
        </w:trPr>
        <w:tc>
          <w:tcPr>
            <w:tcW w:w="3307" w:type="dxa"/>
            <w:tcBorders>
              <w:top w:val="single" w:sz="4" w:space="0" w:color="000000"/>
              <w:bottom w:val="single" w:sz="12" w:space="0" w:color="000000"/>
            </w:tcBorders>
            <w:shd w:val="clear" w:color="auto" w:fill="auto"/>
            <w:vAlign w:val="center"/>
          </w:tcPr>
          <w:p w14:paraId="586B9D95" w14:textId="77777777" w:rsidR="00A80621" w:rsidRPr="00BC10F2" w:rsidRDefault="007941FC">
            <w:pPr>
              <w:pStyle w:val="Tabela-Listanumerowana"/>
              <w:widowControl w:val="0"/>
              <w:rPr>
                <w:rFonts w:asciiTheme="minorHAnsi" w:hAnsiTheme="minorHAnsi" w:cstheme="minorHAnsi"/>
              </w:rPr>
            </w:pPr>
            <w:r w:rsidRPr="00BC10F2">
              <w:rPr>
                <w:rFonts w:asciiTheme="minorHAnsi" w:hAnsiTheme="minorHAnsi" w:cstheme="minorHAnsi"/>
                <w:b/>
                <w:bCs w:val="0"/>
              </w:rPr>
              <w:t xml:space="preserve">Wizyta podsumowująca </w:t>
            </w:r>
          </w:p>
        </w:tc>
        <w:tc>
          <w:tcPr>
            <w:tcW w:w="5764" w:type="dxa"/>
            <w:tcBorders>
              <w:top w:val="single" w:sz="4" w:space="0" w:color="000000"/>
              <w:bottom w:val="single" w:sz="12" w:space="0" w:color="000000"/>
            </w:tcBorders>
            <w:shd w:val="clear" w:color="auto" w:fill="auto"/>
            <w:vAlign w:val="center"/>
          </w:tcPr>
          <w:p w14:paraId="338949DA"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Każdy świadczeniobiorca, który w ramach programu uzyskał wynik pomiaru BMD za pomocą DXA. </w:t>
            </w:r>
          </w:p>
        </w:tc>
      </w:tr>
    </w:tbl>
    <w:p w14:paraId="027E0A0B" w14:textId="77777777" w:rsidR="00A80621" w:rsidRPr="00BC10F2" w:rsidRDefault="00A80621">
      <w:pPr>
        <w:pStyle w:val="Tekstopisupodelementem"/>
        <w:rPr>
          <w:rFonts w:asciiTheme="minorHAnsi" w:hAnsiTheme="minorHAnsi" w:cstheme="minorHAnsi"/>
        </w:rPr>
      </w:pPr>
    </w:p>
    <w:p w14:paraId="3854018B" w14:textId="77777777" w:rsidR="00A80621" w:rsidRPr="00BC10F2" w:rsidRDefault="007941FC">
      <w:pPr>
        <w:pStyle w:val="Nagwek4beznumeracji"/>
        <w:rPr>
          <w:rFonts w:asciiTheme="minorHAnsi" w:hAnsiTheme="minorHAnsi" w:cstheme="minorHAnsi"/>
        </w:rPr>
      </w:pPr>
      <w:r w:rsidRPr="00BC10F2">
        <w:rPr>
          <w:rFonts w:asciiTheme="minorHAnsi" w:hAnsiTheme="minorHAnsi" w:cstheme="minorHAnsi"/>
        </w:rPr>
        <w:t>1. DZIAŁANIA INFORMACYJNO-EDUKACYJNE:</w:t>
      </w:r>
    </w:p>
    <w:p w14:paraId="09CBF829"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Urząd m.st. Warszawa przeprowadzi kampanię informacyjną:</w:t>
      </w:r>
    </w:p>
    <w:p w14:paraId="70FBEC06"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lastRenderedPageBreak/>
        <w:t xml:space="preserve">w pojazdach komunikacji miejskiej Warszawskiego Transportu Publicznego, </w:t>
      </w:r>
    </w:p>
    <w:p w14:paraId="0B9A85B0" w14:textId="24EA2CE2" w:rsidR="00A80621" w:rsidRPr="00BC10F2" w:rsidRDefault="007941FC">
      <w:pPr>
        <w:pStyle w:val="Listapunktowana1"/>
        <w:rPr>
          <w:rFonts w:asciiTheme="minorHAnsi" w:hAnsiTheme="minorHAnsi" w:cstheme="minorHAnsi"/>
        </w:rPr>
      </w:pPr>
      <w:r w:rsidRPr="00BC10F2">
        <w:rPr>
          <w:rFonts w:asciiTheme="minorHAnsi" w:hAnsiTheme="minorHAnsi" w:cstheme="minorHAnsi"/>
        </w:rPr>
        <w:t>w pomio</w:t>
      </w:r>
      <w:r w:rsidR="001053AA">
        <w:rPr>
          <w:rFonts w:asciiTheme="minorHAnsi" w:hAnsiTheme="minorHAnsi" w:cstheme="minorHAnsi"/>
        </w:rPr>
        <w:t>tach leczniczych dla których m.</w:t>
      </w:r>
      <w:r w:rsidRPr="00BC10F2">
        <w:rPr>
          <w:rFonts w:asciiTheme="minorHAnsi" w:hAnsiTheme="minorHAnsi" w:cstheme="minorHAnsi"/>
        </w:rPr>
        <w:t xml:space="preserve">st. Warszawa jest podmiotem tworzącym lub jedynym udziałowcem.  </w:t>
      </w:r>
    </w:p>
    <w:p w14:paraId="42076CCE"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na stronie internetowej Urzędu oraz mediach społecznościowych Urzędu.</w:t>
      </w:r>
    </w:p>
    <w:p w14:paraId="31E5F9B2" w14:textId="77777777" w:rsidR="00A80621" w:rsidRPr="00BC10F2" w:rsidRDefault="007941FC">
      <w:pPr>
        <w:pStyle w:val="Tekstpodstawowy"/>
        <w:rPr>
          <w:rFonts w:asciiTheme="minorHAnsi" w:hAnsiTheme="minorHAnsi" w:cstheme="minorHAnsi"/>
        </w:rPr>
      </w:pPr>
      <w:r w:rsidRPr="00BC10F2">
        <w:rPr>
          <w:rFonts w:asciiTheme="minorHAnsi" w:eastAsia="Calibri" w:hAnsiTheme="minorHAnsi" w:cstheme="minorHAnsi"/>
        </w:rPr>
        <w:t xml:space="preserve">Na ekranach LCD w autobusach (2400 ekranów w 686 pojazdach) i tramwajach (1536 ekranów w 226 pojazdach) pojawią się komunikaty cykliczne na temat Programu. Komunikaty będą prezentowane w cyklach – przez dwa tygodnie codziennie, min, 4 razy na godzinę), cykl będzie ponawiany raz na kwartał. Komunikaty będą zawierały informacje zachęcające do udziału w programie oraz podstawowe informacje o ogólnej profilaktyce osteoporozy, wraz z odnośnikiem do strony internetowej, gdzie będzie można znaleźć szczegółowe informacje (strona przygotowana przez UM z informacjami na temat profilaktyki osteoporozy i Programu). Z przewozów pojazdami  Miejskich Zakładów Autobusowych korzysta ponad milion pasażerów dziennie, z pojazdów Tramwaj Warszawskich ok. 400 tys. pasażerów dziennie. </w:t>
      </w:r>
    </w:p>
    <w:p w14:paraId="5EA8F9DA" w14:textId="4A68140B" w:rsidR="00A80621" w:rsidRPr="00BC10F2" w:rsidRDefault="007941FC">
      <w:pPr>
        <w:pStyle w:val="Tekstpodstawowy"/>
        <w:rPr>
          <w:rFonts w:asciiTheme="minorHAnsi" w:hAnsiTheme="minorHAnsi" w:cstheme="minorHAnsi"/>
        </w:rPr>
      </w:pPr>
      <w:r w:rsidRPr="00BC10F2">
        <w:rPr>
          <w:rFonts w:asciiTheme="minorHAnsi" w:eastAsia="Calibri" w:hAnsiTheme="minorHAnsi" w:cstheme="minorHAnsi"/>
        </w:rPr>
        <w:t xml:space="preserve">W pomiotach leczniczych (ponad 120 poradni oraz </w:t>
      </w:r>
      <w:r w:rsidR="00C64681" w:rsidRPr="00BC10F2">
        <w:rPr>
          <w:rFonts w:asciiTheme="minorHAnsi" w:eastAsia="Calibri" w:hAnsiTheme="minorHAnsi" w:cstheme="minorHAnsi"/>
        </w:rPr>
        <w:t>10 szpitali</w:t>
      </w:r>
      <w:r w:rsidRPr="00BC10F2">
        <w:rPr>
          <w:rFonts w:asciiTheme="minorHAnsi" w:eastAsia="Calibri" w:hAnsiTheme="minorHAnsi" w:cstheme="minorHAnsi"/>
        </w:rPr>
        <w:t xml:space="preserve">) na terenie Warszawy będą umieszczone plakaty informujące o programie oraz broszurki informacyjne dla pacjentów. Zarówno plakaty jak i broszurki będą informować o programie i zachęcać do udziału w nim, a także zawierać informacje na temat profilaktyki osteoporozy. </w:t>
      </w:r>
    </w:p>
    <w:p w14:paraId="13861862" w14:textId="15E6ACAC" w:rsidR="00A80621" w:rsidRPr="00BC10F2" w:rsidRDefault="001053AA">
      <w:pPr>
        <w:pStyle w:val="Tekstpodstawowy"/>
        <w:rPr>
          <w:rFonts w:asciiTheme="minorHAnsi" w:hAnsiTheme="minorHAnsi" w:cstheme="minorHAnsi"/>
        </w:rPr>
      </w:pPr>
      <w:r>
        <w:rPr>
          <w:rFonts w:asciiTheme="minorHAnsi" w:eastAsia="Calibri" w:hAnsiTheme="minorHAnsi" w:cstheme="minorHAnsi"/>
        </w:rPr>
        <w:t>M.</w:t>
      </w:r>
      <w:r w:rsidR="007941FC" w:rsidRPr="00BC10F2">
        <w:rPr>
          <w:rFonts w:asciiTheme="minorHAnsi" w:eastAsia="Calibri" w:hAnsiTheme="minorHAnsi" w:cstheme="minorHAnsi"/>
        </w:rPr>
        <w:t xml:space="preserve">st. Warszawa założy </w:t>
      </w:r>
      <w:r w:rsidR="009D4506" w:rsidRPr="00BC10F2">
        <w:rPr>
          <w:rFonts w:asciiTheme="minorHAnsi" w:eastAsia="Calibri" w:hAnsiTheme="minorHAnsi" w:cstheme="minorHAnsi"/>
        </w:rPr>
        <w:t>pod</w:t>
      </w:r>
      <w:r w:rsidR="007941FC" w:rsidRPr="00BC10F2">
        <w:rPr>
          <w:rFonts w:asciiTheme="minorHAnsi" w:eastAsia="Calibri" w:hAnsiTheme="minorHAnsi" w:cstheme="minorHAnsi"/>
        </w:rPr>
        <w:t>stronę internetową (na stronie Urzędu), na której będą szczegółowe informacje na temat programu oraz na temat profilaktyki osteoporozy. Odnośniki do strony będą na wszystkich materiałach informacyjnych przygotowanych do Programu. Również urzędowe media społecznościowe będą zaangażowane w promowanie Programu.</w:t>
      </w:r>
    </w:p>
    <w:p w14:paraId="1A622891"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ramach programu zostaną przygotowane broszury z informacjami na temat profilaktyki osteoporozy, zapobiegania złamaniom </w:t>
      </w:r>
      <w:proofErr w:type="spellStart"/>
      <w:r w:rsidRPr="00BC10F2">
        <w:rPr>
          <w:rFonts w:asciiTheme="minorHAnsi" w:hAnsiTheme="minorHAnsi" w:cstheme="minorHAnsi"/>
        </w:rPr>
        <w:t>osteoporotycznym</w:t>
      </w:r>
      <w:proofErr w:type="spellEnd"/>
      <w:r w:rsidRPr="00BC10F2">
        <w:rPr>
          <w:rFonts w:asciiTheme="minorHAnsi" w:hAnsiTheme="minorHAnsi" w:cstheme="minorHAnsi"/>
        </w:rPr>
        <w:t xml:space="preserve"> i zapobiegania upadkom. Dodatkowo wskazane zostaną materiały edukacyjne (w tym multimedialne) dotyczące profilaktyki osteoporozy opracowane przez NIZP PZH-PIB, </w:t>
      </w:r>
      <w:proofErr w:type="spellStart"/>
      <w:r w:rsidRPr="00BC10F2">
        <w:rPr>
          <w:rFonts w:asciiTheme="minorHAnsi" w:hAnsiTheme="minorHAnsi" w:cstheme="minorHAnsi"/>
        </w:rPr>
        <w:t>NIGRiR</w:t>
      </w:r>
      <w:proofErr w:type="spellEnd"/>
      <w:r w:rsidRPr="00BC10F2">
        <w:rPr>
          <w:rFonts w:asciiTheme="minorHAnsi" w:hAnsiTheme="minorHAnsi" w:cstheme="minorHAnsi"/>
        </w:rPr>
        <w:t xml:space="preserve">, NFZ. </w:t>
      </w:r>
    </w:p>
    <w:p w14:paraId="42BB08A9" w14:textId="77777777" w:rsidR="00A80621" w:rsidRPr="00BC10F2" w:rsidRDefault="007941FC">
      <w:pPr>
        <w:spacing w:before="120" w:line="360" w:lineRule="auto"/>
        <w:jc w:val="both"/>
        <w:rPr>
          <w:rFonts w:asciiTheme="minorHAnsi" w:hAnsiTheme="minorHAnsi" w:cstheme="minorHAnsi"/>
        </w:rPr>
      </w:pPr>
      <w:r w:rsidRPr="00BC10F2">
        <w:rPr>
          <w:rFonts w:asciiTheme="minorHAnsi" w:eastAsia="Calibri" w:hAnsiTheme="minorHAnsi" w:cstheme="minorHAnsi"/>
          <w:b/>
          <w:color w:val="000000"/>
          <w:sz w:val="22"/>
          <w:szCs w:val="22"/>
        </w:rPr>
        <w:t>Edukacja grupy I</w:t>
      </w:r>
    </w:p>
    <w:p w14:paraId="1C4807E6" w14:textId="77777777" w:rsidR="00A80621" w:rsidRPr="00BC10F2" w:rsidRDefault="007941FC">
      <w:pPr>
        <w:pStyle w:val="Tekstpodstawowy"/>
        <w:rPr>
          <w:rFonts w:asciiTheme="minorHAnsi" w:hAnsiTheme="minorHAnsi" w:cstheme="minorHAnsi"/>
        </w:rPr>
      </w:pPr>
      <w:r w:rsidRPr="00BC10F2">
        <w:rPr>
          <w:rFonts w:asciiTheme="minorHAnsi" w:eastAsia="Calibri" w:hAnsiTheme="minorHAnsi" w:cstheme="minorHAnsi"/>
        </w:rPr>
        <w:t>Personel medyczny przekaże pacjentowi informacje na temat programu oraz istoty działań profilaktyki pierwotnej. Działania edukacyjno-informacyjne nakierowane na podniesienie poziomu wiedzy teoretycznej o praktycznej dotyczą co najmniej:</w:t>
      </w:r>
    </w:p>
    <w:p w14:paraId="1263C77E" w14:textId="77777777" w:rsidR="00A80621" w:rsidRPr="00BC10F2" w:rsidRDefault="007941FC">
      <w:pPr>
        <w:pStyle w:val="Akapitzlist1"/>
        <w:numPr>
          <w:ilvl w:val="0"/>
          <w:numId w:val="1"/>
        </w:numPr>
        <w:spacing w:before="120"/>
        <w:rPr>
          <w:rFonts w:asciiTheme="minorHAnsi" w:hAnsiTheme="minorHAnsi" w:cstheme="minorHAnsi"/>
        </w:rPr>
      </w:pPr>
      <w:r w:rsidRPr="00BC10F2">
        <w:rPr>
          <w:rFonts w:asciiTheme="minorHAnsi" w:eastAsia="Calibri" w:hAnsiTheme="minorHAnsi" w:cstheme="minorHAnsi"/>
          <w:color w:val="000000"/>
        </w:rPr>
        <w:t>promocji elementów składających się na zdrowy styl życia, ze szczególnym uwzględnieniem czynników mających wpływ na zdrowie kości;</w:t>
      </w:r>
    </w:p>
    <w:p w14:paraId="18E8E473" w14:textId="77777777" w:rsidR="00A80621" w:rsidRPr="00BC10F2" w:rsidRDefault="007941FC">
      <w:pPr>
        <w:pStyle w:val="Listapunktowana1"/>
        <w:rPr>
          <w:rFonts w:asciiTheme="minorHAnsi" w:hAnsiTheme="minorHAnsi" w:cstheme="minorHAnsi"/>
        </w:rPr>
      </w:pPr>
      <w:r w:rsidRPr="00BC10F2">
        <w:rPr>
          <w:rFonts w:asciiTheme="minorHAnsi" w:eastAsia="Calibri" w:hAnsiTheme="minorHAnsi" w:cstheme="minorHAnsi"/>
        </w:rPr>
        <w:t xml:space="preserve">zasadniczej roli aktywności fizycznej na poprawę BMD, ze szczegółowym omówieniem ćwiczeń obciążeniowych, oporowych, poprawiających równowagę, a także wzmacniających siłę mięśniową, </w:t>
      </w:r>
      <w:r w:rsidRPr="00BC10F2">
        <w:rPr>
          <w:rFonts w:asciiTheme="minorHAnsi" w:eastAsia="Calibri" w:hAnsiTheme="minorHAnsi" w:cstheme="minorHAnsi"/>
        </w:rPr>
        <w:lastRenderedPageBreak/>
        <w:t>dostosowanych do indywidulanych potrzeb i możliwości pacjenta (RACGP 2017, SMS 2013, AACE/ACE 2020, CTFPHC 2010, 2013);</w:t>
      </w:r>
    </w:p>
    <w:p w14:paraId="3990C1AE" w14:textId="77777777" w:rsidR="00A80621" w:rsidRPr="00BC10F2" w:rsidRDefault="007941FC">
      <w:pPr>
        <w:pStyle w:val="Listapunktowana1"/>
        <w:rPr>
          <w:rFonts w:asciiTheme="minorHAnsi" w:hAnsiTheme="minorHAnsi" w:cstheme="minorHAnsi"/>
        </w:rPr>
      </w:pPr>
      <w:r w:rsidRPr="00BC10F2">
        <w:rPr>
          <w:rFonts w:asciiTheme="minorHAnsi" w:eastAsia="Calibri" w:hAnsiTheme="minorHAnsi" w:cstheme="minorHAnsi"/>
        </w:rPr>
        <w:t>przyczyn upadków oraz ich negatywnych następstw;</w:t>
      </w:r>
    </w:p>
    <w:p w14:paraId="01630901" w14:textId="77777777" w:rsidR="00A80621" w:rsidRPr="00BC10F2" w:rsidRDefault="007941FC">
      <w:pPr>
        <w:pStyle w:val="Listapunktowana1"/>
        <w:rPr>
          <w:rFonts w:asciiTheme="minorHAnsi" w:hAnsiTheme="minorHAnsi" w:cstheme="minorHAnsi"/>
        </w:rPr>
      </w:pPr>
      <w:r w:rsidRPr="00BC10F2">
        <w:rPr>
          <w:rFonts w:asciiTheme="minorHAnsi" w:eastAsia="Calibri" w:hAnsiTheme="minorHAnsi" w:cstheme="minorHAnsi"/>
        </w:rPr>
        <w:t>działań pomagających zapobiegać upadkom;</w:t>
      </w:r>
    </w:p>
    <w:p w14:paraId="4F5D2834" w14:textId="77777777" w:rsidR="00A80621" w:rsidRPr="00BC10F2" w:rsidRDefault="007941FC">
      <w:pPr>
        <w:pStyle w:val="Listapunktowana1"/>
        <w:rPr>
          <w:rFonts w:asciiTheme="minorHAnsi" w:hAnsiTheme="minorHAnsi" w:cstheme="minorHAnsi"/>
        </w:rPr>
      </w:pPr>
      <w:r w:rsidRPr="00BC10F2">
        <w:rPr>
          <w:rFonts w:asciiTheme="minorHAnsi" w:eastAsia="Calibri" w:hAnsiTheme="minorHAnsi" w:cstheme="minorHAnsi"/>
        </w:rPr>
        <w:t>identyfikacji i sposobów eliminacji czynników ryzyka zachorowania na osteoporozę;</w:t>
      </w:r>
    </w:p>
    <w:p w14:paraId="43DC3F9D" w14:textId="77777777" w:rsidR="00A80621" w:rsidRPr="00BC10F2" w:rsidRDefault="007941FC">
      <w:pPr>
        <w:pStyle w:val="Listapunktowana1"/>
        <w:rPr>
          <w:rFonts w:asciiTheme="minorHAnsi" w:hAnsiTheme="minorHAnsi" w:cstheme="minorHAnsi"/>
        </w:rPr>
      </w:pPr>
      <w:r w:rsidRPr="00BC10F2">
        <w:rPr>
          <w:rFonts w:asciiTheme="minorHAnsi" w:eastAsia="Calibri" w:hAnsiTheme="minorHAnsi" w:cstheme="minorHAnsi"/>
        </w:rPr>
        <w:t>podkreślenia roli prawidłowej diety w profilaktyce osteoporozy, w tym dostarczania optymalnych ilości wapnia oraz ograniczenia spożycia alkoholu (ICSI 2017, RACGP 2017, AACE/ACE 2020, EULAR/EFORT 2016, MCG 2022, SMS 2013, ESC 2012).</w:t>
      </w:r>
    </w:p>
    <w:p w14:paraId="73813E7A" w14:textId="77777777" w:rsidR="00A80621" w:rsidRPr="00BC10F2" w:rsidRDefault="007941FC">
      <w:pPr>
        <w:pStyle w:val="Tekstpodstawowy"/>
        <w:rPr>
          <w:rFonts w:asciiTheme="minorHAnsi" w:hAnsiTheme="minorHAnsi" w:cstheme="minorHAnsi"/>
        </w:rPr>
      </w:pPr>
      <w:r w:rsidRPr="00BC10F2">
        <w:rPr>
          <w:rFonts w:asciiTheme="minorHAnsi" w:eastAsia="Calibri" w:hAnsiTheme="minorHAnsi" w:cstheme="minorHAnsi"/>
        </w:rPr>
        <w:t>W czasie trwania programu świadczeniobiorcom oraz populacji osób 50+ zostaną przekazane informacje za pomocą mediów, oraz dodatkowo informacji umieszczonej online w postaci broszury na stronie Urzędu Miasta Stołecznego Warszawy oraz Realizatorów Programu.</w:t>
      </w:r>
    </w:p>
    <w:p w14:paraId="4046C35C" w14:textId="2FBEB195" w:rsidR="00A80621" w:rsidRPr="00433CBA" w:rsidRDefault="007941FC" w:rsidP="00433CBA">
      <w:pPr>
        <w:pStyle w:val="Tekstpodstawowy"/>
        <w:jc w:val="left"/>
        <w:rPr>
          <w:rFonts w:asciiTheme="minorHAnsi" w:eastAsia="Calibri" w:hAnsiTheme="minorHAnsi" w:cstheme="minorHAnsi"/>
        </w:rPr>
      </w:pPr>
      <w:r w:rsidRPr="00BC10F2">
        <w:rPr>
          <w:rFonts w:asciiTheme="minorHAnsi" w:eastAsia="Calibri" w:hAnsiTheme="minorHAnsi" w:cstheme="minorHAnsi"/>
        </w:rPr>
        <w:t xml:space="preserve">Każdy pacjent zakwalifikowany do Programu, bez względu na ryzyko złamania, dostanie opracowaną na potrzeby Programu broszurę edukacyjną wraz z informacjami na temat stron internetowych i materiałów multimedialnych z podstawowymi informacjami </w:t>
      </w:r>
      <w:proofErr w:type="spellStart"/>
      <w:r w:rsidRPr="00BC10F2">
        <w:rPr>
          <w:rFonts w:asciiTheme="minorHAnsi" w:eastAsia="Calibri" w:hAnsiTheme="minorHAnsi" w:cstheme="minorHAnsi"/>
        </w:rPr>
        <w:t>nt</w:t>
      </w:r>
      <w:proofErr w:type="spellEnd"/>
      <w:r w:rsidRPr="00BC10F2">
        <w:rPr>
          <w:rFonts w:asciiTheme="minorHAnsi" w:eastAsia="Calibri" w:hAnsiTheme="minorHAnsi" w:cstheme="minorHAnsi"/>
        </w:rPr>
        <w:t xml:space="preserve"> profilaktyki osteoporozy (np. materiały edukacyjne sporządzone w ramach „Programu Profilaktyki Osteoporozy” dostępne na stronie</w:t>
      </w:r>
      <w:r w:rsidR="00433CBA">
        <w:rPr>
          <w:rFonts w:asciiTheme="minorHAnsi" w:eastAsia="Calibri" w:hAnsiTheme="minorHAnsi" w:cstheme="minorHAnsi"/>
        </w:rPr>
        <w:t>:</w:t>
      </w:r>
      <w:r w:rsidRPr="00BC10F2">
        <w:rPr>
          <w:rFonts w:asciiTheme="minorHAnsi" w:eastAsia="Calibri" w:hAnsiTheme="minorHAnsi" w:cstheme="minorHAnsi"/>
        </w:rPr>
        <w:t xml:space="preserve"> </w:t>
      </w:r>
      <w:hyperlink r:id="rId10" w:history="1">
        <w:r w:rsidRPr="00BC10F2">
          <w:rPr>
            <w:rStyle w:val="Hipercze"/>
            <w:rFonts w:asciiTheme="minorHAnsi" w:eastAsia="Calibri" w:hAnsiTheme="minorHAnsi" w:cstheme="minorHAnsi"/>
          </w:rPr>
          <w:t>https://pacjent.gov.pl/programy-profilaktyczne/profilaktyka-osteoporozy</w:t>
        </w:r>
      </w:hyperlink>
      <w:r w:rsidR="00856884" w:rsidRPr="00BC10F2">
        <w:rPr>
          <w:rStyle w:val="Hipercze"/>
          <w:rFonts w:asciiTheme="minorHAnsi" w:eastAsia="Calibri" w:hAnsiTheme="minorHAnsi" w:cstheme="minorHAnsi"/>
        </w:rPr>
        <w:t>, Akademię NFZ</w:t>
      </w:r>
      <w:r w:rsidR="007528F8" w:rsidRPr="00BC10F2">
        <w:rPr>
          <w:rStyle w:val="Hipercze"/>
          <w:rFonts w:asciiTheme="minorHAnsi" w:eastAsia="Calibri" w:hAnsiTheme="minorHAnsi" w:cstheme="minorHAnsi"/>
        </w:rPr>
        <w:t xml:space="preserve"> </w:t>
      </w:r>
      <w:r w:rsidR="00856884" w:rsidRPr="00BC10F2">
        <w:rPr>
          <w:rStyle w:val="Hipercze"/>
          <w:rFonts w:asciiTheme="minorHAnsi" w:eastAsia="Calibri" w:hAnsiTheme="minorHAnsi" w:cstheme="minorHAnsi"/>
        </w:rPr>
        <w:t>– profil</w:t>
      </w:r>
      <w:r w:rsidR="007528F8" w:rsidRPr="00BC10F2">
        <w:rPr>
          <w:rStyle w:val="Hipercze"/>
          <w:rFonts w:asciiTheme="minorHAnsi" w:eastAsia="Calibri" w:hAnsiTheme="minorHAnsi" w:cstheme="minorHAnsi"/>
        </w:rPr>
        <w:t>aktyka</w:t>
      </w:r>
      <w:r w:rsidR="00856884" w:rsidRPr="00BC10F2">
        <w:rPr>
          <w:rStyle w:val="Hipercze"/>
          <w:rFonts w:asciiTheme="minorHAnsi" w:eastAsia="Calibri" w:hAnsiTheme="minorHAnsi" w:cstheme="minorHAnsi"/>
        </w:rPr>
        <w:t xml:space="preserve"> </w:t>
      </w:r>
      <w:r w:rsidR="007528F8" w:rsidRPr="00BC10F2">
        <w:rPr>
          <w:rStyle w:val="Hipercze"/>
          <w:rFonts w:asciiTheme="minorHAnsi" w:eastAsia="Calibri" w:hAnsiTheme="minorHAnsi" w:cstheme="minorHAnsi"/>
        </w:rPr>
        <w:t>o</w:t>
      </w:r>
      <w:r w:rsidR="00856884" w:rsidRPr="00BC10F2">
        <w:rPr>
          <w:rStyle w:val="Hipercze"/>
          <w:rFonts w:asciiTheme="minorHAnsi" w:eastAsia="Calibri" w:hAnsiTheme="minorHAnsi" w:cstheme="minorHAnsi"/>
        </w:rPr>
        <w:t>steoporozy</w:t>
      </w:r>
      <w:r w:rsidR="007528F8" w:rsidRPr="00BC10F2">
        <w:rPr>
          <w:rStyle w:val="Hipercze"/>
          <w:rFonts w:asciiTheme="minorHAnsi" w:eastAsia="Calibri" w:hAnsiTheme="minorHAnsi" w:cstheme="minorHAnsi"/>
        </w:rPr>
        <w:t xml:space="preserve"> </w:t>
      </w:r>
      <w:r w:rsidR="00856884" w:rsidRPr="00BC10F2">
        <w:rPr>
          <w:rStyle w:val="Hipercze"/>
          <w:rFonts w:asciiTheme="minorHAnsi" w:eastAsia="Calibri" w:hAnsiTheme="minorHAnsi" w:cstheme="minorHAnsi"/>
        </w:rPr>
        <w:t xml:space="preserve">- </w:t>
      </w:r>
      <w:hyperlink r:id="rId11" w:history="1">
        <w:r w:rsidR="00856884" w:rsidRPr="00BC10F2">
          <w:rPr>
            <w:rStyle w:val="Hipercze"/>
            <w:rFonts w:asciiTheme="minorHAnsi" w:eastAsia="Calibri" w:hAnsiTheme="minorHAnsi" w:cstheme="minorHAnsi"/>
          </w:rPr>
          <w:t>https://www.youtube.com/watch?v=f3C4wKISwW4</w:t>
        </w:r>
      </w:hyperlink>
      <w:r w:rsidR="00856884" w:rsidRPr="00BC10F2">
        <w:rPr>
          <w:rStyle w:val="Hipercze"/>
          <w:rFonts w:asciiTheme="minorHAnsi" w:eastAsia="Calibri" w:hAnsiTheme="minorHAnsi" w:cstheme="minorHAnsi"/>
        </w:rPr>
        <w:t xml:space="preserve">; materiały </w:t>
      </w:r>
      <w:proofErr w:type="spellStart"/>
      <w:r w:rsidR="00856884" w:rsidRPr="00BC10F2">
        <w:rPr>
          <w:rStyle w:val="Hipercze"/>
          <w:rFonts w:asciiTheme="minorHAnsi" w:eastAsia="Calibri" w:hAnsiTheme="minorHAnsi" w:cstheme="minorHAnsi"/>
        </w:rPr>
        <w:t>NIGRiR</w:t>
      </w:r>
      <w:proofErr w:type="spellEnd"/>
      <w:r w:rsidR="00856884" w:rsidRPr="00BC10F2">
        <w:rPr>
          <w:rStyle w:val="Hipercze"/>
          <w:rFonts w:asciiTheme="minorHAnsi" w:eastAsia="Calibri" w:hAnsiTheme="minorHAnsi" w:cstheme="minorHAnsi"/>
        </w:rPr>
        <w:t xml:space="preserve">: </w:t>
      </w:r>
      <w:hyperlink r:id="rId12" w:history="1">
        <w:r w:rsidR="00856884" w:rsidRPr="00BC10F2">
          <w:rPr>
            <w:rStyle w:val="Hipercze"/>
            <w:rFonts w:asciiTheme="minorHAnsi" w:eastAsia="Calibri" w:hAnsiTheme="minorHAnsi" w:cstheme="minorHAnsi"/>
          </w:rPr>
          <w:t>https://wczesniejznaczylepiej.pl/programy-nigrir/program-profilaktyki-osteoporozy/</w:t>
        </w:r>
      </w:hyperlink>
      <w:r w:rsidR="00856884" w:rsidRPr="00BC10F2">
        <w:rPr>
          <w:rStyle w:val="Hipercze"/>
          <w:rFonts w:asciiTheme="minorHAnsi" w:eastAsia="Calibri" w:hAnsiTheme="minorHAnsi" w:cstheme="minorHAnsi"/>
        </w:rPr>
        <w:t xml:space="preserve"> i inne</w:t>
      </w:r>
      <w:r w:rsidRPr="00BC10F2">
        <w:rPr>
          <w:rFonts w:asciiTheme="minorHAnsi" w:eastAsia="Calibri" w:hAnsiTheme="minorHAnsi" w:cstheme="minorHAnsi"/>
        </w:rPr>
        <w:t>).</w:t>
      </w:r>
    </w:p>
    <w:p w14:paraId="75C16FC5" w14:textId="66822659" w:rsidR="00A80621" w:rsidRPr="00BC10F2" w:rsidRDefault="009D4506">
      <w:pPr>
        <w:pStyle w:val="Tekstpodstawowy"/>
        <w:rPr>
          <w:rFonts w:asciiTheme="minorHAnsi" w:hAnsiTheme="minorHAnsi" w:cstheme="minorHAnsi"/>
        </w:rPr>
      </w:pPr>
      <w:r w:rsidRPr="00BC10F2">
        <w:rPr>
          <w:rFonts w:asciiTheme="minorHAnsi" w:eastAsia="Calibri" w:hAnsiTheme="minorHAnsi" w:cstheme="minorHAnsi"/>
        </w:rPr>
        <w:t>D</w:t>
      </w:r>
      <w:r w:rsidR="007941FC" w:rsidRPr="00BC10F2">
        <w:rPr>
          <w:rFonts w:asciiTheme="minorHAnsi" w:eastAsia="Calibri" w:hAnsiTheme="minorHAnsi" w:cstheme="minorHAnsi"/>
        </w:rPr>
        <w:t xml:space="preserve">la osób, które kwalifikują się do oceny narzędziem FRAX w ramach programu, dopuszcza się możliwość prowadzenia uzupełniającej dodatkowej edukacji indywidualnej, np. podczas lekarskiej wizyty podsumowującej, w ramach której lekarz udzieli wyczerpujących odpowiedzi na pytania świadczeniobiorcy, przez co wyjaśni i utrwali przekazane wcześniej informacje (z wizyty kwalifikującej). Po wykonaniu badania FRAX każdy pacjent zakwalifikowany do badania DXA będzie miał wykonany </w:t>
      </w:r>
      <w:proofErr w:type="spellStart"/>
      <w:r w:rsidR="007941FC" w:rsidRPr="00BC10F2">
        <w:rPr>
          <w:rFonts w:asciiTheme="minorHAnsi" w:eastAsia="Calibri" w:hAnsiTheme="minorHAnsi" w:cstheme="minorHAnsi"/>
        </w:rPr>
        <w:t>pre</w:t>
      </w:r>
      <w:proofErr w:type="spellEnd"/>
      <w:r w:rsidR="007941FC" w:rsidRPr="00BC10F2">
        <w:rPr>
          <w:rFonts w:asciiTheme="minorHAnsi" w:eastAsia="Calibri" w:hAnsiTheme="minorHAnsi" w:cstheme="minorHAnsi"/>
        </w:rPr>
        <w:t>-test (max 12 pytań)</w:t>
      </w:r>
      <w:r w:rsidRPr="00BC10F2">
        <w:rPr>
          <w:rFonts w:asciiTheme="minorHAnsi" w:eastAsia="Calibri" w:hAnsiTheme="minorHAnsi" w:cstheme="minorHAnsi"/>
        </w:rPr>
        <w:t xml:space="preserve"> opracowany przez eksperta klinicznego</w:t>
      </w:r>
      <w:r w:rsidR="007941FC" w:rsidRPr="00BC10F2">
        <w:rPr>
          <w:rFonts w:asciiTheme="minorHAnsi" w:eastAsia="Calibri" w:hAnsiTheme="minorHAnsi" w:cstheme="minorHAnsi"/>
        </w:rPr>
        <w:t>. W czasie wizyty podsumowującej zostanie wykonany post- test wiedzy na temat osteoporozy, stylu życia, metod zapobiegania upadkom.</w:t>
      </w:r>
    </w:p>
    <w:p w14:paraId="18E9C01F" w14:textId="77777777" w:rsidR="00A80621" w:rsidRPr="00BC10F2" w:rsidRDefault="007941FC">
      <w:pPr>
        <w:pStyle w:val="Nagwek4beznumeracji"/>
        <w:rPr>
          <w:rFonts w:asciiTheme="minorHAnsi" w:hAnsiTheme="minorHAnsi" w:cstheme="minorHAnsi"/>
        </w:rPr>
      </w:pPr>
      <w:r w:rsidRPr="00BC10F2">
        <w:rPr>
          <w:rFonts w:asciiTheme="minorHAnsi" w:hAnsiTheme="minorHAnsi" w:cstheme="minorHAnsi"/>
        </w:rPr>
        <w:t>2. SZKOLENIA PERSONELU MEDYCZNEGO:</w:t>
      </w:r>
    </w:p>
    <w:p w14:paraId="5A7C19EF" w14:textId="1166311D" w:rsidR="00A80621" w:rsidRPr="00BC10F2" w:rsidRDefault="007941FC">
      <w:pPr>
        <w:pStyle w:val="Tekstpodstawowy"/>
        <w:rPr>
          <w:rFonts w:asciiTheme="minorHAnsi" w:hAnsiTheme="minorHAnsi" w:cstheme="minorHAnsi"/>
        </w:rPr>
      </w:pPr>
      <w:r w:rsidRPr="00BC10F2">
        <w:rPr>
          <w:rFonts w:asciiTheme="minorHAnsi" w:hAnsiTheme="minorHAnsi" w:cstheme="minorHAnsi"/>
        </w:rPr>
        <w:t>W ramach PPZ realizowane są szkolenia w obszarach zgodnych ze zdiagnozowanymi potrzebami. Formy szkolenia będą dostosowane do potrzeb personelu medycznego</w:t>
      </w:r>
      <w:r w:rsidR="00CC3C73" w:rsidRPr="00BC10F2">
        <w:rPr>
          <w:rFonts w:asciiTheme="minorHAnsi" w:hAnsiTheme="minorHAnsi" w:cstheme="minorHAnsi"/>
        </w:rPr>
        <w:t>.</w:t>
      </w:r>
      <w:r w:rsidRPr="00BC10F2">
        <w:rPr>
          <w:rFonts w:asciiTheme="minorHAnsi" w:hAnsiTheme="minorHAnsi" w:cstheme="minorHAnsi"/>
        </w:rPr>
        <w:t xml:space="preserve"> Szkolenie personelu będzie zorganizowane przez każdego realizatora zakwalifikowanego do realizacji Programu, wg wytycznych opracowanych eksperta (lekarza specjalistę reumatologa), a przeprowadzone przez specjalistę lub w trakcie specjalizacji z zakresu reumatologii. Szkolenie zostanie przeprowadzone przez realizatora wraz z opracowaniem materiałów i realizacją w formie szkolenia stacjonarnego, któr</w:t>
      </w:r>
      <w:r w:rsidR="00CC3C73" w:rsidRPr="00BC10F2">
        <w:rPr>
          <w:rFonts w:asciiTheme="minorHAnsi" w:hAnsiTheme="minorHAnsi" w:cstheme="minorHAnsi"/>
        </w:rPr>
        <w:t>e</w:t>
      </w:r>
      <w:r w:rsidRPr="00BC10F2">
        <w:rPr>
          <w:rFonts w:asciiTheme="minorHAnsi" w:hAnsiTheme="minorHAnsi" w:cstheme="minorHAnsi"/>
        </w:rPr>
        <w:t xml:space="preserve"> zostanie przeprowadzone dla własnego personelu medycznego</w:t>
      </w:r>
      <w:r w:rsidR="00CC3C73" w:rsidRPr="00BC10F2">
        <w:rPr>
          <w:rFonts w:asciiTheme="minorHAnsi" w:hAnsiTheme="minorHAnsi" w:cstheme="minorHAnsi"/>
        </w:rPr>
        <w:t xml:space="preserve"> albo opcjonalnie (po uzgodnieniu z BPZ m </w:t>
      </w:r>
      <w:proofErr w:type="spellStart"/>
      <w:r w:rsidR="00CC3C73" w:rsidRPr="00BC10F2">
        <w:rPr>
          <w:rFonts w:asciiTheme="minorHAnsi" w:hAnsiTheme="minorHAnsi" w:cstheme="minorHAnsi"/>
        </w:rPr>
        <w:t>st</w:t>
      </w:r>
      <w:proofErr w:type="spellEnd"/>
      <w:r w:rsidR="00CC3C73" w:rsidRPr="00BC10F2">
        <w:rPr>
          <w:rFonts w:asciiTheme="minorHAnsi" w:hAnsiTheme="minorHAnsi" w:cstheme="minorHAnsi"/>
        </w:rPr>
        <w:t xml:space="preserve"> Warszawy) w formie </w:t>
      </w:r>
      <w:proofErr w:type="spellStart"/>
      <w:r w:rsidR="00CC3C73" w:rsidRPr="00BC10F2">
        <w:rPr>
          <w:rFonts w:asciiTheme="minorHAnsi" w:hAnsiTheme="minorHAnsi" w:cstheme="minorHAnsi"/>
        </w:rPr>
        <w:t>webinaru</w:t>
      </w:r>
      <w:proofErr w:type="spellEnd"/>
      <w:r w:rsidR="00CC3C73" w:rsidRPr="00BC10F2">
        <w:rPr>
          <w:rFonts w:asciiTheme="minorHAnsi" w:hAnsiTheme="minorHAnsi" w:cstheme="minorHAnsi"/>
        </w:rPr>
        <w:t xml:space="preserve"> albo e-learningu (wykłady i materiały audiowizualne zakończone testem). </w:t>
      </w:r>
    </w:p>
    <w:p w14:paraId="65FBDA43"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lastRenderedPageBreak/>
        <w:t xml:space="preserve">W ramach szkoleń personel medyczny zapozna się z zalecanymi przez rekomendacje metodami profilaktyki, diagnostyki oraz leczenia osteoporozy, a także zapobiegania złamaniom </w:t>
      </w:r>
      <w:proofErr w:type="spellStart"/>
      <w:r w:rsidRPr="00BC10F2">
        <w:rPr>
          <w:rFonts w:asciiTheme="minorHAnsi" w:hAnsiTheme="minorHAnsi" w:cstheme="minorHAnsi"/>
        </w:rPr>
        <w:t>osteoporotycznym</w:t>
      </w:r>
      <w:proofErr w:type="spellEnd"/>
      <w:r w:rsidRPr="00BC10F2">
        <w:rPr>
          <w:rFonts w:asciiTheme="minorHAnsi" w:hAnsiTheme="minorHAnsi" w:cstheme="minorHAnsi"/>
        </w:rPr>
        <w:t xml:space="preserve"> i upadkom, zasad monitorowania i leczenia pacjentów w celu uzyskania wysokiego </w:t>
      </w:r>
      <w:proofErr w:type="spellStart"/>
      <w:r w:rsidRPr="00BC10F2">
        <w:rPr>
          <w:rFonts w:asciiTheme="minorHAnsi" w:hAnsiTheme="minorHAnsi" w:cstheme="minorHAnsi"/>
        </w:rPr>
        <w:t>compliance</w:t>
      </w:r>
      <w:proofErr w:type="spellEnd"/>
      <w:r w:rsidRPr="00BC10F2">
        <w:rPr>
          <w:rFonts w:asciiTheme="minorHAnsi" w:hAnsiTheme="minorHAnsi" w:cstheme="minorHAnsi"/>
        </w:rPr>
        <w:t>.</w:t>
      </w:r>
    </w:p>
    <w:p w14:paraId="09F12086"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Warunkiem przystąpienia do uczestnictwa w szkoleniach jest wypełnienie </w:t>
      </w:r>
      <w:proofErr w:type="spellStart"/>
      <w:r w:rsidRPr="00BC10F2">
        <w:rPr>
          <w:rFonts w:asciiTheme="minorHAnsi" w:hAnsiTheme="minorHAnsi" w:cstheme="minorHAnsi"/>
        </w:rPr>
        <w:t>pre</w:t>
      </w:r>
      <w:proofErr w:type="spellEnd"/>
      <w:r w:rsidRPr="00BC10F2">
        <w:rPr>
          <w:rFonts w:asciiTheme="minorHAnsi" w:hAnsiTheme="minorHAnsi" w:cstheme="minorHAnsi"/>
        </w:rPr>
        <w:t xml:space="preserve">-testu. Każda osoba, która ukończyła szkolenie dla personelu medycznego, jest zobowiązana do wypełnienia post-testu. </w:t>
      </w:r>
    </w:p>
    <w:p w14:paraId="0279628A" w14:textId="77777777" w:rsidR="00A80621" w:rsidRPr="00BC10F2" w:rsidRDefault="007941FC">
      <w:pPr>
        <w:pStyle w:val="Nagwek4beznumeracji"/>
        <w:rPr>
          <w:rFonts w:asciiTheme="minorHAnsi" w:hAnsiTheme="minorHAnsi" w:cstheme="minorHAnsi"/>
        </w:rPr>
      </w:pPr>
      <w:r w:rsidRPr="00BC10F2">
        <w:rPr>
          <w:rFonts w:asciiTheme="minorHAnsi" w:hAnsiTheme="minorHAnsi" w:cstheme="minorHAnsi"/>
        </w:rPr>
        <w:t>3. Wizyta kwalifikująca oraz ocena ryzyka poważnego złamania osteoporotycznego narzędziem FRAX</w:t>
      </w:r>
    </w:p>
    <w:p w14:paraId="05C601E8"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ramach wizyty kwalifikującej każda osoba zgłaszająca się do programu wypełnia formularz zgłoszeniowy, który poza innymi informacjami uwzględnia także wszystkie dane w narzędziu FRAX, tj.: wiek (w latach), płeć (kobieta lub mężczyzna), masę ciała (w kg), wzrost (w cm) oraz pytania „tak”/”nie” dotyczące wystąpienia dodatkowych czynników ryzyka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przebyte złamania, złamania biodra u co najmniej jednego z rodziców, obecne palenie tytoniu, stosowanie </w:t>
      </w:r>
      <w:proofErr w:type="spellStart"/>
      <w:r w:rsidRPr="00BC10F2">
        <w:rPr>
          <w:rFonts w:asciiTheme="minorHAnsi" w:hAnsiTheme="minorHAnsi" w:cstheme="minorHAnsi"/>
        </w:rPr>
        <w:t>glikokortykosteroidów</w:t>
      </w:r>
      <w:proofErr w:type="spellEnd"/>
      <w:r w:rsidRPr="00BC10F2">
        <w:rPr>
          <w:rFonts w:asciiTheme="minorHAnsi" w:hAnsiTheme="minorHAnsi" w:cstheme="minorHAnsi"/>
        </w:rPr>
        <w:t xml:space="preserve">, zdiagnozowane reumatoidalne zapalenie stawów, obecność schorzenia silnie związanego z osteoporozą, spożywanie 3 lub więcej jednostek alkoholu dziennie. Obok każdego z pytań o obecność dodatkowego czynnika ryzyka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należy zamieścić stosowne wyjaśnienie, wraz z wynikiem FRAX ze strony internetowej: </w:t>
      </w:r>
      <w:hyperlink r:id="rId13" w:history="1">
        <w:r w:rsidRPr="00BC10F2">
          <w:rPr>
            <w:rFonts w:asciiTheme="minorHAnsi" w:hAnsiTheme="minorHAnsi" w:cstheme="minorHAnsi"/>
          </w:rPr>
          <w:t>https://www.sheffield.ac.uk/FRAX/tool.aspx?lang=po&amp;country=40</w:t>
        </w:r>
      </w:hyperlink>
      <w:r w:rsidRPr="00BC10F2">
        <w:rPr>
          <w:rFonts w:asciiTheme="minorHAnsi" w:hAnsiTheme="minorHAnsi" w:cstheme="minorHAnsi"/>
        </w:rPr>
        <w:t xml:space="preserve">. </w:t>
      </w:r>
    </w:p>
    <w:p w14:paraId="1843D67C"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Osoba tworząca formularz weryfikuje kompletność zamieszczonych w nim informacji i następnie wylicza dziesięcioletnie prawdopodobieństwo poważnego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Wynik wpisywany jest do formularza zgłoszeniowego uczestnika. Wynik udostępniany jest świadczeniobiorcy w formie wydruku lub dokumentu elektronicznego (do decyzji świadczeniodawcy). Osoba przyjmująca formularz udziela merytorycznych odpowiedzi na wszelkie pytanie dotyczące osteoporozy i zapobieganiu upadkom oraz kieruje świadczeniobiorców do rzetelnych źródeł wiedzy.</w:t>
      </w:r>
    </w:p>
    <w:p w14:paraId="7D881C2A" w14:textId="23F9C1FE"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przypadku wyniku dziesięcioletniego ryzyka poważanego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uzyskanego w FRAX dla populacji polskiej niższego niż 5% uczestnik otrzymuje informację zwrotną o niskim prawdopodobieństwie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i braku potrzeby wykonania pomiaru DXA. Jednocześnie dostaje informacje dotyczące możliwości edukacji w zakresie osteoporozy oraz stylu życia umieszczone na stronie realizatora</w:t>
      </w:r>
      <w:r w:rsidR="009D4506" w:rsidRPr="00BC10F2">
        <w:rPr>
          <w:rFonts w:asciiTheme="minorHAnsi" w:hAnsiTheme="minorHAnsi" w:cstheme="minorHAnsi"/>
        </w:rPr>
        <w:t xml:space="preserve"> oraz urzędu </w:t>
      </w:r>
      <w:r w:rsidR="001053AA">
        <w:rPr>
          <w:rFonts w:asciiTheme="minorHAnsi" w:hAnsiTheme="minorHAnsi" w:cstheme="minorHAnsi"/>
        </w:rPr>
        <w:t>m</w:t>
      </w:r>
      <w:r w:rsidR="009D4506" w:rsidRPr="00BC10F2">
        <w:rPr>
          <w:rFonts w:asciiTheme="minorHAnsi" w:hAnsiTheme="minorHAnsi" w:cstheme="minorHAnsi"/>
        </w:rPr>
        <w:t>.st. Warszawy.</w:t>
      </w:r>
    </w:p>
    <w:p w14:paraId="69AD7300"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przypadku wyniku dziesięcioletniego ryzyka poważanego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uzyskanego w FRAX dla populacji polskiej równego lub wyższego niż 5% uczestnik otrzymuje informację zwrotną o zakwalifikowaniu do pomiaru DXA, a także szczegóły dotyczące miejsca i czasu planowanego pomiaru DXA oraz sposobu przygotowania do badania (informacja dla pacjenta, wraz informacją o przeciwskazaniach). Świadczeniobiorca jest informowany, że uzyskany wynik FRAX nie jest tożsamy ze stwierdzeniem osteoporozy. Jednocześnie </w:t>
      </w:r>
      <w:r w:rsidRPr="00BC10F2">
        <w:rPr>
          <w:rFonts w:asciiTheme="minorHAnsi" w:hAnsiTheme="minorHAnsi" w:cstheme="minorHAnsi"/>
        </w:rPr>
        <w:lastRenderedPageBreak/>
        <w:t>uczestnik otrzymuje informacje dotyczące edukacji w zakresie osteoporozy, zapobieganie oraz stylu życia umieszczone na stronie realizatora.</w:t>
      </w:r>
    </w:p>
    <w:p w14:paraId="3E21B346"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Po wykonaniu badania FRAX każdy pacjent zakwalifikowany do badania DXA będzie miał wykonany </w:t>
      </w:r>
      <w:proofErr w:type="spellStart"/>
      <w:r w:rsidRPr="00BC10F2">
        <w:rPr>
          <w:rFonts w:asciiTheme="minorHAnsi" w:hAnsiTheme="minorHAnsi" w:cstheme="minorHAnsi"/>
        </w:rPr>
        <w:t>pre</w:t>
      </w:r>
      <w:proofErr w:type="spellEnd"/>
      <w:r w:rsidRPr="00BC10F2">
        <w:rPr>
          <w:rFonts w:asciiTheme="minorHAnsi" w:hAnsiTheme="minorHAnsi" w:cstheme="minorHAnsi"/>
        </w:rPr>
        <w:t>-test (max 12 pytań). W czasie wizyty podsumowującej zostanie wykonany test wiedzy na temat stylu życia, metod zapobiegania upadkom.</w:t>
      </w:r>
    </w:p>
    <w:p w14:paraId="2DE749F7"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przypadku osób, które kwalifikują się do oceny narzędziem FRAX w ramach programu, dopuszcza się możliwość prowadzenia uzupełniającej edukacji indywidualnej, np. podczas lekarskiej wizyty podsumowującej, w ramach której lekarz udziela wyczerpujących odpowiedzi na pytania świadczeniobiorcy, przez co wyjaśnia i utrwala przekazane wcześniej informacje. </w:t>
      </w:r>
    </w:p>
    <w:p w14:paraId="1D0D51CA"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ramach programu zostaną przekazane broszura edukacyjna opracowana we współpracy z ekspertem klinicznym oraz informacje na temat profilaktyki osteoporozy, zapobieganiu złamaniom </w:t>
      </w:r>
      <w:proofErr w:type="spellStart"/>
      <w:r w:rsidRPr="00BC10F2">
        <w:rPr>
          <w:rFonts w:asciiTheme="minorHAnsi" w:hAnsiTheme="minorHAnsi" w:cstheme="minorHAnsi"/>
        </w:rPr>
        <w:t>osteoporotycznym</w:t>
      </w:r>
      <w:proofErr w:type="spellEnd"/>
      <w:r w:rsidRPr="00BC10F2">
        <w:rPr>
          <w:rFonts w:asciiTheme="minorHAnsi" w:hAnsiTheme="minorHAnsi" w:cstheme="minorHAnsi"/>
        </w:rPr>
        <w:t xml:space="preserve"> i zapobieganiu upadkom umieszczone na stronie realizatora (w załączniku dane do umieszczenia na stronie). </w:t>
      </w:r>
      <w:r w:rsidRPr="00BC10F2">
        <w:rPr>
          <w:rFonts w:asciiTheme="minorHAnsi" w:hAnsiTheme="minorHAnsi" w:cstheme="minorHAnsi"/>
          <w:color w:val="FF0000"/>
        </w:rPr>
        <w:t xml:space="preserve"> </w:t>
      </w:r>
    </w:p>
    <w:p w14:paraId="230769AF" w14:textId="77777777" w:rsidR="00A80621" w:rsidRPr="00BC10F2" w:rsidRDefault="007941FC">
      <w:pPr>
        <w:pStyle w:val="Nagwek4beznumeracji"/>
        <w:rPr>
          <w:rFonts w:asciiTheme="minorHAnsi" w:hAnsiTheme="minorHAnsi" w:cstheme="minorHAnsi"/>
        </w:rPr>
      </w:pPr>
      <w:r w:rsidRPr="00BC10F2">
        <w:rPr>
          <w:rFonts w:asciiTheme="minorHAnsi" w:hAnsiTheme="minorHAnsi" w:cstheme="minorHAnsi"/>
        </w:rPr>
        <w:t>4. POMIAR BMD ZA POMOCĄ DXA</w:t>
      </w:r>
    </w:p>
    <w:p w14:paraId="6E6E13FF"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Ocena BMD za pomocą DXA jest skierowana do uczestników programu, którzy uzyskali wynik FRAX ≥5% i zostali zakwalifikowani do programu. Pomiar densytometrii DXA jest dokonywany na bliższym odcinku szyjce kości udowej w miejscu wskazanym przez realizatora. Przy wyznaczaniu T-</w:t>
      </w:r>
      <w:proofErr w:type="spellStart"/>
      <w:r w:rsidRPr="00BC10F2">
        <w:rPr>
          <w:rFonts w:asciiTheme="minorHAnsi" w:hAnsiTheme="minorHAnsi" w:cstheme="minorHAnsi"/>
        </w:rPr>
        <w:t>score</w:t>
      </w:r>
      <w:proofErr w:type="spellEnd"/>
      <w:r w:rsidRPr="00BC10F2">
        <w:rPr>
          <w:rFonts w:asciiTheme="minorHAnsi" w:hAnsiTheme="minorHAnsi" w:cstheme="minorHAnsi"/>
        </w:rPr>
        <w:t xml:space="preserve"> dla kobiet i mężczyzn norma referencyjna to NHANES III dla kobiety rasy białej pomiędzy 20-29 rokiem życia. Przestrzeganie powyższej specyfikacji wskazanej przez autorów narzędzia FRAX umożliwi ostateczne obliczenie wyniku pomiaru w narzędziu FRAX.</w:t>
      </w:r>
    </w:p>
    <w:p w14:paraId="10020B09" w14:textId="77777777" w:rsidR="00A80621" w:rsidRPr="00BC10F2" w:rsidRDefault="007941FC">
      <w:pPr>
        <w:pStyle w:val="Nagwek4beznumeracji"/>
        <w:rPr>
          <w:rFonts w:asciiTheme="minorHAnsi" w:hAnsiTheme="minorHAnsi" w:cstheme="minorHAnsi"/>
        </w:rPr>
      </w:pPr>
      <w:r w:rsidRPr="00BC10F2">
        <w:rPr>
          <w:rFonts w:asciiTheme="minorHAnsi" w:hAnsiTheme="minorHAnsi" w:cstheme="minorHAnsi"/>
        </w:rPr>
        <w:t>5. LEKARSKA WIZYTA PODSUMOWUJĄCA</w:t>
      </w:r>
    </w:p>
    <w:p w14:paraId="396E133D" w14:textId="6820E41F"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trakcie wizyty lekarz omawia ze świadczeniobiorcą wynik badania DXA. Następnie wykonuje ponowną ocenę ryzyka złamania z użyciem narzędzia FRAX </w:t>
      </w:r>
      <w:r w:rsidR="00CC3C73" w:rsidRPr="00BC10F2">
        <w:rPr>
          <w:rFonts w:asciiTheme="minorHAnsi" w:hAnsiTheme="minorHAnsi" w:cstheme="minorHAnsi"/>
        </w:rPr>
        <w:t xml:space="preserve">PL </w:t>
      </w:r>
      <w:r w:rsidRPr="00BC10F2">
        <w:rPr>
          <w:rFonts w:asciiTheme="minorHAnsi" w:hAnsiTheme="minorHAnsi" w:cstheme="minorHAnsi"/>
        </w:rPr>
        <w:t xml:space="preserve">– tym razem uwzględniając wynik uzyskany w DXA. Lekarz omawia ze świadczeniobiorcą uzyskany wynik i wpisuje je do dokumentacji oraz przekazuje wszystkie wyniki badań w programie pacjentowi. </w:t>
      </w:r>
    </w:p>
    <w:p w14:paraId="4EE4E320"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przypadku braku osteoporozy pacjent informowany jest o wyniku ujemnym (tj. brak stwierdzonej osteoporozy). Przekazywane są zalecenia odnośnie czynników ryzyka osteoporozy. Świadczeniobiorca jest informowany o tym, że jeśli nie pojawią się dodatkowe czynniki ryzyka, to kolejne badanie DXA powinno zostać przeprowadzone nie wcześniej niż za 2 lata. Świadczeniobiorca kończy swój udział w programie wraz z uzupełnieniem karty zgłoszeniowej z ostatecznym wynikiem badania FRAX i dalszymi zaleceniami lekarskimi. </w:t>
      </w:r>
    </w:p>
    <w:p w14:paraId="3DEA25E8"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przypadku wykrycia osteoporozy pacjent kierowany jest do leczenia w ramach świadczeń gwarantowanych do lekarza reumatologa. W czasie konsultacji lekarz przekazuje pacjentowi informację na temat jego bieżącego stanu </w:t>
      </w:r>
      <w:r w:rsidRPr="00BC10F2">
        <w:rPr>
          <w:rFonts w:asciiTheme="minorHAnsi" w:hAnsiTheme="minorHAnsi" w:cstheme="minorHAnsi"/>
        </w:rPr>
        <w:lastRenderedPageBreak/>
        <w:t xml:space="preserve">zdrowia, zalecenia odnośnie dalszego postępowania, włącza leczenie farmakologiczne oraz wskazuje wszystkie dostępne ścieżki postępowania w ramach podstawowej opieki zdrowotnej lub ewentualnie kieruje pacjenta do dalszej opieki specjalistycznej. Po otrzymaniu skierowania na leczenie osteoporozy pacjent kończy swój udział w programie. </w:t>
      </w:r>
    </w:p>
    <w:p w14:paraId="5ABD029B" w14:textId="77777777" w:rsidR="00A80621" w:rsidRPr="00BC10F2" w:rsidRDefault="00A80621">
      <w:pPr>
        <w:rPr>
          <w:rFonts w:asciiTheme="minorHAnsi" w:hAnsiTheme="minorHAnsi" w:cstheme="minorHAnsi"/>
          <w:b/>
          <w:bCs w:val="0"/>
        </w:rPr>
      </w:pPr>
    </w:p>
    <w:p w14:paraId="2019DF89" w14:textId="77777777" w:rsidR="00A80621" w:rsidRPr="00BC10F2" w:rsidRDefault="007941FC">
      <w:pPr>
        <w:pStyle w:val="Nagwek2"/>
        <w:pageBreakBefore/>
        <w:rPr>
          <w:rFonts w:asciiTheme="minorHAnsi" w:hAnsiTheme="minorHAnsi" w:cstheme="minorHAnsi"/>
        </w:rPr>
      </w:pPr>
      <w:bookmarkStart w:id="16" w:name="_Toc146114996"/>
      <w:r w:rsidRPr="00BC10F2">
        <w:rPr>
          <w:rFonts w:asciiTheme="minorHAnsi" w:hAnsiTheme="minorHAnsi" w:cstheme="minorHAnsi"/>
        </w:rPr>
        <w:lastRenderedPageBreak/>
        <w:t>Sposób udzielania świadczeń zdrowotnych w ramach programu polityki zdrowotnej</w:t>
      </w:r>
      <w:bookmarkEnd w:id="16"/>
    </w:p>
    <w:p w14:paraId="1BA13B7A" w14:textId="77777777" w:rsidR="00A80621" w:rsidRPr="00BC10F2" w:rsidRDefault="007941FC">
      <w:pPr>
        <w:pStyle w:val="Tekstpodstawowy"/>
        <w:rPr>
          <w:rFonts w:asciiTheme="minorHAnsi" w:hAnsiTheme="minorHAnsi" w:cstheme="minorHAnsi"/>
        </w:rPr>
      </w:pPr>
      <w:bookmarkStart w:id="17" w:name="_Hlk63854713"/>
      <w:r w:rsidRPr="00BC10F2">
        <w:rPr>
          <w:rFonts w:asciiTheme="minorHAnsi" w:hAnsiTheme="minorHAnsi" w:cstheme="minorHAnsi"/>
        </w:rPr>
        <w:t>Dostępność do świadczeń finansowanych w ramach programu powinna być zapewniona przez realizatora przez co najmniej 3 dni w tygodniu, przez 6-8 godzin dziennie.</w:t>
      </w:r>
      <w:bookmarkEnd w:id="17"/>
      <w:r w:rsidRPr="00BC10F2">
        <w:rPr>
          <w:rFonts w:asciiTheme="minorHAnsi" w:hAnsiTheme="minorHAnsi" w:cstheme="minorHAnsi"/>
        </w:rPr>
        <w:t xml:space="preserve"> Zaplanowane interwencje będą udzielane zgodnie z opisem wskazanym w podrozdziale 3.3 Planowane interwencje zgodnie ze wskazaniami medycznymi i klinicznymi oraz mogą zostać przerwane ze względu na przeciwskazania medyczne lub rezygnację uczestnika, co będzie odnotowane w dokumentacji medycznej. Całość interwencji wobec świadczeniobiorcy (kobiety 65+) powinna zostać przeprowadzona w okresie do 3 miesięcy. Kwalifikacja świadczeniobiorców do programu powinna zakończyć się w terminie pozwalającym na ukończenie wszystkich etapów programu dla świadczeniobiorcy. Każdy z realizatorów programu będzie zobowiązany do opracowania harmonogramu udzielania świadczeń tak, aby zabezpieczyć ciągłość realizacji do końca trwania programu w okresie 24 miesięcy. </w:t>
      </w:r>
    </w:p>
    <w:p w14:paraId="13736D59" w14:textId="77777777" w:rsidR="00A80621" w:rsidRPr="00BC10F2" w:rsidRDefault="007941FC">
      <w:pPr>
        <w:pStyle w:val="Nagwek2"/>
        <w:rPr>
          <w:rFonts w:asciiTheme="minorHAnsi" w:hAnsiTheme="minorHAnsi" w:cstheme="minorHAnsi"/>
        </w:rPr>
      </w:pPr>
      <w:bookmarkStart w:id="18" w:name="_Toc146114997"/>
      <w:r w:rsidRPr="00BC10F2">
        <w:rPr>
          <w:rFonts w:asciiTheme="minorHAnsi" w:hAnsiTheme="minorHAnsi" w:cstheme="minorHAnsi"/>
        </w:rPr>
        <w:t>Sposób zakończenia udziału w programie polityki zdrowotnej</w:t>
      </w:r>
      <w:bookmarkEnd w:id="18"/>
    </w:p>
    <w:p w14:paraId="4E36A162"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Sposoby zakończenia udziału w PPZ:</w:t>
      </w:r>
    </w:p>
    <w:p w14:paraId="20DA1355"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 xml:space="preserve">w przypadku osób, które nie zgadzają się na badania lub nie kwalifikują się do oceny ryzyka poważnego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za pomocą narzędzia FRAX w ocenie lekarza udział w programie kończy się wraz z zakończeniem udziału w działaniach informacyjno-edukacyjnych;</w:t>
      </w:r>
    </w:p>
    <w:p w14:paraId="6924587A"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 xml:space="preserve">w przypadku osób, które kwalifikują się do oceny ryzyka poważnego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za pomocą narzędzia FRAX udział w programie kończy się wraz z uzyskaniem wyniku mniejszego niż 5% albo wraz ze zidentyfikowaniem przeciwwskazania do wykonania pomiaru DXA albo wraz z zakończeniem lekarskiej wizyty podsumowującej;</w:t>
      </w:r>
    </w:p>
    <w:p w14:paraId="32632DCB"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zgłoszenie przez uczestnika chęci zakończenia udziału w PPZ – w formie pisemnej rezygnacji;</w:t>
      </w:r>
    </w:p>
    <w:p w14:paraId="21E086AF"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zakończenie realizacji PPZ.</w:t>
      </w:r>
    </w:p>
    <w:p w14:paraId="3D9BBB6B"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Wraz z zakończeniem udziału w programie polityki zdrowotnej każdemu z uczestników należy przekazać zindywidualizowane zalecenia odnośnie dalszego postępowania, włączeniem leczenia farmakologicznego oraz ewentualnego skierowania do lekarzy specjalistów w ramach świadczeń gwarantowanych finansowanych przez płatnika publicznego (NFZ). </w:t>
      </w:r>
    </w:p>
    <w:p w14:paraId="1A71DB87"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Sposób zakończenia udziału w programie polityki zdrowotnej dla II grupy docelowej programu polityki zdrowotnej to jest zakończenie udziału w szkoleniach i wykonanie post-testu.</w:t>
      </w:r>
    </w:p>
    <w:p w14:paraId="1CFF93DA" w14:textId="77777777" w:rsidR="00A80621" w:rsidRPr="00BC10F2" w:rsidRDefault="00A80621">
      <w:pPr>
        <w:pStyle w:val="Teksttreci20"/>
        <w:shd w:val="clear" w:color="auto" w:fill="auto"/>
        <w:spacing w:before="120" w:line="360" w:lineRule="auto"/>
        <w:ind w:left="-426" w:firstLine="0"/>
        <w:rPr>
          <w:rFonts w:asciiTheme="minorHAnsi" w:hAnsiTheme="minorHAnsi" w:cstheme="minorHAnsi"/>
        </w:rPr>
      </w:pPr>
    </w:p>
    <w:p w14:paraId="13D7C274" w14:textId="77777777" w:rsidR="00A80621" w:rsidRPr="00BC10F2" w:rsidRDefault="00A80621">
      <w:pPr>
        <w:rPr>
          <w:rFonts w:asciiTheme="minorHAnsi" w:hAnsiTheme="minorHAnsi" w:cstheme="minorHAnsi"/>
          <w:b/>
          <w:bCs w:val="0"/>
          <w:sz w:val="22"/>
          <w:szCs w:val="22"/>
        </w:rPr>
      </w:pPr>
    </w:p>
    <w:p w14:paraId="574B8EB7" w14:textId="77777777" w:rsidR="00A80621" w:rsidRPr="00BC10F2" w:rsidRDefault="007941FC">
      <w:pPr>
        <w:pStyle w:val="Nagwek1"/>
        <w:rPr>
          <w:rFonts w:asciiTheme="minorHAnsi" w:hAnsiTheme="minorHAnsi" w:cstheme="minorHAnsi"/>
        </w:rPr>
      </w:pPr>
      <w:bookmarkStart w:id="19" w:name="_Toc146114998"/>
      <w:r w:rsidRPr="00BC10F2">
        <w:rPr>
          <w:rFonts w:asciiTheme="minorHAnsi" w:hAnsiTheme="minorHAnsi" w:cstheme="minorHAnsi"/>
        </w:rPr>
        <w:lastRenderedPageBreak/>
        <w:t>Organizacja programu polityki zdrowotnej</w:t>
      </w:r>
      <w:bookmarkEnd w:id="19"/>
    </w:p>
    <w:p w14:paraId="08AEF3A0" w14:textId="77777777" w:rsidR="00A80621" w:rsidRPr="00BC10F2" w:rsidRDefault="007941FC">
      <w:pPr>
        <w:pStyle w:val="Nagwek2"/>
        <w:rPr>
          <w:rFonts w:asciiTheme="minorHAnsi" w:hAnsiTheme="minorHAnsi" w:cstheme="minorHAnsi"/>
        </w:rPr>
      </w:pPr>
      <w:bookmarkStart w:id="20" w:name="_Toc146114999"/>
      <w:r w:rsidRPr="00BC10F2">
        <w:rPr>
          <w:rFonts w:asciiTheme="minorHAnsi" w:hAnsiTheme="minorHAnsi" w:cstheme="minorHAnsi"/>
        </w:rPr>
        <w:t>Etapy programu polityki zdrowotnej i działania podejmowane w ramach etapów</w:t>
      </w:r>
      <w:bookmarkEnd w:id="20"/>
    </w:p>
    <w:p w14:paraId="3AC4FF3E" w14:textId="789074AA" w:rsidR="00A80621" w:rsidRPr="00BC10F2" w:rsidRDefault="007941FC" w:rsidP="000B2BB8">
      <w:pPr>
        <w:pStyle w:val="Listanumerowana1"/>
        <w:numPr>
          <w:ilvl w:val="0"/>
          <w:numId w:val="20"/>
        </w:numPr>
        <w:rPr>
          <w:rFonts w:asciiTheme="minorHAnsi" w:hAnsiTheme="minorHAnsi" w:cstheme="minorHAnsi"/>
        </w:rPr>
      </w:pPr>
      <w:r w:rsidRPr="00BC10F2">
        <w:rPr>
          <w:rFonts w:asciiTheme="minorHAnsi" w:hAnsiTheme="minorHAnsi" w:cstheme="minorHAnsi"/>
          <w:b/>
          <w:bCs w:val="0"/>
        </w:rPr>
        <w:t xml:space="preserve">Opracowanie terminów realizacji poszczególnych elementów PPZ oraz zaplanowanie budżetu. </w:t>
      </w:r>
    </w:p>
    <w:p w14:paraId="6B83E109" w14:textId="77777777" w:rsidR="00856884" w:rsidRPr="00BC10F2" w:rsidRDefault="00856884" w:rsidP="00856884">
      <w:pPr>
        <w:pStyle w:val="Tekstpodstawowywcity"/>
        <w:ind w:left="284" w:firstLine="0"/>
        <w:rPr>
          <w:rFonts w:asciiTheme="minorHAnsi" w:hAnsiTheme="minorHAnsi" w:cstheme="minorHAnsi"/>
        </w:rPr>
      </w:pPr>
      <w:r w:rsidRPr="00BC10F2">
        <w:rPr>
          <w:rFonts w:asciiTheme="minorHAnsi" w:hAnsiTheme="minorHAnsi" w:cstheme="minorHAnsi"/>
        </w:rPr>
        <w:t xml:space="preserve">Przygotowanie projektu programu ze szczególnym uwzględnieniem z art. 48a ust 2 oraz treści rozporządzenia wydanego na podstawie art. 48a ust. 16 ustawy. Przesłanie do </w:t>
      </w:r>
      <w:proofErr w:type="spellStart"/>
      <w:r w:rsidRPr="00BC10F2">
        <w:rPr>
          <w:rFonts w:asciiTheme="minorHAnsi" w:hAnsiTheme="minorHAnsi" w:cstheme="minorHAnsi"/>
        </w:rPr>
        <w:t>AOTMiT</w:t>
      </w:r>
      <w:proofErr w:type="spellEnd"/>
      <w:r w:rsidRPr="00BC10F2">
        <w:rPr>
          <w:rFonts w:asciiTheme="minorHAnsi" w:hAnsiTheme="minorHAnsi" w:cstheme="minorHAnsi"/>
        </w:rPr>
        <w:t xml:space="preserve"> oświadczenia o zgodności projektu PPZ z rekomendacją, o którym mowa w art. 48aa ust. 11 ustawy o świadczeniach opieki zdrowotnej finansowanych ze środków publicznych.</w:t>
      </w:r>
    </w:p>
    <w:p w14:paraId="39ABB20D" w14:textId="1EED0AA0" w:rsidR="00856884" w:rsidRPr="00BC10F2" w:rsidRDefault="00856884" w:rsidP="000B2BB8">
      <w:pPr>
        <w:pStyle w:val="Listanumerowana1"/>
        <w:numPr>
          <w:ilvl w:val="0"/>
          <w:numId w:val="20"/>
        </w:numPr>
        <w:rPr>
          <w:rFonts w:asciiTheme="minorHAnsi" w:hAnsiTheme="minorHAnsi" w:cstheme="minorHAnsi"/>
        </w:rPr>
      </w:pPr>
      <w:r w:rsidRPr="00BC10F2">
        <w:rPr>
          <w:rFonts w:asciiTheme="minorHAnsi" w:hAnsiTheme="minorHAnsi" w:cstheme="minorHAnsi"/>
          <w:b/>
          <w:bCs w:val="0"/>
        </w:rPr>
        <w:t>Przeprowadzeni</w:t>
      </w:r>
      <w:r w:rsidR="001053AA">
        <w:rPr>
          <w:rFonts w:asciiTheme="minorHAnsi" w:hAnsiTheme="minorHAnsi" w:cstheme="minorHAnsi"/>
          <w:b/>
          <w:bCs w:val="0"/>
        </w:rPr>
        <w:t>e konkursu ofert przez Urząd m.</w:t>
      </w:r>
      <w:r w:rsidRPr="00BC10F2">
        <w:rPr>
          <w:rFonts w:asciiTheme="minorHAnsi" w:hAnsiTheme="minorHAnsi" w:cstheme="minorHAnsi"/>
          <w:b/>
          <w:bCs w:val="0"/>
        </w:rPr>
        <w:t>st</w:t>
      </w:r>
      <w:r w:rsidR="001053AA">
        <w:rPr>
          <w:rFonts w:asciiTheme="minorHAnsi" w:hAnsiTheme="minorHAnsi" w:cstheme="minorHAnsi"/>
          <w:b/>
          <w:bCs w:val="0"/>
        </w:rPr>
        <w:t>.</w:t>
      </w:r>
      <w:r w:rsidRPr="00BC10F2">
        <w:rPr>
          <w:rFonts w:asciiTheme="minorHAnsi" w:hAnsiTheme="minorHAnsi" w:cstheme="minorHAnsi"/>
          <w:b/>
          <w:bCs w:val="0"/>
        </w:rPr>
        <w:t xml:space="preserve"> Warszawa, który wdraża indywidualnie PPZ, w celu wyboru realizatorów (zgodnie z art. 48b ust. 1 ustawy o świadczeniach opieki zdrowotnej finansowanych ze środków publicznych).</w:t>
      </w:r>
    </w:p>
    <w:p w14:paraId="0ADA6CE6" w14:textId="77777777" w:rsidR="00856884" w:rsidRPr="00BC10F2" w:rsidRDefault="00856884" w:rsidP="0070343E">
      <w:pPr>
        <w:pStyle w:val="Tekstpodstawowywcity"/>
        <w:ind w:left="284" w:firstLine="0"/>
        <w:rPr>
          <w:rFonts w:asciiTheme="minorHAnsi" w:hAnsiTheme="minorHAnsi" w:cstheme="minorHAnsi"/>
        </w:rPr>
      </w:pPr>
      <w:r w:rsidRPr="00BC10F2">
        <w:rPr>
          <w:rFonts w:asciiTheme="minorHAnsi" w:hAnsiTheme="minorHAnsi" w:cstheme="minorHAnsi"/>
        </w:rPr>
        <w:t xml:space="preserve">Realizatorzy programu będą wybrani w drodze konkursu ofert, zgodnie z art. 48b ustawy z dnia 27 sierpnia 2004 r. o świadczeniach opieki zdrowotnej finansowanych ze środków publicznych. Warunki konkursu zostaną określone w ogłoszeniu o konkursie. Ogłoszenie zostanie opublikowane na stronie  </w:t>
      </w:r>
      <w:hyperlink r:id="rId14" w:history="1">
        <w:r w:rsidRPr="00BC10F2">
          <w:rPr>
            <w:rStyle w:val="Hipercze"/>
            <w:rFonts w:asciiTheme="minorHAnsi" w:hAnsiTheme="minorHAnsi" w:cstheme="minorHAnsi"/>
          </w:rPr>
          <w:t>https://um.warszawa.pl/</w:t>
        </w:r>
      </w:hyperlink>
      <w:r w:rsidRPr="00BC10F2">
        <w:rPr>
          <w:rFonts w:asciiTheme="minorHAnsi" w:hAnsiTheme="minorHAnsi" w:cstheme="minorHAnsi"/>
        </w:rPr>
        <w:t xml:space="preserve"> </w:t>
      </w:r>
      <w:hyperlink r:id="rId15" w:history="1"/>
      <w:r w:rsidRPr="00BC10F2">
        <w:rPr>
          <w:rFonts w:asciiTheme="minorHAnsi" w:hAnsiTheme="minorHAnsi" w:cstheme="minorHAnsi"/>
        </w:rPr>
        <w:t>w zakładce Zdrowie/Tablica informacyjna/Konkursy ofert  oraz na Elektronicznej Tablicy Ogłoszeń Urzędu Miasta Stołecznego Warszawy (ETO).</w:t>
      </w:r>
    </w:p>
    <w:p w14:paraId="6A0D002A" w14:textId="05D2CEA8" w:rsidR="00856884" w:rsidRPr="00BC10F2" w:rsidRDefault="00856884" w:rsidP="000B2BB8">
      <w:pPr>
        <w:pStyle w:val="Listanumerowana1"/>
        <w:numPr>
          <w:ilvl w:val="0"/>
          <w:numId w:val="20"/>
        </w:numPr>
        <w:rPr>
          <w:rFonts w:asciiTheme="minorHAnsi" w:hAnsiTheme="minorHAnsi" w:cstheme="minorHAnsi"/>
        </w:rPr>
      </w:pPr>
      <w:r w:rsidRPr="00BC10F2">
        <w:rPr>
          <w:rFonts w:asciiTheme="minorHAnsi" w:hAnsiTheme="minorHAnsi" w:cstheme="minorHAnsi"/>
          <w:b/>
          <w:bCs w:val="0"/>
        </w:rPr>
        <w:t xml:space="preserve">Wybór realizatorów na podstawie kryteriów konkursowych </w:t>
      </w:r>
    </w:p>
    <w:p w14:paraId="4B950F84" w14:textId="33F6F57B" w:rsidR="0070343E" w:rsidRPr="00BC10F2" w:rsidRDefault="0070343E" w:rsidP="0070343E">
      <w:pPr>
        <w:pStyle w:val="Tekstpodstawowywcity"/>
        <w:ind w:left="284" w:firstLine="0"/>
        <w:rPr>
          <w:rFonts w:asciiTheme="minorHAnsi" w:eastAsia="Calibri" w:hAnsiTheme="minorHAnsi" w:cstheme="minorHAnsi"/>
        </w:rPr>
      </w:pPr>
      <w:r w:rsidRPr="00BC10F2">
        <w:rPr>
          <w:rFonts w:asciiTheme="minorHAnsi" w:hAnsiTheme="minorHAnsi" w:cstheme="minorHAnsi"/>
        </w:rPr>
        <w:t xml:space="preserve">Realizatorami programu będą podmioty wybrane w drodze konkursu i wykonujące działalność leczniczą lub oferenci, których partnerem jest podmiot wykonujący działalność leczniczą w myśl ustawy z dnia 15 kwietnia 2011 r. o działalności leczniczej. Po przyjęciu przedmiotowego programu polityki zdrowotnej w formie uchwały przez Radę m.st. Warszawy, Prezydent m.st. Warszawy wyda Zarządzenie w sprawie ogłoszenia o konkursie ofert wraz z zaproszeniem do składania ofert. Wyboru oferentów dokona specjalnie do tego celu powołana Komisja konkursowa. </w:t>
      </w:r>
      <w:r w:rsidRPr="00BC10F2">
        <w:rPr>
          <w:rFonts w:asciiTheme="minorHAnsi" w:eastAsia="Calibri" w:hAnsiTheme="minorHAnsi" w:cstheme="minorHAnsi"/>
        </w:rPr>
        <w:t>Z wybranymi realizatorami programu zostaną podpisane umowy, w których określone będą warunki składania sprawozdań oraz warunki płatności za wykonane interwencje.</w:t>
      </w:r>
    </w:p>
    <w:p w14:paraId="10B82792" w14:textId="1DEBEDD0" w:rsidR="00A80621" w:rsidRPr="00BC10F2" w:rsidRDefault="007941FC" w:rsidP="000B2BB8">
      <w:pPr>
        <w:pStyle w:val="Listanumerowana1"/>
        <w:numPr>
          <w:ilvl w:val="0"/>
          <w:numId w:val="20"/>
        </w:numPr>
        <w:rPr>
          <w:rFonts w:asciiTheme="minorHAnsi" w:hAnsiTheme="minorHAnsi" w:cstheme="minorHAnsi"/>
        </w:rPr>
      </w:pPr>
      <w:r w:rsidRPr="00BC10F2">
        <w:rPr>
          <w:rFonts w:asciiTheme="minorHAnsi" w:hAnsiTheme="minorHAnsi" w:cstheme="minorHAnsi"/>
          <w:b/>
          <w:bCs w:val="0"/>
        </w:rPr>
        <w:t xml:space="preserve">Przeprowadzenie interwencji: szkoleń dla personelu medycznego, działań edukacyjno-informacyjnych dla populacji ogólnej, edukacji </w:t>
      </w:r>
      <w:r w:rsidRPr="00BC10F2">
        <w:rPr>
          <w:rStyle w:val="Wyrnieniedelikatne1"/>
          <w:rFonts w:asciiTheme="minorHAnsi" w:hAnsiTheme="minorHAnsi" w:cstheme="minorHAnsi"/>
          <w:b/>
          <w:bCs w:val="0"/>
          <w:i w:val="0"/>
          <w:iCs w:val="0"/>
        </w:rPr>
        <w:t>populacji</w:t>
      </w:r>
      <w:r w:rsidRPr="00BC10F2">
        <w:rPr>
          <w:rFonts w:asciiTheme="minorHAnsi" w:hAnsiTheme="minorHAnsi" w:cstheme="minorHAnsi"/>
          <w:b/>
          <w:bCs w:val="0"/>
        </w:rPr>
        <w:t xml:space="preserve"> włączonej do kompleksowej interwencji, oceny ryzyka poważnego złamania </w:t>
      </w:r>
      <w:proofErr w:type="spellStart"/>
      <w:r w:rsidRPr="00BC10F2">
        <w:rPr>
          <w:rFonts w:asciiTheme="minorHAnsi" w:hAnsiTheme="minorHAnsi" w:cstheme="minorHAnsi"/>
          <w:b/>
          <w:bCs w:val="0"/>
        </w:rPr>
        <w:t>osteoporotycznego</w:t>
      </w:r>
      <w:proofErr w:type="spellEnd"/>
      <w:r w:rsidRPr="00BC10F2">
        <w:rPr>
          <w:rFonts w:asciiTheme="minorHAnsi" w:hAnsiTheme="minorHAnsi" w:cstheme="minorHAnsi"/>
          <w:b/>
          <w:bCs w:val="0"/>
        </w:rPr>
        <w:t xml:space="preserve"> narzędziem FRAX, pomiarów BMD za pomocą DXA, lekarskie wizyty podsumowujące.</w:t>
      </w:r>
    </w:p>
    <w:p w14:paraId="7F0F01ED" w14:textId="77777777" w:rsidR="0070343E" w:rsidRPr="00BC10F2" w:rsidRDefault="0070343E" w:rsidP="0070343E">
      <w:pPr>
        <w:pStyle w:val="Listanumerowana1"/>
        <w:numPr>
          <w:ilvl w:val="0"/>
          <w:numId w:val="0"/>
        </w:numPr>
        <w:ind w:left="284" w:hanging="284"/>
        <w:rPr>
          <w:rFonts w:asciiTheme="minorHAnsi" w:hAnsiTheme="minorHAnsi" w:cstheme="minorHAnsi"/>
        </w:rPr>
      </w:pPr>
    </w:p>
    <w:p w14:paraId="03D2BCBF" w14:textId="77777777" w:rsidR="00A80621" w:rsidRPr="00BC10F2" w:rsidRDefault="007941FC" w:rsidP="000B2BB8">
      <w:pPr>
        <w:pStyle w:val="Listanumerowana1"/>
        <w:numPr>
          <w:ilvl w:val="0"/>
          <w:numId w:val="20"/>
        </w:numPr>
        <w:rPr>
          <w:rFonts w:asciiTheme="minorHAnsi" w:hAnsiTheme="minorHAnsi" w:cstheme="minorHAnsi"/>
        </w:rPr>
      </w:pPr>
      <w:r w:rsidRPr="00BC10F2">
        <w:rPr>
          <w:rFonts w:asciiTheme="minorHAnsi" w:hAnsiTheme="minorHAnsi" w:cstheme="minorHAnsi"/>
          <w:b/>
          <w:bCs w:val="0"/>
        </w:rPr>
        <w:t>Przeprowadzenie przez realizatora następujących interwencji dla I grupy docelowej.</w:t>
      </w:r>
    </w:p>
    <w:p w14:paraId="469FACE9" w14:textId="77777777" w:rsidR="00A80621" w:rsidRPr="00BC10F2" w:rsidRDefault="007941FC" w:rsidP="001503ED">
      <w:pPr>
        <w:pStyle w:val="Listanumerowana21"/>
        <w:numPr>
          <w:ilvl w:val="1"/>
          <w:numId w:val="37"/>
        </w:numPr>
        <w:rPr>
          <w:rFonts w:asciiTheme="minorHAnsi" w:hAnsiTheme="minorHAnsi" w:cstheme="minorHAnsi"/>
        </w:rPr>
      </w:pPr>
      <w:r w:rsidRPr="00BC10F2">
        <w:rPr>
          <w:rFonts w:asciiTheme="minorHAnsi" w:hAnsiTheme="minorHAnsi" w:cstheme="minorHAnsi"/>
        </w:rPr>
        <w:lastRenderedPageBreak/>
        <w:t xml:space="preserve">Wizyta kwalifikująca: </w:t>
      </w:r>
    </w:p>
    <w:p w14:paraId="76B94DB5" w14:textId="77777777" w:rsidR="00A80621" w:rsidRPr="00BC10F2" w:rsidRDefault="007941FC">
      <w:pPr>
        <w:pStyle w:val="Listapunktowana21"/>
        <w:rPr>
          <w:rFonts w:asciiTheme="minorHAnsi" w:hAnsiTheme="minorHAnsi" w:cstheme="minorHAnsi"/>
        </w:rPr>
      </w:pPr>
      <w:bookmarkStart w:id="21" w:name="_Hlk69817774"/>
      <w:r w:rsidRPr="00BC10F2">
        <w:rPr>
          <w:rFonts w:asciiTheme="minorHAnsi" w:hAnsiTheme="minorHAnsi" w:cstheme="minorHAnsi"/>
        </w:rPr>
        <w:t xml:space="preserve">Działania </w:t>
      </w:r>
      <w:bookmarkEnd w:id="21"/>
      <w:r w:rsidRPr="00BC10F2">
        <w:rPr>
          <w:rFonts w:asciiTheme="minorHAnsi" w:hAnsiTheme="minorHAnsi" w:cstheme="minorHAnsi"/>
        </w:rPr>
        <w:t xml:space="preserve">w zakresie badania wiedzy, w formie testu, sprawdzające poziom wiedzy uczestników na temat profilaktyki osteoporozy – </w:t>
      </w:r>
      <w:proofErr w:type="spellStart"/>
      <w:r w:rsidRPr="00BC10F2">
        <w:rPr>
          <w:rFonts w:asciiTheme="minorHAnsi" w:hAnsiTheme="minorHAnsi" w:cstheme="minorHAnsi"/>
        </w:rPr>
        <w:t>pre</w:t>
      </w:r>
      <w:proofErr w:type="spellEnd"/>
      <w:r w:rsidRPr="00BC10F2">
        <w:rPr>
          <w:rFonts w:asciiTheme="minorHAnsi" w:hAnsiTheme="minorHAnsi" w:cstheme="minorHAnsi"/>
        </w:rPr>
        <w:t>-test;</w:t>
      </w:r>
    </w:p>
    <w:p w14:paraId="3DE6FFDB" w14:textId="77777777" w:rsidR="00A80621" w:rsidRPr="00BC10F2" w:rsidRDefault="007941FC">
      <w:pPr>
        <w:pStyle w:val="Listapunktowana21"/>
        <w:rPr>
          <w:rFonts w:asciiTheme="minorHAnsi" w:hAnsiTheme="minorHAnsi" w:cstheme="minorHAnsi"/>
        </w:rPr>
      </w:pPr>
      <w:r w:rsidRPr="00BC10F2">
        <w:rPr>
          <w:rFonts w:asciiTheme="minorHAnsi" w:hAnsiTheme="minorHAnsi" w:cstheme="minorHAnsi"/>
        </w:rPr>
        <w:t>Oszacowanie 10-letniego ryzyka złamania kości metodą FRAX.</w:t>
      </w:r>
    </w:p>
    <w:p w14:paraId="61F24C00" w14:textId="77777777" w:rsidR="00A80621" w:rsidRPr="00BC10F2" w:rsidRDefault="007941FC">
      <w:pPr>
        <w:pStyle w:val="Listapunktowana21"/>
        <w:rPr>
          <w:rFonts w:asciiTheme="minorHAnsi" w:hAnsiTheme="minorHAnsi" w:cstheme="minorHAnsi"/>
        </w:rPr>
      </w:pPr>
      <w:r w:rsidRPr="00BC10F2">
        <w:rPr>
          <w:rFonts w:asciiTheme="minorHAnsi" w:hAnsiTheme="minorHAnsi" w:cstheme="minorHAnsi"/>
        </w:rPr>
        <w:t>edukacja zdrowotna;</w:t>
      </w:r>
    </w:p>
    <w:p w14:paraId="275A74DE"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Wykonanie badania densytometrycznego DXA.</w:t>
      </w:r>
    </w:p>
    <w:p w14:paraId="54422C75"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Wizyta zamykająca – diagnostyczno-terapeutyczna jako konsultacja lekarska, wraz sprawdzenie powtórne wiedzy, w formie testu, sprawdzające poziom wiedzy uczestników na temat profilaktyki osteoporozy – post-test w czasie wizyty zamykającej. </w:t>
      </w:r>
    </w:p>
    <w:p w14:paraId="09B06D1C" w14:textId="77777777" w:rsidR="00A80621" w:rsidRPr="00BC10F2" w:rsidRDefault="007941FC" w:rsidP="000B2BB8">
      <w:pPr>
        <w:pStyle w:val="Listanumerowana1"/>
        <w:numPr>
          <w:ilvl w:val="0"/>
          <w:numId w:val="29"/>
        </w:numPr>
        <w:rPr>
          <w:rFonts w:asciiTheme="minorHAnsi" w:hAnsiTheme="minorHAnsi" w:cstheme="minorHAnsi"/>
        </w:rPr>
      </w:pPr>
      <w:r w:rsidRPr="00BC10F2">
        <w:rPr>
          <w:rFonts w:asciiTheme="minorHAnsi" w:hAnsiTheme="minorHAnsi" w:cstheme="minorHAnsi"/>
          <w:b/>
          <w:bCs w:val="0"/>
        </w:rPr>
        <w:t>Przeprowadzenie przez realizatora następujących interwencji dla II grupy docelowej - szkolenia dla personelu medycznego:</w:t>
      </w:r>
    </w:p>
    <w:p w14:paraId="50566E2A"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badanie wiedzy, w formie testu, sprawdzające poziom wiedzy uczestników – </w:t>
      </w:r>
      <w:proofErr w:type="spellStart"/>
      <w:r w:rsidRPr="00BC10F2">
        <w:rPr>
          <w:rFonts w:asciiTheme="minorHAnsi" w:hAnsiTheme="minorHAnsi" w:cstheme="minorHAnsi"/>
        </w:rPr>
        <w:t>pre</w:t>
      </w:r>
      <w:proofErr w:type="spellEnd"/>
      <w:r w:rsidRPr="00BC10F2">
        <w:rPr>
          <w:rFonts w:asciiTheme="minorHAnsi" w:hAnsiTheme="minorHAnsi" w:cstheme="minorHAnsi"/>
        </w:rPr>
        <w:t>-test;</w:t>
      </w:r>
    </w:p>
    <w:p w14:paraId="1ECD146E"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edukacja zdrowotna;</w:t>
      </w:r>
    </w:p>
    <w:p w14:paraId="3C958B44"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powtórne badanie wiedzy, w formie testu, sprawdzające poziom wiedzy uczestników– post-test.</w:t>
      </w:r>
    </w:p>
    <w:p w14:paraId="096D690C"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b/>
          <w:bCs w:val="0"/>
        </w:rPr>
        <w:t xml:space="preserve">Przeprowadzenie przez Urząd m.st Warszawa kampanii informacyjno-edukacyjnej dla populacji ogólnej osób dorosłych powyżej 50 roku życia w zakresie edukacji zdrowotnej i ocena stopnia dotarcia do populacji na poziomie liczby wejść, wskaźników dotarcia kampanii w TV, radiu, metrze. </w:t>
      </w:r>
    </w:p>
    <w:p w14:paraId="45639D44"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b/>
          <w:bCs w:val="0"/>
        </w:rPr>
        <w:t>Bieżące zbieranie danych dot. realizowanych działań, umożliwiających monitorowanie programu i jego późniejszą ewaluację. Przygotowanie raportu z realizacji działań w danym roku (raport okresowy).</w:t>
      </w:r>
    </w:p>
    <w:p w14:paraId="1995247B"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b/>
          <w:bCs w:val="0"/>
        </w:rPr>
        <w:t>Zakończenie realizacji PPZ.</w:t>
      </w:r>
    </w:p>
    <w:p w14:paraId="09A52FF2"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b/>
          <w:bCs w:val="0"/>
        </w:rPr>
        <w:t>Rozliczenie finansowe PPZ.</w:t>
      </w:r>
    </w:p>
    <w:p w14:paraId="212CFF4D" w14:textId="3A62B243" w:rsidR="00A80621" w:rsidRPr="00BC10F2" w:rsidRDefault="007941FC" w:rsidP="00433CBA">
      <w:pPr>
        <w:pStyle w:val="Listanumerowana1"/>
        <w:spacing w:after="120"/>
        <w:rPr>
          <w:rFonts w:asciiTheme="minorHAnsi" w:hAnsiTheme="minorHAnsi" w:cstheme="minorHAnsi"/>
        </w:rPr>
      </w:pPr>
      <w:r w:rsidRPr="00BC10F2">
        <w:rPr>
          <w:rFonts w:asciiTheme="minorHAnsi" w:hAnsiTheme="minorHAnsi" w:cstheme="minorHAnsi"/>
          <w:b/>
          <w:bCs w:val="0"/>
        </w:rPr>
        <w:t>Ewaluacja programu, opracowanie raportu końcowego z realizacji PPZ i przesłanie go do Agencji</w:t>
      </w:r>
      <w:r w:rsidR="00D3036A" w:rsidRPr="00BC10F2">
        <w:rPr>
          <w:rFonts w:asciiTheme="minorHAnsi" w:hAnsiTheme="minorHAnsi" w:cstheme="minorHAnsi"/>
          <w:b/>
          <w:bCs w:val="0"/>
        </w:rPr>
        <w:t xml:space="preserve"> Oceny Technologii Medycznych i Taryfikacji</w:t>
      </w:r>
      <w:r w:rsidRPr="00BC10F2">
        <w:rPr>
          <w:rFonts w:asciiTheme="minorHAnsi" w:hAnsiTheme="minorHAnsi" w:cstheme="minorHAnsi"/>
          <w:b/>
          <w:bCs w:val="0"/>
        </w:rPr>
        <w:t>, wraz z załączonym pierwotnym projektem, który został wdrożony do realizacji.</w:t>
      </w:r>
    </w:p>
    <w:p w14:paraId="564B0324" w14:textId="77777777" w:rsidR="00A80621" w:rsidRPr="00BC10F2" w:rsidRDefault="007941FC" w:rsidP="00433CBA">
      <w:pPr>
        <w:pStyle w:val="Nagwek4beznumeracji"/>
        <w:spacing w:before="120"/>
        <w:rPr>
          <w:rFonts w:asciiTheme="minorHAnsi" w:hAnsiTheme="minorHAnsi" w:cstheme="minorHAnsi"/>
        </w:rPr>
      </w:pPr>
      <w:r w:rsidRPr="00BC10F2">
        <w:rPr>
          <w:rFonts w:asciiTheme="minorHAnsi" w:hAnsiTheme="minorHAnsi" w:cstheme="minorHAnsi"/>
        </w:rPr>
        <w:t>Planowany harmonogram opracowania, wdrażania i realizacji programu:</w:t>
      </w:r>
    </w:p>
    <w:p w14:paraId="16C45193" w14:textId="652A951D" w:rsidR="00A80621" w:rsidRPr="00BC10F2" w:rsidRDefault="007941FC" w:rsidP="00433CBA">
      <w:pPr>
        <w:pStyle w:val="Legenda1"/>
        <w:spacing w:before="120" w:after="120"/>
        <w:rPr>
          <w:rFonts w:asciiTheme="minorHAnsi" w:hAnsiTheme="minorHAnsi" w:cstheme="minorHAnsi"/>
        </w:rPr>
      </w:pPr>
      <w:r w:rsidRPr="00BC10F2">
        <w:rPr>
          <w:rFonts w:asciiTheme="minorHAnsi" w:hAnsiTheme="minorHAnsi" w:cstheme="minorHAnsi"/>
        </w:rPr>
        <w:t xml:space="preserve">Tabela </w:t>
      </w:r>
      <w:r w:rsidR="0037769B" w:rsidRPr="00BC10F2">
        <w:rPr>
          <w:rFonts w:asciiTheme="minorHAnsi" w:hAnsiTheme="minorHAnsi" w:cstheme="minorHAnsi"/>
        </w:rPr>
        <w:fldChar w:fldCharType="begin"/>
      </w:r>
      <w:r w:rsidR="0037769B" w:rsidRPr="00BC10F2">
        <w:rPr>
          <w:rFonts w:asciiTheme="minorHAnsi" w:hAnsiTheme="minorHAnsi" w:cstheme="minorHAnsi"/>
        </w:rPr>
        <w:instrText xml:space="preserve"> SEQ "Tabela" \* ARABIC </w:instrText>
      </w:r>
      <w:r w:rsidR="0037769B" w:rsidRPr="00BC10F2">
        <w:rPr>
          <w:rFonts w:asciiTheme="minorHAnsi" w:hAnsiTheme="minorHAnsi" w:cstheme="minorHAnsi"/>
        </w:rPr>
        <w:fldChar w:fldCharType="separate"/>
      </w:r>
      <w:r w:rsidR="00433CBA">
        <w:rPr>
          <w:rFonts w:asciiTheme="minorHAnsi" w:hAnsiTheme="minorHAnsi" w:cstheme="minorHAnsi"/>
          <w:noProof/>
        </w:rPr>
        <w:t>4</w:t>
      </w:r>
      <w:r w:rsidR="0037769B" w:rsidRPr="00BC10F2">
        <w:rPr>
          <w:rFonts w:asciiTheme="minorHAnsi" w:hAnsiTheme="minorHAnsi" w:cstheme="minorHAnsi"/>
          <w:noProof/>
        </w:rPr>
        <w:fldChar w:fldCharType="end"/>
      </w:r>
      <w:r w:rsidRPr="00BC10F2">
        <w:rPr>
          <w:rFonts w:asciiTheme="minorHAnsi" w:hAnsiTheme="minorHAnsi" w:cstheme="minorHAnsi"/>
        </w:rPr>
        <w:t>.</w:t>
      </w:r>
      <w:r w:rsidRPr="00BC10F2">
        <w:rPr>
          <w:rFonts w:asciiTheme="minorHAnsi" w:hAnsiTheme="minorHAnsi" w:cstheme="minorHAnsi"/>
        </w:rPr>
        <w:tab/>
      </w:r>
      <w:r w:rsidRPr="00BC10F2">
        <w:rPr>
          <w:rFonts w:asciiTheme="minorHAnsi" w:hAnsiTheme="minorHAnsi" w:cstheme="minorHAnsi"/>
        </w:rPr>
        <w:br/>
        <w:t>Planowany harmonogram realizacji programu</w:t>
      </w:r>
      <w:r w:rsidR="00521869">
        <w:rPr>
          <w:rFonts w:asciiTheme="minorHAnsi" w:hAnsiTheme="minorHAnsi" w:cstheme="minorHAnsi"/>
        </w:rPr>
        <w:t>:</w:t>
      </w:r>
      <w:r w:rsidRPr="00BC10F2">
        <w:rPr>
          <w:rFonts w:asciiTheme="minorHAnsi" w:hAnsiTheme="minorHAnsi" w:cstheme="minorHAnsi"/>
        </w:rPr>
        <w:t xml:space="preserve"> </w:t>
      </w:r>
      <w:r w:rsidR="00521869">
        <w:rPr>
          <w:rFonts w:asciiTheme="minorHAnsi" w:hAnsiTheme="minorHAnsi" w:cstheme="minorHAnsi"/>
        </w:rPr>
        <w:t>październik</w:t>
      </w:r>
      <w:r w:rsidRPr="00BC10F2">
        <w:rPr>
          <w:rFonts w:asciiTheme="minorHAnsi" w:hAnsiTheme="minorHAnsi" w:cstheme="minorHAnsi"/>
        </w:rPr>
        <w:t xml:space="preserve"> 202</w:t>
      </w:r>
      <w:r w:rsidR="00521869">
        <w:rPr>
          <w:rFonts w:asciiTheme="minorHAnsi" w:hAnsiTheme="minorHAnsi" w:cstheme="minorHAnsi"/>
        </w:rPr>
        <w:t>3</w:t>
      </w:r>
      <w:r w:rsidR="00D76AE1" w:rsidRPr="00BC10F2">
        <w:rPr>
          <w:rFonts w:asciiTheme="minorHAnsi" w:hAnsiTheme="minorHAnsi" w:cstheme="minorHAnsi"/>
        </w:rPr>
        <w:t xml:space="preserve"> -</w:t>
      </w:r>
      <w:r w:rsidRPr="00BC10F2">
        <w:rPr>
          <w:rFonts w:asciiTheme="minorHAnsi" w:hAnsiTheme="minorHAnsi" w:cstheme="minorHAnsi"/>
        </w:rPr>
        <w:t xml:space="preserve"> </w:t>
      </w:r>
      <w:r w:rsidR="00521869">
        <w:rPr>
          <w:rFonts w:asciiTheme="minorHAnsi" w:hAnsiTheme="minorHAnsi" w:cstheme="minorHAnsi"/>
        </w:rPr>
        <w:t>wrzesień</w:t>
      </w:r>
      <w:r w:rsidRPr="00BC10F2">
        <w:rPr>
          <w:rFonts w:asciiTheme="minorHAnsi" w:hAnsiTheme="minorHAnsi" w:cstheme="minorHAnsi"/>
        </w:rPr>
        <w:t xml:space="preserve"> 2025 r.</w:t>
      </w:r>
    </w:p>
    <w:tbl>
      <w:tblPr>
        <w:tblW w:w="5000" w:type="pct"/>
        <w:tblInd w:w="85" w:type="dxa"/>
        <w:tblLayout w:type="fixed"/>
        <w:tblCellMar>
          <w:top w:w="85" w:type="dxa"/>
          <w:left w:w="85" w:type="dxa"/>
          <w:bottom w:w="85" w:type="dxa"/>
          <w:right w:w="85" w:type="dxa"/>
        </w:tblCellMar>
        <w:tblLook w:val="0000" w:firstRow="0" w:lastRow="0" w:firstColumn="0" w:lastColumn="0" w:noHBand="0" w:noVBand="0"/>
      </w:tblPr>
      <w:tblGrid>
        <w:gridCol w:w="4466"/>
        <w:gridCol w:w="1688"/>
        <w:gridCol w:w="1557"/>
        <w:gridCol w:w="1361"/>
      </w:tblGrid>
      <w:tr w:rsidR="00A80621" w:rsidRPr="00BC10F2" w14:paraId="0C2B42A7" w14:textId="77777777" w:rsidTr="00BC10F2">
        <w:tc>
          <w:tcPr>
            <w:tcW w:w="4466" w:type="dxa"/>
            <w:tcBorders>
              <w:top w:val="single" w:sz="4" w:space="0" w:color="000000"/>
              <w:bottom w:val="single" w:sz="4" w:space="0" w:color="000000"/>
            </w:tcBorders>
            <w:shd w:val="clear" w:color="auto" w:fill="FFFFFF" w:themeFill="background1"/>
            <w:vAlign w:val="center"/>
          </w:tcPr>
          <w:p w14:paraId="6F31D33C" w14:textId="3CF38929" w:rsidR="00A80621" w:rsidRPr="00BC10F2" w:rsidRDefault="00E6153F" w:rsidP="00E6153F">
            <w:pPr>
              <w:pStyle w:val="Tabela-Listanumerowana"/>
              <w:widowControl w:val="0"/>
              <w:numPr>
                <w:ilvl w:val="0"/>
                <w:numId w:val="28"/>
              </w:numPr>
              <w:rPr>
                <w:rFonts w:asciiTheme="minorHAnsi" w:hAnsiTheme="minorHAnsi" w:cstheme="minorHAnsi"/>
              </w:rPr>
            </w:pPr>
            <w:r w:rsidRPr="00E6153F">
              <w:rPr>
                <w:rFonts w:asciiTheme="minorHAnsi" w:hAnsiTheme="minorHAnsi" w:cstheme="minorHAnsi"/>
                <w:b/>
                <w:bCs w:val="0"/>
                <w:lang w:bidi="ar-SA"/>
              </w:rPr>
              <w:t>Decyzja o przyjęciu do realizacji programu nastąpi do 15 listopada 2023 roku</w:t>
            </w:r>
            <w:r>
              <w:rPr>
                <w:rFonts w:asciiTheme="minorHAnsi" w:hAnsiTheme="minorHAnsi" w:cstheme="minorHAnsi"/>
                <w:b/>
                <w:bCs w:val="0"/>
                <w:lang w:bidi="ar-SA"/>
              </w:rPr>
              <w:t xml:space="preserve"> (Uchwała)</w:t>
            </w:r>
          </w:p>
        </w:tc>
        <w:tc>
          <w:tcPr>
            <w:tcW w:w="1688" w:type="dxa"/>
            <w:tcBorders>
              <w:top w:val="single" w:sz="4" w:space="0" w:color="000000"/>
              <w:bottom w:val="single" w:sz="4" w:space="0" w:color="000000"/>
            </w:tcBorders>
            <w:shd w:val="clear" w:color="auto" w:fill="auto"/>
            <w:vAlign w:val="center"/>
          </w:tcPr>
          <w:p w14:paraId="65819124" w14:textId="348A8917" w:rsidR="00A80621" w:rsidRPr="00BC10F2" w:rsidRDefault="00E6153F">
            <w:pPr>
              <w:pStyle w:val="Tabela-TekstpodstawowyWyrodkowany"/>
              <w:widowControl w:val="0"/>
              <w:rPr>
                <w:rFonts w:asciiTheme="minorHAnsi" w:hAnsiTheme="minorHAnsi" w:cstheme="minorHAnsi"/>
              </w:rPr>
            </w:pPr>
            <w:r>
              <w:rPr>
                <w:rFonts w:asciiTheme="minorHAnsi" w:hAnsiTheme="minorHAnsi" w:cstheme="minorHAnsi"/>
              </w:rPr>
              <w:t>UM</w:t>
            </w:r>
          </w:p>
        </w:tc>
        <w:tc>
          <w:tcPr>
            <w:tcW w:w="1557" w:type="dxa"/>
            <w:tcBorders>
              <w:top w:val="single" w:sz="4" w:space="0" w:color="000000"/>
              <w:bottom w:val="single" w:sz="4" w:space="0" w:color="000000"/>
            </w:tcBorders>
            <w:shd w:val="clear" w:color="auto" w:fill="auto"/>
            <w:vAlign w:val="center"/>
          </w:tcPr>
          <w:p w14:paraId="36AA0518" w14:textId="3BC61571" w:rsidR="00A80621" w:rsidRPr="00BC10F2" w:rsidRDefault="00E6153F">
            <w:pPr>
              <w:pStyle w:val="Tabela-TekstpodstawowyWyrodkowany"/>
              <w:widowControl w:val="0"/>
              <w:rPr>
                <w:rFonts w:asciiTheme="minorHAnsi" w:hAnsiTheme="minorHAnsi" w:cstheme="minorHAnsi"/>
              </w:rPr>
            </w:pPr>
            <w:r>
              <w:rPr>
                <w:rFonts w:asciiTheme="minorHAnsi" w:hAnsiTheme="minorHAnsi" w:cstheme="minorHAnsi"/>
              </w:rPr>
              <w:t>-</w:t>
            </w:r>
          </w:p>
        </w:tc>
        <w:tc>
          <w:tcPr>
            <w:tcW w:w="1361" w:type="dxa"/>
            <w:tcBorders>
              <w:top w:val="single" w:sz="4" w:space="0" w:color="000000"/>
              <w:bottom w:val="single" w:sz="4" w:space="0" w:color="000000"/>
            </w:tcBorders>
            <w:shd w:val="clear" w:color="auto" w:fill="auto"/>
            <w:vAlign w:val="center"/>
          </w:tcPr>
          <w:p w14:paraId="33923C97" w14:textId="2D35BFFB" w:rsidR="00A80621" w:rsidRPr="00BC10F2" w:rsidRDefault="00E6153F" w:rsidP="00EE125C">
            <w:pPr>
              <w:pStyle w:val="Tabela-TekstpodstawowyWyrodkowany"/>
              <w:widowControl w:val="0"/>
              <w:rPr>
                <w:rFonts w:asciiTheme="minorHAnsi" w:hAnsiTheme="minorHAnsi" w:cstheme="minorHAnsi"/>
              </w:rPr>
            </w:pPr>
            <w:r>
              <w:rPr>
                <w:rFonts w:asciiTheme="minorHAnsi" w:hAnsiTheme="minorHAnsi" w:cstheme="minorHAnsi"/>
              </w:rPr>
              <w:t>październik 2023</w:t>
            </w:r>
          </w:p>
        </w:tc>
      </w:tr>
      <w:tr w:rsidR="00E6153F" w:rsidRPr="00BC10F2" w14:paraId="54DAAB93" w14:textId="77777777" w:rsidTr="00BC10F2">
        <w:tc>
          <w:tcPr>
            <w:tcW w:w="4466" w:type="dxa"/>
            <w:tcBorders>
              <w:top w:val="single" w:sz="4" w:space="0" w:color="000000"/>
              <w:bottom w:val="single" w:sz="4" w:space="0" w:color="000000"/>
            </w:tcBorders>
            <w:shd w:val="clear" w:color="auto" w:fill="FFFFFF" w:themeFill="background1"/>
            <w:vAlign w:val="center"/>
          </w:tcPr>
          <w:p w14:paraId="30A9BD6B" w14:textId="48F2E3AD" w:rsidR="00E6153F" w:rsidRPr="00BC10F2" w:rsidRDefault="00E6153F" w:rsidP="00E6153F">
            <w:pPr>
              <w:pStyle w:val="Tabela-Listanumerowana"/>
              <w:widowControl w:val="0"/>
              <w:numPr>
                <w:ilvl w:val="0"/>
                <w:numId w:val="28"/>
              </w:numPr>
              <w:rPr>
                <w:rFonts w:asciiTheme="minorHAnsi" w:hAnsiTheme="minorHAnsi" w:cstheme="minorHAnsi"/>
                <w:b/>
                <w:bCs w:val="0"/>
                <w:lang w:bidi="ar-SA"/>
              </w:rPr>
            </w:pPr>
            <w:r w:rsidRPr="00BC10F2">
              <w:rPr>
                <w:rFonts w:asciiTheme="minorHAnsi" w:hAnsiTheme="minorHAnsi" w:cstheme="minorHAnsi"/>
                <w:b/>
                <w:bCs w:val="0"/>
                <w:lang w:bidi="ar-SA"/>
              </w:rPr>
              <w:t xml:space="preserve">Przygotowanie i ogłoszenie konkursu na wybór realizatorów PPZ; </w:t>
            </w:r>
          </w:p>
        </w:tc>
        <w:tc>
          <w:tcPr>
            <w:tcW w:w="1688" w:type="dxa"/>
            <w:tcBorders>
              <w:top w:val="single" w:sz="4" w:space="0" w:color="000000"/>
              <w:bottom w:val="single" w:sz="4" w:space="0" w:color="000000"/>
            </w:tcBorders>
            <w:shd w:val="clear" w:color="auto" w:fill="auto"/>
            <w:vAlign w:val="center"/>
          </w:tcPr>
          <w:p w14:paraId="7AD48DCE" w14:textId="3EAC04F8" w:rsidR="00E6153F" w:rsidRPr="00BC10F2" w:rsidRDefault="00E6153F" w:rsidP="00E6153F">
            <w:pPr>
              <w:pStyle w:val="Tabela-TekstpodstawowyWyrodkowany"/>
              <w:widowControl w:val="0"/>
              <w:rPr>
                <w:rFonts w:asciiTheme="minorHAnsi" w:hAnsiTheme="minorHAnsi" w:cstheme="minorHAnsi"/>
                <w:lang w:bidi="ar-SA"/>
              </w:rPr>
            </w:pPr>
            <w:r w:rsidRPr="00BC10F2">
              <w:rPr>
                <w:rFonts w:asciiTheme="minorHAnsi" w:hAnsiTheme="minorHAnsi" w:cstheme="minorHAnsi"/>
                <w:lang w:bidi="ar-SA"/>
              </w:rPr>
              <w:t> UM</w:t>
            </w:r>
          </w:p>
        </w:tc>
        <w:tc>
          <w:tcPr>
            <w:tcW w:w="1557" w:type="dxa"/>
            <w:tcBorders>
              <w:top w:val="single" w:sz="4" w:space="0" w:color="000000"/>
              <w:bottom w:val="single" w:sz="4" w:space="0" w:color="000000"/>
            </w:tcBorders>
            <w:shd w:val="clear" w:color="auto" w:fill="auto"/>
            <w:vAlign w:val="center"/>
          </w:tcPr>
          <w:p w14:paraId="4751132B" w14:textId="69038B87" w:rsidR="00E6153F" w:rsidRPr="00BC10F2" w:rsidRDefault="00E6153F" w:rsidP="00E6153F">
            <w:pPr>
              <w:pStyle w:val="Tabela-TekstpodstawowyWyrodkowany"/>
              <w:widowControl w:val="0"/>
              <w:rPr>
                <w:rFonts w:asciiTheme="minorHAnsi" w:hAnsiTheme="minorHAnsi" w:cstheme="minorHAnsi"/>
                <w:lang w:bidi="ar-SA"/>
              </w:rPr>
            </w:pPr>
            <w:r>
              <w:rPr>
                <w:rFonts w:asciiTheme="minorHAnsi" w:hAnsiTheme="minorHAnsi" w:cstheme="minorHAnsi"/>
                <w:lang w:bidi="ar-SA"/>
              </w:rPr>
              <w:t>4</w:t>
            </w:r>
            <w:r w:rsidRPr="00BC10F2">
              <w:rPr>
                <w:rFonts w:asciiTheme="minorHAnsi" w:hAnsiTheme="minorHAnsi" w:cstheme="minorHAnsi"/>
                <w:lang w:bidi="ar-SA"/>
              </w:rPr>
              <w:t xml:space="preserve"> tyg. </w:t>
            </w:r>
          </w:p>
        </w:tc>
        <w:tc>
          <w:tcPr>
            <w:tcW w:w="1361" w:type="dxa"/>
            <w:tcBorders>
              <w:top w:val="single" w:sz="4" w:space="0" w:color="000000"/>
              <w:bottom w:val="single" w:sz="4" w:space="0" w:color="000000"/>
            </w:tcBorders>
            <w:shd w:val="clear" w:color="auto" w:fill="auto"/>
            <w:vAlign w:val="center"/>
          </w:tcPr>
          <w:p w14:paraId="0C5931DD" w14:textId="3B58E7E8" w:rsidR="00E6153F" w:rsidRPr="00BC10F2" w:rsidRDefault="00E6153F" w:rsidP="00E6153F">
            <w:pPr>
              <w:pStyle w:val="Tabela-TekstpodstawowyWyrodkowany"/>
              <w:widowControl w:val="0"/>
              <w:rPr>
                <w:rFonts w:asciiTheme="minorHAnsi" w:hAnsiTheme="minorHAnsi" w:cstheme="minorHAnsi"/>
                <w:lang w:bidi="ar-SA"/>
              </w:rPr>
            </w:pPr>
            <w:r>
              <w:rPr>
                <w:rFonts w:asciiTheme="minorHAnsi" w:hAnsiTheme="minorHAnsi" w:cstheme="minorHAnsi"/>
                <w:lang w:bidi="ar-SA"/>
              </w:rPr>
              <w:t>listopad-grudzień 2023</w:t>
            </w:r>
          </w:p>
        </w:tc>
      </w:tr>
      <w:tr w:rsidR="00E6153F" w:rsidRPr="00BC10F2" w14:paraId="51076CBC" w14:textId="77777777" w:rsidTr="00BC10F2">
        <w:tc>
          <w:tcPr>
            <w:tcW w:w="4466" w:type="dxa"/>
            <w:tcBorders>
              <w:top w:val="single" w:sz="4" w:space="0" w:color="000000"/>
              <w:bottom w:val="single" w:sz="4" w:space="0" w:color="000000"/>
            </w:tcBorders>
            <w:shd w:val="clear" w:color="auto" w:fill="FFFFFF" w:themeFill="background1"/>
            <w:vAlign w:val="center"/>
          </w:tcPr>
          <w:p w14:paraId="72A8B351" w14:textId="77777777" w:rsidR="00E6153F" w:rsidRPr="00BC10F2" w:rsidRDefault="00E6153F" w:rsidP="00E6153F">
            <w:pPr>
              <w:pStyle w:val="Tabela-Listanumerowana"/>
              <w:widowControl w:val="0"/>
              <w:numPr>
                <w:ilvl w:val="0"/>
                <w:numId w:val="28"/>
              </w:numPr>
              <w:rPr>
                <w:rFonts w:asciiTheme="minorHAnsi" w:hAnsiTheme="minorHAnsi" w:cstheme="minorHAnsi"/>
              </w:rPr>
            </w:pPr>
            <w:r w:rsidRPr="00BC10F2">
              <w:rPr>
                <w:rFonts w:asciiTheme="minorHAnsi" w:hAnsiTheme="minorHAnsi" w:cstheme="minorHAnsi"/>
                <w:b/>
                <w:bCs w:val="0"/>
                <w:lang w:bidi="ar-SA"/>
              </w:rPr>
              <w:t xml:space="preserve">Składanie ofert konkursowych </w:t>
            </w:r>
          </w:p>
        </w:tc>
        <w:tc>
          <w:tcPr>
            <w:tcW w:w="1688" w:type="dxa"/>
            <w:tcBorders>
              <w:top w:val="single" w:sz="4" w:space="0" w:color="000000"/>
              <w:bottom w:val="single" w:sz="4" w:space="0" w:color="000000"/>
            </w:tcBorders>
            <w:shd w:val="clear" w:color="auto" w:fill="auto"/>
            <w:vAlign w:val="center"/>
          </w:tcPr>
          <w:p w14:paraId="4CF42289" w14:textId="77777777" w:rsidR="00E6153F" w:rsidRPr="00BC10F2" w:rsidRDefault="00E6153F" w:rsidP="00E6153F">
            <w:pPr>
              <w:pStyle w:val="Tabela-TekstpodstawowyWyrodkowany"/>
              <w:widowControl w:val="0"/>
              <w:rPr>
                <w:rFonts w:asciiTheme="minorHAnsi" w:hAnsiTheme="minorHAnsi" w:cstheme="minorHAnsi"/>
              </w:rPr>
            </w:pPr>
            <w:r w:rsidRPr="00BC10F2">
              <w:rPr>
                <w:rFonts w:asciiTheme="minorHAnsi" w:hAnsiTheme="minorHAnsi" w:cstheme="minorHAnsi"/>
                <w:lang w:bidi="ar-SA"/>
              </w:rPr>
              <w:t>Realizatorzy </w:t>
            </w:r>
          </w:p>
        </w:tc>
        <w:tc>
          <w:tcPr>
            <w:tcW w:w="1557" w:type="dxa"/>
            <w:tcBorders>
              <w:top w:val="single" w:sz="4" w:space="0" w:color="000000"/>
              <w:bottom w:val="single" w:sz="4" w:space="0" w:color="000000"/>
            </w:tcBorders>
            <w:shd w:val="clear" w:color="auto" w:fill="auto"/>
            <w:vAlign w:val="center"/>
          </w:tcPr>
          <w:p w14:paraId="4CDDC234" w14:textId="516BA21E" w:rsidR="00E6153F" w:rsidRPr="00BC10F2" w:rsidRDefault="00E6153F" w:rsidP="00E6153F">
            <w:pPr>
              <w:pStyle w:val="Tabela-TekstpodstawowyWyrodkowany"/>
              <w:widowControl w:val="0"/>
              <w:rPr>
                <w:rFonts w:asciiTheme="minorHAnsi" w:hAnsiTheme="minorHAnsi" w:cstheme="minorHAnsi"/>
              </w:rPr>
            </w:pPr>
            <w:r w:rsidRPr="00BC10F2">
              <w:rPr>
                <w:rFonts w:asciiTheme="minorHAnsi" w:hAnsiTheme="minorHAnsi" w:cstheme="minorHAnsi"/>
                <w:lang w:bidi="ar-SA"/>
              </w:rPr>
              <w:t>2 tyg.</w:t>
            </w:r>
          </w:p>
        </w:tc>
        <w:tc>
          <w:tcPr>
            <w:tcW w:w="1361" w:type="dxa"/>
            <w:tcBorders>
              <w:top w:val="single" w:sz="4" w:space="0" w:color="000000"/>
              <w:bottom w:val="single" w:sz="4" w:space="0" w:color="000000"/>
            </w:tcBorders>
            <w:shd w:val="clear" w:color="auto" w:fill="auto"/>
            <w:vAlign w:val="center"/>
          </w:tcPr>
          <w:p w14:paraId="727015F6" w14:textId="18EEB144" w:rsidR="00E6153F" w:rsidRPr="00BC10F2" w:rsidRDefault="00E6153F" w:rsidP="00E6153F">
            <w:pPr>
              <w:pStyle w:val="Tabela-TekstpodstawowyWyrodkowany"/>
              <w:widowControl w:val="0"/>
              <w:rPr>
                <w:rFonts w:asciiTheme="minorHAnsi" w:hAnsiTheme="minorHAnsi" w:cstheme="minorHAnsi"/>
              </w:rPr>
            </w:pPr>
            <w:r>
              <w:rPr>
                <w:rFonts w:asciiTheme="minorHAnsi" w:hAnsiTheme="minorHAnsi" w:cstheme="minorHAnsi"/>
                <w:lang w:bidi="ar-SA"/>
              </w:rPr>
              <w:t>grudzień</w:t>
            </w:r>
            <w:r w:rsidRPr="00BC10F2">
              <w:rPr>
                <w:rFonts w:asciiTheme="minorHAnsi" w:hAnsiTheme="minorHAnsi" w:cstheme="minorHAnsi"/>
                <w:lang w:bidi="ar-SA"/>
              </w:rPr>
              <w:t xml:space="preserve"> 202</w:t>
            </w:r>
            <w:r>
              <w:rPr>
                <w:rFonts w:asciiTheme="minorHAnsi" w:hAnsiTheme="minorHAnsi" w:cstheme="minorHAnsi"/>
                <w:lang w:bidi="ar-SA"/>
              </w:rPr>
              <w:t>3</w:t>
            </w:r>
          </w:p>
        </w:tc>
      </w:tr>
      <w:tr w:rsidR="00E6153F" w:rsidRPr="00BC10F2" w14:paraId="3309FDCE" w14:textId="77777777" w:rsidTr="00BC10F2">
        <w:tc>
          <w:tcPr>
            <w:tcW w:w="4466" w:type="dxa"/>
            <w:tcBorders>
              <w:top w:val="single" w:sz="4" w:space="0" w:color="000000"/>
              <w:bottom w:val="single" w:sz="4" w:space="0" w:color="000000"/>
            </w:tcBorders>
            <w:shd w:val="clear" w:color="auto" w:fill="FFFFFF" w:themeFill="background1"/>
            <w:vAlign w:val="center"/>
          </w:tcPr>
          <w:p w14:paraId="24E35791" w14:textId="77777777" w:rsidR="00E6153F" w:rsidRPr="00BC10F2" w:rsidRDefault="00E6153F" w:rsidP="00E6153F">
            <w:pPr>
              <w:pStyle w:val="Tabela-Listanumerowana"/>
              <w:widowControl w:val="0"/>
              <w:numPr>
                <w:ilvl w:val="0"/>
                <w:numId w:val="28"/>
              </w:numPr>
              <w:rPr>
                <w:rFonts w:asciiTheme="minorHAnsi" w:hAnsiTheme="minorHAnsi" w:cstheme="minorHAnsi"/>
              </w:rPr>
            </w:pPr>
            <w:r w:rsidRPr="00BC10F2">
              <w:rPr>
                <w:rFonts w:asciiTheme="minorHAnsi" w:hAnsiTheme="minorHAnsi" w:cstheme="minorHAnsi"/>
                <w:b/>
                <w:bCs w:val="0"/>
                <w:lang w:bidi="ar-SA"/>
              </w:rPr>
              <w:t>Wyłonienie Realizatorów /podpisywanie umów z realizatorami</w:t>
            </w:r>
          </w:p>
        </w:tc>
        <w:tc>
          <w:tcPr>
            <w:tcW w:w="1688" w:type="dxa"/>
            <w:tcBorders>
              <w:top w:val="single" w:sz="4" w:space="0" w:color="000000"/>
              <w:bottom w:val="single" w:sz="4" w:space="0" w:color="000000"/>
            </w:tcBorders>
            <w:shd w:val="clear" w:color="auto" w:fill="auto"/>
            <w:vAlign w:val="center"/>
          </w:tcPr>
          <w:p w14:paraId="40A32566" w14:textId="77777777" w:rsidR="00E6153F" w:rsidRPr="00BC10F2" w:rsidRDefault="00E6153F" w:rsidP="00E6153F">
            <w:pPr>
              <w:pStyle w:val="Tabela-TekstpodstawowyWyrodkowany"/>
              <w:widowControl w:val="0"/>
              <w:rPr>
                <w:rFonts w:asciiTheme="minorHAnsi" w:hAnsiTheme="minorHAnsi" w:cstheme="minorHAnsi"/>
              </w:rPr>
            </w:pPr>
            <w:r w:rsidRPr="00BC10F2">
              <w:rPr>
                <w:rFonts w:asciiTheme="minorHAnsi" w:hAnsiTheme="minorHAnsi" w:cstheme="minorHAnsi"/>
                <w:lang w:bidi="ar-SA"/>
              </w:rPr>
              <w:t> UM/Realizatorzy</w:t>
            </w:r>
          </w:p>
        </w:tc>
        <w:tc>
          <w:tcPr>
            <w:tcW w:w="1557" w:type="dxa"/>
            <w:tcBorders>
              <w:top w:val="single" w:sz="4" w:space="0" w:color="000000"/>
              <w:bottom w:val="single" w:sz="4" w:space="0" w:color="000000"/>
            </w:tcBorders>
            <w:shd w:val="clear" w:color="auto" w:fill="auto"/>
            <w:vAlign w:val="center"/>
          </w:tcPr>
          <w:p w14:paraId="4DDE9E15" w14:textId="3981F7DF" w:rsidR="00E6153F" w:rsidRPr="00BC10F2" w:rsidRDefault="00006ECE" w:rsidP="00E6153F">
            <w:pPr>
              <w:pStyle w:val="Tabela-TekstpodstawowyWyrodkowany"/>
              <w:widowControl w:val="0"/>
              <w:rPr>
                <w:rFonts w:asciiTheme="minorHAnsi" w:hAnsiTheme="minorHAnsi" w:cstheme="minorHAnsi"/>
              </w:rPr>
            </w:pPr>
            <w:r>
              <w:rPr>
                <w:rFonts w:asciiTheme="minorHAnsi" w:hAnsiTheme="minorHAnsi" w:cstheme="minorHAnsi"/>
                <w:lang w:bidi="ar-SA"/>
              </w:rPr>
              <w:t>3</w:t>
            </w:r>
            <w:r w:rsidR="00E6153F" w:rsidRPr="00BC10F2">
              <w:rPr>
                <w:rFonts w:asciiTheme="minorHAnsi" w:hAnsiTheme="minorHAnsi" w:cstheme="minorHAnsi"/>
                <w:lang w:bidi="ar-SA"/>
              </w:rPr>
              <w:t xml:space="preserve"> tyg.</w:t>
            </w:r>
          </w:p>
        </w:tc>
        <w:tc>
          <w:tcPr>
            <w:tcW w:w="1361" w:type="dxa"/>
            <w:tcBorders>
              <w:top w:val="single" w:sz="4" w:space="0" w:color="000000"/>
              <w:bottom w:val="single" w:sz="4" w:space="0" w:color="000000"/>
            </w:tcBorders>
            <w:shd w:val="clear" w:color="auto" w:fill="auto"/>
            <w:vAlign w:val="center"/>
          </w:tcPr>
          <w:p w14:paraId="70637846" w14:textId="21A9B160" w:rsidR="00E6153F" w:rsidRPr="00BC10F2" w:rsidRDefault="00006ECE" w:rsidP="00E6153F">
            <w:pPr>
              <w:pStyle w:val="Tabela-TekstpodstawowyWyrodkowany"/>
              <w:widowControl w:val="0"/>
              <w:rPr>
                <w:rFonts w:asciiTheme="minorHAnsi" w:hAnsiTheme="minorHAnsi" w:cstheme="minorHAnsi"/>
              </w:rPr>
            </w:pPr>
            <w:r>
              <w:rPr>
                <w:rFonts w:asciiTheme="minorHAnsi" w:hAnsiTheme="minorHAnsi" w:cstheme="minorHAnsi"/>
                <w:lang w:bidi="ar-SA"/>
              </w:rPr>
              <w:t>grudzień 2023-</w:t>
            </w:r>
            <w:r w:rsidR="00E6153F">
              <w:rPr>
                <w:rFonts w:asciiTheme="minorHAnsi" w:hAnsiTheme="minorHAnsi" w:cstheme="minorHAnsi"/>
                <w:lang w:bidi="ar-SA"/>
              </w:rPr>
              <w:t>styczeń</w:t>
            </w:r>
            <w:r w:rsidR="00E6153F" w:rsidRPr="00BC10F2">
              <w:rPr>
                <w:rFonts w:asciiTheme="minorHAnsi" w:hAnsiTheme="minorHAnsi" w:cstheme="minorHAnsi"/>
                <w:lang w:bidi="ar-SA"/>
              </w:rPr>
              <w:t xml:space="preserve"> 2024</w:t>
            </w:r>
          </w:p>
        </w:tc>
      </w:tr>
      <w:tr w:rsidR="00433CBA" w:rsidRPr="00BC10F2" w14:paraId="6224B547" w14:textId="77777777" w:rsidTr="00BC10F2">
        <w:tc>
          <w:tcPr>
            <w:tcW w:w="4466" w:type="dxa"/>
            <w:tcBorders>
              <w:top w:val="single" w:sz="4" w:space="0" w:color="000000"/>
              <w:bottom w:val="single" w:sz="4" w:space="0" w:color="000000"/>
            </w:tcBorders>
            <w:shd w:val="clear" w:color="auto" w:fill="FFFFFF" w:themeFill="background1"/>
            <w:vAlign w:val="center"/>
          </w:tcPr>
          <w:p w14:paraId="7F18904A" w14:textId="776767A5" w:rsidR="00433CBA" w:rsidRPr="00BC10F2" w:rsidRDefault="00433CBA" w:rsidP="00433CBA">
            <w:pPr>
              <w:pStyle w:val="Tabela-Listanumerowana"/>
              <w:widowControl w:val="0"/>
              <w:numPr>
                <w:ilvl w:val="0"/>
                <w:numId w:val="28"/>
              </w:numPr>
              <w:rPr>
                <w:rFonts w:asciiTheme="minorHAnsi" w:hAnsiTheme="minorHAnsi" w:cstheme="minorHAnsi"/>
                <w:b/>
                <w:bCs w:val="0"/>
                <w:lang w:bidi="ar-SA"/>
              </w:rPr>
            </w:pPr>
            <w:r>
              <w:rPr>
                <w:rFonts w:asciiTheme="minorHAnsi" w:hAnsiTheme="minorHAnsi" w:cstheme="minorHAnsi"/>
                <w:b/>
                <w:bCs w:val="0"/>
                <w:lang w:bidi="ar-SA"/>
              </w:rPr>
              <w:t>P</w:t>
            </w:r>
            <w:r w:rsidRPr="004656E8">
              <w:rPr>
                <w:rFonts w:asciiTheme="minorHAnsi" w:hAnsiTheme="minorHAnsi" w:cstheme="minorHAnsi"/>
                <w:b/>
                <w:bCs w:val="0"/>
                <w:lang w:bidi="ar-SA"/>
              </w:rPr>
              <w:t>rzygotowanie materiałów edukacyjno-informacyjnych</w:t>
            </w:r>
            <w:r>
              <w:rPr>
                <w:rFonts w:asciiTheme="minorHAnsi" w:hAnsiTheme="minorHAnsi" w:cstheme="minorHAnsi"/>
                <w:b/>
                <w:bCs w:val="0"/>
                <w:lang w:bidi="ar-SA"/>
              </w:rPr>
              <w:t>, szkoleniowych i innych</w:t>
            </w:r>
          </w:p>
        </w:tc>
        <w:tc>
          <w:tcPr>
            <w:tcW w:w="1688" w:type="dxa"/>
            <w:tcBorders>
              <w:top w:val="single" w:sz="4" w:space="0" w:color="000000"/>
              <w:bottom w:val="single" w:sz="4" w:space="0" w:color="000000"/>
            </w:tcBorders>
            <w:shd w:val="clear" w:color="auto" w:fill="auto"/>
            <w:vAlign w:val="center"/>
          </w:tcPr>
          <w:p w14:paraId="6C645C38" w14:textId="55001C73" w:rsidR="00433CBA" w:rsidRPr="00BC10F2" w:rsidRDefault="00433CBA" w:rsidP="00433CBA">
            <w:pPr>
              <w:pStyle w:val="Tabela-TekstpodstawowyWyrodkowany"/>
              <w:widowControl w:val="0"/>
              <w:rPr>
                <w:rFonts w:asciiTheme="minorHAnsi" w:hAnsiTheme="minorHAnsi" w:cstheme="minorHAnsi"/>
                <w:lang w:bidi="ar-SA"/>
              </w:rPr>
            </w:pPr>
            <w:r w:rsidRPr="00BC10F2">
              <w:rPr>
                <w:rFonts w:asciiTheme="minorHAnsi" w:hAnsiTheme="minorHAnsi" w:cstheme="minorHAnsi"/>
                <w:lang w:bidi="ar-SA"/>
              </w:rPr>
              <w:t>UM/Realizatorzy</w:t>
            </w:r>
          </w:p>
        </w:tc>
        <w:tc>
          <w:tcPr>
            <w:tcW w:w="1557" w:type="dxa"/>
            <w:tcBorders>
              <w:top w:val="single" w:sz="4" w:space="0" w:color="000000"/>
              <w:bottom w:val="single" w:sz="4" w:space="0" w:color="000000"/>
            </w:tcBorders>
            <w:shd w:val="clear" w:color="auto" w:fill="auto"/>
            <w:vAlign w:val="center"/>
          </w:tcPr>
          <w:p w14:paraId="6132BB90" w14:textId="00505D32" w:rsidR="00433CBA" w:rsidRDefault="00433CBA" w:rsidP="00433CBA">
            <w:pPr>
              <w:pStyle w:val="Tabela-TekstpodstawowyWyrodkowany"/>
              <w:widowControl w:val="0"/>
              <w:rPr>
                <w:rFonts w:asciiTheme="minorHAnsi" w:hAnsiTheme="minorHAnsi" w:cstheme="minorHAnsi"/>
                <w:lang w:bidi="ar-SA"/>
              </w:rPr>
            </w:pPr>
            <w:r>
              <w:rPr>
                <w:rFonts w:asciiTheme="minorHAnsi" w:hAnsiTheme="minorHAnsi" w:cstheme="minorHAnsi"/>
                <w:lang w:bidi="ar-SA"/>
              </w:rPr>
              <w:t>3 tyg.</w:t>
            </w:r>
          </w:p>
        </w:tc>
        <w:tc>
          <w:tcPr>
            <w:tcW w:w="1361" w:type="dxa"/>
            <w:tcBorders>
              <w:top w:val="single" w:sz="4" w:space="0" w:color="000000"/>
              <w:bottom w:val="single" w:sz="4" w:space="0" w:color="000000"/>
            </w:tcBorders>
            <w:shd w:val="clear" w:color="auto" w:fill="auto"/>
            <w:vAlign w:val="center"/>
          </w:tcPr>
          <w:p w14:paraId="725280D1" w14:textId="2613EC7B" w:rsidR="00433CBA" w:rsidRDefault="00433CBA" w:rsidP="00433CBA">
            <w:pPr>
              <w:pStyle w:val="Tabela-TekstpodstawowyWyrodkowany"/>
              <w:widowControl w:val="0"/>
              <w:rPr>
                <w:rFonts w:asciiTheme="minorHAnsi" w:hAnsiTheme="minorHAnsi" w:cstheme="minorHAnsi"/>
                <w:lang w:bidi="ar-SA"/>
              </w:rPr>
            </w:pPr>
            <w:r>
              <w:rPr>
                <w:rFonts w:asciiTheme="minorHAnsi" w:hAnsiTheme="minorHAnsi" w:cstheme="minorHAnsi"/>
                <w:lang w:bidi="ar-SA"/>
              </w:rPr>
              <w:t>grudzień 2023-styczeń 2024</w:t>
            </w:r>
          </w:p>
        </w:tc>
      </w:tr>
      <w:tr w:rsidR="00E6153F" w:rsidRPr="00BC10F2" w14:paraId="0DF75307" w14:textId="77777777" w:rsidTr="00BC10F2">
        <w:tc>
          <w:tcPr>
            <w:tcW w:w="4466" w:type="dxa"/>
            <w:tcBorders>
              <w:top w:val="single" w:sz="4" w:space="0" w:color="000000"/>
              <w:bottom w:val="single" w:sz="4" w:space="0" w:color="000000"/>
            </w:tcBorders>
            <w:shd w:val="clear" w:color="auto" w:fill="FFFFFF" w:themeFill="background1"/>
            <w:vAlign w:val="center"/>
          </w:tcPr>
          <w:p w14:paraId="13321699" w14:textId="3BFEAB36" w:rsidR="00E6153F" w:rsidRPr="00BC10F2" w:rsidRDefault="00E6153F" w:rsidP="00E6153F">
            <w:pPr>
              <w:pStyle w:val="Tabela-Listanumerowana"/>
              <w:widowControl w:val="0"/>
              <w:numPr>
                <w:ilvl w:val="0"/>
                <w:numId w:val="28"/>
              </w:numPr>
              <w:rPr>
                <w:rFonts w:asciiTheme="minorHAnsi" w:hAnsiTheme="minorHAnsi" w:cstheme="minorHAnsi"/>
                <w:b/>
                <w:bCs w:val="0"/>
                <w:lang w:bidi="ar-SA"/>
              </w:rPr>
            </w:pPr>
            <w:r w:rsidRPr="00BC10F2">
              <w:rPr>
                <w:rFonts w:asciiTheme="minorHAnsi" w:hAnsiTheme="minorHAnsi" w:cstheme="minorHAnsi"/>
                <w:b/>
                <w:bCs w:val="0"/>
                <w:lang w:bidi="ar-SA"/>
              </w:rPr>
              <w:t>Przeprowadzenie interwencji: szkolenie dla personelu medycznego</w:t>
            </w:r>
          </w:p>
        </w:tc>
        <w:tc>
          <w:tcPr>
            <w:tcW w:w="1688" w:type="dxa"/>
            <w:tcBorders>
              <w:top w:val="single" w:sz="4" w:space="0" w:color="000000"/>
              <w:bottom w:val="single" w:sz="4" w:space="0" w:color="000000"/>
            </w:tcBorders>
            <w:shd w:val="clear" w:color="auto" w:fill="auto"/>
            <w:vAlign w:val="center"/>
          </w:tcPr>
          <w:p w14:paraId="0399B83D" w14:textId="77777777" w:rsidR="00E6153F" w:rsidRPr="00BC10F2" w:rsidRDefault="00E6153F" w:rsidP="00E6153F">
            <w:pPr>
              <w:pStyle w:val="Tabela-TekstpodstawowyWyrodkowany"/>
              <w:widowControl w:val="0"/>
              <w:rPr>
                <w:rFonts w:asciiTheme="minorHAnsi" w:hAnsiTheme="minorHAnsi" w:cstheme="minorHAnsi"/>
                <w:lang w:bidi="ar-SA"/>
              </w:rPr>
            </w:pPr>
            <w:r w:rsidRPr="00BC10F2">
              <w:rPr>
                <w:rFonts w:asciiTheme="minorHAnsi" w:hAnsiTheme="minorHAnsi" w:cstheme="minorHAnsi"/>
                <w:lang w:bidi="ar-SA"/>
              </w:rPr>
              <w:t>Realizatorzy</w:t>
            </w:r>
          </w:p>
        </w:tc>
        <w:tc>
          <w:tcPr>
            <w:tcW w:w="1557" w:type="dxa"/>
            <w:tcBorders>
              <w:top w:val="single" w:sz="4" w:space="0" w:color="000000"/>
              <w:bottom w:val="single" w:sz="4" w:space="0" w:color="000000"/>
            </w:tcBorders>
            <w:shd w:val="clear" w:color="auto" w:fill="auto"/>
            <w:vAlign w:val="center"/>
          </w:tcPr>
          <w:p w14:paraId="3B3DA8AB" w14:textId="0BFEACD6" w:rsidR="00E6153F" w:rsidRPr="00BC10F2" w:rsidRDefault="00E6153F" w:rsidP="00E6153F">
            <w:pPr>
              <w:pStyle w:val="Tabela-TekstpodstawowyWyrodkowany"/>
              <w:widowControl w:val="0"/>
              <w:rPr>
                <w:rFonts w:asciiTheme="minorHAnsi" w:hAnsiTheme="minorHAnsi" w:cstheme="minorHAnsi"/>
                <w:lang w:bidi="ar-SA"/>
              </w:rPr>
            </w:pPr>
            <w:r w:rsidRPr="00BC10F2">
              <w:rPr>
                <w:rFonts w:asciiTheme="minorHAnsi" w:hAnsiTheme="minorHAnsi" w:cstheme="minorHAnsi"/>
                <w:lang w:bidi="ar-SA"/>
              </w:rPr>
              <w:t>4 tyg.</w:t>
            </w:r>
          </w:p>
        </w:tc>
        <w:tc>
          <w:tcPr>
            <w:tcW w:w="1361" w:type="dxa"/>
            <w:tcBorders>
              <w:top w:val="single" w:sz="4" w:space="0" w:color="000000"/>
              <w:bottom w:val="single" w:sz="4" w:space="0" w:color="000000"/>
            </w:tcBorders>
            <w:shd w:val="clear" w:color="auto" w:fill="auto"/>
            <w:vAlign w:val="center"/>
          </w:tcPr>
          <w:p w14:paraId="477C7DEA" w14:textId="55D75031" w:rsidR="00E6153F" w:rsidRPr="00BC10F2" w:rsidRDefault="00E6153F" w:rsidP="00E6153F">
            <w:pPr>
              <w:pStyle w:val="Tabela-TekstpodstawowyWyrodkowany"/>
              <w:widowControl w:val="0"/>
              <w:rPr>
                <w:rFonts w:asciiTheme="minorHAnsi" w:hAnsiTheme="minorHAnsi" w:cstheme="minorHAnsi"/>
                <w:lang w:bidi="ar-SA"/>
              </w:rPr>
            </w:pPr>
            <w:r>
              <w:rPr>
                <w:rFonts w:asciiTheme="minorHAnsi" w:hAnsiTheme="minorHAnsi" w:cstheme="minorHAnsi"/>
                <w:lang w:bidi="ar-SA"/>
              </w:rPr>
              <w:t>styczeń-luty</w:t>
            </w:r>
            <w:r w:rsidRPr="00BC10F2">
              <w:rPr>
                <w:rFonts w:asciiTheme="minorHAnsi" w:hAnsiTheme="minorHAnsi" w:cstheme="minorHAnsi"/>
                <w:lang w:bidi="ar-SA"/>
              </w:rPr>
              <w:t xml:space="preserve"> 2024</w:t>
            </w:r>
          </w:p>
        </w:tc>
      </w:tr>
      <w:tr w:rsidR="00E6153F" w:rsidRPr="00BC10F2" w14:paraId="6703F0DF" w14:textId="77777777" w:rsidTr="00BC10F2">
        <w:tc>
          <w:tcPr>
            <w:tcW w:w="4466" w:type="dxa"/>
            <w:tcBorders>
              <w:top w:val="single" w:sz="4" w:space="0" w:color="000000"/>
              <w:bottom w:val="single" w:sz="4" w:space="0" w:color="000000"/>
            </w:tcBorders>
            <w:shd w:val="clear" w:color="auto" w:fill="FFFFFF" w:themeFill="background1"/>
            <w:vAlign w:val="center"/>
          </w:tcPr>
          <w:p w14:paraId="6438DEED" w14:textId="77777777" w:rsidR="00E6153F" w:rsidRPr="00BC10F2" w:rsidRDefault="00E6153F" w:rsidP="00E6153F">
            <w:pPr>
              <w:pStyle w:val="Tabela-Listanumerowana"/>
              <w:widowControl w:val="0"/>
              <w:numPr>
                <w:ilvl w:val="0"/>
                <w:numId w:val="28"/>
              </w:numPr>
              <w:rPr>
                <w:rFonts w:asciiTheme="minorHAnsi" w:hAnsiTheme="minorHAnsi" w:cstheme="minorHAnsi"/>
                <w:b/>
                <w:bCs w:val="0"/>
                <w:lang w:bidi="ar-SA"/>
              </w:rPr>
            </w:pPr>
            <w:r w:rsidRPr="00BC10F2">
              <w:rPr>
                <w:rFonts w:asciiTheme="minorHAnsi" w:hAnsiTheme="minorHAnsi" w:cstheme="minorHAnsi"/>
                <w:b/>
                <w:bCs w:val="0"/>
                <w:lang w:bidi="ar-SA"/>
              </w:rPr>
              <w:lastRenderedPageBreak/>
              <w:t>Przeprowadzenie interwencji: działania edukacyjno-informacyjne dla populacji ogólnej</w:t>
            </w:r>
          </w:p>
        </w:tc>
        <w:tc>
          <w:tcPr>
            <w:tcW w:w="1688" w:type="dxa"/>
            <w:tcBorders>
              <w:top w:val="single" w:sz="4" w:space="0" w:color="000000"/>
              <w:bottom w:val="single" w:sz="4" w:space="0" w:color="000000"/>
            </w:tcBorders>
            <w:shd w:val="clear" w:color="auto" w:fill="auto"/>
            <w:vAlign w:val="center"/>
          </w:tcPr>
          <w:p w14:paraId="74CD0A74" w14:textId="77777777" w:rsidR="00E6153F" w:rsidRPr="00BC10F2" w:rsidRDefault="00E6153F" w:rsidP="00E6153F">
            <w:pPr>
              <w:pStyle w:val="Tabela-TekstpodstawowyWyrodkowany"/>
              <w:widowControl w:val="0"/>
              <w:rPr>
                <w:rFonts w:asciiTheme="minorHAnsi" w:hAnsiTheme="minorHAnsi" w:cstheme="minorHAnsi"/>
                <w:lang w:bidi="ar-SA"/>
              </w:rPr>
            </w:pPr>
            <w:r w:rsidRPr="00BC10F2">
              <w:rPr>
                <w:rFonts w:asciiTheme="minorHAnsi" w:hAnsiTheme="minorHAnsi" w:cstheme="minorHAnsi"/>
                <w:lang w:bidi="ar-SA"/>
              </w:rPr>
              <w:t>UM/Realizatorzy</w:t>
            </w:r>
          </w:p>
        </w:tc>
        <w:tc>
          <w:tcPr>
            <w:tcW w:w="1557" w:type="dxa"/>
            <w:tcBorders>
              <w:top w:val="single" w:sz="4" w:space="0" w:color="000000"/>
              <w:bottom w:val="single" w:sz="4" w:space="0" w:color="000000"/>
            </w:tcBorders>
            <w:shd w:val="clear" w:color="auto" w:fill="auto"/>
            <w:vAlign w:val="center"/>
          </w:tcPr>
          <w:p w14:paraId="7916F49B" w14:textId="77777777" w:rsidR="00E6153F" w:rsidRPr="00BC10F2" w:rsidRDefault="00E6153F" w:rsidP="00E6153F">
            <w:pPr>
              <w:pStyle w:val="Tabela-TekstpodstawowyWyrodkowany"/>
              <w:widowControl w:val="0"/>
              <w:rPr>
                <w:rFonts w:asciiTheme="minorHAnsi" w:hAnsiTheme="minorHAnsi" w:cstheme="minorHAnsi"/>
                <w:lang w:bidi="ar-SA"/>
              </w:rPr>
            </w:pPr>
            <w:r w:rsidRPr="00BC10F2">
              <w:rPr>
                <w:rFonts w:asciiTheme="minorHAnsi" w:hAnsiTheme="minorHAnsi" w:cstheme="minorHAnsi"/>
                <w:lang w:bidi="ar-SA"/>
              </w:rPr>
              <w:t xml:space="preserve">17 </w:t>
            </w:r>
            <w:proofErr w:type="spellStart"/>
            <w:r w:rsidRPr="00BC10F2">
              <w:rPr>
                <w:rFonts w:asciiTheme="minorHAnsi" w:hAnsiTheme="minorHAnsi" w:cstheme="minorHAnsi"/>
                <w:lang w:bidi="ar-SA"/>
              </w:rPr>
              <w:t>msc</w:t>
            </w:r>
            <w:proofErr w:type="spellEnd"/>
            <w:r w:rsidRPr="00BC10F2">
              <w:rPr>
                <w:rFonts w:asciiTheme="minorHAnsi" w:hAnsiTheme="minorHAnsi" w:cstheme="minorHAnsi"/>
                <w:lang w:bidi="ar-SA"/>
              </w:rPr>
              <w:t>.</w:t>
            </w:r>
          </w:p>
        </w:tc>
        <w:tc>
          <w:tcPr>
            <w:tcW w:w="1361" w:type="dxa"/>
            <w:tcBorders>
              <w:top w:val="single" w:sz="4" w:space="0" w:color="000000"/>
              <w:bottom w:val="single" w:sz="4" w:space="0" w:color="000000"/>
            </w:tcBorders>
            <w:shd w:val="clear" w:color="auto" w:fill="auto"/>
            <w:vAlign w:val="center"/>
          </w:tcPr>
          <w:p w14:paraId="00B2D0E1" w14:textId="58DB8815" w:rsidR="00E6153F" w:rsidRPr="00BC10F2" w:rsidRDefault="00E6153F" w:rsidP="00E6153F">
            <w:pPr>
              <w:pStyle w:val="Tabela-TekstpodstawowyWyrodkowany"/>
              <w:widowControl w:val="0"/>
              <w:rPr>
                <w:rFonts w:asciiTheme="minorHAnsi" w:hAnsiTheme="minorHAnsi" w:cstheme="minorHAnsi"/>
                <w:lang w:bidi="ar-SA"/>
              </w:rPr>
            </w:pPr>
            <w:r>
              <w:rPr>
                <w:rFonts w:asciiTheme="minorHAnsi" w:hAnsiTheme="minorHAnsi" w:cstheme="minorHAnsi"/>
                <w:lang w:bidi="ar-SA"/>
              </w:rPr>
              <w:t>marzec</w:t>
            </w:r>
            <w:r w:rsidRPr="00BC10F2">
              <w:rPr>
                <w:rFonts w:asciiTheme="minorHAnsi" w:hAnsiTheme="minorHAnsi" w:cstheme="minorHAnsi"/>
                <w:lang w:bidi="ar-SA"/>
              </w:rPr>
              <w:t xml:space="preserve"> 2024 - </w:t>
            </w:r>
            <w:r>
              <w:rPr>
                <w:rFonts w:asciiTheme="minorHAnsi" w:hAnsiTheme="minorHAnsi" w:cstheme="minorHAnsi"/>
                <w:lang w:bidi="ar-SA"/>
              </w:rPr>
              <w:t>sierpień</w:t>
            </w:r>
            <w:r w:rsidRPr="00BC10F2">
              <w:rPr>
                <w:rFonts w:asciiTheme="minorHAnsi" w:hAnsiTheme="minorHAnsi" w:cstheme="minorHAnsi"/>
                <w:lang w:bidi="ar-SA"/>
              </w:rPr>
              <w:t xml:space="preserve"> 2025</w:t>
            </w:r>
          </w:p>
        </w:tc>
      </w:tr>
      <w:tr w:rsidR="00E6153F" w:rsidRPr="00BC10F2" w14:paraId="5065C8DB" w14:textId="77777777" w:rsidTr="00BC10F2">
        <w:tc>
          <w:tcPr>
            <w:tcW w:w="4466" w:type="dxa"/>
            <w:tcBorders>
              <w:top w:val="single" w:sz="4" w:space="0" w:color="000000"/>
              <w:bottom w:val="single" w:sz="4" w:space="0" w:color="000000"/>
            </w:tcBorders>
            <w:shd w:val="clear" w:color="auto" w:fill="FFFFFF" w:themeFill="background1"/>
            <w:vAlign w:val="center"/>
          </w:tcPr>
          <w:p w14:paraId="1D3C9081" w14:textId="77777777" w:rsidR="00E6153F" w:rsidRPr="00BC10F2" w:rsidRDefault="00E6153F" w:rsidP="00E6153F">
            <w:pPr>
              <w:pStyle w:val="Tabela-Listanumerowana"/>
              <w:widowControl w:val="0"/>
              <w:numPr>
                <w:ilvl w:val="0"/>
                <w:numId w:val="28"/>
              </w:numPr>
              <w:rPr>
                <w:rFonts w:asciiTheme="minorHAnsi" w:hAnsiTheme="minorHAnsi" w:cstheme="minorHAnsi"/>
                <w:b/>
                <w:bCs w:val="0"/>
                <w:lang w:bidi="ar-SA"/>
              </w:rPr>
            </w:pPr>
            <w:r w:rsidRPr="00BC10F2">
              <w:rPr>
                <w:rFonts w:asciiTheme="minorHAnsi" w:hAnsiTheme="minorHAnsi" w:cstheme="minorHAnsi"/>
                <w:b/>
                <w:bCs w:val="0"/>
                <w:lang w:bidi="ar-SA"/>
              </w:rPr>
              <w:t xml:space="preserve">Przeprowadzenie kompleksowej interwencji w grupie docelowej (edukacja, ocena ryzyka poważnego złamania </w:t>
            </w:r>
            <w:proofErr w:type="spellStart"/>
            <w:r w:rsidRPr="00BC10F2">
              <w:rPr>
                <w:rFonts w:asciiTheme="minorHAnsi" w:hAnsiTheme="minorHAnsi" w:cstheme="minorHAnsi"/>
                <w:b/>
                <w:bCs w:val="0"/>
                <w:lang w:bidi="ar-SA"/>
              </w:rPr>
              <w:t>osteoporotycznego</w:t>
            </w:r>
            <w:proofErr w:type="spellEnd"/>
            <w:r w:rsidRPr="00BC10F2">
              <w:rPr>
                <w:rFonts w:asciiTheme="minorHAnsi" w:hAnsiTheme="minorHAnsi" w:cstheme="minorHAnsi"/>
                <w:b/>
                <w:bCs w:val="0"/>
                <w:lang w:bidi="ar-SA"/>
              </w:rPr>
              <w:t xml:space="preserve"> narzędziem FRAX, pomiar BMD za pomocą DXA, lekarska wizyta podsumowująca)</w:t>
            </w:r>
          </w:p>
        </w:tc>
        <w:tc>
          <w:tcPr>
            <w:tcW w:w="1688" w:type="dxa"/>
            <w:tcBorders>
              <w:top w:val="single" w:sz="4" w:space="0" w:color="000000"/>
              <w:bottom w:val="single" w:sz="4" w:space="0" w:color="000000"/>
            </w:tcBorders>
            <w:shd w:val="clear" w:color="auto" w:fill="auto"/>
            <w:vAlign w:val="center"/>
          </w:tcPr>
          <w:p w14:paraId="37805C9C" w14:textId="77777777" w:rsidR="00E6153F" w:rsidRPr="00BC10F2" w:rsidRDefault="00E6153F" w:rsidP="00E6153F">
            <w:pPr>
              <w:pStyle w:val="Tabela-TekstpodstawowyWyrodkowany"/>
              <w:widowControl w:val="0"/>
              <w:rPr>
                <w:rFonts w:asciiTheme="minorHAnsi" w:hAnsiTheme="minorHAnsi" w:cstheme="minorHAnsi"/>
                <w:lang w:bidi="ar-SA"/>
              </w:rPr>
            </w:pPr>
            <w:r w:rsidRPr="00BC10F2">
              <w:rPr>
                <w:rFonts w:asciiTheme="minorHAnsi" w:hAnsiTheme="minorHAnsi" w:cstheme="minorHAnsi"/>
                <w:lang w:bidi="ar-SA"/>
              </w:rPr>
              <w:t>Realizatorzy</w:t>
            </w:r>
          </w:p>
        </w:tc>
        <w:tc>
          <w:tcPr>
            <w:tcW w:w="1557" w:type="dxa"/>
            <w:tcBorders>
              <w:top w:val="single" w:sz="4" w:space="0" w:color="000000"/>
              <w:bottom w:val="single" w:sz="4" w:space="0" w:color="000000"/>
            </w:tcBorders>
            <w:shd w:val="clear" w:color="auto" w:fill="auto"/>
            <w:vAlign w:val="center"/>
          </w:tcPr>
          <w:p w14:paraId="526DABE8" w14:textId="77777777" w:rsidR="00E6153F" w:rsidRPr="00BC10F2" w:rsidRDefault="00E6153F" w:rsidP="00E6153F">
            <w:pPr>
              <w:pStyle w:val="Tabela-TekstpodstawowyWyrodkowany"/>
              <w:widowControl w:val="0"/>
              <w:rPr>
                <w:rFonts w:asciiTheme="minorHAnsi" w:hAnsiTheme="minorHAnsi" w:cstheme="minorHAnsi"/>
                <w:lang w:bidi="ar-SA"/>
              </w:rPr>
            </w:pPr>
            <w:r w:rsidRPr="00BC10F2">
              <w:rPr>
                <w:rFonts w:asciiTheme="minorHAnsi" w:hAnsiTheme="minorHAnsi" w:cstheme="minorHAnsi"/>
                <w:lang w:bidi="ar-SA"/>
              </w:rPr>
              <w:t xml:space="preserve">20 </w:t>
            </w:r>
            <w:proofErr w:type="spellStart"/>
            <w:r w:rsidRPr="00BC10F2">
              <w:rPr>
                <w:rFonts w:asciiTheme="minorHAnsi" w:hAnsiTheme="minorHAnsi" w:cstheme="minorHAnsi"/>
                <w:lang w:bidi="ar-SA"/>
              </w:rPr>
              <w:t>msc</w:t>
            </w:r>
            <w:proofErr w:type="spellEnd"/>
            <w:r w:rsidRPr="00BC10F2">
              <w:rPr>
                <w:rFonts w:asciiTheme="minorHAnsi" w:hAnsiTheme="minorHAnsi" w:cstheme="minorHAnsi"/>
                <w:lang w:bidi="ar-SA"/>
              </w:rPr>
              <w:t>.</w:t>
            </w:r>
          </w:p>
        </w:tc>
        <w:tc>
          <w:tcPr>
            <w:tcW w:w="1361" w:type="dxa"/>
            <w:tcBorders>
              <w:top w:val="single" w:sz="4" w:space="0" w:color="000000"/>
              <w:bottom w:val="single" w:sz="4" w:space="0" w:color="000000"/>
            </w:tcBorders>
            <w:shd w:val="clear" w:color="auto" w:fill="auto"/>
            <w:vAlign w:val="center"/>
          </w:tcPr>
          <w:p w14:paraId="5468B7F3" w14:textId="4BB3C59A" w:rsidR="00E6153F" w:rsidRPr="00BC10F2" w:rsidRDefault="00E6153F" w:rsidP="00E6153F">
            <w:pPr>
              <w:pStyle w:val="Tabela-TekstpodstawowyWyrodkowany"/>
              <w:widowControl w:val="0"/>
              <w:rPr>
                <w:rFonts w:asciiTheme="minorHAnsi" w:hAnsiTheme="minorHAnsi" w:cstheme="minorHAnsi"/>
                <w:lang w:bidi="ar-SA"/>
              </w:rPr>
            </w:pPr>
            <w:r>
              <w:rPr>
                <w:rFonts w:asciiTheme="minorHAnsi" w:hAnsiTheme="minorHAnsi" w:cstheme="minorHAnsi"/>
                <w:lang w:bidi="ar-SA"/>
              </w:rPr>
              <w:t>luty</w:t>
            </w:r>
            <w:r w:rsidRPr="00BC10F2">
              <w:rPr>
                <w:rFonts w:asciiTheme="minorHAnsi" w:hAnsiTheme="minorHAnsi" w:cstheme="minorHAnsi"/>
                <w:lang w:bidi="ar-SA"/>
              </w:rPr>
              <w:t xml:space="preserve"> 2024 – </w:t>
            </w:r>
            <w:r>
              <w:rPr>
                <w:rFonts w:asciiTheme="minorHAnsi" w:hAnsiTheme="minorHAnsi" w:cstheme="minorHAnsi"/>
                <w:lang w:bidi="ar-SA"/>
              </w:rPr>
              <w:t>wrzesień</w:t>
            </w:r>
            <w:r w:rsidRPr="00BC10F2">
              <w:rPr>
                <w:rFonts w:asciiTheme="minorHAnsi" w:hAnsiTheme="minorHAnsi" w:cstheme="minorHAnsi"/>
                <w:lang w:bidi="ar-SA"/>
              </w:rPr>
              <w:t xml:space="preserve"> 2025</w:t>
            </w:r>
          </w:p>
        </w:tc>
      </w:tr>
      <w:tr w:rsidR="00E6153F" w:rsidRPr="00BC10F2" w14:paraId="1A878DAE" w14:textId="77777777" w:rsidTr="00BC10F2">
        <w:tc>
          <w:tcPr>
            <w:tcW w:w="4466" w:type="dxa"/>
            <w:tcBorders>
              <w:top w:val="single" w:sz="4" w:space="0" w:color="000000"/>
              <w:bottom w:val="single" w:sz="4" w:space="0" w:color="000000"/>
            </w:tcBorders>
            <w:shd w:val="clear" w:color="auto" w:fill="FFFFFF" w:themeFill="background1"/>
            <w:vAlign w:val="center"/>
          </w:tcPr>
          <w:p w14:paraId="677CB632" w14:textId="77777777" w:rsidR="00E6153F" w:rsidRPr="00BC10F2" w:rsidRDefault="00E6153F" w:rsidP="00E6153F">
            <w:pPr>
              <w:pStyle w:val="Tabela-Listanumerowana"/>
              <w:widowControl w:val="0"/>
              <w:numPr>
                <w:ilvl w:val="0"/>
                <w:numId w:val="28"/>
              </w:numPr>
              <w:rPr>
                <w:rFonts w:asciiTheme="minorHAnsi" w:hAnsiTheme="minorHAnsi" w:cstheme="minorHAnsi"/>
              </w:rPr>
            </w:pPr>
            <w:r w:rsidRPr="00BC10F2">
              <w:rPr>
                <w:rFonts w:asciiTheme="minorHAnsi" w:hAnsiTheme="minorHAnsi" w:cstheme="minorHAnsi"/>
                <w:b/>
                <w:bCs w:val="0"/>
                <w:lang w:bidi="ar-SA"/>
              </w:rPr>
              <w:t>Przekazanie sprawozdań rocznych z realizacji PPZ w 2024 r.</w:t>
            </w:r>
          </w:p>
        </w:tc>
        <w:tc>
          <w:tcPr>
            <w:tcW w:w="1688" w:type="dxa"/>
            <w:tcBorders>
              <w:top w:val="single" w:sz="4" w:space="0" w:color="000000"/>
              <w:bottom w:val="single" w:sz="4" w:space="0" w:color="000000"/>
            </w:tcBorders>
            <w:shd w:val="clear" w:color="auto" w:fill="auto"/>
          </w:tcPr>
          <w:p w14:paraId="36669805" w14:textId="77777777" w:rsidR="00E6153F" w:rsidRPr="00BC10F2" w:rsidRDefault="00E6153F" w:rsidP="00E6153F">
            <w:pPr>
              <w:rPr>
                <w:rFonts w:asciiTheme="minorHAnsi" w:hAnsiTheme="minorHAnsi" w:cstheme="minorHAnsi"/>
              </w:rPr>
            </w:pPr>
            <w:r w:rsidRPr="00BC10F2">
              <w:rPr>
                <w:rFonts w:asciiTheme="minorHAnsi" w:hAnsiTheme="minorHAnsi" w:cstheme="minorHAnsi"/>
              </w:rPr>
              <w:t>Realizatorzy</w:t>
            </w:r>
          </w:p>
        </w:tc>
        <w:tc>
          <w:tcPr>
            <w:tcW w:w="1557" w:type="dxa"/>
            <w:tcBorders>
              <w:top w:val="single" w:sz="4" w:space="0" w:color="000000"/>
              <w:bottom w:val="single" w:sz="4" w:space="0" w:color="000000"/>
            </w:tcBorders>
            <w:shd w:val="clear" w:color="auto" w:fill="auto"/>
            <w:vAlign w:val="center"/>
          </w:tcPr>
          <w:p w14:paraId="18E2DB53" w14:textId="7A161D4F" w:rsidR="00E6153F" w:rsidRPr="00BC10F2" w:rsidRDefault="00E6153F" w:rsidP="00E6153F">
            <w:pPr>
              <w:pStyle w:val="Tabela-TekstpodstawowyWyrodkowany"/>
              <w:widowControl w:val="0"/>
              <w:rPr>
                <w:rFonts w:asciiTheme="minorHAnsi" w:hAnsiTheme="minorHAnsi" w:cstheme="minorHAnsi"/>
              </w:rPr>
            </w:pPr>
            <w:r w:rsidRPr="00BC10F2">
              <w:rPr>
                <w:rFonts w:asciiTheme="minorHAnsi" w:hAnsiTheme="minorHAnsi" w:cstheme="minorHAnsi"/>
                <w:lang w:bidi="ar-SA"/>
              </w:rPr>
              <w:t>31 stycznia 2025</w:t>
            </w:r>
          </w:p>
        </w:tc>
        <w:tc>
          <w:tcPr>
            <w:tcW w:w="1361" w:type="dxa"/>
            <w:tcBorders>
              <w:top w:val="single" w:sz="4" w:space="0" w:color="000000"/>
              <w:bottom w:val="single" w:sz="4" w:space="0" w:color="000000"/>
            </w:tcBorders>
            <w:shd w:val="clear" w:color="auto" w:fill="auto"/>
            <w:vAlign w:val="center"/>
          </w:tcPr>
          <w:p w14:paraId="5204BB05" w14:textId="01A1A28F" w:rsidR="00E6153F" w:rsidRPr="00BC10F2" w:rsidRDefault="00E6153F" w:rsidP="00E6153F">
            <w:pPr>
              <w:pStyle w:val="Tabela-TekstpodstawowyWyrodkowany"/>
              <w:widowControl w:val="0"/>
              <w:rPr>
                <w:rFonts w:asciiTheme="minorHAnsi" w:hAnsiTheme="minorHAnsi" w:cstheme="minorHAnsi"/>
              </w:rPr>
            </w:pPr>
            <w:r w:rsidRPr="00BC10F2">
              <w:rPr>
                <w:rFonts w:asciiTheme="minorHAnsi" w:hAnsiTheme="minorHAnsi" w:cstheme="minorHAnsi"/>
                <w:lang w:bidi="ar-SA"/>
              </w:rPr>
              <w:t>styczeń 2025</w:t>
            </w:r>
          </w:p>
        </w:tc>
      </w:tr>
      <w:tr w:rsidR="00E6153F" w:rsidRPr="00BC10F2" w14:paraId="72245B44" w14:textId="77777777" w:rsidTr="00BC10F2">
        <w:tc>
          <w:tcPr>
            <w:tcW w:w="4466" w:type="dxa"/>
            <w:tcBorders>
              <w:top w:val="single" w:sz="4" w:space="0" w:color="000000"/>
              <w:bottom w:val="single" w:sz="4" w:space="0" w:color="000000"/>
            </w:tcBorders>
            <w:shd w:val="clear" w:color="auto" w:fill="FFFFFF" w:themeFill="background1"/>
            <w:vAlign w:val="center"/>
          </w:tcPr>
          <w:p w14:paraId="5D52FE09" w14:textId="77777777" w:rsidR="00E6153F" w:rsidRPr="00BC10F2" w:rsidRDefault="00E6153F" w:rsidP="00E6153F">
            <w:pPr>
              <w:pStyle w:val="Tabela-Listanumerowana"/>
              <w:widowControl w:val="0"/>
              <w:numPr>
                <w:ilvl w:val="0"/>
                <w:numId w:val="28"/>
              </w:numPr>
              <w:rPr>
                <w:rFonts w:asciiTheme="minorHAnsi" w:hAnsiTheme="minorHAnsi" w:cstheme="minorHAnsi"/>
              </w:rPr>
            </w:pPr>
            <w:r w:rsidRPr="00BC10F2">
              <w:rPr>
                <w:rFonts w:asciiTheme="minorHAnsi" w:hAnsiTheme="minorHAnsi" w:cstheme="minorHAnsi"/>
                <w:b/>
                <w:bCs w:val="0"/>
                <w:lang w:bidi="ar-SA"/>
              </w:rPr>
              <w:t>Przekazanie sprawozdań rocznych z realizacji PPZ w 2025 r. oraz sprawozdań końcowych</w:t>
            </w:r>
          </w:p>
        </w:tc>
        <w:tc>
          <w:tcPr>
            <w:tcW w:w="1688" w:type="dxa"/>
            <w:tcBorders>
              <w:top w:val="single" w:sz="4" w:space="0" w:color="000000"/>
              <w:bottom w:val="single" w:sz="4" w:space="0" w:color="000000"/>
            </w:tcBorders>
            <w:shd w:val="clear" w:color="auto" w:fill="auto"/>
          </w:tcPr>
          <w:p w14:paraId="53E89774" w14:textId="77777777" w:rsidR="00E6153F" w:rsidRPr="00BC10F2" w:rsidRDefault="00E6153F" w:rsidP="00E6153F">
            <w:pPr>
              <w:rPr>
                <w:rFonts w:asciiTheme="minorHAnsi" w:hAnsiTheme="minorHAnsi" w:cstheme="minorHAnsi"/>
              </w:rPr>
            </w:pPr>
            <w:r w:rsidRPr="00BC10F2">
              <w:rPr>
                <w:rFonts w:asciiTheme="minorHAnsi" w:hAnsiTheme="minorHAnsi" w:cstheme="minorHAnsi"/>
              </w:rPr>
              <w:t>Realizatorzy</w:t>
            </w:r>
          </w:p>
        </w:tc>
        <w:tc>
          <w:tcPr>
            <w:tcW w:w="1557" w:type="dxa"/>
            <w:tcBorders>
              <w:top w:val="single" w:sz="4" w:space="0" w:color="000000"/>
              <w:bottom w:val="single" w:sz="4" w:space="0" w:color="000000"/>
            </w:tcBorders>
            <w:shd w:val="clear" w:color="auto" w:fill="auto"/>
            <w:vAlign w:val="center"/>
          </w:tcPr>
          <w:p w14:paraId="1D072478" w14:textId="6D324B01" w:rsidR="00E6153F" w:rsidRPr="00BC10F2" w:rsidRDefault="00E6153F" w:rsidP="00521869">
            <w:pPr>
              <w:pStyle w:val="Tabela-TekstpodstawowyWyrodkowany"/>
              <w:widowControl w:val="0"/>
              <w:rPr>
                <w:rFonts w:asciiTheme="minorHAnsi" w:hAnsiTheme="minorHAnsi" w:cstheme="minorHAnsi"/>
              </w:rPr>
            </w:pPr>
            <w:r w:rsidRPr="00BC10F2">
              <w:rPr>
                <w:rFonts w:asciiTheme="minorHAnsi" w:hAnsiTheme="minorHAnsi" w:cstheme="minorHAnsi"/>
                <w:lang w:bidi="ar-SA"/>
              </w:rPr>
              <w:t xml:space="preserve">31 </w:t>
            </w:r>
            <w:r w:rsidR="00521869">
              <w:rPr>
                <w:rFonts w:asciiTheme="minorHAnsi" w:hAnsiTheme="minorHAnsi" w:cstheme="minorHAnsi"/>
                <w:lang w:bidi="ar-SA"/>
              </w:rPr>
              <w:t>października</w:t>
            </w:r>
            <w:r w:rsidRPr="00BC10F2">
              <w:rPr>
                <w:rFonts w:asciiTheme="minorHAnsi" w:hAnsiTheme="minorHAnsi" w:cstheme="minorHAnsi"/>
                <w:lang w:bidi="ar-SA"/>
              </w:rPr>
              <w:t xml:space="preserve"> 2026</w:t>
            </w:r>
          </w:p>
        </w:tc>
        <w:tc>
          <w:tcPr>
            <w:tcW w:w="1361" w:type="dxa"/>
            <w:tcBorders>
              <w:top w:val="single" w:sz="4" w:space="0" w:color="000000"/>
              <w:bottom w:val="single" w:sz="4" w:space="0" w:color="000000"/>
            </w:tcBorders>
            <w:shd w:val="clear" w:color="auto" w:fill="auto"/>
            <w:vAlign w:val="center"/>
          </w:tcPr>
          <w:p w14:paraId="360ED594" w14:textId="0CE22E80" w:rsidR="00E6153F" w:rsidRPr="00BC10F2" w:rsidRDefault="00521869" w:rsidP="00E6153F">
            <w:pPr>
              <w:pStyle w:val="Tabela-TekstpodstawowyWyrodkowany"/>
              <w:widowControl w:val="0"/>
              <w:rPr>
                <w:rFonts w:asciiTheme="minorHAnsi" w:hAnsiTheme="minorHAnsi" w:cstheme="minorHAnsi"/>
              </w:rPr>
            </w:pPr>
            <w:r>
              <w:rPr>
                <w:rFonts w:asciiTheme="minorHAnsi" w:hAnsiTheme="minorHAnsi" w:cstheme="minorHAnsi"/>
                <w:lang w:bidi="ar-SA"/>
              </w:rPr>
              <w:t>paź</w:t>
            </w:r>
            <w:r w:rsidR="00006ECE">
              <w:rPr>
                <w:rFonts w:asciiTheme="minorHAnsi" w:hAnsiTheme="minorHAnsi" w:cstheme="minorHAnsi"/>
                <w:lang w:bidi="ar-SA"/>
              </w:rPr>
              <w:t>dziernik</w:t>
            </w:r>
            <w:r w:rsidR="00E6153F" w:rsidRPr="00BC10F2">
              <w:rPr>
                <w:rFonts w:asciiTheme="minorHAnsi" w:hAnsiTheme="minorHAnsi" w:cstheme="minorHAnsi"/>
                <w:lang w:bidi="ar-SA"/>
              </w:rPr>
              <w:t xml:space="preserve"> 2026</w:t>
            </w:r>
          </w:p>
        </w:tc>
      </w:tr>
      <w:tr w:rsidR="00E6153F" w:rsidRPr="00BC10F2" w14:paraId="5168850B" w14:textId="77777777" w:rsidTr="00BC10F2">
        <w:tc>
          <w:tcPr>
            <w:tcW w:w="4466" w:type="dxa"/>
            <w:tcBorders>
              <w:top w:val="single" w:sz="4" w:space="0" w:color="000000"/>
              <w:bottom w:val="single" w:sz="12" w:space="0" w:color="000000"/>
            </w:tcBorders>
            <w:shd w:val="clear" w:color="auto" w:fill="auto"/>
            <w:vAlign w:val="center"/>
          </w:tcPr>
          <w:p w14:paraId="77CE2AFF" w14:textId="77777777" w:rsidR="00E6153F" w:rsidRPr="00BC10F2" w:rsidRDefault="00E6153F" w:rsidP="00E6153F">
            <w:pPr>
              <w:pStyle w:val="Tabela-Listanumerowana"/>
              <w:widowControl w:val="0"/>
              <w:numPr>
                <w:ilvl w:val="0"/>
                <w:numId w:val="28"/>
              </w:numPr>
              <w:rPr>
                <w:rFonts w:asciiTheme="minorHAnsi" w:hAnsiTheme="minorHAnsi" w:cstheme="minorHAnsi"/>
              </w:rPr>
            </w:pPr>
            <w:r w:rsidRPr="00BC10F2">
              <w:rPr>
                <w:rFonts w:asciiTheme="minorHAnsi" w:hAnsiTheme="minorHAnsi" w:cstheme="minorHAnsi"/>
                <w:b/>
                <w:bCs w:val="0"/>
                <w:lang w:bidi="ar-SA"/>
              </w:rPr>
              <w:t xml:space="preserve">Przekazanie raportu końcowego PPZ do </w:t>
            </w:r>
            <w:proofErr w:type="spellStart"/>
            <w:r w:rsidRPr="00BC10F2">
              <w:rPr>
                <w:rFonts w:asciiTheme="minorHAnsi" w:hAnsiTheme="minorHAnsi" w:cstheme="minorHAnsi"/>
                <w:b/>
                <w:bCs w:val="0"/>
                <w:lang w:bidi="ar-SA"/>
              </w:rPr>
              <w:t>AOTMiT</w:t>
            </w:r>
            <w:proofErr w:type="spellEnd"/>
            <w:r w:rsidRPr="00BC10F2">
              <w:rPr>
                <w:rFonts w:asciiTheme="minorHAnsi" w:hAnsiTheme="minorHAnsi" w:cstheme="minorHAnsi"/>
                <w:b/>
                <w:bCs w:val="0"/>
                <w:lang w:bidi="ar-SA"/>
              </w:rPr>
              <w:t xml:space="preserve"> oraz zamieszczenie jego treści na BIP Organizatora</w:t>
            </w:r>
          </w:p>
        </w:tc>
        <w:tc>
          <w:tcPr>
            <w:tcW w:w="1688" w:type="dxa"/>
            <w:tcBorders>
              <w:top w:val="single" w:sz="4" w:space="0" w:color="000000"/>
              <w:bottom w:val="single" w:sz="12" w:space="0" w:color="000000"/>
            </w:tcBorders>
            <w:shd w:val="clear" w:color="auto" w:fill="auto"/>
            <w:vAlign w:val="center"/>
          </w:tcPr>
          <w:p w14:paraId="3B547D09" w14:textId="77777777" w:rsidR="00E6153F" w:rsidRPr="00BC10F2" w:rsidRDefault="00E6153F" w:rsidP="00E6153F">
            <w:pPr>
              <w:pStyle w:val="Tabela-TekstpodstawowyWyrodkowany"/>
              <w:widowControl w:val="0"/>
              <w:rPr>
                <w:rFonts w:asciiTheme="minorHAnsi" w:hAnsiTheme="minorHAnsi" w:cstheme="minorHAnsi"/>
              </w:rPr>
            </w:pPr>
            <w:r w:rsidRPr="00BC10F2">
              <w:rPr>
                <w:rFonts w:asciiTheme="minorHAnsi" w:hAnsiTheme="minorHAnsi" w:cstheme="minorHAnsi"/>
                <w:lang w:bidi="ar-SA"/>
              </w:rPr>
              <w:t> UM</w:t>
            </w:r>
          </w:p>
        </w:tc>
        <w:tc>
          <w:tcPr>
            <w:tcW w:w="1557" w:type="dxa"/>
            <w:tcBorders>
              <w:top w:val="single" w:sz="4" w:space="0" w:color="000000"/>
              <w:bottom w:val="single" w:sz="12" w:space="0" w:color="000000"/>
            </w:tcBorders>
            <w:shd w:val="clear" w:color="auto" w:fill="auto"/>
            <w:vAlign w:val="center"/>
          </w:tcPr>
          <w:p w14:paraId="334D9A9C" w14:textId="1A0000CE" w:rsidR="00E6153F" w:rsidRPr="00BC10F2" w:rsidRDefault="00521869" w:rsidP="00521869">
            <w:pPr>
              <w:pStyle w:val="Tabela-TekstpodstawowyWyrodkowany"/>
              <w:widowControl w:val="0"/>
              <w:rPr>
                <w:rFonts w:asciiTheme="minorHAnsi" w:hAnsiTheme="minorHAnsi" w:cstheme="minorHAnsi"/>
              </w:rPr>
            </w:pPr>
            <w:r>
              <w:rPr>
                <w:rFonts w:asciiTheme="minorHAnsi" w:hAnsiTheme="minorHAnsi" w:cstheme="minorHAnsi"/>
                <w:lang w:bidi="ar-SA"/>
              </w:rPr>
              <w:t>30</w:t>
            </w:r>
            <w:r w:rsidR="00E6153F" w:rsidRPr="00BC10F2">
              <w:rPr>
                <w:rFonts w:asciiTheme="minorHAnsi" w:hAnsiTheme="minorHAnsi" w:cstheme="minorHAnsi"/>
                <w:lang w:bidi="ar-SA"/>
              </w:rPr>
              <w:t xml:space="preserve"> </w:t>
            </w:r>
            <w:r>
              <w:rPr>
                <w:rFonts w:asciiTheme="minorHAnsi" w:hAnsiTheme="minorHAnsi" w:cstheme="minorHAnsi"/>
                <w:lang w:bidi="ar-SA"/>
              </w:rPr>
              <w:t>listopada</w:t>
            </w:r>
            <w:r w:rsidR="00E6153F" w:rsidRPr="00BC10F2">
              <w:rPr>
                <w:rFonts w:asciiTheme="minorHAnsi" w:hAnsiTheme="minorHAnsi" w:cstheme="minorHAnsi"/>
                <w:lang w:bidi="ar-SA"/>
              </w:rPr>
              <w:t xml:space="preserve"> 2026  </w:t>
            </w:r>
          </w:p>
        </w:tc>
        <w:tc>
          <w:tcPr>
            <w:tcW w:w="1361" w:type="dxa"/>
            <w:tcBorders>
              <w:top w:val="single" w:sz="4" w:space="0" w:color="000000"/>
              <w:bottom w:val="single" w:sz="12" w:space="0" w:color="000000"/>
            </w:tcBorders>
            <w:shd w:val="clear" w:color="auto" w:fill="auto"/>
            <w:vAlign w:val="center"/>
          </w:tcPr>
          <w:p w14:paraId="4331326E" w14:textId="08205316" w:rsidR="00E6153F" w:rsidRPr="00BC10F2" w:rsidRDefault="00006ECE" w:rsidP="00E6153F">
            <w:pPr>
              <w:pStyle w:val="Tabela-TekstpodstawowyWyrodkowany"/>
              <w:widowControl w:val="0"/>
              <w:rPr>
                <w:rFonts w:asciiTheme="minorHAnsi" w:hAnsiTheme="minorHAnsi" w:cstheme="minorHAnsi"/>
              </w:rPr>
            </w:pPr>
            <w:r>
              <w:rPr>
                <w:rFonts w:asciiTheme="minorHAnsi" w:hAnsiTheme="minorHAnsi" w:cstheme="minorHAnsi"/>
                <w:lang w:bidi="ar-SA"/>
              </w:rPr>
              <w:t>30 listopad</w:t>
            </w:r>
            <w:r w:rsidR="00E6153F" w:rsidRPr="00BC10F2">
              <w:rPr>
                <w:rFonts w:asciiTheme="minorHAnsi" w:hAnsiTheme="minorHAnsi" w:cstheme="minorHAnsi"/>
                <w:lang w:bidi="ar-SA"/>
              </w:rPr>
              <w:t xml:space="preserve"> 2026 </w:t>
            </w:r>
          </w:p>
        </w:tc>
      </w:tr>
    </w:tbl>
    <w:p w14:paraId="31C4E418" w14:textId="18258B85" w:rsidR="00A80621" w:rsidRPr="00BC10F2" w:rsidRDefault="007941FC">
      <w:pPr>
        <w:pStyle w:val="Tekstpodstawowy"/>
        <w:rPr>
          <w:rFonts w:asciiTheme="minorHAnsi" w:hAnsiTheme="minorHAnsi" w:cstheme="minorHAnsi"/>
        </w:rPr>
      </w:pPr>
      <w:r w:rsidRPr="00BC10F2">
        <w:rPr>
          <w:rFonts w:asciiTheme="minorHAnsi" w:hAnsiTheme="minorHAnsi" w:cstheme="minorHAnsi"/>
        </w:rPr>
        <w:t>Przyjęty harmonogram ma charakter orientacyjny</w:t>
      </w:r>
      <w:r w:rsidR="00D3036A" w:rsidRPr="00BC10F2">
        <w:rPr>
          <w:rFonts w:asciiTheme="minorHAnsi" w:hAnsiTheme="minorHAnsi" w:cstheme="minorHAnsi"/>
        </w:rPr>
        <w:t xml:space="preserve">, czas realizacji programu wyniesie </w:t>
      </w:r>
      <w:r w:rsidR="00F80B79" w:rsidRPr="00BC10F2">
        <w:rPr>
          <w:rFonts w:asciiTheme="minorHAnsi" w:hAnsiTheme="minorHAnsi" w:cstheme="minorHAnsi"/>
        </w:rPr>
        <w:t>24 miesiące</w:t>
      </w:r>
      <w:r w:rsidR="00D3036A" w:rsidRPr="00BC10F2">
        <w:rPr>
          <w:rFonts w:asciiTheme="minorHAnsi" w:hAnsiTheme="minorHAnsi" w:cstheme="minorHAnsi"/>
        </w:rPr>
        <w:t xml:space="preserve"> i zakończony zostanie </w:t>
      </w:r>
      <w:r w:rsidR="00AF1070" w:rsidRPr="00BC10F2">
        <w:rPr>
          <w:rFonts w:asciiTheme="minorHAnsi" w:hAnsiTheme="minorHAnsi" w:cstheme="minorHAnsi"/>
        </w:rPr>
        <w:t>3</w:t>
      </w:r>
      <w:r w:rsidR="00521869">
        <w:rPr>
          <w:rFonts w:asciiTheme="minorHAnsi" w:hAnsiTheme="minorHAnsi" w:cstheme="minorHAnsi"/>
        </w:rPr>
        <w:t>0</w:t>
      </w:r>
      <w:r w:rsidR="00AF1070" w:rsidRPr="00BC10F2">
        <w:rPr>
          <w:rFonts w:asciiTheme="minorHAnsi" w:hAnsiTheme="minorHAnsi" w:cstheme="minorHAnsi"/>
        </w:rPr>
        <w:t xml:space="preserve"> </w:t>
      </w:r>
      <w:r w:rsidR="00521869">
        <w:rPr>
          <w:rFonts w:asciiTheme="minorHAnsi" w:hAnsiTheme="minorHAnsi" w:cstheme="minorHAnsi"/>
        </w:rPr>
        <w:t>września</w:t>
      </w:r>
      <w:r w:rsidR="00AF1070" w:rsidRPr="00BC10F2">
        <w:rPr>
          <w:rFonts w:asciiTheme="minorHAnsi" w:hAnsiTheme="minorHAnsi" w:cstheme="minorHAnsi"/>
        </w:rPr>
        <w:t xml:space="preserve"> 202</w:t>
      </w:r>
      <w:r w:rsidR="00006ECE">
        <w:rPr>
          <w:rFonts w:asciiTheme="minorHAnsi" w:hAnsiTheme="minorHAnsi" w:cstheme="minorHAnsi"/>
        </w:rPr>
        <w:t>5</w:t>
      </w:r>
      <w:r w:rsidRPr="00BC10F2">
        <w:rPr>
          <w:rFonts w:asciiTheme="minorHAnsi" w:hAnsiTheme="minorHAnsi" w:cstheme="minorHAnsi"/>
        </w:rPr>
        <w:t xml:space="preserve">, a </w:t>
      </w:r>
      <w:r w:rsidR="00F80B79" w:rsidRPr="00BC10F2">
        <w:rPr>
          <w:rFonts w:asciiTheme="minorHAnsi" w:hAnsiTheme="minorHAnsi" w:cstheme="minorHAnsi"/>
        </w:rPr>
        <w:t xml:space="preserve">wewnętrzne </w:t>
      </w:r>
      <w:r w:rsidRPr="00BC10F2">
        <w:rPr>
          <w:rFonts w:asciiTheme="minorHAnsi" w:hAnsiTheme="minorHAnsi" w:cstheme="minorHAnsi"/>
        </w:rPr>
        <w:t xml:space="preserve">daty wskazane w nim mogą ulec zmianom. </w:t>
      </w:r>
    </w:p>
    <w:p w14:paraId="696F322D" w14:textId="77777777" w:rsidR="00A80621" w:rsidRPr="00BC10F2" w:rsidRDefault="007941FC">
      <w:pPr>
        <w:pStyle w:val="Nagwek2"/>
        <w:rPr>
          <w:rFonts w:asciiTheme="minorHAnsi" w:hAnsiTheme="minorHAnsi" w:cstheme="minorHAnsi"/>
        </w:rPr>
      </w:pPr>
      <w:bookmarkStart w:id="22" w:name="_Toc146115000"/>
      <w:r w:rsidRPr="00BC10F2">
        <w:rPr>
          <w:rFonts w:asciiTheme="minorHAnsi" w:hAnsiTheme="minorHAnsi" w:cstheme="minorHAnsi"/>
        </w:rPr>
        <w:t>Warunki realizacji programu polityki zdrowotnej dotyczące personelu, wyposażenia i warunków lokalowych</w:t>
      </w:r>
      <w:bookmarkEnd w:id="22"/>
    </w:p>
    <w:p w14:paraId="69E4D0CC"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Wymagania dotyczące oceny ryzyka złamań </w:t>
      </w:r>
      <w:proofErr w:type="spellStart"/>
      <w:r w:rsidRPr="00BC10F2">
        <w:rPr>
          <w:rFonts w:asciiTheme="minorHAnsi" w:hAnsiTheme="minorHAnsi" w:cstheme="minorHAnsi"/>
        </w:rPr>
        <w:t>osteoporotycznych</w:t>
      </w:r>
      <w:proofErr w:type="spellEnd"/>
      <w:r w:rsidRPr="00BC10F2">
        <w:rPr>
          <w:rFonts w:asciiTheme="minorHAnsi" w:hAnsiTheme="minorHAnsi" w:cstheme="minorHAnsi"/>
        </w:rPr>
        <w:t>:</w:t>
      </w:r>
    </w:p>
    <w:p w14:paraId="16F9411D" w14:textId="77777777" w:rsidR="00AF1070" w:rsidRPr="00BC10F2" w:rsidRDefault="007941FC" w:rsidP="000B2BB8">
      <w:pPr>
        <w:pStyle w:val="Listanumerowana1"/>
        <w:numPr>
          <w:ilvl w:val="0"/>
          <w:numId w:val="21"/>
        </w:numPr>
        <w:rPr>
          <w:rFonts w:asciiTheme="minorHAnsi" w:hAnsiTheme="minorHAnsi" w:cstheme="minorHAnsi"/>
        </w:rPr>
      </w:pPr>
      <w:r w:rsidRPr="00BC10F2">
        <w:rPr>
          <w:rFonts w:asciiTheme="minorHAnsi" w:hAnsiTheme="minorHAnsi" w:cstheme="minorHAnsi"/>
        </w:rPr>
        <w:t xml:space="preserve">W zakresie szkoleń dla personelu medycznego: co najmniej 1 lekarz (ze specjalizacją w dziedzinie reumatologii) posiadający doświadczenie w diagnostyce, leczeniu, różnicowaniu i profilaktyce osteoporozy oraz zapobieganiu złamaniom </w:t>
      </w:r>
      <w:proofErr w:type="spellStart"/>
      <w:r w:rsidRPr="00BC10F2">
        <w:rPr>
          <w:rFonts w:asciiTheme="minorHAnsi" w:hAnsiTheme="minorHAnsi" w:cstheme="minorHAnsi"/>
        </w:rPr>
        <w:t>osteoporotycznym</w:t>
      </w:r>
      <w:proofErr w:type="spellEnd"/>
      <w:r w:rsidRPr="00BC10F2">
        <w:rPr>
          <w:rFonts w:asciiTheme="minorHAnsi" w:hAnsiTheme="minorHAnsi" w:cstheme="minorHAnsi"/>
        </w:rPr>
        <w:t xml:space="preserve"> i upadkom, który jest w stanie odpowiednio przeszkolić personel i w ten sposób zapewnić wysoką jakość szkoleń w ramach programu;</w:t>
      </w:r>
      <w:bookmarkStart w:id="23" w:name="_Hlk66705656"/>
    </w:p>
    <w:p w14:paraId="5026612F" w14:textId="77777777" w:rsidR="00AF1070" w:rsidRPr="00BC10F2" w:rsidRDefault="00AF1070" w:rsidP="000B2BB8">
      <w:pPr>
        <w:pStyle w:val="Listanumerowana1"/>
        <w:numPr>
          <w:ilvl w:val="0"/>
          <w:numId w:val="21"/>
        </w:numPr>
        <w:rPr>
          <w:rFonts w:asciiTheme="minorHAnsi" w:hAnsiTheme="minorHAnsi" w:cstheme="minorHAnsi"/>
        </w:rPr>
      </w:pPr>
      <w:r w:rsidRPr="00BC10F2">
        <w:rPr>
          <w:rFonts w:asciiTheme="minorHAnsi" w:hAnsiTheme="minorHAnsi" w:cstheme="minorHAnsi"/>
        </w:rPr>
        <w:t>W</w:t>
      </w:r>
      <w:r w:rsidR="007941FC" w:rsidRPr="00BC10F2">
        <w:rPr>
          <w:rFonts w:asciiTheme="minorHAnsi" w:hAnsiTheme="minorHAnsi" w:cstheme="minorHAnsi"/>
        </w:rPr>
        <w:t xml:space="preserve"> zakresie oszacowania 10-letniego ryzyka złamania kości metodą FRAX: co najmniej 1 pracownik medyczny posiadający odpowiedni poziom wiedzy dla udzielenia wyczerpującej i merytorycznie poprawnej odpowiedzi na związane z realizowanym programem pytania uczestników np. uzyskany dzięki udziałowi w szkoleniu personelu medycznego realizowanym w ramach programu.</w:t>
      </w:r>
      <w:bookmarkEnd w:id="23"/>
    </w:p>
    <w:p w14:paraId="0CAE5547" w14:textId="09B2A753" w:rsidR="00AF1070" w:rsidRPr="00BC10F2" w:rsidRDefault="00AF1070" w:rsidP="000B2BB8">
      <w:pPr>
        <w:pStyle w:val="Listanumerowana1"/>
        <w:numPr>
          <w:ilvl w:val="0"/>
          <w:numId w:val="21"/>
        </w:numPr>
        <w:rPr>
          <w:rFonts w:asciiTheme="minorHAnsi" w:hAnsiTheme="minorHAnsi" w:cstheme="minorHAnsi"/>
        </w:rPr>
      </w:pPr>
      <w:r w:rsidRPr="00BC10F2">
        <w:rPr>
          <w:rFonts w:asciiTheme="minorHAnsi" w:hAnsiTheme="minorHAnsi" w:cstheme="minorHAnsi"/>
        </w:rPr>
        <w:t>W</w:t>
      </w:r>
      <w:r w:rsidR="007941FC" w:rsidRPr="00BC10F2">
        <w:rPr>
          <w:rFonts w:asciiTheme="minorHAnsi" w:hAnsiTheme="minorHAnsi" w:cstheme="minorHAnsi"/>
        </w:rPr>
        <w:t xml:space="preserve"> zakresie konsultacji lekarskich: co najmniej 1 lekarz posiadający doświadczenie w diagnostyce, różnicowaniu i leczeniu osteoporozy; lub lekarz po ukończeniu prowadzonego w ramach PPZ przez eksperta szkolenia dla personelu medycznego.</w:t>
      </w:r>
    </w:p>
    <w:p w14:paraId="206189F3" w14:textId="6558CE1D" w:rsidR="00AF1070" w:rsidRPr="00BC10F2" w:rsidRDefault="007941FC" w:rsidP="000B2BB8">
      <w:pPr>
        <w:pStyle w:val="Listanumerowana1"/>
        <w:numPr>
          <w:ilvl w:val="0"/>
          <w:numId w:val="21"/>
        </w:numPr>
        <w:rPr>
          <w:rFonts w:asciiTheme="minorHAnsi" w:hAnsiTheme="minorHAnsi" w:cstheme="minorHAnsi"/>
        </w:rPr>
      </w:pPr>
      <w:r w:rsidRPr="00BC10F2">
        <w:rPr>
          <w:rFonts w:asciiTheme="minorHAnsi" w:hAnsiTheme="minorHAnsi" w:cstheme="minorHAnsi"/>
        </w:rPr>
        <w:t>w zakresie wykonania</w:t>
      </w:r>
      <w:r w:rsidR="00CC3C73" w:rsidRPr="00BC10F2">
        <w:rPr>
          <w:rFonts w:asciiTheme="minorHAnsi" w:hAnsiTheme="minorHAnsi" w:cstheme="minorHAnsi"/>
        </w:rPr>
        <w:t xml:space="preserve"> badania</w:t>
      </w:r>
      <w:r w:rsidRPr="00BC10F2">
        <w:rPr>
          <w:rFonts w:asciiTheme="minorHAnsi" w:hAnsiTheme="minorHAnsi" w:cstheme="minorHAnsi"/>
        </w:rPr>
        <w:t xml:space="preserve"> densytometrycznego: co najmniej 1</w:t>
      </w:r>
      <w:r w:rsidRPr="00BC10F2">
        <w:rPr>
          <w:rFonts w:asciiTheme="minorHAnsi" w:hAnsiTheme="minorHAnsi" w:cstheme="minorHAnsi"/>
          <w:sz w:val="28"/>
          <w:szCs w:val="28"/>
        </w:rPr>
        <w:t xml:space="preserve"> </w:t>
      </w:r>
      <w:r w:rsidRPr="00BC10F2">
        <w:rPr>
          <w:rFonts w:asciiTheme="minorHAnsi" w:hAnsiTheme="minorHAnsi" w:cstheme="minorHAnsi"/>
        </w:rPr>
        <w:t>technik radiolog z certyfikatem do obsługi densytometru;</w:t>
      </w:r>
    </w:p>
    <w:p w14:paraId="3743F259" w14:textId="57D84F28" w:rsidR="00A80621" w:rsidRPr="00BC10F2" w:rsidRDefault="007941FC" w:rsidP="000B2BB8">
      <w:pPr>
        <w:pStyle w:val="Listanumerowana1"/>
        <w:numPr>
          <w:ilvl w:val="0"/>
          <w:numId w:val="21"/>
        </w:numPr>
        <w:rPr>
          <w:rFonts w:asciiTheme="minorHAnsi" w:hAnsiTheme="minorHAnsi" w:cstheme="minorHAnsi"/>
        </w:rPr>
      </w:pPr>
      <w:r w:rsidRPr="00BC10F2">
        <w:rPr>
          <w:rFonts w:asciiTheme="minorHAnsi" w:hAnsiTheme="minorHAnsi" w:cstheme="minorHAnsi"/>
        </w:rPr>
        <w:t xml:space="preserve">w zakresie działań informacyjno-edukacyjnych dot. edukacji zdrowotnej: co najmniej 1 lekarz i/lub fizjoterapeuta i/lub pielęgniarka i/lub asystent medyczny i/lub edukator zdrowotny i/lub inny pracownik medyczny, który posiada odpowiedni zakres wiedzy, doświadczenia i kompetencji dla przeprowadzenia </w:t>
      </w:r>
      <w:r w:rsidRPr="00BC10F2">
        <w:rPr>
          <w:rFonts w:asciiTheme="minorHAnsi" w:hAnsiTheme="minorHAnsi" w:cstheme="minorHAnsi"/>
        </w:rPr>
        <w:lastRenderedPageBreak/>
        <w:t>działań edukacyjnych, np. uzyskany w czasie uczestnictwa w szkoleniu prowadzonym przez eksperta w ramach PPZ.</w:t>
      </w:r>
    </w:p>
    <w:p w14:paraId="44B51CCB"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Świadczenia w ramach programu może wykonywać inny personel medyczny niż powyżej wskazany, o ile jest uprawniony do wykonywania tego świadczenia zgodnie z obowiązującymi przepisami prawa.</w:t>
      </w:r>
    </w:p>
    <w:p w14:paraId="731E7721" w14:textId="77777777" w:rsidR="00A80621" w:rsidRPr="00BC10F2" w:rsidRDefault="00A80621">
      <w:pPr>
        <w:tabs>
          <w:tab w:val="left" w:pos="256"/>
        </w:tabs>
        <w:rPr>
          <w:rFonts w:asciiTheme="minorHAnsi" w:hAnsiTheme="minorHAnsi" w:cstheme="minorHAnsi"/>
        </w:rPr>
      </w:pPr>
    </w:p>
    <w:p w14:paraId="72CD0F97" w14:textId="77777777" w:rsidR="00A80621" w:rsidRPr="00BC10F2" w:rsidRDefault="007941FC">
      <w:pPr>
        <w:tabs>
          <w:tab w:val="left" w:pos="256"/>
        </w:tabs>
        <w:spacing w:line="360" w:lineRule="auto"/>
        <w:rPr>
          <w:rFonts w:asciiTheme="minorHAnsi" w:hAnsiTheme="minorHAnsi" w:cstheme="minorHAnsi"/>
        </w:rPr>
      </w:pPr>
      <w:r w:rsidRPr="00BC10F2">
        <w:rPr>
          <w:rFonts w:asciiTheme="minorHAnsi" w:hAnsiTheme="minorHAnsi" w:cstheme="minorHAnsi"/>
          <w:b/>
          <w:sz w:val="22"/>
          <w:szCs w:val="22"/>
        </w:rPr>
        <w:t>Wymagania dotyczące wyposażenia w sprzęt i aparaturę medyczną:</w:t>
      </w:r>
    </w:p>
    <w:p w14:paraId="213429C6" w14:textId="77777777" w:rsidR="00AF1070" w:rsidRPr="00BC10F2" w:rsidRDefault="007941FC" w:rsidP="000B2BB8">
      <w:pPr>
        <w:pStyle w:val="Listanumerowana1"/>
        <w:numPr>
          <w:ilvl w:val="0"/>
          <w:numId w:val="22"/>
        </w:numPr>
        <w:rPr>
          <w:rFonts w:asciiTheme="minorHAnsi" w:hAnsiTheme="minorHAnsi" w:cstheme="minorHAnsi"/>
        </w:rPr>
      </w:pPr>
      <w:r w:rsidRPr="00BC10F2">
        <w:rPr>
          <w:rFonts w:asciiTheme="minorHAnsi" w:hAnsiTheme="minorHAnsi" w:cstheme="minorHAnsi"/>
        </w:rPr>
        <w:t>gabinety lekarskie w liczbie, która umożliwi realizację programu;</w:t>
      </w:r>
    </w:p>
    <w:p w14:paraId="190E2C0E" w14:textId="77777777" w:rsidR="00AF1070" w:rsidRPr="00BC10F2" w:rsidRDefault="007941FC" w:rsidP="000B2BB8">
      <w:pPr>
        <w:pStyle w:val="Listanumerowana1"/>
        <w:numPr>
          <w:ilvl w:val="0"/>
          <w:numId w:val="22"/>
        </w:numPr>
        <w:rPr>
          <w:rFonts w:asciiTheme="minorHAnsi" w:hAnsiTheme="minorHAnsi" w:cstheme="minorHAnsi"/>
        </w:rPr>
      </w:pPr>
      <w:r w:rsidRPr="00BC10F2">
        <w:rPr>
          <w:rFonts w:asciiTheme="minorHAnsi" w:hAnsiTheme="minorHAnsi" w:cstheme="minorHAnsi"/>
        </w:rPr>
        <w:t>pracownia densytometryczna zlokalizowana w podmiocie leczniczym i spełniająca ogólne warunki dla pracowni radiologicznych;</w:t>
      </w:r>
    </w:p>
    <w:p w14:paraId="4492F07A" w14:textId="77777777" w:rsidR="00AF1070" w:rsidRPr="00BC10F2" w:rsidRDefault="007941FC" w:rsidP="000B2BB8">
      <w:pPr>
        <w:pStyle w:val="Listanumerowana1"/>
        <w:numPr>
          <w:ilvl w:val="0"/>
          <w:numId w:val="22"/>
        </w:numPr>
        <w:rPr>
          <w:rFonts w:asciiTheme="minorHAnsi" w:hAnsiTheme="minorHAnsi" w:cstheme="minorHAnsi"/>
        </w:rPr>
      </w:pPr>
      <w:r w:rsidRPr="00BC10F2">
        <w:rPr>
          <w:rFonts w:asciiTheme="minorHAnsi" w:hAnsiTheme="minorHAnsi" w:cstheme="minorHAnsi"/>
        </w:rPr>
        <w:t>komputer z kalkulatorem FRAX;</w:t>
      </w:r>
    </w:p>
    <w:p w14:paraId="71BF05FC" w14:textId="54205C59" w:rsidR="00A80621" w:rsidRPr="00BC10F2" w:rsidRDefault="007941FC" w:rsidP="000B2BB8">
      <w:pPr>
        <w:pStyle w:val="Listanumerowana1"/>
        <w:numPr>
          <w:ilvl w:val="0"/>
          <w:numId w:val="22"/>
        </w:numPr>
        <w:rPr>
          <w:rFonts w:asciiTheme="minorHAnsi" w:hAnsiTheme="minorHAnsi" w:cstheme="minorHAnsi"/>
        </w:rPr>
      </w:pPr>
      <w:r w:rsidRPr="00BC10F2">
        <w:rPr>
          <w:rFonts w:asciiTheme="minorHAnsi" w:hAnsiTheme="minorHAnsi" w:cstheme="minorHAnsi"/>
        </w:rPr>
        <w:t>w dostępie densytometr oceniający BMD w obrębie szyjki kości udowej metodą DXA.</w:t>
      </w:r>
    </w:p>
    <w:p w14:paraId="48559B45"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Interwencje w ramach programu nie mogą stanowić żadnego zagrożenia dla zdrowia i życia uczestników. Wymagane jest, aby w przypadku korzystania ze sprzętu w programie, spełniał on wszystkie normy zgodne z obowiązującym prawem oraz posiadał niezbędne certyfikaty. Ponadto, każdy realizator musi spełniać wymagania określone w przepisach odrębnych, w szczególności:</w:t>
      </w:r>
    </w:p>
    <w:p w14:paraId="17327053"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rozporządzeniu Ministra Zdrowia z dnia 6 kwietnia 2020 r. w sprawie rodzajów, zakresu i wzorów dokumentacji medycznej oraz sposobu jej przetwarzania,</w:t>
      </w:r>
    </w:p>
    <w:p w14:paraId="050BD3DB"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rozporządzeniu Ministra Zdrowia z dnia 26 marca 2019 r. w sprawie szczegółowych wymagań, jakim powinny odpowiadać pomieszczenia i urządzenia podmiotu wykonującego działalność leczniczą, wraz z rozporządzeniem zmieniającym powyższe z dnia 3 listopada 2020 r.</w:t>
      </w:r>
    </w:p>
    <w:p w14:paraId="31CB38C6" w14:textId="77777777" w:rsidR="00A80621" w:rsidRPr="00BC10F2" w:rsidRDefault="007941FC">
      <w:pPr>
        <w:pStyle w:val="Listapunktowana1"/>
        <w:rPr>
          <w:rFonts w:asciiTheme="minorHAnsi" w:hAnsiTheme="minorHAnsi" w:cstheme="minorHAnsi"/>
        </w:rPr>
      </w:pPr>
      <w:bookmarkStart w:id="24" w:name="_Hlk36829220"/>
      <w:r w:rsidRPr="00BC10F2">
        <w:rPr>
          <w:rFonts w:asciiTheme="minorHAnsi" w:hAnsiTheme="minorHAnsi" w:cstheme="minorHAnsi"/>
        </w:rPr>
        <w:t>rozporządzeniu Ministra Zdrowia z dnia 11 stycznia 2023 r. w sprawie warunków bezpiecznego stosowania promieniowania jonizującego dla wszystkich rodzajów ekspozycji medycznej</w:t>
      </w:r>
      <w:bookmarkEnd w:id="24"/>
      <w:r w:rsidRPr="00BC10F2">
        <w:rPr>
          <w:rFonts w:asciiTheme="minorHAnsi" w:hAnsiTheme="minorHAnsi" w:cstheme="minorHAnsi"/>
        </w:rPr>
        <w:t>,</w:t>
      </w:r>
    </w:p>
    <w:p w14:paraId="5C4DD0F4"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rozporządzeniu Ministra Zdrowia z dnia 21 sierpnia 2006 r. w sprawie szczegółowych warunków bezpiecznej pracy z urządzeniami radiologicznymi.</w:t>
      </w:r>
    </w:p>
    <w:p w14:paraId="58B4C40D" w14:textId="4258FB49" w:rsidR="00462504" w:rsidRPr="00BC10F2" w:rsidRDefault="007941FC">
      <w:pPr>
        <w:pStyle w:val="Tekstpodstawowy"/>
        <w:rPr>
          <w:rFonts w:asciiTheme="minorHAnsi" w:hAnsiTheme="minorHAnsi" w:cstheme="minorHAnsi"/>
        </w:rPr>
      </w:pPr>
      <w:r w:rsidRPr="00BC10F2">
        <w:rPr>
          <w:rFonts w:asciiTheme="minorHAnsi" w:hAnsiTheme="minorHAnsi" w:cstheme="minorHAnsi"/>
        </w:rPr>
        <w:t>Realizator powinien zapewnić wyposażenie i warunki lokalowe adekwatne do planowanych działań.</w:t>
      </w:r>
    </w:p>
    <w:p w14:paraId="15B2E52D" w14:textId="1317FF5B" w:rsidR="00462504" w:rsidRPr="00BC10F2" w:rsidRDefault="00462504" w:rsidP="00462504">
      <w:pPr>
        <w:autoSpaceDE w:val="0"/>
        <w:autoSpaceDN w:val="0"/>
        <w:adjustRightInd w:val="0"/>
        <w:spacing w:after="0" w:line="240" w:lineRule="auto"/>
        <w:rPr>
          <w:rFonts w:asciiTheme="minorHAnsi" w:hAnsiTheme="minorHAnsi" w:cstheme="minorHAnsi"/>
          <w:color w:val="000000"/>
        </w:rPr>
      </w:pPr>
      <w:r w:rsidRPr="00BC10F2">
        <w:rPr>
          <w:rFonts w:asciiTheme="minorHAnsi" w:hAnsiTheme="minorHAnsi" w:cstheme="minorHAnsi"/>
          <w:color w:val="000000"/>
        </w:rPr>
        <w:t>Warunki dotycząc</w:t>
      </w:r>
      <w:r w:rsidR="00162F17" w:rsidRPr="00BC10F2">
        <w:rPr>
          <w:rFonts w:asciiTheme="minorHAnsi" w:hAnsiTheme="minorHAnsi" w:cstheme="minorHAnsi"/>
          <w:color w:val="000000"/>
        </w:rPr>
        <w:t>e</w:t>
      </w:r>
      <w:r w:rsidRPr="00BC10F2">
        <w:rPr>
          <w:rFonts w:asciiTheme="minorHAnsi" w:hAnsiTheme="minorHAnsi" w:cstheme="minorHAnsi"/>
          <w:color w:val="000000"/>
        </w:rPr>
        <w:t xml:space="preserve"> przeprowadzenia szkolenia personelu medycznego w formie stacjonarnej: </w:t>
      </w:r>
    </w:p>
    <w:p w14:paraId="09264D41" w14:textId="189D17C5" w:rsidR="00462504" w:rsidRPr="00BC10F2" w:rsidRDefault="00462504" w:rsidP="00462504">
      <w:pPr>
        <w:pStyle w:val="Tekstpodstawowy"/>
        <w:rPr>
          <w:rFonts w:asciiTheme="minorHAnsi" w:hAnsiTheme="minorHAnsi" w:cstheme="minorHAnsi"/>
        </w:rPr>
      </w:pPr>
      <w:r w:rsidRPr="00BC10F2">
        <w:rPr>
          <w:rFonts w:asciiTheme="minorHAnsi" w:hAnsiTheme="minorHAnsi" w:cstheme="minorHAnsi"/>
          <w:color w:val="000000"/>
        </w:rPr>
        <w:t>sala wykładowa wyposażona w ekran, rzutnik i laptop, krzesła, stoły i flipchart</w:t>
      </w:r>
      <w:r w:rsidR="0029543B" w:rsidRPr="00BC10F2">
        <w:rPr>
          <w:rFonts w:asciiTheme="minorHAnsi" w:hAnsiTheme="minorHAnsi" w:cstheme="minorHAnsi"/>
          <w:color w:val="000000"/>
        </w:rPr>
        <w:t>.</w:t>
      </w:r>
    </w:p>
    <w:p w14:paraId="71A4623E" w14:textId="77777777" w:rsidR="00A80621" w:rsidRPr="00BC10F2" w:rsidRDefault="00A80621">
      <w:pPr>
        <w:pStyle w:val="Teksttreci20"/>
        <w:shd w:val="clear" w:color="auto" w:fill="auto"/>
        <w:spacing w:before="120" w:line="360" w:lineRule="auto"/>
        <w:ind w:firstLine="0"/>
        <w:rPr>
          <w:rFonts w:asciiTheme="minorHAnsi" w:hAnsiTheme="minorHAnsi" w:cstheme="minorHAnsi"/>
        </w:rPr>
      </w:pPr>
    </w:p>
    <w:p w14:paraId="75D0C381" w14:textId="77777777" w:rsidR="00A80621" w:rsidRPr="00BC10F2" w:rsidRDefault="007941FC">
      <w:pPr>
        <w:pStyle w:val="Nagwek1"/>
        <w:rPr>
          <w:rFonts w:asciiTheme="minorHAnsi" w:hAnsiTheme="minorHAnsi" w:cstheme="minorHAnsi"/>
        </w:rPr>
      </w:pPr>
      <w:bookmarkStart w:id="25" w:name="_Toc146115001"/>
      <w:r w:rsidRPr="00BC10F2">
        <w:rPr>
          <w:rFonts w:asciiTheme="minorHAnsi" w:hAnsiTheme="minorHAnsi" w:cstheme="minorHAnsi"/>
        </w:rPr>
        <w:lastRenderedPageBreak/>
        <w:t>Sposób monitorowania i ewaluacji programu polityki zdrowotnej</w:t>
      </w:r>
      <w:bookmarkEnd w:id="25"/>
    </w:p>
    <w:p w14:paraId="64E91F40" w14:textId="77777777" w:rsidR="00A80621" w:rsidRPr="00BC10F2" w:rsidRDefault="007941FC">
      <w:pPr>
        <w:pStyle w:val="Nagwek2"/>
        <w:rPr>
          <w:rFonts w:asciiTheme="minorHAnsi" w:hAnsiTheme="minorHAnsi" w:cstheme="minorHAnsi"/>
        </w:rPr>
      </w:pPr>
      <w:bookmarkStart w:id="26" w:name="_Toc146115002"/>
      <w:r w:rsidRPr="00BC10F2">
        <w:rPr>
          <w:rFonts w:asciiTheme="minorHAnsi" w:hAnsiTheme="minorHAnsi" w:cstheme="minorHAnsi"/>
        </w:rPr>
        <w:t>Monitorowanie</w:t>
      </w:r>
      <w:bookmarkEnd w:id="26"/>
    </w:p>
    <w:p w14:paraId="5E60CFF6"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Monitoring programu będzie prowadzony w trzech podstawowych zakresach:</w:t>
      </w:r>
    </w:p>
    <w:p w14:paraId="68B2D051" w14:textId="77777777" w:rsidR="00675632" w:rsidRPr="00BC10F2" w:rsidRDefault="007941FC" w:rsidP="000B2BB8">
      <w:pPr>
        <w:pStyle w:val="Listanumerowana1"/>
        <w:numPr>
          <w:ilvl w:val="0"/>
          <w:numId w:val="23"/>
        </w:numPr>
        <w:rPr>
          <w:rFonts w:asciiTheme="minorHAnsi" w:hAnsiTheme="minorHAnsi" w:cstheme="minorHAnsi"/>
        </w:rPr>
      </w:pPr>
      <w:r w:rsidRPr="00BC10F2">
        <w:rPr>
          <w:rFonts w:asciiTheme="minorHAnsi" w:hAnsiTheme="minorHAnsi" w:cstheme="minorHAnsi"/>
          <w:b/>
          <w:bCs w:val="0"/>
        </w:rPr>
        <w:t>oceny zgłaszalności do programu,</w:t>
      </w:r>
    </w:p>
    <w:p w14:paraId="5F8DA7FF" w14:textId="77777777" w:rsidR="00675632" w:rsidRPr="00BC10F2" w:rsidRDefault="007941FC" w:rsidP="000B2BB8">
      <w:pPr>
        <w:pStyle w:val="Listanumerowana1"/>
        <w:numPr>
          <w:ilvl w:val="0"/>
          <w:numId w:val="23"/>
        </w:numPr>
        <w:rPr>
          <w:rFonts w:asciiTheme="minorHAnsi" w:hAnsiTheme="minorHAnsi" w:cstheme="minorHAnsi"/>
        </w:rPr>
      </w:pPr>
      <w:r w:rsidRPr="00BC10F2">
        <w:rPr>
          <w:rFonts w:asciiTheme="minorHAnsi" w:hAnsiTheme="minorHAnsi" w:cstheme="minorHAnsi"/>
          <w:b/>
          <w:bCs w:val="0"/>
        </w:rPr>
        <w:t>oceny jakości świadczeń przewidzianych w programie,</w:t>
      </w:r>
    </w:p>
    <w:p w14:paraId="089C437B" w14:textId="6A371E2E" w:rsidR="00A80621" w:rsidRPr="00BC10F2" w:rsidRDefault="007941FC" w:rsidP="000B2BB8">
      <w:pPr>
        <w:pStyle w:val="Listanumerowana1"/>
        <w:numPr>
          <w:ilvl w:val="0"/>
          <w:numId w:val="23"/>
        </w:numPr>
        <w:rPr>
          <w:rFonts w:asciiTheme="minorHAnsi" w:hAnsiTheme="minorHAnsi" w:cstheme="minorHAnsi"/>
        </w:rPr>
      </w:pPr>
      <w:r w:rsidRPr="00BC10F2">
        <w:rPr>
          <w:rFonts w:asciiTheme="minorHAnsi" w:hAnsiTheme="minorHAnsi" w:cstheme="minorHAnsi"/>
          <w:b/>
          <w:bCs w:val="0"/>
        </w:rPr>
        <w:t>oceny efektywności programu.</w:t>
      </w:r>
    </w:p>
    <w:p w14:paraId="6DD58BBD"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ramach monitoringu, każdy realizator zobowiązany jest do złożenia następujących dokumentów: </w:t>
      </w:r>
    </w:p>
    <w:p w14:paraId="65342F56" w14:textId="77777777" w:rsidR="00CC2DC5" w:rsidRPr="00BC10F2" w:rsidRDefault="007941FC" w:rsidP="000B2BB8">
      <w:pPr>
        <w:pStyle w:val="Listanumerowana1"/>
        <w:numPr>
          <w:ilvl w:val="0"/>
          <w:numId w:val="24"/>
        </w:numPr>
        <w:rPr>
          <w:rFonts w:asciiTheme="minorHAnsi" w:hAnsiTheme="minorHAnsi" w:cstheme="minorHAnsi"/>
        </w:rPr>
      </w:pPr>
      <w:r w:rsidRPr="00BC10F2">
        <w:rPr>
          <w:rFonts w:asciiTheme="minorHAnsi" w:hAnsiTheme="minorHAnsi" w:cstheme="minorHAnsi"/>
        </w:rPr>
        <w:t xml:space="preserve">sprawozdania </w:t>
      </w:r>
      <w:r w:rsidR="0070343E" w:rsidRPr="00BC10F2">
        <w:rPr>
          <w:rFonts w:asciiTheme="minorHAnsi" w:hAnsiTheme="minorHAnsi" w:cstheme="minorHAnsi"/>
        </w:rPr>
        <w:t xml:space="preserve">miesięcznego </w:t>
      </w:r>
      <w:r w:rsidRPr="00BC10F2">
        <w:rPr>
          <w:rFonts w:asciiTheme="minorHAnsi" w:hAnsiTheme="minorHAnsi" w:cstheme="minorHAnsi"/>
        </w:rPr>
        <w:t>oraz rocznego z wykonania świadczeń w ramach programu – zgodnie z treścią wzoru opublikowanego w konkursie ofert</w:t>
      </w:r>
      <w:r w:rsidR="00CC2DC5" w:rsidRPr="00BC10F2">
        <w:rPr>
          <w:rFonts w:asciiTheme="minorHAnsi" w:hAnsiTheme="minorHAnsi" w:cstheme="minorHAnsi"/>
        </w:rPr>
        <w:t>.</w:t>
      </w:r>
    </w:p>
    <w:p w14:paraId="33B1881A" w14:textId="5E0D7AFE" w:rsidR="00A80621" w:rsidRPr="00BC10F2" w:rsidRDefault="00CC2DC5" w:rsidP="000B2BB8">
      <w:pPr>
        <w:pStyle w:val="Listanumerowana1"/>
        <w:numPr>
          <w:ilvl w:val="0"/>
          <w:numId w:val="24"/>
        </w:numPr>
        <w:rPr>
          <w:rFonts w:asciiTheme="minorHAnsi" w:hAnsiTheme="minorHAnsi" w:cstheme="minorHAnsi"/>
        </w:rPr>
      </w:pPr>
      <w:r w:rsidRPr="00BC10F2">
        <w:rPr>
          <w:rFonts w:asciiTheme="minorHAnsi" w:hAnsiTheme="minorHAnsi" w:cstheme="minorHAnsi"/>
        </w:rPr>
        <w:t>A</w:t>
      </w:r>
      <w:r w:rsidR="007941FC" w:rsidRPr="00BC10F2">
        <w:rPr>
          <w:rFonts w:asciiTheme="minorHAnsi" w:hAnsiTheme="minorHAnsi" w:cstheme="minorHAnsi"/>
        </w:rPr>
        <w:t>nalizę wyników ankiet satysfakcji uczestników programu – zgodnie z treścią wzoru ankiety stanowiącej załącznik</w:t>
      </w:r>
      <w:r w:rsidR="00DC5CFC" w:rsidRPr="00BC10F2">
        <w:rPr>
          <w:rFonts w:asciiTheme="minorHAnsi" w:hAnsiTheme="minorHAnsi" w:cstheme="minorHAnsi"/>
        </w:rPr>
        <w:t xml:space="preserve"> nr 2 </w:t>
      </w:r>
      <w:r w:rsidR="007941FC" w:rsidRPr="00BC10F2">
        <w:rPr>
          <w:rFonts w:asciiTheme="minorHAnsi" w:hAnsiTheme="minorHAnsi" w:cstheme="minorHAnsi"/>
        </w:rPr>
        <w:t xml:space="preserve">do programu – w rocznych sprawozdaniach. </w:t>
      </w:r>
    </w:p>
    <w:p w14:paraId="3CBF136E" w14:textId="4377C9A8"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Sprawozdanie </w:t>
      </w:r>
      <w:r w:rsidR="00CC2DC5" w:rsidRPr="00BC10F2">
        <w:rPr>
          <w:rFonts w:asciiTheme="minorHAnsi" w:hAnsiTheme="minorHAnsi" w:cstheme="minorHAnsi"/>
        </w:rPr>
        <w:t>miesięczne</w:t>
      </w:r>
      <w:r w:rsidRPr="00BC10F2">
        <w:rPr>
          <w:rFonts w:asciiTheme="minorHAnsi" w:hAnsiTheme="minorHAnsi" w:cstheme="minorHAnsi"/>
        </w:rPr>
        <w:t>/</w:t>
      </w:r>
      <w:r w:rsidR="00CC2DC5" w:rsidRPr="00BC10F2">
        <w:rPr>
          <w:rFonts w:asciiTheme="minorHAnsi" w:hAnsiTheme="minorHAnsi" w:cstheme="minorHAnsi"/>
        </w:rPr>
        <w:t xml:space="preserve"> </w:t>
      </w:r>
      <w:r w:rsidRPr="00BC10F2">
        <w:rPr>
          <w:rFonts w:asciiTheme="minorHAnsi" w:hAnsiTheme="minorHAnsi" w:cstheme="minorHAnsi"/>
        </w:rPr>
        <w:t>roczne może zawierać dodatkowe elementy, nieokreślone we wzorze, które realizator uzna za niezbędne. Warunki i terminy przekazania sprawozdań będą określać umowy zawarte z realizatorami.</w:t>
      </w:r>
    </w:p>
    <w:p w14:paraId="09592F77" w14:textId="77777777" w:rsidR="00A80621" w:rsidRPr="00BC10F2" w:rsidRDefault="007941FC">
      <w:pPr>
        <w:pStyle w:val="Nagwek4beznumeracji"/>
        <w:rPr>
          <w:rFonts w:asciiTheme="minorHAnsi" w:hAnsiTheme="minorHAnsi" w:cstheme="minorHAnsi"/>
        </w:rPr>
      </w:pPr>
      <w:r w:rsidRPr="00BC10F2">
        <w:rPr>
          <w:rFonts w:asciiTheme="minorHAnsi" w:hAnsiTheme="minorHAnsi" w:cstheme="minorHAnsi"/>
        </w:rPr>
        <w:t>Ad 1. Ocena zgłaszalności do programu</w:t>
      </w:r>
    </w:p>
    <w:p w14:paraId="2E7013F6" w14:textId="59F9CD4D" w:rsidR="000E36E8" w:rsidRPr="00BC10F2" w:rsidRDefault="007941FC" w:rsidP="000E36E8">
      <w:pPr>
        <w:pStyle w:val="Tekstpodstawowy"/>
        <w:rPr>
          <w:rFonts w:asciiTheme="minorHAnsi" w:hAnsiTheme="minorHAnsi" w:cstheme="minorHAnsi"/>
        </w:rPr>
      </w:pPr>
      <w:r w:rsidRPr="00BC10F2">
        <w:rPr>
          <w:rFonts w:asciiTheme="minorHAnsi" w:hAnsiTheme="minorHAnsi" w:cstheme="minorHAnsi"/>
        </w:rPr>
        <w:t>Realizator ma obowiązek prowadzić rejestr osób aplikujących do programu. Rejestr ma obowiązkowo zawierać dane jak</w:t>
      </w:r>
      <w:r w:rsidR="000E36E8" w:rsidRPr="00BC10F2">
        <w:rPr>
          <w:rFonts w:asciiTheme="minorHAnsi" w:hAnsiTheme="minorHAnsi" w:cstheme="minorHAnsi"/>
        </w:rPr>
        <w:t xml:space="preserve"> </w:t>
      </w:r>
      <w:r w:rsidRPr="00BC10F2">
        <w:rPr>
          <w:rFonts w:asciiTheme="minorHAnsi" w:hAnsiTheme="minorHAnsi" w:cstheme="minorHAnsi"/>
        </w:rPr>
        <w:t>imiona i nazwiska osób ubiegających się o udział w programie</w:t>
      </w:r>
      <w:r w:rsidR="000E36E8" w:rsidRPr="00BC10F2">
        <w:rPr>
          <w:rFonts w:asciiTheme="minorHAnsi" w:hAnsiTheme="minorHAnsi" w:cstheme="minorHAnsi"/>
        </w:rPr>
        <w:t>, oraz dane pozwalające określić:</w:t>
      </w:r>
    </w:p>
    <w:p w14:paraId="1CBA98F7" w14:textId="67A67E6D" w:rsidR="000E36E8" w:rsidRPr="00BC10F2" w:rsidRDefault="000E36E8" w:rsidP="000B2BB8">
      <w:pPr>
        <w:pStyle w:val="Listanumerowana1"/>
        <w:numPr>
          <w:ilvl w:val="0"/>
          <w:numId w:val="25"/>
        </w:numPr>
        <w:rPr>
          <w:rFonts w:asciiTheme="minorHAnsi" w:hAnsiTheme="minorHAnsi" w:cstheme="minorHAnsi"/>
        </w:rPr>
      </w:pPr>
      <w:r w:rsidRPr="00BC10F2">
        <w:rPr>
          <w:rFonts w:asciiTheme="minorHAnsi" w:hAnsiTheme="minorHAnsi" w:cstheme="minorHAnsi"/>
        </w:rPr>
        <w:t>Liczbę osób, które uczestniczyły w szkoleniach dla pers. med., z podziałem na zawody medyczne</w:t>
      </w:r>
      <w:r w:rsidR="007D3F9B" w:rsidRPr="00BC10F2">
        <w:rPr>
          <w:rFonts w:asciiTheme="minorHAnsi" w:hAnsiTheme="minorHAnsi" w:cstheme="minorHAnsi"/>
        </w:rPr>
        <w:t xml:space="preserve"> (min. 200)</w:t>
      </w:r>
      <w:r w:rsidRPr="00BC10F2">
        <w:rPr>
          <w:rFonts w:asciiTheme="minorHAnsi" w:hAnsiTheme="minorHAnsi" w:cstheme="minorHAnsi"/>
        </w:rPr>
        <w:t xml:space="preserve">; </w:t>
      </w:r>
    </w:p>
    <w:p w14:paraId="3D8AF1FB" w14:textId="09F0CC73" w:rsidR="000E36E8" w:rsidRPr="00BC10F2" w:rsidRDefault="000E36E8" w:rsidP="000B2BB8">
      <w:pPr>
        <w:pStyle w:val="Listanumerowana1"/>
        <w:numPr>
          <w:ilvl w:val="0"/>
          <w:numId w:val="25"/>
        </w:numPr>
        <w:rPr>
          <w:rFonts w:asciiTheme="minorHAnsi" w:hAnsiTheme="minorHAnsi" w:cstheme="minorHAnsi"/>
        </w:rPr>
      </w:pPr>
      <w:r w:rsidRPr="00BC10F2">
        <w:rPr>
          <w:rFonts w:asciiTheme="minorHAnsi" w:hAnsiTheme="minorHAnsi" w:cstheme="minorHAnsi"/>
        </w:rPr>
        <w:t>Liczbę świadczeniobiorców, którzy zostali poddani działaniom edukacyjno-informacyjnym</w:t>
      </w:r>
      <w:r w:rsidR="007D3F9B" w:rsidRPr="00BC10F2">
        <w:rPr>
          <w:rFonts w:asciiTheme="minorHAnsi" w:hAnsiTheme="minorHAnsi" w:cstheme="minorHAnsi"/>
        </w:rPr>
        <w:t xml:space="preserve"> (min. 192 000)</w:t>
      </w:r>
      <w:r w:rsidRPr="00BC10F2">
        <w:rPr>
          <w:rFonts w:asciiTheme="minorHAnsi" w:hAnsiTheme="minorHAnsi" w:cstheme="minorHAnsi"/>
        </w:rPr>
        <w:t xml:space="preserve">; </w:t>
      </w:r>
    </w:p>
    <w:p w14:paraId="1671F125" w14:textId="7D4641D0" w:rsidR="000E36E8" w:rsidRPr="00BC10F2" w:rsidRDefault="000E36E8" w:rsidP="000B2BB8">
      <w:pPr>
        <w:pStyle w:val="Listanumerowana1"/>
        <w:numPr>
          <w:ilvl w:val="0"/>
          <w:numId w:val="25"/>
        </w:numPr>
        <w:rPr>
          <w:rFonts w:asciiTheme="minorHAnsi" w:hAnsiTheme="minorHAnsi" w:cstheme="minorHAnsi"/>
        </w:rPr>
      </w:pPr>
      <w:r w:rsidRPr="00BC10F2">
        <w:rPr>
          <w:rFonts w:asciiTheme="minorHAnsi" w:hAnsiTheme="minorHAnsi" w:cstheme="minorHAnsi"/>
        </w:rPr>
        <w:t>Liczbę świadczeniobiorców, którzy zostali zakwalif</w:t>
      </w:r>
      <w:r w:rsidR="003536B6" w:rsidRPr="00BC10F2">
        <w:rPr>
          <w:rFonts w:asciiTheme="minorHAnsi" w:hAnsiTheme="minorHAnsi" w:cstheme="minorHAnsi"/>
        </w:rPr>
        <w:t>ikowani</w:t>
      </w:r>
      <w:r w:rsidRPr="00BC10F2">
        <w:rPr>
          <w:rFonts w:asciiTheme="minorHAnsi" w:hAnsiTheme="minorHAnsi" w:cstheme="minorHAnsi"/>
        </w:rPr>
        <w:t xml:space="preserve"> do FRAX, z podziałem na wyniki &lt;5% i ≥5%</w:t>
      </w:r>
      <w:r w:rsidR="007D3F9B" w:rsidRPr="00BC10F2">
        <w:rPr>
          <w:rFonts w:asciiTheme="minorHAnsi" w:hAnsiTheme="minorHAnsi" w:cstheme="minorHAnsi"/>
        </w:rPr>
        <w:t xml:space="preserve"> (min. 6 300)</w:t>
      </w:r>
      <w:r w:rsidRPr="00BC10F2">
        <w:rPr>
          <w:rFonts w:asciiTheme="minorHAnsi" w:hAnsiTheme="minorHAnsi" w:cstheme="minorHAnsi"/>
        </w:rPr>
        <w:t xml:space="preserve">; </w:t>
      </w:r>
    </w:p>
    <w:p w14:paraId="2C3CCC71" w14:textId="16E5C369" w:rsidR="000E36E8" w:rsidRPr="00BC10F2" w:rsidRDefault="000E36E8" w:rsidP="000B2BB8">
      <w:pPr>
        <w:pStyle w:val="Listanumerowana1"/>
        <w:numPr>
          <w:ilvl w:val="0"/>
          <w:numId w:val="25"/>
        </w:numPr>
        <w:rPr>
          <w:rFonts w:asciiTheme="minorHAnsi" w:hAnsiTheme="minorHAnsi" w:cstheme="minorHAnsi"/>
        </w:rPr>
      </w:pPr>
      <w:r w:rsidRPr="00BC10F2">
        <w:rPr>
          <w:rFonts w:asciiTheme="minorHAnsi" w:hAnsiTheme="minorHAnsi" w:cstheme="minorHAnsi"/>
        </w:rPr>
        <w:t>Liczbę świadczeniobiorców, którzy w ramach programu wykonali pomiar BMD za pomocą DXA, z podziałem na grupy wyników T-</w:t>
      </w:r>
      <w:proofErr w:type="spellStart"/>
      <w:r w:rsidRPr="00BC10F2">
        <w:rPr>
          <w:rFonts w:asciiTheme="minorHAnsi" w:hAnsiTheme="minorHAnsi" w:cstheme="minorHAnsi"/>
        </w:rPr>
        <w:t>score</w:t>
      </w:r>
      <w:proofErr w:type="spellEnd"/>
      <w:r w:rsidRPr="00BC10F2">
        <w:rPr>
          <w:rFonts w:asciiTheme="minorHAnsi" w:hAnsiTheme="minorHAnsi" w:cstheme="minorHAnsi"/>
        </w:rPr>
        <w:t xml:space="preserve"> (grupa &gt;–1; grupa ≤–1 i &gt;–2,5; grupa ≤–2,5) </w:t>
      </w:r>
      <w:r w:rsidR="001D5E1A" w:rsidRPr="00BC10F2">
        <w:rPr>
          <w:rFonts w:asciiTheme="minorHAnsi" w:hAnsiTheme="minorHAnsi" w:cstheme="minorHAnsi"/>
        </w:rPr>
        <w:t>(</w:t>
      </w:r>
      <w:r w:rsidR="00CF1102" w:rsidRPr="00BC10F2">
        <w:rPr>
          <w:rFonts w:asciiTheme="minorHAnsi" w:hAnsiTheme="minorHAnsi" w:cstheme="minorHAnsi"/>
        </w:rPr>
        <w:t>5670</w:t>
      </w:r>
      <w:r w:rsidR="001D5E1A" w:rsidRPr="00BC10F2">
        <w:rPr>
          <w:rFonts w:asciiTheme="minorHAnsi" w:hAnsiTheme="minorHAnsi" w:cstheme="minorHAnsi"/>
        </w:rPr>
        <w:t>);</w:t>
      </w:r>
    </w:p>
    <w:p w14:paraId="337BE724" w14:textId="15FC1A00" w:rsidR="000E36E8" w:rsidRPr="00BC10F2" w:rsidRDefault="000E36E8" w:rsidP="000B2BB8">
      <w:pPr>
        <w:pStyle w:val="Listanumerowana1"/>
        <w:numPr>
          <w:ilvl w:val="0"/>
          <w:numId w:val="25"/>
        </w:numPr>
        <w:rPr>
          <w:rFonts w:asciiTheme="minorHAnsi" w:hAnsiTheme="minorHAnsi" w:cstheme="minorHAnsi"/>
        </w:rPr>
      </w:pPr>
      <w:r w:rsidRPr="00BC10F2">
        <w:rPr>
          <w:rFonts w:asciiTheme="minorHAnsi" w:hAnsiTheme="minorHAnsi" w:cstheme="minorHAnsi"/>
        </w:rPr>
        <w:t>Liczbę świadczeniobiorców, którzy wzięli udział w lekarskiej wizycie podsumowującej</w:t>
      </w:r>
      <w:r w:rsidR="00CF1102" w:rsidRPr="00BC10F2">
        <w:rPr>
          <w:rFonts w:asciiTheme="minorHAnsi" w:hAnsiTheme="minorHAnsi" w:cstheme="minorHAnsi"/>
        </w:rPr>
        <w:t xml:space="preserve"> (5</w:t>
      </w:r>
      <w:r w:rsidR="007D3F9B" w:rsidRPr="00BC10F2">
        <w:rPr>
          <w:rFonts w:asciiTheme="minorHAnsi" w:hAnsiTheme="minorHAnsi" w:cstheme="minorHAnsi"/>
        </w:rPr>
        <w:t>670)</w:t>
      </w:r>
      <w:r w:rsidRPr="00BC10F2">
        <w:rPr>
          <w:rFonts w:asciiTheme="minorHAnsi" w:hAnsiTheme="minorHAnsi" w:cstheme="minorHAnsi"/>
        </w:rPr>
        <w:t xml:space="preserve">; </w:t>
      </w:r>
    </w:p>
    <w:p w14:paraId="335F0C9F" w14:textId="4FD63571" w:rsidR="000E36E8" w:rsidRPr="00BC10F2" w:rsidRDefault="000E36E8" w:rsidP="000B2BB8">
      <w:pPr>
        <w:pStyle w:val="Listanumerowana1"/>
        <w:numPr>
          <w:ilvl w:val="0"/>
          <w:numId w:val="25"/>
        </w:numPr>
        <w:rPr>
          <w:rFonts w:asciiTheme="minorHAnsi" w:hAnsiTheme="minorHAnsi" w:cstheme="minorHAnsi"/>
        </w:rPr>
      </w:pPr>
      <w:r w:rsidRPr="00BC10F2">
        <w:rPr>
          <w:rFonts w:asciiTheme="minorHAnsi" w:hAnsiTheme="minorHAnsi" w:cstheme="minorHAnsi"/>
        </w:rPr>
        <w:t>Liczbę świadczeniobiorców, którzy nie zostali objęci działaniami w ramach programu polityki zdrowotnej, wraz ze wskazaniem powodów</w:t>
      </w:r>
      <w:r w:rsidR="001D5E1A" w:rsidRPr="00BC10F2">
        <w:rPr>
          <w:rFonts w:asciiTheme="minorHAnsi" w:hAnsiTheme="minorHAnsi" w:cstheme="minorHAnsi"/>
        </w:rPr>
        <w:t xml:space="preserve"> (1330; zakładamy, że 90% świadczeniobiorców zakwalifikuje się do FRAX, a spośród tej liczby min. 90% wykona pomiar BMD)</w:t>
      </w:r>
      <w:r w:rsidRPr="00BC10F2">
        <w:rPr>
          <w:rFonts w:asciiTheme="minorHAnsi" w:hAnsiTheme="minorHAnsi" w:cstheme="minorHAnsi"/>
        </w:rPr>
        <w:t xml:space="preserve">; </w:t>
      </w:r>
    </w:p>
    <w:p w14:paraId="6074009C" w14:textId="202087ED" w:rsidR="000E36E8" w:rsidRPr="00BC10F2" w:rsidRDefault="000E36E8" w:rsidP="000B2BB8">
      <w:pPr>
        <w:pStyle w:val="Listanumerowana1"/>
        <w:numPr>
          <w:ilvl w:val="0"/>
          <w:numId w:val="25"/>
        </w:numPr>
        <w:rPr>
          <w:rFonts w:asciiTheme="minorHAnsi" w:hAnsiTheme="minorHAnsi" w:cstheme="minorHAnsi"/>
        </w:rPr>
      </w:pPr>
      <w:r w:rsidRPr="00BC10F2">
        <w:rPr>
          <w:rFonts w:asciiTheme="minorHAnsi" w:hAnsiTheme="minorHAnsi" w:cstheme="minorHAnsi"/>
        </w:rPr>
        <w:t>Liczbę osób, która zrezygnowała z udziału w programie</w:t>
      </w:r>
      <w:r w:rsidR="007D3F9B" w:rsidRPr="00BC10F2">
        <w:rPr>
          <w:rFonts w:asciiTheme="minorHAnsi" w:hAnsiTheme="minorHAnsi" w:cstheme="minorHAnsi"/>
        </w:rPr>
        <w:t xml:space="preserve"> (max. </w:t>
      </w:r>
      <w:r w:rsidR="00CF1102" w:rsidRPr="00BC10F2">
        <w:rPr>
          <w:rFonts w:asciiTheme="minorHAnsi" w:hAnsiTheme="minorHAnsi" w:cstheme="minorHAnsi"/>
        </w:rPr>
        <w:t>630</w:t>
      </w:r>
      <w:r w:rsidR="007D3F9B" w:rsidRPr="00BC10F2">
        <w:rPr>
          <w:rFonts w:asciiTheme="minorHAnsi" w:hAnsiTheme="minorHAnsi" w:cstheme="minorHAnsi"/>
        </w:rPr>
        <w:t>)</w:t>
      </w:r>
      <w:r w:rsidRPr="00BC10F2">
        <w:rPr>
          <w:rFonts w:asciiTheme="minorHAnsi" w:hAnsiTheme="minorHAnsi" w:cstheme="minorHAnsi"/>
        </w:rPr>
        <w:t xml:space="preserve">. </w:t>
      </w:r>
    </w:p>
    <w:p w14:paraId="45EFAD61"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lastRenderedPageBreak/>
        <w:t xml:space="preserve">Rejestr może zawierać inne dane niezbędne do prowadzenia działań z zakresu programu. Sugeruje się, żeby rejestr był prowadzony w formie elektronicznej. Rejestr zgłoszeń do programu będzie prowadzony zgodnie z przepisami dotyczącymi zbierania i przetwarzania danych osobowych. Administratorem danych osobowych osób aplikujących do programu jest podmiot realizujący program. </w:t>
      </w:r>
    </w:p>
    <w:p w14:paraId="16DB4572" w14:textId="77777777" w:rsidR="00A80621" w:rsidRPr="00BC10F2" w:rsidRDefault="007941FC">
      <w:pPr>
        <w:pStyle w:val="Nagwek4beznumeracji"/>
        <w:rPr>
          <w:rFonts w:asciiTheme="minorHAnsi" w:hAnsiTheme="minorHAnsi" w:cstheme="minorHAnsi"/>
        </w:rPr>
      </w:pPr>
      <w:r w:rsidRPr="00BC10F2">
        <w:rPr>
          <w:rFonts w:asciiTheme="minorHAnsi" w:hAnsiTheme="minorHAnsi" w:cstheme="minorHAnsi"/>
        </w:rPr>
        <w:t>Ad 2. Ocena jakości świadczeń w programie</w:t>
      </w:r>
    </w:p>
    <w:p w14:paraId="7503ECC5" w14:textId="27FF0DF3"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Jakość świadczeń oceniana będzie na podstawie wyników ankiet satysfakcji uczestników programu zgodnej z treścią załącznika </w:t>
      </w:r>
      <w:r w:rsidR="00DC5CFC" w:rsidRPr="00BC10F2">
        <w:rPr>
          <w:rFonts w:asciiTheme="minorHAnsi" w:hAnsiTheme="minorHAnsi" w:cstheme="minorHAnsi"/>
        </w:rPr>
        <w:t>nr 2</w:t>
      </w:r>
      <w:r w:rsidRPr="00BC10F2">
        <w:rPr>
          <w:rFonts w:asciiTheme="minorHAnsi" w:hAnsiTheme="minorHAnsi" w:cstheme="minorHAnsi"/>
        </w:rPr>
        <w:t xml:space="preserve"> do programu. Każdy uczestnik programu zostanie poproszony o wypełnienie i przekazanie realizatorowi ankiety po:</w:t>
      </w:r>
    </w:p>
    <w:p w14:paraId="1C3457C2" w14:textId="77777777" w:rsidR="00CC2DC5" w:rsidRPr="00BC10F2" w:rsidRDefault="007941FC" w:rsidP="000B2BB8">
      <w:pPr>
        <w:pStyle w:val="Listanumerowana1"/>
        <w:numPr>
          <w:ilvl w:val="0"/>
          <w:numId w:val="26"/>
        </w:numPr>
        <w:rPr>
          <w:rFonts w:asciiTheme="minorHAnsi" w:hAnsiTheme="minorHAnsi" w:cstheme="minorHAnsi"/>
        </w:rPr>
      </w:pPr>
      <w:r w:rsidRPr="00BC10F2">
        <w:rPr>
          <w:rFonts w:asciiTheme="minorHAnsi" w:hAnsiTheme="minorHAnsi" w:cstheme="minorHAnsi"/>
        </w:rPr>
        <w:t>udzieleniu uczestnikowi wszystkich interwencji, w których uczestniczył lub</w:t>
      </w:r>
    </w:p>
    <w:p w14:paraId="12008DCE" w14:textId="77777777" w:rsidR="00CC2DC5" w:rsidRPr="00BC10F2" w:rsidRDefault="007941FC" w:rsidP="000B2BB8">
      <w:pPr>
        <w:pStyle w:val="Listanumerowana1"/>
        <w:numPr>
          <w:ilvl w:val="0"/>
          <w:numId w:val="26"/>
        </w:numPr>
        <w:rPr>
          <w:rFonts w:asciiTheme="minorHAnsi" w:hAnsiTheme="minorHAnsi" w:cstheme="minorHAnsi"/>
        </w:rPr>
      </w:pPr>
      <w:r w:rsidRPr="00BC10F2">
        <w:rPr>
          <w:rFonts w:asciiTheme="minorHAnsi" w:hAnsiTheme="minorHAnsi" w:cstheme="minorHAnsi"/>
        </w:rPr>
        <w:t>rezygnacji z dalszego udziału w programie lub</w:t>
      </w:r>
    </w:p>
    <w:p w14:paraId="278B4FE5" w14:textId="1A24D4B3" w:rsidR="00A80621" w:rsidRPr="00BC10F2" w:rsidRDefault="007941FC" w:rsidP="000B2BB8">
      <w:pPr>
        <w:pStyle w:val="Listanumerowana1"/>
        <w:numPr>
          <w:ilvl w:val="0"/>
          <w:numId w:val="26"/>
        </w:numPr>
        <w:rPr>
          <w:rFonts w:asciiTheme="minorHAnsi" w:hAnsiTheme="minorHAnsi" w:cstheme="minorHAnsi"/>
        </w:rPr>
      </w:pPr>
      <w:r w:rsidRPr="00BC10F2">
        <w:rPr>
          <w:rFonts w:asciiTheme="minorHAnsi" w:hAnsiTheme="minorHAnsi" w:cstheme="minorHAnsi"/>
        </w:rPr>
        <w:t>wykluczeniu z dalszego udziału w programie.</w:t>
      </w:r>
    </w:p>
    <w:p w14:paraId="2684C29C"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Ankieta może być prowadzona w formie papierowej lub w formie elektronicznej.</w:t>
      </w:r>
    </w:p>
    <w:p w14:paraId="4E2A99E9"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Analiza wyników ankiet satysfakcji uczestników programu musi zawierać:</w:t>
      </w:r>
    </w:p>
    <w:p w14:paraId="44F554F5" w14:textId="78A25676" w:rsidR="00CC2DC5" w:rsidRPr="00BC10F2" w:rsidRDefault="007941FC" w:rsidP="000B2BB8">
      <w:pPr>
        <w:pStyle w:val="Listanumerowana1"/>
        <w:numPr>
          <w:ilvl w:val="0"/>
          <w:numId w:val="27"/>
        </w:numPr>
        <w:rPr>
          <w:rFonts w:asciiTheme="minorHAnsi" w:hAnsiTheme="minorHAnsi" w:cstheme="minorHAnsi"/>
        </w:rPr>
      </w:pPr>
      <w:r w:rsidRPr="00BC10F2">
        <w:rPr>
          <w:rFonts w:asciiTheme="minorHAnsi" w:hAnsiTheme="minorHAnsi" w:cstheme="minorHAnsi"/>
        </w:rPr>
        <w:t>liczbę uczestników programu biorących udział w badaniu satysfakcji</w:t>
      </w:r>
      <w:r w:rsidR="00FD6ADF" w:rsidRPr="00BC10F2">
        <w:rPr>
          <w:rFonts w:asciiTheme="minorHAnsi" w:hAnsiTheme="minorHAnsi" w:cstheme="minorHAnsi"/>
        </w:rPr>
        <w:t xml:space="preserve"> (</w:t>
      </w:r>
      <w:r w:rsidR="007D3F9B" w:rsidRPr="00BC10F2">
        <w:rPr>
          <w:rFonts w:asciiTheme="minorHAnsi" w:hAnsiTheme="minorHAnsi" w:cstheme="minorHAnsi"/>
        </w:rPr>
        <w:t>min. 6 300)</w:t>
      </w:r>
      <w:r w:rsidRPr="00BC10F2">
        <w:rPr>
          <w:rFonts w:asciiTheme="minorHAnsi" w:hAnsiTheme="minorHAnsi" w:cstheme="minorHAnsi"/>
        </w:rPr>
        <w:t>;</w:t>
      </w:r>
    </w:p>
    <w:p w14:paraId="74F92BD9" w14:textId="54FA6C49" w:rsidR="00CC2DC5" w:rsidRPr="00BC10F2" w:rsidRDefault="007941FC" w:rsidP="000B2BB8">
      <w:pPr>
        <w:pStyle w:val="Listanumerowana1"/>
        <w:numPr>
          <w:ilvl w:val="0"/>
          <w:numId w:val="27"/>
        </w:numPr>
        <w:rPr>
          <w:rFonts w:asciiTheme="minorHAnsi" w:hAnsiTheme="minorHAnsi" w:cstheme="minorHAnsi"/>
        </w:rPr>
      </w:pPr>
      <w:r w:rsidRPr="00BC10F2">
        <w:rPr>
          <w:rFonts w:asciiTheme="minorHAnsi" w:hAnsiTheme="minorHAnsi" w:cstheme="minorHAnsi"/>
        </w:rPr>
        <w:t>liczbę analizowanych ankiet satysfakcji</w:t>
      </w:r>
      <w:r w:rsidR="007D3F9B" w:rsidRPr="00BC10F2">
        <w:rPr>
          <w:rFonts w:asciiTheme="minorHAnsi" w:hAnsiTheme="minorHAnsi" w:cstheme="minorHAnsi"/>
        </w:rPr>
        <w:t xml:space="preserve"> (min. 6 300)</w:t>
      </w:r>
      <w:r w:rsidRPr="00BC10F2">
        <w:rPr>
          <w:rFonts w:asciiTheme="minorHAnsi" w:hAnsiTheme="minorHAnsi" w:cstheme="minorHAnsi"/>
        </w:rPr>
        <w:t>;</w:t>
      </w:r>
    </w:p>
    <w:p w14:paraId="5E27A393" w14:textId="77777777" w:rsidR="00CC2DC5" w:rsidRPr="00BC10F2" w:rsidRDefault="007941FC" w:rsidP="000B2BB8">
      <w:pPr>
        <w:pStyle w:val="Listanumerowana1"/>
        <w:numPr>
          <w:ilvl w:val="0"/>
          <w:numId w:val="27"/>
        </w:numPr>
        <w:rPr>
          <w:rFonts w:asciiTheme="minorHAnsi" w:hAnsiTheme="minorHAnsi" w:cstheme="minorHAnsi"/>
        </w:rPr>
      </w:pPr>
      <w:r w:rsidRPr="00BC10F2">
        <w:rPr>
          <w:rFonts w:asciiTheme="minorHAnsi" w:hAnsiTheme="minorHAnsi" w:cstheme="minorHAnsi"/>
        </w:rPr>
        <w:t>powód/powody zaistnienia różnicy między liczbą uczestników programu biorących udział w badaniu satysfakcji a liczbą analizowanych ankiet – jeśli taka różnica zaistniała;</w:t>
      </w:r>
    </w:p>
    <w:p w14:paraId="02E70962" w14:textId="1A80661C" w:rsidR="00CC2DC5" w:rsidRPr="00BC10F2" w:rsidRDefault="007941FC" w:rsidP="000B2BB8">
      <w:pPr>
        <w:pStyle w:val="Listanumerowana1"/>
        <w:numPr>
          <w:ilvl w:val="0"/>
          <w:numId w:val="27"/>
        </w:numPr>
        <w:rPr>
          <w:rFonts w:asciiTheme="minorHAnsi" w:hAnsiTheme="minorHAnsi" w:cstheme="minorHAnsi"/>
        </w:rPr>
      </w:pPr>
      <w:r w:rsidRPr="00BC10F2">
        <w:rPr>
          <w:rFonts w:asciiTheme="minorHAnsi" w:hAnsiTheme="minorHAnsi" w:cstheme="minorHAnsi"/>
        </w:rPr>
        <w:t>liczbę udzielonych odpowiedzi danego rodzaju w podziale na poszczególne pytania arkusza ankietowego</w:t>
      </w:r>
      <w:r w:rsidR="007D3F9B" w:rsidRPr="00BC10F2">
        <w:rPr>
          <w:rFonts w:asciiTheme="minorHAnsi" w:hAnsiTheme="minorHAnsi" w:cstheme="minorHAnsi"/>
        </w:rPr>
        <w:t xml:space="preserve"> (</w:t>
      </w:r>
      <w:r w:rsidRPr="00BC10F2">
        <w:rPr>
          <w:rFonts w:asciiTheme="minorHAnsi" w:hAnsiTheme="minorHAnsi" w:cstheme="minorHAnsi"/>
        </w:rPr>
        <w:t>;</w:t>
      </w:r>
    </w:p>
    <w:p w14:paraId="25B07E7F" w14:textId="653A2695" w:rsidR="00A80621" w:rsidRPr="00BC10F2" w:rsidRDefault="007941FC" w:rsidP="000B2BB8">
      <w:pPr>
        <w:pStyle w:val="Listanumerowana1"/>
        <w:numPr>
          <w:ilvl w:val="0"/>
          <w:numId w:val="27"/>
        </w:numPr>
        <w:rPr>
          <w:rFonts w:asciiTheme="minorHAnsi" w:hAnsiTheme="minorHAnsi" w:cstheme="minorHAnsi"/>
        </w:rPr>
      </w:pPr>
      <w:r w:rsidRPr="00BC10F2">
        <w:rPr>
          <w:rFonts w:asciiTheme="minorHAnsi" w:hAnsiTheme="minorHAnsi" w:cstheme="minorHAnsi"/>
        </w:rPr>
        <w:t>informację jaki procent wszystkich udzielonych odpowiedzi na dane pytanie stanowią odpowiedzi danego rodzaju w podziale na poszczególne pytania arkusza ankietowego.</w:t>
      </w:r>
    </w:p>
    <w:p w14:paraId="7EF1A234"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Analiza wyników ankiet satysfakcji uczestników programu powinna zawierać wykresy, tabele oraz inne formy obrazowania danych. Analiza wyników ankiet może zawierać inne elementy, które realizator uzna za niezbędne lub pomocne. Ponadto każdy realizator musi zapewnić możliwość zgłaszania uwag przez uczestników Programu. Realizator ma obowiązek poinformowania uczestników o takiej możliwości. </w:t>
      </w:r>
    </w:p>
    <w:p w14:paraId="16E89D74" w14:textId="2B1E34BE" w:rsidR="00BC10F2" w:rsidRDefault="007941FC">
      <w:pPr>
        <w:pStyle w:val="Tekstpodstawowy"/>
        <w:rPr>
          <w:rFonts w:asciiTheme="minorHAnsi" w:hAnsiTheme="minorHAnsi" w:cstheme="minorHAnsi"/>
        </w:rPr>
      </w:pPr>
      <w:r w:rsidRPr="00BC10F2">
        <w:rPr>
          <w:rFonts w:asciiTheme="minorHAnsi" w:hAnsiTheme="minorHAnsi" w:cstheme="minorHAnsi"/>
        </w:rPr>
        <w:t>Jakość szkoleń dla personelu medycznego oceniana będzie na podstawie wyników ankiet satysfakcji uczestników szkolenia. Każdy uczestnik programu zostanie poproszony o wypełnienie i przekazanie realizatorowi ankiety po wypełnieniu post-testu.</w:t>
      </w:r>
    </w:p>
    <w:p w14:paraId="40DA35AA" w14:textId="77777777" w:rsidR="00BC10F2" w:rsidRDefault="00BC10F2">
      <w:pPr>
        <w:suppressAutoHyphens w:val="0"/>
        <w:spacing w:after="0" w:line="240" w:lineRule="auto"/>
        <w:rPr>
          <w:rFonts w:asciiTheme="minorHAnsi" w:hAnsiTheme="minorHAnsi" w:cstheme="minorHAnsi"/>
        </w:rPr>
      </w:pPr>
      <w:r>
        <w:rPr>
          <w:rFonts w:asciiTheme="minorHAnsi" w:hAnsiTheme="minorHAnsi" w:cstheme="minorHAnsi"/>
        </w:rPr>
        <w:br w:type="page"/>
      </w:r>
    </w:p>
    <w:p w14:paraId="74ED28A7" w14:textId="77777777" w:rsidR="00A80621" w:rsidRPr="00BC10F2" w:rsidRDefault="007941FC">
      <w:pPr>
        <w:pStyle w:val="Nagwek2"/>
        <w:rPr>
          <w:rFonts w:asciiTheme="minorHAnsi" w:hAnsiTheme="minorHAnsi" w:cstheme="minorHAnsi"/>
        </w:rPr>
      </w:pPr>
      <w:bookmarkStart w:id="27" w:name="_Toc146115003"/>
      <w:r w:rsidRPr="00BC10F2">
        <w:rPr>
          <w:rFonts w:asciiTheme="minorHAnsi" w:hAnsiTheme="minorHAnsi" w:cstheme="minorHAnsi"/>
        </w:rPr>
        <w:lastRenderedPageBreak/>
        <w:t>Ewaluacja</w:t>
      </w:r>
      <w:bookmarkEnd w:id="27"/>
    </w:p>
    <w:p w14:paraId="0C925BF5" w14:textId="77777777" w:rsidR="007D3F9B" w:rsidRPr="00BC10F2" w:rsidRDefault="007941FC">
      <w:pPr>
        <w:pStyle w:val="Tekstpodstawowy"/>
        <w:rPr>
          <w:rFonts w:asciiTheme="minorHAnsi" w:hAnsiTheme="minorHAnsi" w:cstheme="minorHAnsi"/>
        </w:rPr>
      </w:pPr>
      <w:r w:rsidRPr="00BC10F2">
        <w:rPr>
          <w:rFonts w:asciiTheme="minorHAnsi" w:hAnsiTheme="minorHAnsi" w:cstheme="minorHAnsi"/>
        </w:rPr>
        <w:t>Ewaluacja programu będzie prowadzona na podstawie analizy mierników przedstawionych w podrozdziale „Mierniki efektywności realizacji programu polityki zdrowotnej”</w:t>
      </w:r>
      <w:r w:rsidR="007D3F9B" w:rsidRPr="00BC10F2">
        <w:rPr>
          <w:rFonts w:asciiTheme="minorHAnsi" w:hAnsiTheme="minorHAnsi" w:cstheme="minorHAnsi"/>
        </w:rPr>
        <w:t>:</w:t>
      </w:r>
    </w:p>
    <w:p w14:paraId="28078B18" w14:textId="64D309D0" w:rsidR="007D3F9B" w:rsidRPr="00BC10F2" w:rsidRDefault="007D3F9B" w:rsidP="007D3F9B">
      <w:pPr>
        <w:pStyle w:val="Tekstpodstawowy"/>
        <w:rPr>
          <w:rFonts w:asciiTheme="minorHAnsi" w:hAnsiTheme="minorHAnsi" w:cstheme="minorHAnsi"/>
          <w:b/>
        </w:rPr>
      </w:pPr>
      <w:r w:rsidRPr="00BC10F2">
        <w:rPr>
          <w:rFonts w:asciiTheme="minorHAnsi" w:hAnsiTheme="minorHAnsi" w:cstheme="minorHAnsi"/>
          <w:b/>
        </w:rPr>
        <w:t>Wskaźnik</w:t>
      </w:r>
      <w:r w:rsidR="00707ADD" w:rsidRPr="00BC10F2">
        <w:rPr>
          <w:rFonts w:asciiTheme="minorHAnsi" w:hAnsiTheme="minorHAnsi" w:cstheme="minorHAnsi"/>
          <w:b/>
        </w:rPr>
        <w:t>i</w:t>
      </w:r>
      <w:r w:rsidRPr="00BC10F2">
        <w:rPr>
          <w:rFonts w:asciiTheme="minorHAnsi" w:hAnsiTheme="minorHAnsi" w:cstheme="minorHAnsi"/>
          <w:b/>
        </w:rPr>
        <w:t xml:space="preserve"> </w:t>
      </w:r>
      <w:r w:rsidR="00707ADD" w:rsidRPr="00BC10F2">
        <w:rPr>
          <w:rFonts w:asciiTheme="minorHAnsi" w:hAnsiTheme="minorHAnsi" w:cstheme="minorHAnsi"/>
          <w:b/>
        </w:rPr>
        <w:t>i z</w:t>
      </w:r>
      <w:r w:rsidRPr="00BC10F2">
        <w:rPr>
          <w:rFonts w:asciiTheme="minorHAnsi" w:hAnsiTheme="minorHAnsi" w:cstheme="minorHAnsi"/>
          <w:b/>
        </w:rPr>
        <w:t>akładana wartość docelowa</w:t>
      </w:r>
      <w:r w:rsidR="00707ADD" w:rsidRPr="00BC10F2">
        <w:rPr>
          <w:rFonts w:asciiTheme="minorHAnsi" w:hAnsiTheme="minorHAnsi" w:cstheme="minorHAnsi"/>
          <w:b/>
        </w:rPr>
        <w:t>:</w:t>
      </w:r>
    </w:p>
    <w:p w14:paraId="1353E67D" w14:textId="39E4E660" w:rsidR="007D3F9B" w:rsidRPr="00BC10F2" w:rsidRDefault="007D3F9B" w:rsidP="000B2BB8">
      <w:pPr>
        <w:pStyle w:val="Tekstpodstawowy"/>
        <w:numPr>
          <w:ilvl w:val="0"/>
          <w:numId w:val="36"/>
        </w:numPr>
        <w:ind w:left="697" w:hanging="357"/>
        <w:rPr>
          <w:rFonts w:asciiTheme="minorHAnsi" w:hAnsiTheme="minorHAnsi" w:cstheme="minorHAnsi"/>
        </w:rPr>
      </w:pPr>
      <w:r w:rsidRPr="00BC10F2">
        <w:rPr>
          <w:rFonts w:asciiTheme="minorHAnsi" w:hAnsiTheme="minorHAnsi" w:cstheme="minorHAnsi"/>
        </w:rPr>
        <w:t>liczba osób personelu medycznego u których doszło</w:t>
      </w:r>
      <w:r w:rsidR="00707ADD" w:rsidRPr="00BC10F2">
        <w:rPr>
          <w:rFonts w:asciiTheme="minorHAnsi" w:hAnsiTheme="minorHAnsi" w:cstheme="minorHAnsi"/>
        </w:rPr>
        <w:t xml:space="preserve"> </w:t>
      </w:r>
      <w:r w:rsidRPr="00BC10F2">
        <w:rPr>
          <w:rFonts w:asciiTheme="minorHAnsi" w:hAnsiTheme="minorHAnsi" w:cstheme="minorHAnsi"/>
        </w:rPr>
        <w:t xml:space="preserve">do wzrostu poziomu wiedzy </w:t>
      </w:r>
      <w:r w:rsidR="00707ADD" w:rsidRPr="00BC10F2">
        <w:rPr>
          <w:rFonts w:asciiTheme="minorHAnsi" w:hAnsiTheme="minorHAnsi" w:cstheme="minorHAnsi"/>
        </w:rPr>
        <w:t xml:space="preserve">(min. </w:t>
      </w:r>
      <w:r w:rsidRPr="00BC10F2">
        <w:rPr>
          <w:rFonts w:asciiTheme="minorHAnsi" w:hAnsiTheme="minorHAnsi" w:cstheme="minorHAnsi"/>
        </w:rPr>
        <w:t>160</w:t>
      </w:r>
      <w:r w:rsidR="00707ADD" w:rsidRPr="00BC10F2">
        <w:rPr>
          <w:rFonts w:asciiTheme="minorHAnsi" w:hAnsiTheme="minorHAnsi" w:cstheme="minorHAnsi"/>
        </w:rPr>
        <w:t>)</w:t>
      </w:r>
    </w:p>
    <w:p w14:paraId="5CB1551A" w14:textId="434CCEA0" w:rsidR="007D3F9B" w:rsidRPr="00BC10F2" w:rsidRDefault="007D3F9B" w:rsidP="000B2BB8">
      <w:pPr>
        <w:pStyle w:val="Tekstpodstawowy"/>
        <w:numPr>
          <w:ilvl w:val="0"/>
          <w:numId w:val="36"/>
        </w:numPr>
        <w:ind w:left="697" w:hanging="357"/>
        <w:rPr>
          <w:rFonts w:asciiTheme="minorHAnsi" w:hAnsiTheme="minorHAnsi" w:cstheme="minorHAnsi"/>
        </w:rPr>
      </w:pPr>
      <w:r w:rsidRPr="00BC10F2">
        <w:rPr>
          <w:rFonts w:asciiTheme="minorHAnsi" w:hAnsiTheme="minorHAnsi" w:cstheme="minorHAnsi"/>
        </w:rPr>
        <w:t>liczba uczestników kompleksowych działań</w:t>
      </w:r>
      <w:r w:rsidR="00707ADD" w:rsidRPr="00BC10F2">
        <w:rPr>
          <w:rFonts w:asciiTheme="minorHAnsi" w:hAnsiTheme="minorHAnsi" w:cstheme="minorHAnsi"/>
        </w:rPr>
        <w:t xml:space="preserve"> </w:t>
      </w:r>
      <w:r w:rsidRPr="00BC10F2">
        <w:rPr>
          <w:rFonts w:asciiTheme="minorHAnsi" w:hAnsiTheme="minorHAnsi" w:cstheme="minorHAnsi"/>
        </w:rPr>
        <w:t>edukacyjno-informacyjnych, u których doszło do</w:t>
      </w:r>
      <w:r w:rsidR="00707ADD" w:rsidRPr="00BC10F2">
        <w:rPr>
          <w:rFonts w:asciiTheme="minorHAnsi" w:hAnsiTheme="minorHAnsi" w:cstheme="minorHAnsi"/>
        </w:rPr>
        <w:t xml:space="preserve"> </w:t>
      </w:r>
      <w:r w:rsidRPr="00BC10F2">
        <w:rPr>
          <w:rFonts w:asciiTheme="minorHAnsi" w:hAnsiTheme="minorHAnsi" w:cstheme="minorHAnsi"/>
        </w:rPr>
        <w:t>wzrostu poziomu wiedzy</w:t>
      </w:r>
      <w:r w:rsidR="00707ADD" w:rsidRPr="00BC10F2">
        <w:rPr>
          <w:rFonts w:asciiTheme="minorHAnsi" w:hAnsiTheme="minorHAnsi" w:cstheme="minorHAnsi"/>
        </w:rPr>
        <w:t xml:space="preserve"> (min.</w:t>
      </w:r>
      <w:r w:rsidRPr="00BC10F2">
        <w:rPr>
          <w:rFonts w:asciiTheme="minorHAnsi" w:hAnsiTheme="minorHAnsi" w:cstheme="minorHAnsi"/>
        </w:rPr>
        <w:t>4900</w:t>
      </w:r>
      <w:r w:rsidR="00707ADD" w:rsidRPr="00BC10F2">
        <w:rPr>
          <w:rFonts w:asciiTheme="minorHAnsi" w:hAnsiTheme="minorHAnsi" w:cstheme="minorHAnsi"/>
        </w:rPr>
        <w:t>);</w:t>
      </w:r>
    </w:p>
    <w:p w14:paraId="6FE1706A" w14:textId="6F35435F" w:rsidR="007D3F9B" w:rsidRPr="00BC10F2" w:rsidRDefault="007D3F9B" w:rsidP="000B2BB8">
      <w:pPr>
        <w:pStyle w:val="Tekstpodstawowy"/>
        <w:numPr>
          <w:ilvl w:val="0"/>
          <w:numId w:val="36"/>
        </w:numPr>
        <w:ind w:left="697" w:hanging="357"/>
        <w:rPr>
          <w:rFonts w:asciiTheme="minorHAnsi" w:hAnsiTheme="minorHAnsi" w:cstheme="minorHAnsi"/>
        </w:rPr>
      </w:pPr>
      <w:r w:rsidRPr="00BC10F2">
        <w:rPr>
          <w:rFonts w:asciiTheme="minorHAnsi" w:hAnsiTheme="minorHAnsi" w:cstheme="minorHAnsi"/>
        </w:rPr>
        <w:t>odsetek świadczeniobiorców z wynikiem FRAX ≥5%</w:t>
      </w:r>
      <w:r w:rsidR="00707ADD" w:rsidRPr="00BC10F2">
        <w:rPr>
          <w:rFonts w:asciiTheme="minorHAnsi" w:hAnsiTheme="minorHAnsi" w:cstheme="minorHAnsi"/>
        </w:rPr>
        <w:t xml:space="preserve"> </w:t>
      </w:r>
      <w:r w:rsidRPr="00BC10F2">
        <w:rPr>
          <w:rFonts w:asciiTheme="minorHAnsi" w:hAnsiTheme="minorHAnsi" w:cstheme="minorHAnsi"/>
        </w:rPr>
        <w:t>względem wszystkich świadczeniobiorców, dla</w:t>
      </w:r>
      <w:r w:rsidR="00707ADD" w:rsidRPr="00BC10F2">
        <w:rPr>
          <w:rFonts w:asciiTheme="minorHAnsi" w:hAnsiTheme="minorHAnsi" w:cstheme="minorHAnsi"/>
        </w:rPr>
        <w:t xml:space="preserve"> </w:t>
      </w:r>
      <w:r w:rsidRPr="00BC10F2">
        <w:rPr>
          <w:rFonts w:asciiTheme="minorHAnsi" w:hAnsiTheme="minorHAnsi" w:cstheme="minorHAnsi"/>
        </w:rPr>
        <w:t>których w ramach programu wykonano ocenę FRAX</w:t>
      </w:r>
      <w:r w:rsidR="00707ADD" w:rsidRPr="00BC10F2">
        <w:rPr>
          <w:rFonts w:asciiTheme="minorHAnsi" w:hAnsiTheme="minorHAnsi" w:cstheme="minorHAnsi"/>
        </w:rPr>
        <w:t xml:space="preserve"> (ok. </w:t>
      </w:r>
      <w:r w:rsidRPr="00BC10F2">
        <w:rPr>
          <w:rFonts w:asciiTheme="minorHAnsi" w:hAnsiTheme="minorHAnsi" w:cstheme="minorHAnsi"/>
        </w:rPr>
        <w:t>90</w:t>
      </w:r>
      <w:r w:rsidR="00707ADD" w:rsidRPr="00BC10F2">
        <w:rPr>
          <w:rFonts w:asciiTheme="minorHAnsi" w:hAnsiTheme="minorHAnsi" w:cstheme="minorHAnsi"/>
        </w:rPr>
        <w:t>%);</w:t>
      </w:r>
    </w:p>
    <w:p w14:paraId="27EBB895" w14:textId="165F599B" w:rsidR="007D3F9B" w:rsidRPr="00BC10F2" w:rsidRDefault="007D3F9B" w:rsidP="000B2BB8">
      <w:pPr>
        <w:pStyle w:val="Tekstpodstawowy"/>
        <w:numPr>
          <w:ilvl w:val="0"/>
          <w:numId w:val="36"/>
        </w:numPr>
        <w:ind w:left="697" w:hanging="357"/>
        <w:rPr>
          <w:rFonts w:asciiTheme="minorHAnsi" w:hAnsiTheme="minorHAnsi" w:cstheme="minorHAnsi"/>
        </w:rPr>
      </w:pPr>
      <w:r w:rsidRPr="00BC10F2">
        <w:rPr>
          <w:rFonts w:asciiTheme="minorHAnsi" w:hAnsiTheme="minorHAnsi" w:cstheme="minorHAnsi"/>
        </w:rPr>
        <w:t>odsetek świadczeniobiorców z wynikiem BMD T-</w:t>
      </w:r>
      <w:proofErr w:type="spellStart"/>
      <w:r w:rsidRPr="00BC10F2">
        <w:rPr>
          <w:rFonts w:asciiTheme="minorHAnsi" w:hAnsiTheme="minorHAnsi" w:cstheme="minorHAnsi"/>
        </w:rPr>
        <w:t>score</w:t>
      </w:r>
      <w:proofErr w:type="spellEnd"/>
      <w:r w:rsidR="00707ADD" w:rsidRPr="00BC10F2">
        <w:rPr>
          <w:rFonts w:asciiTheme="minorHAnsi" w:hAnsiTheme="minorHAnsi" w:cstheme="minorHAnsi"/>
        </w:rPr>
        <w:t xml:space="preserve"> </w:t>
      </w:r>
      <w:r w:rsidRPr="00BC10F2">
        <w:rPr>
          <w:rFonts w:asciiTheme="minorHAnsi" w:hAnsiTheme="minorHAnsi" w:cstheme="minorHAnsi"/>
        </w:rPr>
        <w:t>≤–2,5 względem wszystkich świadczeniobiorców, dla</w:t>
      </w:r>
      <w:r w:rsidR="00707ADD" w:rsidRPr="00BC10F2">
        <w:rPr>
          <w:rFonts w:asciiTheme="minorHAnsi" w:hAnsiTheme="minorHAnsi" w:cstheme="minorHAnsi"/>
        </w:rPr>
        <w:t xml:space="preserve"> </w:t>
      </w:r>
      <w:r w:rsidRPr="00BC10F2">
        <w:rPr>
          <w:rFonts w:asciiTheme="minorHAnsi" w:hAnsiTheme="minorHAnsi" w:cstheme="minorHAnsi"/>
        </w:rPr>
        <w:t>których przeprowadzono badanie DXA w ramach</w:t>
      </w:r>
      <w:r w:rsidR="00707ADD" w:rsidRPr="00BC10F2">
        <w:rPr>
          <w:rFonts w:asciiTheme="minorHAnsi" w:hAnsiTheme="minorHAnsi" w:cstheme="minorHAnsi"/>
        </w:rPr>
        <w:t xml:space="preserve"> </w:t>
      </w:r>
      <w:r w:rsidRPr="00BC10F2">
        <w:rPr>
          <w:rFonts w:asciiTheme="minorHAnsi" w:hAnsiTheme="minorHAnsi" w:cstheme="minorHAnsi"/>
        </w:rPr>
        <w:t>programu</w:t>
      </w:r>
      <w:r w:rsidR="00707ADD" w:rsidRPr="00BC10F2">
        <w:rPr>
          <w:rFonts w:asciiTheme="minorHAnsi" w:hAnsiTheme="minorHAnsi" w:cstheme="minorHAnsi"/>
        </w:rPr>
        <w:t xml:space="preserve"> (ok. </w:t>
      </w:r>
      <w:r w:rsidRPr="00BC10F2">
        <w:rPr>
          <w:rFonts w:asciiTheme="minorHAnsi" w:hAnsiTheme="minorHAnsi" w:cstheme="minorHAnsi"/>
        </w:rPr>
        <w:t>20</w:t>
      </w:r>
      <w:r w:rsidR="00707ADD" w:rsidRPr="00BC10F2">
        <w:rPr>
          <w:rFonts w:asciiTheme="minorHAnsi" w:hAnsiTheme="minorHAnsi" w:cstheme="minorHAnsi"/>
        </w:rPr>
        <w:t>%).</w:t>
      </w:r>
    </w:p>
    <w:p w14:paraId="493D93BE" w14:textId="3576658F" w:rsidR="00A80621" w:rsidRPr="00BC10F2" w:rsidRDefault="007941FC">
      <w:pPr>
        <w:pStyle w:val="Tekstpodstawowy"/>
        <w:rPr>
          <w:rFonts w:asciiTheme="minorHAnsi" w:hAnsiTheme="minorHAnsi" w:cstheme="minorHAnsi"/>
        </w:rPr>
      </w:pPr>
      <w:r w:rsidRPr="00BC10F2">
        <w:rPr>
          <w:rFonts w:asciiTheme="minorHAnsi" w:hAnsiTheme="minorHAnsi" w:cstheme="minorHAnsi"/>
        </w:rPr>
        <w:t>Realizator jest zobowiązany do przedłożenia po zakończeniu programu w celu przeprowadzenia ramach ewaluacji, sprawozdania końcowego ze świadczeń zrealizowanych w ramach programu. Sprawozdanie końcowe musi obejmować cały okres trwania programu (identyczne jak sprawozdanie roczne). Sprawozdanie końcowe może zawierać dodatkowe elementy, nieokreślone w programie, które wpłynęły na sposób realizacji programu. Wszystkie elementy zmodyfikowane w ramach sprawozdań muszą być ujęte też w sprawozdaniu rocznym. Warunki i terminy przekazania sprawozdań będą określać umowy zawarte z realizatorami.</w:t>
      </w:r>
    </w:p>
    <w:p w14:paraId="5A59AA47" w14:textId="04D109E9" w:rsidR="00A80621" w:rsidRPr="00BC10F2" w:rsidRDefault="007941FC">
      <w:pPr>
        <w:pStyle w:val="Tekstpodstawowy"/>
        <w:rPr>
          <w:rFonts w:asciiTheme="minorHAnsi" w:hAnsiTheme="minorHAnsi" w:cstheme="minorHAnsi"/>
        </w:rPr>
      </w:pPr>
      <w:r w:rsidRPr="00BC10F2">
        <w:rPr>
          <w:rFonts w:asciiTheme="minorHAnsi" w:hAnsiTheme="minorHAnsi" w:cstheme="minorHAnsi"/>
        </w:rPr>
        <w:t>Po zakończeniu realizacji programu zostanie sporządzony raport końcowy z jego realizacji, według wzoru określonego w rozporządzeniu Ministra Zdrowia z dnia 22 grudnia 2017 r. w sprawie wzoru programu polityki zdrowotnej, wzoru raportu końcowego z realizacji programu polityki zdrowotnej oraz sposobu sporządzenia projektu programu polityki zdrowotnej i raportu końcowego z realizacji programu polityki zdrowotnej. Raport</w:t>
      </w:r>
      <w:r w:rsidR="00FB4CAF" w:rsidRPr="00BC10F2">
        <w:rPr>
          <w:rFonts w:asciiTheme="minorHAnsi" w:hAnsiTheme="minorHAnsi" w:cstheme="minorHAnsi"/>
        </w:rPr>
        <w:t xml:space="preserve"> końcowy przygotują pracownicy </w:t>
      </w:r>
      <w:r w:rsidRPr="00BC10F2">
        <w:rPr>
          <w:rFonts w:asciiTheme="minorHAnsi" w:hAnsiTheme="minorHAnsi" w:cstheme="minorHAnsi"/>
        </w:rPr>
        <w:t>Biura Polityki Zdrowotnej w Warszawie. Raport końcowy zostanie opracowany na podstawie m.in. raportów końcowych oraz innych danych otrzymanych od realizatorów programu. Dodatkowo, jeśli</w:t>
      </w:r>
      <w:r w:rsidR="001053AA">
        <w:rPr>
          <w:rFonts w:asciiTheme="minorHAnsi" w:hAnsiTheme="minorHAnsi" w:cstheme="minorHAnsi"/>
        </w:rPr>
        <w:t xml:space="preserve"> będą przedstawione dane dla m.</w:t>
      </w:r>
      <w:r w:rsidRPr="00BC10F2">
        <w:rPr>
          <w:rFonts w:asciiTheme="minorHAnsi" w:hAnsiTheme="minorHAnsi" w:cstheme="minorHAnsi"/>
        </w:rPr>
        <w:t>st. Warszawa: Na podstawie, między innymi raportu końcowego z realizacji p</w:t>
      </w:r>
      <w:r w:rsidR="001053AA">
        <w:rPr>
          <w:rFonts w:asciiTheme="minorHAnsi" w:hAnsiTheme="minorHAnsi" w:cstheme="minorHAnsi"/>
        </w:rPr>
        <w:t xml:space="preserve">rogramu polityki zdrowotnej, m.st. </w:t>
      </w:r>
      <w:r w:rsidRPr="00BC10F2">
        <w:rPr>
          <w:rFonts w:asciiTheme="minorHAnsi" w:hAnsiTheme="minorHAnsi" w:cstheme="minorHAnsi"/>
        </w:rPr>
        <w:t>Warszawa może podjąć decyzję o aktualizacji i dalszej realizacji programu w kolejnych latach lub o zaprzestaniu jego realizacji.</w:t>
      </w:r>
    </w:p>
    <w:p w14:paraId="3CE63FDB" w14:textId="77777777" w:rsidR="00A80621" w:rsidRPr="00BC10F2" w:rsidRDefault="007941FC">
      <w:pPr>
        <w:pStyle w:val="Nagwek1"/>
        <w:rPr>
          <w:rFonts w:asciiTheme="minorHAnsi" w:hAnsiTheme="minorHAnsi" w:cstheme="minorHAnsi"/>
        </w:rPr>
      </w:pPr>
      <w:bookmarkStart w:id="28" w:name="_Toc146115004"/>
      <w:r w:rsidRPr="00BC10F2">
        <w:rPr>
          <w:rFonts w:asciiTheme="minorHAnsi" w:hAnsiTheme="minorHAnsi" w:cstheme="minorHAnsi"/>
        </w:rPr>
        <w:lastRenderedPageBreak/>
        <w:t>Budżet programu polityki zdrowotnej</w:t>
      </w:r>
      <w:bookmarkEnd w:id="28"/>
    </w:p>
    <w:p w14:paraId="682C9B22"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Koszty programu zostały podzielone na dwie kategorie: bezpośrednie i pośrednie. Definicje poszczególnych kategorii kosztów znajdują się w słowniczku programu. Na potrzeby oszacowania kosztu wsparcia uczestnika programu, ustalono sztywną wartość kosztów pośrednich, wynoszącą 10% wartości kosztów bezpośrednich. W ramach kosztów pośrednich wyodrębniono koszty przeprowadzenia akcji informacyjno-promocyjnej oraz monitoringu i ewaluacji programu.</w:t>
      </w:r>
    </w:p>
    <w:p w14:paraId="26FA602E" w14:textId="77777777" w:rsidR="00462504" w:rsidRPr="00BC10F2" w:rsidRDefault="00462504" w:rsidP="00462504">
      <w:pPr>
        <w:pStyle w:val="Tekstpodstawowy"/>
        <w:rPr>
          <w:rFonts w:asciiTheme="minorHAnsi" w:hAnsiTheme="minorHAnsi" w:cstheme="minorHAnsi"/>
        </w:rPr>
      </w:pPr>
      <w:r w:rsidRPr="00BC10F2">
        <w:rPr>
          <w:rFonts w:asciiTheme="minorHAnsi" w:hAnsiTheme="minorHAnsi" w:cstheme="minorHAnsi"/>
        </w:rPr>
        <w:t xml:space="preserve">Budżet programu wynosi 1 875 000 zł. Koszt kampanii edukacyjno-informacyjnej wyniesie </w:t>
      </w:r>
      <w:r w:rsidRPr="00BC10F2">
        <w:rPr>
          <w:rFonts w:asciiTheme="minorHAnsi" w:hAnsiTheme="minorHAnsi" w:cstheme="minorHAnsi"/>
          <w:b/>
        </w:rPr>
        <w:t>46 000</w:t>
      </w:r>
      <w:r w:rsidRPr="00BC10F2">
        <w:rPr>
          <w:rFonts w:asciiTheme="minorHAnsi" w:hAnsiTheme="minorHAnsi" w:cstheme="minorHAnsi"/>
        </w:rPr>
        <w:t xml:space="preserve"> zł. Koszt uczestnictwa na 1 osobę – świadczeniobiorcę (obejmujący wszystkie interwencje oraz koszty pośrednie) w programie wyniesie 267,86 zł, łącznie </w:t>
      </w:r>
      <w:r w:rsidRPr="00BC10F2">
        <w:rPr>
          <w:rFonts w:asciiTheme="minorHAnsi" w:hAnsiTheme="minorHAnsi" w:cstheme="minorHAnsi"/>
          <w:b/>
        </w:rPr>
        <w:t xml:space="preserve">1 875 000 zł, </w:t>
      </w:r>
      <w:r w:rsidRPr="00BC10F2">
        <w:rPr>
          <w:rFonts w:asciiTheme="minorHAnsi" w:hAnsiTheme="minorHAnsi" w:cstheme="minorHAnsi"/>
          <w:bCs w:val="0"/>
        </w:rPr>
        <w:t>natomiast uwzględniając wyłącznie koszty bezpośrednie – 251 zł na osobę</w:t>
      </w:r>
      <w:r w:rsidRPr="00BC10F2">
        <w:rPr>
          <w:rFonts w:asciiTheme="minorHAnsi" w:hAnsiTheme="minorHAnsi" w:cstheme="minorHAnsi"/>
        </w:rPr>
        <w:t xml:space="preserve">. Co najmniej 200 osób z personelu medycznego realizatorów (lekarze, pielęgniarki, koordynatorki, jako osoby kwalifikujące się od edukacji) z II grupy skorzysta z działań edukacyjnych, a koszt całkowity szkoleń wyniesie </w:t>
      </w:r>
      <w:r w:rsidRPr="00BC10F2">
        <w:rPr>
          <w:rFonts w:asciiTheme="minorHAnsi" w:hAnsiTheme="minorHAnsi" w:cstheme="minorHAnsi"/>
          <w:b/>
        </w:rPr>
        <w:t>39 000 zł</w:t>
      </w:r>
      <w:r w:rsidRPr="00BC10F2">
        <w:rPr>
          <w:rFonts w:asciiTheme="minorHAnsi" w:hAnsiTheme="minorHAnsi" w:cstheme="minorHAnsi"/>
        </w:rPr>
        <w:t xml:space="preserve"> (koszt jednego uczestnika wyniesie 180 zł). Dodatkowo koszt monitorowania i ewaluacji programu wyniesie </w:t>
      </w:r>
      <w:r w:rsidRPr="00BC10F2">
        <w:rPr>
          <w:rFonts w:asciiTheme="minorHAnsi" w:hAnsiTheme="minorHAnsi" w:cstheme="minorHAnsi"/>
          <w:b/>
        </w:rPr>
        <w:t>72 000</w:t>
      </w:r>
      <w:r w:rsidRPr="00BC10F2">
        <w:rPr>
          <w:rFonts w:asciiTheme="minorHAnsi" w:hAnsiTheme="minorHAnsi" w:cstheme="minorHAnsi"/>
        </w:rPr>
        <w:t xml:space="preserve"> zł. </w:t>
      </w:r>
    </w:p>
    <w:p w14:paraId="6E48915C" w14:textId="4541D6E5" w:rsidR="00462504" w:rsidRPr="00BC10F2" w:rsidRDefault="00462504" w:rsidP="00462504">
      <w:pPr>
        <w:pStyle w:val="Tekstpodstawowy"/>
        <w:rPr>
          <w:rFonts w:asciiTheme="minorHAnsi" w:hAnsiTheme="minorHAnsi" w:cstheme="minorHAnsi"/>
        </w:rPr>
      </w:pPr>
      <w:r w:rsidRPr="00BC10F2">
        <w:rPr>
          <w:rFonts w:asciiTheme="minorHAnsi" w:hAnsiTheme="minorHAnsi" w:cstheme="minorHAnsi"/>
        </w:rPr>
        <w:t>W przypadku dużego zainteresowania programem i dużej liczb</w:t>
      </w:r>
      <w:r w:rsidR="001053AA">
        <w:rPr>
          <w:rFonts w:asciiTheme="minorHAnsi" w:hAnsiTheme="minorHAnsi" w:cstheme="minorHAnsi"/>
        </w:rPr>
        <w:t>y chętnych do udziału w nim, m.</w:t>
      </w:r>
      <w:r w:rsidRPr="00BC10F2">
        <w:rPr>
          <w:rFonts w:asciiTheme="minorHAnsi" w:hAnsiTheme="minorHAnsi" w:cstheme="minorHAnsi"/>
        </w:rPr>
        <w:t>st. Warszawa może podjąć decyzję o zwiększeniu środków przeznaczonych na realizację programu, uwzględniając posiadane środki finansowe.</w:t>
      </w:r>
    </w:p>
    <w:p w14:paraId="12485ABF" w14:textId="77777777" w:rsidR="00A80621" w:rsidRPr="00BC10F2" w:rsidRDefault="007941FC">
      <w:pPr>
        <w:pStyle w:val="Nagwek2"/>
        <w:rPr>
          <w:rFonts w:asciiTheme="minorHAnsi" w:hAnsiTheme="minorHAnsi" w:cstheme="minorHAnsi"/>
        </w:rPr>
      </w:pPr>
      <w:bookmarkStart w:id="29" w:name="_Toc146115005"/>
      <w:r w:rsidRPr="00BC10F2">
        <w:rPr>
          <w:rFonts w:asciiTheme="minorHAnsi" w:hAnsiTheme="minorHAnsi" w:cstheme="minorHAnsi"/>
        </w:rPr>
        <w:t>Koszty jednostkowe</w:t>
      </w:r>
      <w:bookmarkEnd w:id="29"/>
    </w:p>
    <w:p w14:paraId="7CCDFA5E" w14:textId="77777777" w:rsidR="00A80621" w:rsidRPr="00BC10F2" w:rsidRDefault="007941FC" w:rsidP="00E10754">
      <w:pPr>
        <w:pStyle w:val="Tekstpodstawowy"/>
        <w:spacing w:line="480" w:lineRule="auto"/>
        <w:rPr>
          <w:rFonts w:asciiTheme="minorHAnsi" w:hAnsiTheme="minorHAnsi" w:cstheme="minorHAnsi"/>
        </w:rPr>
      </w:pPr>
      <w:r w:rsidRPr="00BC10F2">
        <w:rPr>
          <w:rFonts w:asciiTheme="minorHAnsi" w:hAnsiTheme="minorHAnsi" w:cstheme="minorHAnsi"/>
        </w:rPr>
        <w:t xml:space="preserve">Budżet powinien zawierać wszystkie niezbędne kategorie kosztów, w tym: </w:t>
      </w:r>
    </w:p>
    <w:p w14:paraId="050AF611" w14:textId="77777777" w:rsidR="00A80621" w:rsidRPr="00BC10F2" w:rsidRDefault="007941FC" w:rsidP="00E10754">
      <w:pPr>
        <w:pStyle w:val="Listapunktowana1"/>
        <w:spacing w:line="480" w:lineRule="auto"/>
        <w:rPr>
          <w:rFonts w:asciiTheme="minorHAnsi" w:hAnsiTheme="minorHAnsi" w:cstheme="minorHAnsi"/>
        </w:rPr>
      </w:pPr>
      <w:r w:rsidRPr="00BC10F2">
        <w:rPr>
          <w:rFonts w:asciiTheme="minorHAnsi" w:hAnsiTheme="minorHAnsi" w:cstheme="minorHAnsi"/>
        </w:rPr>
        <w:t xml:space="preserve">koszt przygotowania i przeprowadzenia kampanii informacyjno-promocyjnej, </w:t>
      </w:r>
    </w:p>
    <w:p w14:paraId="108E9EDB" w14:textId="77777777" w:rsidR="00A80621" w:rsidRPr="00BC10F2" w:rsidRDefault="007941FC" w:rsidP="00E10754">
      <w:pPr>
        <w:pStyle w:val="Listapunktowana1"/>
        <w:spacing w:line="480" w:lineRule="auto"/>
        <w:rPr>
          <w:rFonts w:asciiTheme="minorHAnsi" w:hAnsiTheme="minorHAnsi" w:cstheme="minorHAnsi"/>
        </w:rPr>
      </w:pPr>
      <w:r w:rsidRPr="00BC10F2">
        <w:rPr>
          <w:rFonts w:asciiTheme="minorHAnsi" w:hAnsiTheme="minorHAnsi" w:cstheme="minorHAnsi"/>
        </w:rPr>
        <w:t xml:space="preserve">koszt przygotowania i prowadzenia szkoleń dla personelu medycznego, </w:t>
      </w:r>
    </w:p>
    <w:p w14:paraId="4A70DF45" w14:textId="77777777" w:rsidR="00A80621" w:rsidRPr="00BC10F2" w:rsidRDefault="007941FC" w:rsidP="00E10754">
      <w:pPr>
        <w:pStyle w:val="Listapunktowana1"/>
        <w:spacing w:line="480" w:lineRule="auto"/>
        <w:rPr>
          <w:rFonts w:asciiTheme="minorHAnsi" w:hAnsiTheme="minorHAnsi" w:cstheme="minorHAnsi"/>
        </w:rPr>
      </w:pPr>
      <w:r w:rsidRPr="00BC10F2">
        <w:rPr>
          <w:rFonts w:asciiTheme="minorHAnsi" w:hAnsiTheme="minorHAnsi" w:cstheme="minorHAnsi"/>
        </w:rPr>
        <w:t xml:space="preserve">koszt przygotowania materiałów informacyjno-edukacyjnych, </w:t>
      </w:r>
    </w:p>
    <w:p w14:paraId="67323E3E" w14:textId="77777777" w:rsidR="00A80621" w:rsidRPr="00BC10F2" w:rsidRDefault="007941FC" w:rsidP="00E10754">
      <w:pPr>
        <w:pStyle w:val="Listapunktowana1"/>
        <w:spacing w:line="480" w:lineRule="auto"/>
        <w:rPr>
          <w:rFonts w:asciiTheme="minorHAnsi" w:hAnsiTheme="minorHAnsi" w:cstheme="minorHAnsi"/>
        </w:rPr>
      </w:pPr>
      <w:r w:rsidRPr="00BC10F2">
        <w:rPr>
          <w:rFonts w:asciiTheme="minorHAnsi" w:hAnsiTheme="minorHAnsi" w:cstheme="minorHAnsi"/>
        </w:rPr>
        <w:t xml:space="preserve">koszt prowadzenia działań edukacyjnych dla świadczeniobiorców, </w:t>
      </w:r>
    </w:p>
    <w:p w14:paraId="0D8ACB1C" w14:textId="77777777" w:rsidR="00A80621" w:rsidRPr="00BC10F2" w:rsidRDefault="007941FC" w:rsidP="00E10754">
      <w:pPr>
        <w:pStyle w:val="Listapunktowana1"/>
        <w:spacing w:line="480" w:lineRule="auto"/>
        <w:rPr>
          <w:rFonts w:asciiTheme="minorHAnsi" w:hAnsiTheme="minorHAnsi" w:cstheme="minorHAnsi"/>
        </w:rPr>
      </w:pPr>
      <w:r w:rsidRPr="00BC10F2">
        <w:rPr>
          <w:rFonts w:asciiTheme="minorHAnsi" w:hAnsiTheme="minorHAnsi" w:cstheme="minorHAnsi"/>
        </w:rPr>
        <w:t xml:space="preserve">koszt pomiaru BMD za pomocą DXA, </w:t>
      </w:r>
    </w:p>
    <w:p w14:paraId="209EAAF2" w14:textId="77777777" w:rsidR="00A80621" w:rsidRPr="00BC10F2" w:rsidRDefault="007941FC" w:rsidP="00E10754">
      <w:pPr>
        <w:pStyle w:val="Listapunktowana1"/>
        <w:spacing w:line="480" w:lineRule="auto"/>
        <w:rPr>
          <w:rFonts w:asciiTheme="minorHAnsi" w:hAnsiTheme="minorHAnsi" w:cstheme="minorHAnsi"/>
        </w:rPr>
      </w:pPr>
      <w:r w:rsidRPr="00BC10F2">
        <w:rPr>
          <w:rFonts w:asciiTheme="minorHAnsi" w:hAnsiTheme="minorHAnsi" w:cstheme="minorHAnsi"/>
        </w:rPr>
        <w:t xml:space="preserve">koszt wizyty, na której pacjent otrzyma wyniki przeprowadzonych badań, </w:t>
      </w:r>
    </w:p>
    <w:p w14:paraId="0210BB1E" w14:textId="77777777" w:rsidR="00A80621" w:rsidRPr="00BC10F2" w:rsidRDefault="007941FC" w:rsidP="00E10754">
      <w:pPr>
        <w:pStyle w:val="Listapunktowana1"/>
        <w:spacing w:line="480" w:lineRule="auto"/>
        <w:rPr>
          <w:rFonts w:asciiTheme="minorHAnsi" w:hAnsiTheme="minorHAnsi" w:cstheme="minorHAnsi"/>
        </w:rPr>
      </w:pPr>
      <w:r w:rsidRPr="00BC10F2">
        <w:rPr>
          <w:rFonts w:asciiTheme="minorHAnsi" w:hAnsiTheme="minorHAnsi" w:cstheme="minorHAnsi"/>
        </w:rPr>
        <w:t xml:space="preserve">koszty zbierania i przetwarzania informacji związanych z monitorowaniem i ewaluacją. </w:t>
      </w:r>
    </w:p>
    <w:p w14:paraId="56E72006" w14:textId="77777777" w:rsidR="00A80621" w:rsidRPr="00BC10F2" w:rsidRDefault="007941FC" w:rsidP="00E10754">
      <w:pPr>
        <w:pStyle w:val="Tekstpodstawowy"/>
        <w:spacing w:line="480" w:lineRule="auto"/>
        <w:rPr>
          <w:rFonts w:asciiTheme="minorHAnsi" w:hAnsiTheme="minorHAnsi" w:cstheme="minorHAnsi"/>
        </w:rPr>
      </w:pPr>
      <w:r w:rsidRPr="00BC10F2">
        <w:rPr>
          <w:rFonts w:asciiTheme="minorHAnsi" w:hAnsiTheme="minorHAnsi" w:cstheme="minorHAnsi"/>
        </w:rPr>
        <w:t xml:space="preserve">Koszty jednostkowe poszczególnych pozycji nie powinny znacząco odbiegać od cen rynkowych. </w:t>
      </w:r>
    </w:p>
    <w:p w14:paraId="7BC473E0"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W poniższej tabeli przedstawiono przykładowe zestawienie kosztów jednostkowych PPZ:</w:t>
      </w:r>
    </w:p>
    <w:p w14:paraId="3A9E4638" w14:textId="2219B273" w:rsidR="00A80621" w:rsidRPr="00BC10F2" w:rsidRDefault="007941FC">
      <w:pPr>
        <w:pStyle w:val="Legenda1"/>
        <w:rPr>
          <w:rFonts w:asciiTheme="minorHAnsi" w:hAnsiTheme="minorHAnsi" w:cstheme="minorHAnsi"/>
        </w:rPr>
      </w:pPr>
      <w:r w:rsidRPr="00BC10F2">
        <w:rPr>
          <w:rFonts w:asciiTheme="minorHAnsi" w:hAnsiTheme="minorHAnsi" w:cstheme="minorHAnsi"/>
        </w:rPr>
        <w:lastRenderedPageBreak/>
        <w:t xml:space="preserve">Tabela </w:t>
      </w:r>
      <w:r w:rsidR="0037769B" w:rsidRPr="00BC10F2">
        <w:rPr>
          <w:rFonts w:asciiTheme="minorHAnsi" w:hAnsiTheme="minorHAnsi" w:cstheme="minorHAnsi"/>
        </w:rPr>
        <w:fldChar w:fldCharType="begin"/>
      </w:r>
      <w:r w:rsidR="0037769B" w:rsidRPr="00BC10F2">
        <w:rPr>
          <w:rFonts w:asciiTheme="minorHAnsi" w:hAnsiTheme="minorHAnsi" w:cstheme="minorHAnsi"/>
        </w:rPr>
        <w:instrText xml:space="preserve"> SEQ "Tabela" \* ARABIC </w:instrText>
      </w:r>
      <w:r w:rsidR="0037769B" w:rsidRPr="00BC10F2">
        <w:rPr>
          <w:rFonts w:asciiTheme="minorHAnsi" w:hAnsiTheme="minorHAnsi" w:cstheme="minorHAnsi"/>
        </w:rPr>
        <w:fldChar w:fldCharType="separate"/>
      </w:r>
      <w:r w:rsidR="00433CBA">
        <w:rPr>
          <w:rFonts w:asciiTheme="minorHAnsi" w:hAnsiTheme="minorHAnsi" w:cstheme="minorHAnsi"/>
          <w:noProof/>
        </w:rPr>
        <w:t>5</w:t>
      </w:r>
      <w:r w:rsidR="0037769B" w:rsidRPr="00BC10F2">
        <w:rPr>
          <w:rFonts w:asciiTheme="minorHAnsi" w:hAnsiTheme="minorHAnsi" w:cstheme="minorHAnsi"/>
          <w:noProof/>
        </w:rPr>
        <w:fldChar w:fldCharType="end"/>
      </w:r>
      <w:r w:rsidRPr="00BC10F2">
        <w:rPr>
          <w:rFonts w:asciiTheme="minorHAnsi" w:hAnsiTheme="minorHAnsi" w:cstheme="minorHAnsi"/>
        </w:rPr>
        <w:t>.</w:t>
      </w:r>
      <w:r w:rsidRPr="00BC10F2">
        <w:rPr>
          <w:rFonts w:asciiTheme="minorHAnsi" w:hAnsiTheme="minorHAnsi" w:cstheme="minorHAnsi"/>
        </w:rPr>
        <w:tab/>
      </w:r>
      <w:r w:rsidRPr="00BC10F2">
        <w:rPr>
          <w:rFonts w:asciiTheme="minorHAnsi" w:hAnsiTheme="minorHAnsi" w:cstheme="minorHAnsi"/>
        </w:rPr>
        <w:br/>
        <w:t xml:space="preserve"> zestawienie kosztów jednostkowych</w:t>
      </w:r>
    </w:p>
    <w:tbl>
      <w:tblPr>
        <w:tblW w:w="8926" w:type="dxa"/>
        <w:tblCellMar>
          <w:left w:w="70" w:type="dxa"/>
          <w:right w:w="70" w:type="dxa"/>
        </w:tblCellMar>
        <w:tblLook w:val="04A0" w:firstRow="1" w:lastRow="0" w:firstColumn="1" w:lastColumn="0" w:noHBand="0" w:noVBand="1"/>
      </w:tblPr>
      <w:tblGrid>
        <w:gridCol w:w="420"/>
        <w:gridCol w:w="3686"/>
        <w:gridCol w:w="992"/>
        <w:gridCol w:w="1701"/>
        <w:gridCol w:w="2127"/>
      </w:tblGrid>
      <w:tr w:rsidR="00CD1CA4" w:rsidRPr="00BC10F2" w14:paraId="5C8B9433" w14:textId="77777777" w:rsidTr="00457B10">
        <w:trPr>
          <w:trHeight w:val="510"/>
        </w:trPr>
        <w:tc>
          <w:tcPr>
            <w:tcW w:w="420" w:type="dxa"/>
            <w:tcBorders>
              <w:top w:val="single" w:sz="4" w:space="0" w:color="auto"/>
              <w:left w:val="single" w:sz="4" w:space="0" w:color="auto"/>
              <w:bottom w:val="single" w:sz="4" w:space="0" w:color="auto"/>
              <w:right w:val="single" w:sz="4" w:space="0" w:color="auto"/>
            </w:tcBorders>
            <w:shd w:val="clear" w:color="000000" w:fill="D9D9D9"/>
            <w:hideMark/>
          </w:tcPr>
          <w:p w14:paraId="41271620"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Lp. </w:t>
            </w:r>
          </w:p>
        </w:tc>
        <w:tc>
          <w:tcPr>
            <w:tcW w:w="3686" w:type="dxa"/>
            <w:tcBorders>
              <w:top w:val="single" w:sz="4" w:space="0" w:color="auto"/>
              <w:left w:val="nil"/>
              <w:bottom w:val="single" w:sz="4" w:space="0" w:color="auto"/>
              <w:right w:val="single" w:sz="4" w:space="0" w:color="auto"/>
            </w:tcBorders>
            <w:shd w:val="clear" w:color="000000" w:fill="D9D9D9"/>
            <w:vAlign w:val="center"/>
            <w:hideMark/>
          </w:tcPr>
          <w:p w14:paraId="1388A08B"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Działanie </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7B83C2F1"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Liczba </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08DA9E93"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Koszt jednostkowy </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46022D2B"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Suma kosztów jednostkowych (3X4)</w:t>
            </w:r>
          </w:p>
        </w:tc>
      </w:tr>
      <w:tr w:rsidR="00CD1CA4" w:rsidRPr="00BC10F2" w14:paraId="4FCD1640" w14:textId="77777777" w:rsidTr="00457B10">
        <w:trPr>
          <w:trHeight w:val="255"/>
        </w:trPr>
        <w:tc>
          <w:tcPr>
            <w:tcW w:w="420" w:type="dxa"/>
            <w:tcBorders>
              <w:top w:val="nil"/>
              <w:left w:val="single" w:sz="4" w:space="0" w:color="auto"/>
              <w:bottom w:val="single" w:sz="4" w:space="0" w:color="auto"/>
              <w:right w:val="single" w:sz="4" w:space="0" w:color="auto"/>
            </w:tcBorders>
            <w:shd w:val="clear" w:color="000000" w:fill="D9D9D9"/>
            <w:hideMark/>
          </w:tcPr>
          <w:p w14:paraId="71C1509A"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[1] </w:t>
            </w:r>
          </w:p>
        </w:tc>
        <w:tc>
          <w:tcPr>
            <w:tcW w:w="3686" w:type="dxa"/>
            <w:tcBorders>
              <w:top w:val="nil"/>
              <w:left w:val="nil"/>
              <w:bottom w:val="single" w:sz="4" w:space="0" w:color="auto"/>
              <w:right w:val="single" w:sz="4" w:space="0" w:color="auto"/>
            </w:tcBorders>
            <w:shd w:val="clear" w:color="000000" w:fill="D9D9D9"/>
            <w:vAlign w:val="center"/>
            <w:hideMark/>
          </w:tcPr>
          <w:p w14:paraId="203E0940"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[2] </w:t>
            </w:r>
          </w:p>
        </w:tc>
        <w:tc>
          <w:tcPr>
            <w:tcW w:w="992" w:type="dxa"/>
            <w:tcBorders>
              <w:top w:val="nil"/>
              <w:left w:val="nil"/>
              <w:bottom w:val="single" w:sz="4" w:space="0" w:color="auto"/>
              <w:right w:val="single" w:sz="4" w:space="0" w:color="auto"/>
            </w:tcBorders>
            <w:shd w:val="clear" w:color="000000" w:fill="D9D9D9"/>
            <w:vAlign w:val="center"/>
            <w:hideMark/>
          </w:tcPr>
          <w:p w14:paraId="06F5A5E9"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[3] </w:t>
            </w:r>
          </w:p>
        </w:tc>
        <w:tc>
          <w:tcPr>
            <w:tcW w:w="1701" w:type="dxa"/>
            <w:tcBorders>
              <w:top w:val="nil"/>
              <w:left w:val="nil"/>
              <w:bottom w:val="single" w:sz="4" w:space="0" w:color="auto"/>
              <w:right w:val="single" w:sz="4" w:space="0" w:color="auto"/>
            </w:tcBorders>
            <w:shd w:val="clear" w:color="000000" w:fill="D9D9D9"/>
            <w:vAlign w:val="center"/>
            <w:hideMark/>
          </w:tcPr>
          <w:p w14:paraId="18EA7DF7"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[4] </w:t>
            </w:r>
          </w:p>
        </w:tc>
        <w:tc>
          <w:tcPr>
            <w:tcW w:w="2127" w:type="dxa"/>
            <w:tcBorders>
              <w:top w:val="nil"/>
              <w:left w:val="nil"/>
              <w:bottom w:val="single" w:sz="4" w:space="0" w:color="auto"/>
              <w:right w:val="single" w:sz="4" w:space="0" w:color="auto"/>
            </w:tcBorders>
            <w:shd w:val="clear" w:color="000000" w:fill="D9D9D9"/>
            <w:vAlign w:val="center"/>
            <w:hideMark/>
          </w:tcPr>
          <w:p w14:paraId="76EF278C"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[5] </w:t>
            </w:r>
          </w:p>
        </w:tc>
      </w:tr>
      <w:tr w:rsidR="00CD1CA4" w:rsidRPr="00BC10F2" w14:paraId="44E7F882" w14:textId="77777777" w:rsidTr="00457B10">
        <w:trPr>
          <w:trHeight w:val="300"/>
        </w:trPr>
        <w:tc>
          <w:tcPr>
            <w:tcW w:w="8926" w:type="dxa"/>
            <w:gridSpan w:val="5"/>
            <w:tcBorders>
              <w:top w:val="single" w:sz="4" w:space="0" w:color="auto"/>
              <w:left w:val="single" w:sz="4" w:space="0" w:color="auto"/>
              <w:bottom w:val="single" w:sz="4" w:space="0" w:color="auto"/>
              <w:right w:val="single" w:sz="4" w:space="0" w:color="000000"/>
            </w:tcBorders>
            <w:shd w:val="clear" w:color="000000" w:fill="F2F2F2"/>
            <w:vAlign w:val="center"/>
            <w:hideMark/>
          </w:tcPr>
          <w:p w14:paraId="09DB80C7"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Koszty pośrednie (katalog otwarty)</w:t>
            </w:r>
          </w:p>
        </w:tc>
      </w:tr>
      <w:tr w:rsidR="00CD1CA4" w:rsidRPr="00BC10F2" w14:paraId="4D2BCD25" w14:textId="77777777" w:rsidTr="00457B10">
        <w:trPr>
          <w:trHeight w:val="610"/>
        </w:trPr>
        <w:tc>
          <w:tcPr>
            <w:tcW w:w="420" w:type="dxa"/>
            <w:tcBorders>
              <w:top w:val="nil"/>
              <w:left w:val="single" w:sz="4" w:space="0" w:color="auto"/>
              <w:bottom w:val="single" w:sz="4" w:space="0" w:color="auto"/>
              <w:right w:val="single" w:sz="4" w:space="0" w:color="auto"/>
            </w:tcBorders>
            <w:shd w:val="clear" w:color="auto" w:fill="auto"/>
            <w:hideMark/>
          </w:tcPr>
          <w:p w14:paraId="12355F22"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1</w:t>
            </w:r>
          </w:p>
        </w:tc>
        <w:tc>
          <w:tcPr>
            <w:tcW w:w="3686" w:type="dxa"/>
            <w:tcBorders>
              <w:top w:val="nil"/>
              <w:left w:val="nil"/>
              <w:bottom w:val="single" w:sz="4" w:space="0" w:color="auto"/>
              <w:right w:val="single" w:sz="4" w:space="0" w:color="auto"/>
            </w:tcBorders>
            <w:shd w:val="clear" w:color="auto" w:fill="auto"/>
            <w:vAlign w:val="center"/>
            <w:hideMark/>
          </w:tcPr>
          <w:p w14:paraId="248F4EE7"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Ewaluacja i monitorowanie</w:t>
            </w:r>
          </w:p>
        </w:tc>
        <w:tc>
          <w:tcPr>
            <w:tcW w:w="992" w:type="dxa"/>
            <w:tcBorders>
              <w:top w:val="nil"/>
              <w:left w:val="nil"/>
              <w:bottom w:val="single" w:sz="4" w:space="0" w:color="auto"/>
              <w:right w:val="single" w:sz="4" w:space="0" w:color="auto"/>
            </w:tcBorders>
            <w:shd w:val="clear" w:color="auto" w:fill="auto"/>
            <w:vAlign w:val="center"/>
            <w:hideMark/>
          </w:tcPr>
          <w:p w14:paraId="28D2CC8F"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24</w:t>
            </w:r>
          </w:p>
        </w:tc>
        <w:tc>
          <w:tcPr>
            <w:tcW w:w="1701" w:type="dxa"/>
            <w:tcBorders>
              <w:top w:val="nil"/>
              <w:left w:val="nil"/>
              <w:bottom w:val="single" w:sz="4" w:space="0" w:color="auto"/>
              <w:right w:val="single" w:sz="4" w:space="0" w:color="auto"/>
            </w:tcBorders>
            <w:shd w:val="clear" w:color="auto" w:fill="auto"/>
            <w:vAlign w:val="center"/>
            <w:hideMark/>
          </w:tcPr>
          <w:p w14:paraId="39FE5F38"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3 000,00 zł</w:t>
            </w:r>
          </w:p>
        </w:tc>
        <w:tc>
          <w:tcPr>
            <w:tcW w:w="2127" w:type="dxa"/>
            <w:tcBorders>
              <w:top w:val="nil"/>
              <w:left w:val="nil"/>
              <w:bottom w:val="single" w:sz="4" w:space="0" w:color="auto"/>
              <w:right w:val="single" w:sz="4" w:space="0" w:color="auto"/>
            </w:tcBorders>
            <w:shd w:val="clear" w:color="auto" w:fill="auto"/>
            <w:vAlign w:val="center"/>
            <w:hideMark/>
          </w:tcPr>
          <w:p w14:paraId="6E97B5F1"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72 000,00 zł </w:t>
            </w:r>
          </w:p>
        </w:tc>
      </w:tr>
      <w:tr w:rsidR="00CD1CA4" w:rsidRPr="00BC10F2" w14:paraId="645134CC" w14:textId="77777777" w:rsidTr="00457B10">
        <w:trPr>
          <w:trHeight w:val="1143"/>
        </w:trPr>
        <w:tc>
          <w:tcPr>
            <w:tcW w:w="420" w:type="dxa"/>
            <w:tcBorders>
              <w:top w:val="nil"/>
              <w:left w:val="single" w:sz="4" w:space="0" w:color="auto"/>
              <w:bottom w:val="single" w:sz="4" w:space="0" w:color="auto"/>
              <w:right w:val="single" w:sz="4" w:space="0" w:color="auto"/>
            </w:tcBorders>
            <w:shd w:val="clear" w:color="auto" w:fill="auto"/>
            <w:noWrap/>
            <w:hideMark/>
          </w:tcPr>
          <w:p w14:paraId="2469E22E"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2. </w:t>
            </w:r>
          </w:p>
        </w:tc>
        <w:tc>
          <w:tcPr>
            <w:tcW w:w="3686" w:type="dxa"/>
            <w:tcBorders>
              <w:top w:val="nil"/>
              <w:left w:val="nil"/>
              <w:bottom w:val="single" w:sz="4" w:space="0" w:color="auto"/>
              <w:right w:val="single" w:sz="4" w:space="0" w:color="auto"/>
            </w:tcBorders>
            <w:shd w:val="clear" w:color="auto" w:fill="auto"/>
            <w:vAlign w:val="center"/>
            <w:hideMark/>
          </w:tcPr>
          <w:p w14:paraId="0D16BB1B"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Działania informacyjno-promocyjne projektu, w tym multimedia, nośniki w transporcie masowym i opracowanie materiałów </w:t>
            </w:r>
            <w:proofErr w:type="spellStart"/>
            <w:r w:rsidRPr="00BC10F2">
              <w:rPr>
                <w:rFonts w:asciiTheme="minorHAnsi" w:hAnsiTheme="minorHAnsi" w:cstheme="minorHAnsi"/>
                <w:bCs w:val="0"/>
                <w:color w:val="000000"/>
                <w:lang w:eastAsia="pl-PL" w:bidi="ar-SA"/>
              </w:rPr>
              <w:t>informacyjno</w:t>
            </w:r>
            <w:proofErr w:type="spellEnd"/>
            <w:r w:rsidRPr="00BC10F2">
              <w:rPr>
                <w:rFonts w:asciiTheme="minorHAnsi" w:hAnsiTheme="minorHAnsi" w:cstheme="minorHAnsi"/>
                <w:bCs w:val="0"/>
                <w:color w:val="000000"/>
                <w:lang w:eastAsia="pl-PL" w:bidi="ar-SA"/>
              </w:rPr>
              <w:t xml:space="preserve"> - edukacyjnych</w:t>
            </w:r>
          </w:p>
        </w:tc>
        <w:tc>
          <w:tcPr>
            <w:tcW w:w="992" w:type="dxa"/>
            <w:tcBorders>
              <w:top w:val="nil"/>
              <w:left w:val="nil"/>
              <w:bottom w:val="single" w:sz="4" w:space="0" w:color="auto"/>
              <w:right w:val="single" w:sz="4" w:space="0" w:color="auto"/>
            </w:tcBorders>
            <w:shd w:val="clear" w:color="auto" w:fill="auto"/>
            <w:noWrap/>
            <w:vAlign w:val="center"/>
            <w:hideMark/>
          </w:tcPr>
          <w:p w14:paraId="3C14BDB8"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1</w:t>
            </w:r>
          </w:p>
        </w:tc>
        <w:tc>
          <w:tcPr>
            <w:tcW w:w="1701" w:type="dxa"/>
            <w:tcBorders>
              <w:top w:val="nil"/>
              <w:left w:val="nil"/>
              <w:bottom w:val="single" w:sz="4" w:space="0" w:color="auto"/>
              <w:right w:val="single" w:sz="4" w:space="0" w:color="auto"/>
            </w:tcBorders>
            <w:shd w:val="clear" w:color="auto" w:fill="auto"/>
            <w:noWrap/>
            <w:vAlign w:val="center"/>
            <w:hideMark/>
          </w:tcPr>
          <w:p w14:paraId="02BF1D8E"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46 000,00 zł </w:t>
            </w:r>
          </w:p>
        </w:tc>
        <w:tc>
          <w:tcPr>
            <w:tcW w:w="2127" w:type="dxa"/>
            <w:tcBorders>
              <w:top w:val="nil"/>
              <w:left w:val="nil"/>
              <w:bottom w:val="single" w:sz="4" w:space="0" w:color="auto"/>
              <w:right w:val="single" w:sz="4" w:space="0" w:color="auto"/>
            </w:tcBorders>
            <w:shd w:val="clear" w:color="auto" w:fill="auto"/>
            <w:vAlign w:val="center"/>
            <w:hideMark/>
          </w:tcPr>
          <w:p w14:paraId="78DD7EAA"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46 000,00 zł </w:t>
            </w:r>
          </w:p>
        </w:tc>
      </w:tr>
      <w:tr w:rsidR="00CD1CA4" w:rsidRPr="00BC10F2" w14:paraId="70DC197A" w14:textId="77777777" w:rsidTr="00457B10">
        <w:trPr>
          <w:trHeight w:val="255"/>
        </w:trPr>
        <w:tc>
          <w:tcPr>
            <w:tcW w:w="8926" w:type="dxa"/>
            <w:gridSpan w:val="5"/>
            <w:tcBorders>
              <w:top w:val="single" w:sz="4" w:space="0" w:color="auto"/>
              <w:left w:val="single" w:sz="4" w:space="0" w:color="auto"/>
              <w:bottom w:val="single" w:sz="4" w:space="0" w:color="auto"/>
              <w:right w:val="single" w:sz="4" w:space="0" w:color="000000"/>
            </w:tcBorders>
            <w:shd w:val="clear" w:color="000000" w:fill="F2F2F2"/>
            <w:vAlign w:val="center"/>
            <w:hideMark/>
          </w:tcPr>
          <w:p w14:paraId="1A635C64" w14:textId="77777777" w:rsidR="00CD1CA4" w:rsidRPr="00BC10F2" w:rsidRDefault="00CD1CA4" w:rsidP="00CD1CA4">
            <w:pPr>
              <w:suppressAutoHyphens w:val="0"/>
              <w:spacing w:after="0" w:line="240" w:lineRule="auto"/>
              <w:jc w:val="center"/>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Koszty bezpośrednie</w:t>
            </w:r>
          </w:p>
        </w:tc>
      </w:tr>
      <w:tr w:rsidR="00CD1CA4" w:rsidRPr="00BC10F2" w14:paraId="410CB1F2" w14:textId="77777777" w:rsidTr="00457B10">
        <w:trPr>
          <w:trHeight w:val="510"/>
        </w:trPr>
        <w:tc>
          <w:tcPr>
            <w:tcW w:w="420" w:type="dxa"/>
            <w:tcBorders>
              <w:top w:val="nil"/>
              <w:left w:val="single" w:sz="4" w:space="0" w:color="auto"/>
              <w:bottom w:val="single" w:sz="4" w:space="0" w:color="auto"/>
              <w:right w:val="single" w:sz="4" w:space="0" w:color="auto"/>
            </w:tcBorders>
            <w:shd w:val="clear" w:color="auto" w:fill="auto"/>
            <w:noWrap/>
            <w:hideMark/>
          </w:tcPr>
          <w:p w14:paraId="46CA6384"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3</w:t>
            </w:r>
          </w:p>
        </w:tc>
        <w:tc>
          <w:tcPr>
            <w:tcW w:w="3686" w:type="dxa"/>
            <w:tcBorders>
              <w:top w:val="nil"/>
              <w:left w:val="nil"/>
              <w:bottom w:val="single" w:sz="4" w:space="0" w:color="auto"/>
              <w:right w:val="single" w:sz="4" w:space="0" w:color="auto"/>
            </w:tcBorders>
            <w:shd w:val="clear" w:color="000000" w:fill="FFFFFF"/>
            <w:vAlign w:val="center"/>
            <w:hideMark/>
          </w:tcPr>
          <w:p w14:paraId="5D58A514"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Koszt przygotowania szkoleń dla personelu medycznego</w:t>
            </w:r>
          </w:p>
        </w:tc>
        <w:tc>
          <w:tcPr>
            <w:tcW w:w="992" w:type="dxa"/>
            <w:tcBorders>
              <w:top w:val="nil"/>
              <w:left w:val="nil"/>
              <w:bottom w:val="single" w:sz="4" w:space="0" w:color="auto"/>
              <w:right w:val="single" w:sz="4" w:space="0" w:color="auto"/>
            </w:tcBorders>
            <w:shd w:val="clear" w:color="auto" w:fill="auto"/>
            <w:vAlign w:val="center"/>
            <w:hideMark/>
          </w:tcPr>
          <w:p w14:paraId="2CC1E036"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2</w:t>
            </w:r>
          </w:p>
        </w:tc>
        <w:tc>
          <w:tcPr>
            <w:tcW w:w="1701" w:type="dxa"/>
            <w:tcBorders>
              <w:top w:val="nil"/>
              <w:left w:val="nil"/>
              <w:bottom w:val="single" w:sz="4" w:space="0" w:color="auto"/>
              <w:right w:val="single" w:sz="4" w:space="0" w:color="auto"/>
            </w:tcBorders>
            <w:shd w:val="clear" w:color="auto" w:fill="auto"/>
            <w:vAlign w:val="center"/>
            <w:hideMark/>
          </w:tcPr>
          <w:p w14:paraId="24C33955"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1 500,00 zł </w:t>
            </w:r>
          </w:p>
        </w:tc>
        <w:tc>
          <w:tcPr>
            <w:tcW w:w="2127" w:type="dxa"/>
            <w:tcBorders>
              <w:top w:val="nil"/>
              <w:left w:val="nil"/>
              <w:bottom w:val="single" w:sz="4" w:space="0" w:color="auto"/>
              <w:right w:val="single" w:sz="4" w:space="0" w:color="auto"/>
            </w:tcBorders>
            <w:shd w:val="clear" w:color="auto" w:fill="auto"/>
            <w:vAlign w:val="center"/>
            <w:hideMark/>
          </w:tcPr>
          <w:p w14:paraId="707B30D1"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3 000,00 zł </w:t>
            </w:r>
          </w:p>
        </w:tc>
      </w:tr>
      <w:tr w:rsidR="00CD1CA4" w:rsidRPr="00BC10F2" w14:paraId="79D5EF02" w14:textId="77777777" w:rsidTr="00457B10">
        <w:trPr>
          <w:trHeight w:val="765"/>
        </w:trPr>
        <w:tc>
          <w:tcPr>
            <w:tcW w:w="420" w:type="dxa"/>
            <w:tcBorders>
              <w:top w:val="nil"/>
              <w:left w:val="single" w:sz="4" w:space="0" w:color="auto"/>
              <w:bottom w:val="single" w:sz="4" w:space="0" w:color="auto"/>
              <w:right w:val="single" w:sz="4" w:space="0" w:color="auto"/>
            </w:tcBorders>
            <w:shd w:val="clear" w:color="auto" w:fill="auto"/>
            <w:noWrap/>
            <w:hideMark/>
          </w:tcPr>
          <w:p w14:paraId="1F1359AC"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4</w:t>
            </w:r>
          </w:p>
        </w:tc>
        <w:tc>
          <w:tcPr>
            <w:tcW w:w="3686" w:type="dxa"/>
            <w:tcBorders>
              <w:top w:val="nil"/>
              <w:left w:val="nil"/>
              <w:bottom w:val="single" w:sz="4" w:space="0" w:color="auto"/>
              <w:right w:val="single" w:sz="4" w:space="0" w:color="auto"/>
            </w:tcBorders>
            <w:shd w:val="clear" w:color="auto" w:fill="auto"/>
            <w:vAlign w:val="center"/>
            <w:hideMark/>
          </w:tcPr>
          <w:p w14:paraId="4463DD45"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Koszt przygotowania i prowadzenia szkoleń dla personelu medycznego = szkolenie w placówce Realizatora</w:t>
            </w:r>
          </w:p>
        </w:tc>
        <w:tc>
          <w:tcPr>
            <w:tcW w:w="992" w:type="dxa"/>
            <w:tcBorders>
              <w:top w:val="nil"/>
              <w:left w:val="nil"/>
              <w:bottom w:val="single" w:sz="4" w:space="0" w:color="auto"/>
              <w:right w:val="single" w:sz="4" w:space="0" w:color="auto"/>
            </w:tcBorders>
            <w:shd w:val="clear" w:color="auto" w:fill="auto"/>
            <w:vAlign w:val="center"/>
            <w:hideMark/>
          </w:tcPr>
          <w:p w14:paraId="462C8C56"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6</w:t>
            </w:r>
          </w:p>
        </w:tc>
        <w:tc>
          <w:tcPr>
            <w:tcW w:w="1701" w:type="dxa"/>
            <w:tcBorders>
              <w:top w:val="nil"/>
              <w:left w:val="nil"/>
              <w:bottom w:val="single" w:sz="4" w:space="0" w:color="auto"/>
              <w:right w:val="single" w:sz="4" w:space="0" w:color="auto"/>
            </w:tcBorders>
            <w:shd w:val="clear" w:color="auto" w:fill="auto"/>
            <w:vAlign w:val="center"/>
            <w:hideMark/>
          </w:tcPr>
          <w:p w14:paraId="3610AB24"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6 000,00 zł </w:t>
            </w:r>
          </w:p>
        </w:tc>
        <w:tc>
          <w:tcPr>
            <w:tcW w:w="2127" w:type="dxa"/>
            <w:tcBorders>
              <w:top w:val="nil"/>
              <w:left w:val="nil"/>
              <w:bottom w:val="single" w:sz="4" w:space="0" w:color="auto"/>
              <w:right w:val="single" w:sz="4" w:space="0" w:color="auto"/>
            </w:tcBorders>
            <w:shd w:val="clear" w:color="auto" w:fill="auto"/>
            <w:vAlign w:val="center"/>
            <w:hideMark/>
          </w:tcPr>
          <w:p w14:paraId="38824D22"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36 000,00 zł </w:t>
            </w:r>
          </w:p>
        </w:tc>
      </w:tr>
      <w:tr w:rsidR="00CD1CA4" w:rsidRPr="00BC10F2" w14:paraId="2906EF48" w14:textId="77777777" w:rsidTr="00457B10">
        <w:trPr>
          <w:trHeight w:val="503"/>
        </w:trPr>
        <w:tc>
          <w:tcPr>
            <w:tcW w:w="420" w:type="dxa"/>
            <w:tcBorders>
              <w:top w:val="nil"/>
              <w:left w:val="single" w:sz="4" w:space="0" w:color="auto"/>
              <w:bottom w:val="single" w:sz="4" w:space="0" w:color="auto"/>
              <w:right w:val="single" w:sz="4" w:space="0" w:color="auto"/>
            </w:tcBorders>
            <w:shd w:val="clear" w:color="auto" w:fill="auto"/>
            <w:noWrap/>
            <w:hideMark/>
          </w:tcPr>
          <w:p w14:paraId="1F3F21E1"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5</w:t>
            </w:r>
          </w:p>
        </w:tc>
        <w:tc>
          <w:tcPr>
            <w:tcW w:w="3686" w:type="dxa"/>
            <w:tcBorders>
              <w:top w:val="nil"/>
              <w:left w:val="nil"/>
              <w:bottom w:val="single" w:sz="4" w:space="0" w:color="auto"/>
              <w:right w:val="single" w:sz="4" w:space="0" w:color="auto"/>
            </w:tcBorders>
            <w:shd w:val="clear" w:color="auto" w:fill="auto"/>
            <w:vAlign w:val="center"/>
            <w:hideMark/>
          </w:tcPr>
          <w:p w14:paraId="0DE0AB09" w14:textId="77777777" w:rsidR="00457B10"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Koszt obsługi narzędzia FRAX</w:t>
            </w:r>
          </w:p>
          <w:p w14:paraId="54037BD8" w14:textId="408E3899" w:rsidR="00CD1CA4" w:rsidRPr="00BC10F2" w:rsidRDefault="00457B10"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(koszty licencji udzielanej na 2 lata każdemu realizatorowi)</w:t>
            </w:r>
          </w:p>
        </w:tc>
        <w:tc>
          <w:tcPr>
            <w:tcW w:w="992" w:type="dxa"/>
            <w:tcBorders>
              <w:top w:val="nil"/>
              <w:left w:val="nil"/>
              <w:bottom w:val="single" w:sz="4" w:space="0" w:color="auto"/>
              <w:right w:val="single" w:sz="4" w:space="0" w:color="auto"/>
            </w:tcBorders>
            <w:shd w:val="clear" w:color="auto" w:fill="auto"/>
            <w:vAlign w:val="center"/>
            <w:hideMark/>
          </w:tcPr>
          <w:p w14:paraId="24B2F5C5"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6</w:t>
            </w:r>
          </w:p>
        </w:tc>
        <w:tc>
          <w:tcPr>
            <w:tcW w:w="1701" w:type="dxa"/>
            <w:tcBorders>
              <w:top w:val="nil"/>
              <w:left w:val="nil"/>
              <w:bottom w:val="single" w:sz="4" w:space="0" w:color="auto"/>
              <w:right w:val="single" w:sz="4" w:space="0" w:color="auto"/>
            </w:tcBorders>
            <w:shd w:val="clear" w:color="auto" w:fill="auto"/>
            <w:vAlign w:val="center"/>
            <w:hideMark/>
          </w:tcPr>
          <w:p w14:paraId="008B5A6A"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500,00 zł </w:t>
            </w:r>
          </w:p>
        </w:tc>
        <w:tc>
          <w:tcPr>
            <w:tcW w:w="2127" w:type="dxa"/>
            <w:tcBorders>
              <w:top w:val="nil"/>
              <w:left w:val="nil"/>
              <w:bottom w:val="single" w:sz="4" w:space="0" w:color="auto"/>
              <w:right w:val="single" w:sz="4" w:space="0" w:color="auto"/>
            </w:tcBorders>
            <w:shd w:val="clear" w:color="auto" w:fill="auto"/>
            <w:vAlign w:val="center"/>
            <w:hideMark/>
          </w:tcPr>
          <w:p w14:paraId="7D1851CC"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3 000,00 zł </w:t>
            </w:r>
          </w:p>
        </w:tc>
      </w:tr>
      <w:tr w:rsidR="00CD1CA4" w:rsidRPr="00BC10F2" w14:paraId="3414D894" w14:textId="77777777" w:rsidTr="00457B10">
        <w:trPr>
          <w:trHeight w:val="631"/>
        </w:trPr>
        <w:tc>
          <w:tcPr>
            <w:tcW w:w="420" w:type="dxa"/>
            <w:tcBorders>
              <w:top w:val="nil"/>
              <w:left w:val="single" w:sz="4" w:space="0" w:color="auto"/>
              <w:bottom w:val="single" w:sz="4" w:space="0" w:color="auto"/>
              <w:right w:val="single" w:sz="4" w:space="0" w:color="auto"/>
            </w:tcBorders>
            <w:shd w:val="clear" w:color="auto" w:fill="auto"/>
            <w:noWrap/>
            <w:hideMark/>
          </w:tcPr>
          <w:p w14:paraId="0A165907"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6</w:t>
            </w:r>
          </w:p>
        </w:tc>
        <w:tc>
          <w:tcPr>
            <w:tcW w:w="3686" w:type="dxa"/>
            <w:tcBorders>
              <w:top w:val="nil"/>
              <w:left w:val="nil"/>
              <w:bottom w:val="single" w:sz="4" w:space="0" w:color="auto"/>
              <w:right w:val="single" w:sz="4" w:space="0" w:color="auto"/>
            </w:tcBorders>
            <w:shd w:val="clear" w:color="auto" w:fill="auto"/>
            <w:vAlign w:val="center"/>
            <w:hideMark/>
          </w:tcPr>
          <w:p w14:paraId="16621A0B"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Wizyta kwalifikująca u Realizatora</w:t>
            </w:r>
          </w:p>
        </w:tc>
        <w:tc>
          <w:tcPr>
            <w:tcW w:w="992" w:type="dxa"/>
            <w:tcBorders>
              <w:top w:val="nil"/>
              <w:left w:val="nil"/>
              <w:bottom w:val="single" w:sz="4" w:space="0" w:color="auto"/>
              <w:right w:val="single" w:sz="4" w:space="0" w:color="auto"/>
            </w:tcBorders>
            <w:shd w:val="clear" w:color="auto" w:fill="auto"/>
            <w:vAlign w:val="center"/>
            <w:hideMark/>
          </w:tcPr>
          <w:p w14:paraId="4C8DC9D3"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7000</w:t>
            </w:r>
          </w:p>
        </w:tc>
        <w:tc>
          <w:tcPr>
            <w:tcW w:w="1701" w:type="dxa"/>
            <w:tcBorders>
              <w:top w:val="nil"/>
              <w:left w:val="nil"/>
              <w:bottom w:val="single" w:sz="4" w:space="0" w:color="auto"/>
              <w:right w:val="single" w:sz="4" w:space="0" w:color="auto"/>
            </w:tcBorders>
            <w:shd w:val="clear" w:color="auto" w:fill="auto"/>
            <w:vAlign w:val="center"/>
            <w:hideMark/>
          </w:tcPr>
          <w:p w14:paraId="76847579"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50,00 zł </w:t>
            </w:r>
          </w:p>
        </w:tc>
        <w:tc>
          <w:tcPr>
            <w:tcW w:w="2127" w:type="dxa"/>
            <w:tcBorders>
              <w:top w:val="nil"/>
              <w:left w:val="nil"/>
              <w:bottom w:val="single" w:sz="4" w:space="0" w:color="auto"/>
              <w:right w:val="single" w:sz="4" w:space="0" w:color="auto"/>
            </w:tcBorders>
            <w:shd w:val="clear" w:color="auto" w:fill="auto"/>
            <w:vAlign w:val="center"/>
            <w:hideMark/>
          </w:tcPr>
          <w:p w14:paraId="529B8A48"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350 000,00 zł </w:t>
            </w:r>
          </w:p>
        </w:tc>
      </w:tr>
      <w:tr w:rsidR="00CD1CA4" w:rsidRPr="00BC10F2" w14:paraId="70519452" w14:textId="77777777" w:rsidTr="00457B10">
        <w:trPr>
          <w:trHeight w:val="458"/>
        </w:trPr>
        <w:tc>
          <w:tcPr>
            <w:tcW w:w="420" w:type="dxa"/>
            <w:tcBorders>
              <w:top w:val="nil"/>
              <w:left w:val="single" w:sz="4" w:space="0" w:color="auto"/>
              <w:bottom w:val="single" w:sz="4" w:space="0" w:color="auto"/>
              <w:right w:val="single" w:sz="4" w:space="0" w:color="auto"/>
            </w:tcBorders>
            <w:shd w:val="clear" w:color="auto" w:fill="auto"/>
            <w:noWrap/>
            <w:hideMark/>
          </w:tcPr>
          <w:p w14:paraId="1EC5793D"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7</w:t>
            </w:r>
          </w:p>
        </w:tc>
        <w:tc>
          <w:tcPr>
            <w:tcW w:w="3686" w:type="dxa"/>
            <w:tcBorders>
              <w:top w:val="nil"/>
              <w:left w:val="nil"/>
              <w:bottom w:val="single" w:sz="4" w:space="0" w:color="auto"/>
              <w:right w:val="single" w:sz="4" w:space="0" w:color="auto"/>
            </w:tcBorders>
            <w:shd w:val="clear" w:color="auto" w:fill="auto"/>
            <w:vAlign w:val="center"/>
            <w:hideMark/>
          </w:tcPr>
          <w:p w14:paraId="18C8D9FA"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Koszt pomiaru BMD za pomocą DXA </w:t>
            </w:r>
          </w:p>
        </w:tc>
        <w:tc>
          <w:tcPr>
            <w:tcW w:w="992" w:type="dxa"/>
            <w:tcBorders>
              <w:top w:val="nil"/>
              <w:left w:val="nil"/>
              <w:bottom w:val="single" w:sz="4" w:space="0" w:color="auto"/>
              <w:right w:val="single" w:sz="4" w:space="0" w:color="auto"/>
            </w:tcBorders>
            <w:shd w:val="clear" w:color="auto" w:fill="auto"/>
            <w:vAlign w:val="center"/>
            <w:hideMark/>
          </w:tcPr>
          <w:p w14:paraId="6C5F03DD"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7000</w:t>
            </w:r>
          </w:p>
        </w:tc>
        <w:tc>
          <w:tcPr>
            <w:tcW w:w="1701" w:type="dxa"/>
            <w:tcBorders>
              <w:top w:val="nil"/>
              <w:left w:val="nil"/>
              <w:bottom w:val="single" w:sz="4" w:space="0" w:color="auto"/>
              <w:right w:val="single" w:sz="4" w:space="0" w:color="auto"/>
            </w:tcBorders>
            <w:shd w:val="clear" w:color="auto" w:fill="auto"/>
            <w:vAlign w:val="center"/>
            <w:hideMark/>
          </w:tcPr>
          <w:p w14:paraId="14243065"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85,00 zł </w:t>
            </w:r>
          </w:p>
        </w:tc>
        <w:tc>
          <w:tcPr>
            <w:tcW w:w="2127" w:type="dxa"/>
            <w:tcBorders>
              <w:top w:val="nil"/>
              <w:left w:val="nil"/>
              <w:bottom w:val="single" w:sz="4" w:space="0" w:color="auto"/>
              <w:right w:val="single" w:sz="4" w:space="0" w:color="auto"/>
            </w:tcBorders>
            <w:shd w:val="clear" w:color="auto" w:fill="auto"/>
            <w:vAlign w:val="center"/>
            <w:hideMark/>
          </w:tcPr>
          <w:p w14:paraId="4B6156F3"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595 000,00 zł </w:t>
            </w:r>
          </w:p>
        </w:tc>
      </w:tr>
      <w:tr w:rsidR="00CD1CA4" w:rsidRPr="00BC10F2" w14:paraId="3A6D3A06" w14:textId="77777777" w:rsidTr="00457B10">
        <w:trPr>
          <w:trHeight w:val="510"/>
        </w:trPr>
        <w:tc>
          <w:tcPr>
            <w:tcW w:w="420" w:type="dxa"/>
            <w:tcBorders>
              <w:top w:val="nil"/>
              <w:left w:val="single" w:sz="4" w:space="0" w:color="auto"/>
              <w:bottom w:val="single" w:sz="4" w:space="0" w:color="auto"/>
              <w:right w:val="single" w:sz="4" w:space="0" w:color="auto"/>
            </w:tcBorders>
            <w:shd w:val="clear" w:color="auto" w:fill="auto"/>
            <w:noWrap/>
            <w:hideMark/>
          </w:tcPr>
          <w:p w14:paraId="04B40B26"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8</w:t>
            </w:r>
          </w:p>
        </w:tc>
        <w:tc>
          <w:tcPr>
            <w:tcW w:w="3686" w:type="dxa"/>
            <w:tcBorders>
              <w:top w:val="nil"/>
              <w:left w:val="nil"/>
              <w:bottom w:val="single" w:sz="4" w:space="0" w:color="auto"/>
              <w:right w:val="single" w:sz="4" w:space="0" w:color="auto"/>
            </w:tcBorders>
            <w:shd w:val="clear" w:color="auto" w:fill="auto"/>
            <w:vAlign w:val="center"/>
            <w:hideMark/>
          </w:tcPr>
          <w:p w14:paraId="0A1C5FF0"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Koszt lekarskiej wizyty podsumowującej </w:t>
            </w:r>
          </w:p>
        </w:tc>
        <w:tc>
          <w:tcPr>
            <w:tcW w:w="992" w:type="dxa"/>
            <w:tcBorders>
              <w:top w:val="nil"/>
              <w:left w:val="nil"/>
              <w:bottom w:val="single" w:sz="4" w:space="0" w:color="auto"/>
              <w:right w:val="single" w:sz="4" w:space="0" w:color="auto"/>
            </w:tcBorders>
            <w:shd w:val="clear" w:color="auto" w:fill="auto"/>
            <w:vAlign w:val="center"/>
            <w:hideMark/>
          </w:tcPr>
          <w:p w14:paraId="7D993753"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7000</w:t>
            </w:r>
          </w:p>
        </w:tc>
        <w:tc>
          <w:tcPr>
            <w:tcW w:w="1701" w:type="dxa"/>
            <w:tcBorders>
              <w:top w:val="nil"/>
              <w:left w:val="nil"/>
              <w:bottom w:val="single" w:sz="4" w:space="0" w:color="auto"/>
              <w:right w:val="single" w:sz="4" w:space="0" w:color="auto"/>
            </w:tcBorders>
            <w:shd w:val="clear" w:color="auto" w:fill="auto"/>
            <w:vAlign w:val="center"/>
            <w:hideMark/>
          </w:tcPr>
          <w:p w14:paraId="79EC73BE"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110,00 zł </w:t>
            </w:r>
          </w:p>
        </w:tc>
        <w:tc>
          <w:tcPr>
            <w:tcW w:w="2127" w:type="dxa"/>
            <w:tcBorders>
              <w:top w:val="nil"/>
              <w:left w:val="nil"/>
              <w:bottom w:val="single" w:sz="4" w:space="0" w:color="auto"/>
              <w:right w:val="single" w:sz="4" w:space="0" w:color="auto"/>
            </w:tcBorders>
            <w:shd w:val="clear" w:color="auto" w:fill="auto"/>
            <w:vAlign w:val="center"/>
            <w:hideMark/>
          </w:tcPr>
          <w:p w14:paraId="7F214551"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770 000,00 zł </w:t>
            </w:r>
          </w:p>
        </w:tc>
      </w:tr>
      <w:tr w:rsidR="00CD1CA4" w:rsidRPr="00BC10F2" w14:paraId="13DD033D" w14:textId="77777777" w:rsidTr="00457B10">
        <w:trPr>
          <w:trHeight w:val="255"/>
        </w:trPr>
        <w:tc>
          <w:tcPr>
            <w:tcW w:w="679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7CCED" w14:textId="77777777" w:rsidR="00CD1CA4" w:rsidRPr="00BC10F2" w:rsidRDefault="00CD1CA4" w:rsidP="00CD1CA4">
            <w:pPr>
              <w:suppressAutoHyphens w:val="0"/>
              <w:spacing w:after="0" w:line="240" w:lineRule="auto"/>
              <w:jc w:val="center"/>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SUMA</w:t>
            </w:r>
          </w:p>
        </w:tc>
        <w:tc>
          <w:tcPr>
            <w:tcW w:w="2127" w:type="dxa"/>
            <w:tcBorders>
              <w:top w:val="nil"/>
              <w:left w:val="nil"/>
              <w:bottom w:val="single" w:sz="4" w:space="0" w:color="auto"/>
              <w:right w:val="single" w:sz="4" w:space="0" w:color="auto"/>
            </w:tcBorders>
            <w:shd w:val="clear" w:color="auto" w:fill="auto"/>
            <w:noWrap/>
            <w:vAlign w:val="bottom"/>
            <w:hideMark/>
          </w:tcPr>
          <w:p w14:paraId="425D6448"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                1 875 000,00 zł </w:t>
            </w:r>
          </w:p>
        </w:tc>
      </w:tr>
    </w:tbl>
    <w:p w14:paraId="4D0392C0" w14:textId="77777777" w:rsidR="00D80990" w:rsidRPr="00BC10F2" w:rsidRDefault="00D80990" w:rsidP="00457B10">
      <w:pPr>
        <w:pStyle w:val="Tekstopisupodelementem"/>
        <w:spacing w:line="360" w:lineRule="auto"/>
        <w:rPr>
          <w:rFonts w:asciiTheme="minorHAnsi" w:hAnsiTheme="minorHAnsi" w:cstheme="minorHAnsi"/>
          <w:sz w:val="20"/>
        </w:rPr>
      </w:pPr>
    </w:p>
    <w:p w14:paraId="7FE3A09E" w14:textId="66C274B1" w:rsidR="003536B6" w:rsidRPr="00BC10F2" w:rsidRDefault="00457B10"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W</w:t>
      </w:r>
      <w:r w:rsidR="003536B6" w:rsidRPr="00BC10F2">
        <w:rPr>
          <w:rFonts w:asciiTheme="minorHAnsi" w:hAnsiTheme="minorHAnsi" w:cstheme="minorHAnsi"/>
          <w:sz w:val="20"/>
        </w:rPr>
        <w:t xml:space="preserve"> koszt</w:t>
      </w:r>
      <w:r w:rsidR="00F9766B" w:rsidRPr="00BC10F2">
        <w:rPr>
          <w:rFonts w:asciiTheme="minorHAnsi" w:hAnsiTheme="minorHAnsi" w:cstheme="minorHAnsi"/>
          <w:sz w:val="20"/>
        </w:rPr>
        <w:t>ach</w:t>
      </w:r>
      <w:r w:rsidR="003536B6" w:rsidRPr="00BC10F2">
        <w:rPr>
          <w:rFonts w:asciiTheme="minorHAnsi" w:hAnsiTheme="minorHAnsi" w:cstheme="minorHAnsi"/>
          <w:sz w:val="20"/>
        </w:rPr>
        <w:t xml:space="preserve"> ewaluacji i monitorowania </w:t>
      </w:r>
      <w:r w:rsidR="00F9766B" w:rsidRPr="00BC10F2">
        <w:rPr>
          <w:rFonts w:asciiTheme="minorHAnsi" w:hAnsiTheme="minorHAnsi" w:cstheme="minorHAnsi"/>
          <w:sz w:val="20"/>
        </w:rPr>
        <w:t xml:space="preserve">uwzględniona jest </w:t>
      </w:r>
      <w:r w:rsidR="003536B6" w:rsidRPr="00BC10F2">
        <w:rPr>
          <w:rFonts w:asciiTheme="minorHAnsi" w:hAnsiTheme="minorHAnsi" w:cstheme="minorHAnsi"/>
          <w:sz w:val="20"/>
        </w:rPr>
        <w:t xml:space="preserve">ocena testów </w:t>
      </w:r>
      <w:proofErr w:type="spellStart"/>
      <w:r w:rsidR="003536B6" w:rsidRPr="00BC10F2">
        <w:rPr>
          <w:rFonts w:asciiTheme="minorHAnsi" w:hAnsiTheme="minorHAnsi" w:cstheme="minorHAnsi"/>
          <w:sz w:val="20"/>
        </w:rPr>
        <w:t>pre</w:t>
      </w:r>
      <w:proofErr w:type="spellEnd"/>
      <w:r w:rsidR="003536B6" w:rsidRPr="00BC10F2">
        <w:rPr>
          <w:rFonts w:asciiTheme="minorHAnsi" w:hAnsiTheme="minorHAnsi" w:cstheme="minorHAnsi"/>
          <w:sz w:val="20"/>
        </w:rPr>
        <w:t xml:space="preserve"> i post edukacyjnych personelu medycznego</w:t>
      </w:r>
      <w:r w:rsidR="00F9766B" w:rsidRPr="00BC10F2">
        <w:rPr>
          <w:rFonts w:asciiTheme="minorHAnsi" w:hAnsiTheme="minorHAnsi" w:cstheme="minorHAnsi"/>
          <w:sz w:val="20"/>
        </w:rPr>
        <w:t xml:space="preserve"> i </w:t>
      </w:r>
      <w:proofErr w:type="spellStart"/>
      <w:r w:rsidR="003536B6" w:rsidRPr="00BC10F2">
        <w:rPr>
          <w:rFonts w:asciiTheme="minorHAnsi" w:hAnsiTheme="minorHAnsi" w:cstheme="minorHAnsi"/>
          <w:sz w:val="20"/>
        </w:rPr>
        <w:t>świadczeniobiorczyń</w:t>
      </w:r>
      <w:proofErr w:type="spellEnd"/>
      <w:r w:rsidR="003536B6" w:rsidRPr="00BC10F2">
        <w:rPr>
          <w:rFonts w:asciiTheme="minorHAnsi" w:hAnsiTheme="minorHAnsi" w:cstheme="minorHAnsi"/>
          <w:sz w:val="20"/>
        </w:rPr>
        <w:t>, weryfikacja sprawozdań miesięcznych i rocznych; analiza i opracowanie raportów rocznych i końcowego</w:t>
      </w:r>
    </w:p>
    <w:p w14:paraId="6D172CE3" w14:textId="18948CEF" w:rsidR="00A80621" w:rsidRPr="00BC10F2" w:rsidRDefault="003536B6"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xml:space="preserve">Raport końcowy przygotują pracownicy BPZ </w:t>
      </w:r>
      <w:r w:rsidR="001053AA">
        <w:rPr>
          <w:rFonts w:asciiTheme="minorHAnsi" w:hAnsiTheme="minorHAnsi" w:cstheme="minorHAnsi"/>
          <w:sz w:val="20"/>
        </w:rPr>
        <w:t>Urzędu m.s</w:t>
      </w:r>
      <w:r w:rsidRPr="00BC10F2">
        <w:rPr>
          <w:rFonts w:asciiTheme="minorHAnsi" w:hAnsiTheme="minorHAnsi" w:cstheme="minorHAnsi"/>
          <w:sz w:val="20"/>
        </w:rPr>
        <w:t>t. Warszawy. Raport końcowy zostanie sporządzony na podstawie analizy m.in. raportów okresowych i końcowych oraz innych danych otrzymanych od realizatorów programu.</w:t>
      </w:r>
    </w:p>
    <w:p w14:paraId="646C13F9" w14:textId="4ADA3D8A" w:rsidR="00F9766B" w:rsidRPr="00BC10F2" w:rsidRDefault="00F9766B"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xml:space="preserve">W działaniach informacyjno-promocyjnych projektu uwzględniono przygotowanie we współpracy z ekspertem klinicznym materiałów promocyjnych i informacyjnych, w postaci: </w:t>
      </w:r>
    </w:p>
    <w:p w14:paraId="21472767" w14:textId="77777777" w:rsidR="00F9766B" w:rsidRPr="00BC10F2" w:rsidRDefault="00F9766B"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materiałów na stronę internetową</w:t>
      </w:r>
    </w:p>
    <w:p w14:paraId="41BF5C21" w14:textId="77777777" w:rsidR="00F9766B" w:rsidRPr="00BC10F2" w:rsidRDefault="00F9766B"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materiałów multimedialnych do nośników kampanii do populacji osób dorosłych</w:t>
      </w:r>
    </w:p>
    <w:p w14:paraId="653E434A" w14:textId="77777777" w:rsidR="00F9766B" w:rsidRPr="00BC10F2" w:rsidRDefault="00F9766B"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broszury edukacyjnej dla świadczeniobiorców</w:t>
      </w:r>
    </w:p>
    <w:p w14:paraId="20A85DE7" w14:textId="77777777" w:rsidR="00F9766B" w:rsidRPr="00BC10F2" w:rsidRDefault="00F9766B"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xml:space="preserve">- opracowanie testów </w:t>
      </w:r>
      <w:proofErr w:type="spellStart"/>
      <w:r w:rsidRPr="00BC10F2">
        <w:rPr>
          <w:rFonts w:asciiTheme="minorHAnsi" w:hAnsiTheme="minorHAnsi" w:cstheme="minorHAnsi"/>
          <w:sz w:val="20"/>
        </w:rPr>
        <w:t>pre</w:t>
      </w:r>
      <w:proofErr w:type="spellEnd"/>
      <w:r w:rsidRPr="00BC10F2">
        <w:rPr>
          <w:rFonts w:asciiTheme="minorHAnsi" w:hAnsiTheme="minorHAnsi" w:cstheme="minorHAnsi"/>
          <w:sz w:val="20"/>
        </w:rPr>
        <w:t xml:space="preserve"> i post edukacyjnych świadczeniobiorców</w:t>
      </w:r>
    </w:p>
    <w:p w14:paraId="5859E1C3" w14:textId="77777777" w:rsidR="00F9766B" w:rsidRPr="00BC10F2" w:rsidRDefault="00F9766B"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koszt kampanii informacyjnej w środkach masowego - transportu (w tym opłata ekspozycyjna)</w:t>
      </w:r>
    </w:p>
    <w:p w14:paraId="327B9449" w14:textId="733DCF66" w:rsidR="00F9766B" w:rsidRPr="00BC10F2" w:rsidRDefault="00F9766B"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druk broszur i plakatów informacyjnych</w:t>
      </w:r>
    </w:p>
    <w:p w14:paraId="41B77ABA" w14:textId="693F07A7" w:rsidR="00457B10" w:rsidRPr="00BC10F2" w:rsidRDefault="00457B10"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xml:space="preserve">Do realizacji Programu zostanie wybranych 6 realizatorów tak, aby zapewnić dogodny dostęp do świadczeń na terenie całego m st. Warszawy. </w:t>
      </w:r>
    </w:p>
    <w:p w14:paraId="2D21E180" w14:textId="77777777" w:rsidR="00A80621" w:rsidRPr="00BC10F2" w:rsidRDefault="007941FC">
      <w:pPr>
        <w:pStyle w:val="Nagwek2"/>
        <w:rPr>
          <w:rFonts w:asciiTheme="minorHAnsi" w:hAnsiTheme="minorHAnsi" w:cstheme="minorHAnsi"/>
        </w:rPr>
      </w:pPr>
      <w:bookmarkStart w:id="30" w:name="_Toc146115006"/>
      <w:r w:rsidRPr="00BC10F2">
        <w:rPr>
          <w:rFonts w:asciiTheme="minorHAnsi" w:hAnsiTheme="minorHAnsi" w:cstheme="minorHAnsi"/>
        </w:rPr>
        <w:lastRenderedPageBreak/>
        <w:t>Koszty całkowite</w:t>
      </w:r>
      <w:bookmarkEnd w:id="30"/>
    </w:p>
    <w:p w14:paraId="07D4A7AC" w14:textId="1D5B0BC1" w:rsidR="00A80621" w:rsidRPr="00BC10F2" w:rsidRDefault="007941FC">
      <w:pPr>
        <w:pStyle w:val="Legenda1"/>
        <w:rPr>
          <w:rFonts w:asciiTheme="minorHAnsi" w:hAnsiTheme="minorHAnsi" w:cstheme="minorHAnsi"/>
        </w:rPr>
      </w:pPr>
      <w:r w:rsidRPr="00BC10F2">
        <w:rPr>
          <w:rFonts w:asciiTheme="minorHAnsi" w:hAnsiTheme="minorHAnsi" w:cstheme="minorHAnsi"/>
        </w:rPr>
        <w:t xml:space="preserve">Tabela </w:t>
      </w:r>
      <w:r w:rsidR="0037769B" w:rsidRPr="00BC10F2">
        <w:rPr>
          <w:rFonts w:asciiTheme="minorHAnsi" w:hAnsiTheme="minorHAnsi" w:cstheme="minorHAnsi"/>
        </w:rPr>
        <w:fldChar w:fldCharType="begin"/>
      </w:r>
      <w:r w:rsidR="0037769B" w:rsidRPr="00BC10F2">
        <w:rPr>
          <w:rFonts w:asciiTheme="minorHAnsi" w:hAnsiTheme="minorHAnsi" w:cstheme="minorHAnsi"/>
        </w:rPr>
        <w:instrText xml:space="preserve"> SEQ "Tabela" \* ARABIC </w:instrText>
      </w:r>
      <w:r w:rsidR="0037769B" w:rsidRPr="00BC10F2">
        <w:rPr>
          <w:rFonts w:asciiTheme="minorHAnsi" w:hAnsiTheme="minorHAnsi" w:cstheme="minorHAnsi"/>
        </w:rPr>
        <w:fldChar w:fldCharType="separate"/>
      </w:r>
      <w:r w:rsidR="00433CBA">
        <w:rPr>
          <w:rFonts w:asciiTheme="minorHAnsi" w:hAnsiTheme="minorHAnsi" w:cstheme="minorHAnsi"/>
          <w:noProof/>
        </w:rPr>
        <w:t>6</w:t>
      </w:r>
      <w:r w:rsidR="0037769B" w:rsidRPr="00BC10F2">
        <w:rPr>
          <w:rFonts w:asciiTheme="minorHAnsi" w:hAnsiTheme="minorHAnsi" w:cstheme="minorHAnsi"/>
          <w:noProof/>
        </w:rPr>
        <w:fldChar w:fldCharType="end"/>
      </w:r>
      <w:r w:rsidRPr="00BC10F2">
        <w:rPr>
          <w:rFonts w:asciiTheme="minorHAnsi" w:hAnsiTheme="minorHAnsi" w:cstheme="minorHAnsi"/>
        </w:rPr>
        <w:t>.</w:t>
      </w:r>
      <w:r w:rsidRPr="00BC10F2">
        <w:rPr>
          <w:rFonts w:asciiTheme="minorHAnsi" w:hAnsiTheme="minorHAnsi" w:cstheme="minorHAnsi"/>
        </w:rPr>
        <w:tab/>
      </w:r>
      <w:r w:rsidRPr="00BC10F2">
        <w:rPr>
          <w:rFonts w:asciiTheme="minorHAnsi" w:hAnsiTheme="minorHAnsi" w:cstheme="minorHAnsi"/>
        </w:rPr>
        <w:br/>
        <w:t>Koszty całkowite realizacji PPZ</w:t>
      </w:r>
    </w:p>
    <w:tbl>
      <w:tblPr>
        <w:tblStyle w:val="Tabela-Siatka"/>
        <w:tblW w:w="0" w:type="auto"/>
        <w:tblLook w:val="04A0" w:firstRow="1" w:lastRow="0" w:firstColumn="1" w:lastColumn="0" w:noHBand="0" w:noVBand="1"/>
      </w:tblPr>
      <w:tblGrid>
        <w:gridCol w:w="1696"/>
        <w:gridCol w:w="2552"/>
        <w:gridCol w:w="2410"/>
        <w:gridCol w:w="2404"/>
      </w:tblGrid>
      <w:tr w:rsidR="00D80990" w:rsidRPr="00BC10F2" w14:paraId="4160EDB3" w14:textId="34DF4344" w:rsidTr="00D80990">
        <w:tc>
          <w:tcPr>
            <w:tcW w:w="1696" w:type="dxa"/>
            <w:vAlign w:val="center"/>
          </w:tcPr>
          <w:p w14:paraId="0086E954" w14:textId="0462B536" w:rsidR="00D80990" w:rsidRPr="00BC10F2" w:rsidRDefault="00D80990" w:rsidP="00D80990">
            <w:pPr>
              <w:pStyle w:val="Legenda1"/>
              <w:jc w:val="center"/>
              <w:rPr>
                <w:rFonts w:asciiTheme="minorHAnsi" w:hAnsiTheme="minorHAnsi" w:cstheme="minorHAnsi"/>
              </w:rPr>
            </w:pPr>
            <w:r w:rsidRPr="00BC10F2">
              <w:rPr>
                <w:rFonts w:asciiTheme="minorHAnsi" w:hAnsiTheme="minorHAnsi" w:cstheme="minorHAnsi"/>
              </w:rPr>
              <w:t>Rok</w:t>
            </w:r>
          </w:p>
        </w:tc>
        <w:tc>
          <w:tcPr>
            <w:tcW w:w="2552" w:type="dxa"/>
            <w:vAlign w:val="center"/>
          </w:tcPr>
          <w:p w14:paraId="52B1E2B4" w14:textId="28F5133A" w:rsidR="00D80990" w:rsidRPr="00BC10F2" w:rsidRDefault="00D80990" w:rsidP="00D80990">
            <w:pPr>
              <w:pStyle w:val="Legenda1"/>
              <w:jc w:val="center"/>
              <w:rPr>
                <w:rFonts w:asciiTheme="minorHAnsi" w:hAnsiTheme="minorHAnsi" w:cstheme="minorHAnsi"/>
              </w:rPr>
            </w:pPr>
            <w:r w:rsidRPr="00BC10F2">
              <w:rPr>
                <w:rFonts w:asciiTheme="minorHAnsi" w:hAnsiTheme="minorHAnsi" w:cstheme="minorHAnsi"/>
              </w:rPr>
              <w:t>Koszt całkowity</w:t>
            </w:r>
          </w:p>
        </w:tc>
        <w:tc>
          <w:tcPr>
            <w:tcW w:w="2410" w:type="dxa"/>
            <w:vAlign w:val="center"/>
          </w:tcPr>
          <w:p w14:paraId="0D52ED29" w14:textId="210486AF" w:rsidR="00D80990" w:rsidRPr="00BC10F2" w:rsidRDefault="00D80990" w:rsidP="00D80990">
            <w:pPr>
              <w:pStyle w:val="Legenda1"/>
              <w:jc w:val="center"/>
              <w:rPr>
                <w:rFonts w:asciiTheme="minorHAnsi" w:hAnsiTheme="minorHAnsi" w:cstheme="minorHAnsi"/>
              </w:rPr>
            </w:pPr>
            <w:r w:rsidRPr="00BC10F2">
              <w:rPr>
                <w:rFonts w:asciiTheme="minorHAnsi" w:hAnsiTheme="minorHAnsi" w:cstheme="minorHAnsi"/>
              </w:rPr>
              <w:t>Udział własny realizatora</w:t>
            </w:r>
          </w:p>
        </w:tc>
        <w:tc>
          <w:tcPr>
            <w:tcW w:w="2404" w:type="dxa"/>
            <w:vAlign w:val="center"/>
          </w:tcPr>
          <w:p w14:paraId="7424595F" w14:textId="2D8B6BF4" w:rsidR="00D80990" w:rsidRPr="00BC10F2" w:rsidRDefault="00D80990" w:rsidP="00D80990">
            <w:pPr>
              <w:pStyle w:val="Legenda1"/>
              <w:jc w:val="center"/>
              <w:rPr>
                <w:rFonts w:asciiTheme="minorHAnsi" w:hAnsiTheme="minorHAnsi" w:cstheme="minorHAnsi"/>
              </w:rPr>
            </w:pPr>
            <w:r w:rsidRPr="00BC10F2">
              <w:rPr>
                <w:rFonts w:asciiTheme="minorHAnsi" w:hAnsiTheme="minorHAnsi" w:cstheme="minorHAnsi"/>
              </w:rPr>
              <w:t>Wnioskowana kwota dofinansowania</w:t>
            </w:r>
          </w:p>
        </w:tc>
      </w:tr>
      <w:tr w:rsidR="00521869" w:rsidRPr="00BC10F2" w14:paraId="70D3414B" w14:textId="77777777" w:rsidTr="00D80990">
        <w:tc>
          <w:tcPr>
            <w:tcW w:w="1696" w:type="dxa"/>
            <w:vAlign w:val="center"/>
          </w:tcPr>
          <w:p w14:paraId="107AC418" w14:textId="61537BBF" w:rsidR="00521869" w:rsidRPr="00BC10F2" w:rsidRDefault="00521869" w:rsidP="00D80990">
            <w:pPr>
              <w:pStyle w:val="Legenda1"/>
              <w:jc w:val="center"/>
              <w:rPr>
                <w:rFonts w:asciiTheme="minorHAnsi" w:hAnsiTheme="minorHAnsi" w:cstheme="minorHAnsi"/>
              </w:rPr>
            </w:pPr>
            <w:r>
              <w:rPr>
                <w:rFonts w:asciiTheme="minorHAnsi" w:hAnsiTheme="minorHAnsi" w:cstheme="minorHAnsi"/>
              </w:rPr>
              <w:t>2023 r.</w:t>
            </w:r>
          </w:p>
        </w:tc>
        <w:tc>
          <w:tcPr>
            <w:tcW w:w="2552" w:type="dxa"/>
            <w:vAlign w:val="center"/>
          </w:tcPr>
          <w:p w14:paraId="50C193AD" w14:textId="08323B3A" w:rsidR="00521869" w:rsidRPr="00BC10F2" w:rsidRDefault="00521869" w:rsidP="00521869">
            <w:pPr>
              <w:pStyle w:val="Legenda1"/>
              <w:jc w:val="right"/>
              <w:rPr>
                <w:rFonts w:asciiTheme="minorHAnsi" w:hAnsiTheme="minorHAnsi" w:cstheme="minorHAnsi"/>
              </w:rPr>
            </w:pPr>
            <w:r>
              <w:rPr>
                <w:rFonts w:asciiTheme="minorHAnsi" w:hAnsiTheme="minorHAnsi" w:cstheme="minorHAnsi"/>
              </w:rPr>
              <w:t>0 zł</w:t>
            </w:r>
          </w:p>
        </w:tc>
        <w:tc>
          <w:tcPr>
            <w:tcW w:w="2410" w:type="dxa"/>
            <w:vAlign w:val="center"/>
          </w:tcPr>
          <w:p w14:paraId="2D4B2E36" w14:textId="787B46C2" w:rsidR="00521869" w:rsidRPr="00BC10F2" w:rsidRDefault="00521869" w:rsidP="00521869">
            <w:pPr>
              <w:pStyle w:val="Legenda1"/>
              <w:jc w:val="right"/>
              <w:rPr>
                <w:rFonts w:asciiTheme="minorHAnsi" w:hAnsiTheme="minorHAnsi" w:cstheme="minorHAnsi"/>
              </w:rPr>
            </w:pPr>
            <w:r>
              <w:rPr>
                <w:rFonts w:asciiTheme="minorHAnsi" w:hAnsiTheme="minorHAnsi" w:cstheme="minorHAnsi"/>
              </w:rPr>
              <w:t>0 zł</w:t>
            </w:r>
          </w:p>
        </w:tc>
        <w:tc>
          <w:tcPr>
            <w:tcW w:w="2404" w:type="dxa"/>
            <w:vAlign w:val="center"/>
          </w:tcPr>
          <w:p w14:paraId="3838A9B4" w14:textId="462A29FB" w:rsidR="00521869" w:rsidRPr="00BC10F2" w:rsidRDefault="00521869" w:rsidP="00521869">
            <w:pPr>
              <w:pStyle w:val="Legenda1"/>
              <w:jc w:val="right"/>
              <w:rPr>
                <w:rFonts w:asciiTheme="minorHAnsi" w:hAnsiTheme="minorHAnsi" w:cstheme="minorHAnsi"/>
              </w:rPr>
            </w:pPr>
            <w:r>
              <w:rPr>
                <w:rFonts w:asciiTheme="minorHAnsi" w:hAnsiTheme="minorHAnsi" w:cstheme="minorHAnsi"/>
              </w:rPr>
              <w:t>0 zł</w:t>
            </w:r>
          </w:p>
        </w:tc>
      </w:tr>
      <w:tr w:rsidR="0037769B" w:rsidRPr="00BC10F2" w14:paraId="1B11A440" w14:textId="092D7516" w:rsidTr="00D80990">
        <w:tc>
          <w:tcPr>
            <w:tcW w:w="1696" w:type="dxa"/>
          </w:tcPr>
          <w:p w14:paraId="675C5F89" w14:textId="4E508630" w:rsidR="0037769B" w:rsidRPr="00BC10F2" w:rsidRDefault="0037769B" w:rsidP="0037769B">
            <w:pPr>
              <w:pStyle w:val="Legenda1"/>
              <w:jc w:val="center"/>
              <w:rPr>
                <w:rFonts w:asciiTheme="minorHAnsi" w:hAnsiTheme="minorHAnsi" w:cstheme="minorHAnsi"/>
              </w:rPr>
            </w:pPr>
            <w:r w:rsidRPr="00BC10F2">
              <w:rPr>
                <w:rFonts w:asciiTheme="minorHAnsi" w:hAnsiTheme="minorHAnsi" w:cstheme="minorHAnsi"/>
              </w:rPr>
              <w:t>2024 r.</w:t>
            </w:r>
          </w:p>
        </w:tc>
        <w:tc>
          <w:tcPr>
            <w:tcW w:w="2552" w:type="dxa"/>
          </w:tcPr>
          <w:p w14:paraId="5DCA02F4" w14:textId="79FF81DC" w:rsidR="0037769B" w:rsidRPr="00BC10F2" w:rsidRDefault="0037769B" w:rsidP="0037769B">
            <w:pPr>
              <w:pStyle w:val="Legenda1"/>
              <w:jc w:val="right"/>
              <w:rPr>
                <w:rFonts w:asciiTheme="minorHAnsi" w:hAnsiTheme="minorHAnsi" w:cstheme="minorHAnsi"/>
              </w:rPr>
            </w:pPr>
            <w:r w:rsidRPr="00BC10F2">
              <w:rPr>
                <w:rFonts w:asciiTheme="minorHAnsi" w:hAnsiTheme="minorHAnsi" w:cstheme="minorHAnsi"/>
              </w:rPr>
              <w:t>979 000 zł</w:t>
            </w:r>
          </w:p>
        </w:tc>
        <w:tc>
          <w:tcPr>
            <w:tcW w:w="2410" w:type="dxa"/>
          </w:tcPr>
          <w:p w14:paraId="29E0405B" w14:textId="4385BAC2" w:rsidR="0037769B" w:rsidRPr="00BC10F2" w:rsidRDefault="0037769B" w:rsidP="0037769B">
            <w:pPr>
              <w:pStyle w:val="Legenda1"/>
              <w:jc w:val="right"/>
              <w:rPr>
                <w:rFonts w:asciiTheme="minorHAnsi" w:hAnsiTheme="minorHAnsi" w:cstheme="minorHAnsi"/>
              </w:rPr>
            </w:pPr>
            <w:r w:rsidRPr="00BC10F2">
              <w:rPr>
                <w:rFonts w:asciiTheme="minorHAnsi" w:hAnsiTheme="minorHAnsi" w:cstheme="minorHAnsi"/>
              </w:rPr>
              <w:t>195 800 zł</w:t>
            </w:r>
          </w:p>
        </w:tc>
        <w:tc>
          <w:tcPr>
            <w:tcW w:w="2404" w:type="dxa"/>
          </w:tcPr>
          <w:p w14:paraId="2FF194DA" w14:textId="393C1D9D" w:rsidR="0037769B" w:rsidRPr="00BC10F2" w:rsidRDefault="0037769B" w:rsidP="0037769B">
            <w:pPr>
              <w:pStyle w:val="Legenda1"/>
              <w:jc w:val="right"/>
              <w:rPr>
                <w:rFonts w:asciiTheme="minorHAnsi" w:hAnsiTheme="minorHAnsi" w:cstheme="minorHAnsi"/>
              </w:rPr>
            </w:pPr>
            <w:r w:rsidRPr="00BC10F2">
              <w:rPr>
                <w:rFonts w:asciiTheme="minorHAnsi" w:hAnsiTheme="minorHAnsi" w:cstheme="minorHAnsi"/>
              </w:rPr>
              <w:t>783 200 zł</w:t>
            </w:r>
          </w:p>
        </w:tc>
      </w:tr>
      <w:tr w:rsidR="0037769B" w:rsidRPr="00BC10F2" w14:paraId="77DB4812" w14:textId="61E82A16" w:rsidTr="00D80990">
        <w:tc>
          <w:tcPr>
            <w:tcW w:w="1696" w:type="dxa"/>
          </w:tcPr>
          <w:p w14:paraId="0ED6DFC7" w14:textId="057ADDB8" w:rsidR="0037769B" w:rsidRPr="00BC10F2" w:rsidRDefault="0037769B" w:rsidP="0037769B">
            <w:pPr>
              <w:pStyle w:val="Legenda1"/>
              <w:jc w:val="center"/>
              <w:rPr>
                <w:rFonts w:asciiTheme="minorHAnsi" w:hAnsiTheme="minorHAnsi" w:cstheme="minorHAnsi"/>
              </w:rPr>
            </w:pPr>
            <w:r w:rsidRPr="00BC10F2">
              <w:rPr>
                <w:rFonts w:asciiTheme="minorHAnsi" w:hAnsiTheme="minorHAnsi" w:cstheme="minorHAnsi"/>
              </w:rPr>
              <w:t>2025 r.</w:t>
            </w:r>
          </w:p>
        </w:tc>
        <w:tc>
          <w:tcPr>
            <w:tcW w:w="2552" w:type="dxa"/>
          </w:tcPr>
          <w:p w14:paraId="6453956E" w14:textId="76D8B0AE" w:rsidR="0037769B" w:rsidRPr="00BC10F2" w:rsidRDefault="0037769B" w:rsidP="0037769B">
            <w:pPr>
              <w:pStyle w:val="Legenda1"/>
              <w:jc w:val="right"/>
              <w:rPr>
                <w:rFonts w:asciiTheme="minorHAnsi" w:hAnsiTheme="minorHAnsi" w:cstheme="minorHAnsi"/>
              </w:rPr>
            </w:pPr>
            <w:r w:rsidRPr="00BC10F2">
              <w:rPr>
                <w:rFonts w:asciiTheme="minorHAnsi" w:hAnsiTheme="minorHAnsi" w:cstheme="minorHAnsi"/>
              </w:rPr>
              <w:t>896 000 zł</w:t>
            </w:r>
          </w:p>
        </w:tc>
        <w:tc>
          <w:tcPr>
            <w:tcW w:w="2410" w:type="dxa"/>
          </w:tcPr>
          <w:p w14:paraId="75988961" w14:textId="4F612927" w:rsidR="0037769B" w:rsidRPr="00BC10F2" w:rsidRDefault="0037769B" w:rsidP="0037769B">
            <w:pPr>
              <w:pStyle w:val="Legenda1"/>
              <w:jc w:val="right"/>
              <w:rPr>
                <w:rFonts w:asciiTheme="minorHAnsi" w:hAnsiTheme="minorHAnsi" w:cstheme="minorHAnsi"/>
              </w:rPr>
            </w:pPr>
            <w:r w:rsidRPr="00BC10F2">
              <w:rPr>
                <w:rFonts w:asciiTheme="minorHAnsi" w:hAnsiTheme="minorHAnsi" w:cstheme="minorHAnsi"/>
              </w:rPr>
              <w:t>179 200 zł</w:t>
            </w:r>
          </w:p>
        </w:tc>
        <w:tc>
          <w:tcPr>
            <w:tcW w:w="2404" w:type="dxa"/>
          </w:tcPr>
          <w:p w14:paraId="22A3855B" w14:textId="5FA09911" w:rsidR="0037769B" w:rsidRPr="00BC10F2" w:rsidRDefault="0037769B" w:rsidP="0037769B">
            <w:pPr>
              <w:pStyle w:val="Legenda1"/>
              <w:jc w:val="right"/>
              <w:rPr>
                <w:rFonts w:asciiTheme="minorHAnsi" w:hAnsiTheme="minorHAnsi" w:cstheme="minorHAnsi"/>
              </w:rPr>
            </w:pPr>
            <w:r w:rsidRPr="00BC10F2">
              <w:rPr>
                <w:rFonts w:asciiTheme="minorHAnsi" w:hAnsiTheme="minorHAnsi" w:cstheme="minorHAnsi"/>
              </w:rPr>
              <w:t>716 800 zł</w:t>
            </w:r>
          </w:p>
        </w:tc>
      </w:tr>
      <w:tr w:rsidR="00E12C07" w:rsidRPr="00BC10F2" w14:paraId="17065809" w14:textId="763FB518" w:rsidTr="00D80990">
        <w:tc>
          <w:tcPr>
            <w:tcW w:w="1696" w:type="dxa"/>
          </w:tcPr>
          <w:p w14:paraId="3268C1DE" w14:textId="664242F6" w:rsidR="00E12C07" w:rsidRPr="00BC10F2" w:rsidRDefault="00E12C07" w:rsidP="00E12C07">
            <w:pPr>
              <w:pStyle w:val="Legenda1"/>
              <w:rPr>
                <w:rFonts w:asciiTheme="minorHAnsi" w:hAnsiTheme="minorHAnsi" w:cstheme="minorHAnsi"/>
              </w:rPr>
            </w:pPr>
            <w:r w:rsidRPr="00BC10F2">
              <w:rPr>
                <w:rFonts w:asciiTheme="minorHAnsi" w:hAnsiTheme="minorHAnsi" w:cstheme="minorHAnsi"/>
              </w:rPr>
              <w:t xml:space="preserve">Koszt całkowity </w:t>
            </w:r>
          </w:p>
        </w:tc>
        <w:tc>
          <w:tcPr>
            <w:tcW w:w="2552" w:type="dxa"/>
          </w:tcPr>
          <w:p w14:paraId="77E227B4" w14:textId="37CF724F" w:rsidR="00E12C07" w:rsidRPr="00BC10F2" w:rsidRDefault="00E12C07" w:rsidP="00E12C07">
            <w:pPr>
              <w:pStyle w:val="Legenda1"/>
              <w:jc w:val="right"/>
              <w:rPr>
                <w:rFonts w:asciiTheme="minorHAnsi" w:hAnsiTheme="minorHAnsi" w:cstheme="minorHAnsi"/>
              </w:rPr>
            </w:pPr>
            <w:r w:rsidRPr="00BC10F2">
              <w:rPr>
                <w:rFonts w:asciiTheme="minorHAnsi" w:hAnsiTheme="minorHAnsi" w:cstheme="minorHAnsi"/>
              </w:rPr>
              <w:t>1 875 000,00 zł</w:t>
            </w:r>
          </w:p>
        </w:tc>
        <w:tc>
          <w:tcPr>
            <w:tcW w:w="2410" w:type="dxa"/>
          </w:tcPr>
          <w:p w14:paraId="3A1A1E3A" w14:textId="160F11AB" w:rsidR="00E12C07" w:rsidRPr="00BC10F2" w:rsidRDefault="00E12C07" w:rsidP="00E12C07">
            <w:pPr>
              <w:pStyle w:val="Legenda1"/>
              <w:jc w:val="right"/>
              <w:rPr>
                <w:rFonts w:asciiTheme="minorHAnsi" w:hAnsiTheme="minorHAnsi" w:cstheme="minorHAnsi"/>
              </w:rPr>
            </w:pPr>
            <w:r w:rsidRPr="00BC10F2">
              <w:rPr>
                <w:rFonts w:asciiTheme="minorHAnsi" w:hAnsiTheme="minorHAnsi" w:cstheme="minorHAnsi"/>
              </w:rPr>
              <w:t>375 000,00 zł</w:t>
            </w:r>
          </w:p>
        </w:tc>
        <w:tc>
          <w:tcPr>
            <w:tcW w:w="2404" w:type="dxa"/>
          </w:tcPr>
          <w:p w14:paraId="05134D0A" w14:textId="5447CF1D" w:rsidR="00E12C07" w:rsidRPr="00BC10F2" w:rsidRDefault="00E12C07" w:rsidP="00E12C07">
            <w:pPr>
              <w:pStyle w:val="Legenda1"/>
              <w:jc w:val="right"/>
              <w:rPr>
                <w:rFonts w:asciiTheme="minorHAnsi" w:hAnsiTheme="minorHAnsi" w:cstheme="minorHAnsi"/>
              </w:rPr>
            </w:pPr>
            <w:r w:rsidRPr="00BC10F2">
              <w:rPr>
                <w:rFonts w:asciiTheme="minorHAnsi" w:hAnsiTheme="minorHAnsi" w:cstheme="minorHAnsi"/>
              </w:rPr>
              <w:t>1 500 000,00 zł</w:t>
            </w:r>
          </w:p>
        </w:tc>
      </w:tr>
    </w:tbl>
    <w:p w14:paraId="61B59809" w14:textId="353488B5" w:rsidR="00BC10F2" w:rsidRDefault="007941FC" w:rsidP="00BC10F2">
      <w:pPr>
        <w:pStyle w:val="Tekstpodstawowy"/>
        <w:rPr>
          <w:rFonts w:asciiTheme="minorHAnsi" w:hAnsiTheme="minorHAnsi" w:cstheme="minorHAnsi"/>
        </w:rPr>
      </w:pPr>
      <w:r w:rsidRPr="00BC10F2">
        <w:rPr>
          <w:rFonts w:asciiTheme="minorHAnsi" w:hAnsiTheme="minorHAnsi" w:cstheme="minorHAnsi"/>
        </w:rPr>
        <w:t>Okres realizacji Programu został zaplanowany na lata 202</w:t>
      </w:r>
      <w:r w:rsidR="00521869">
        <w:rPr>
          <w:rFonts w:asciiTheme="minorHAnsi" w:hAnsiTheme="minorHAnsi" w:cstheme="minorHAnsi"/>
        </w:rPr>
        <w:t>3</w:t>
      </w:r>
      <w:r w:rsidRPr="00BC10F2">
        <w:rPr>
          <w:rFonts w:asciiTheme="minorHAnsi" w:hAnsiTheme="minorHAnsi" w:cstheme="minorHAnsi"/>
        </w:rPr>
        <w:t>-2025 (24 miesiąc</w:t>
      </w:r>
      <w:r w:rsidR="00CD1CA4" w:rsidRPr="00BC10F2">
        <w:rPr>
          <w:rFonts w:asciiTheme="minorHAnsi" w:hAnsiTheme="minorHAnsi" w:cstheme="minorHAnsi"/>
        </w:rPr>
        <w:t>e</w:t>
      </w:r>
      <w:r w:rsidRPr="00BC10F2">
        <w:rPr>
          <w:rFonts w:asciiTheme="minorHAnsi" w:hAnsiTheme="minorHAnsi" w:cstheme="minorHAnsi"/>
        </w:rPr>
        <w:t>). Planowany budżet programu został określony w wysokości 1 875 000 zł</w:t>
      </w:r>
      <w:r w:rsidR="003458AC" w:rsidRPr="00BC10F2">
        <w:rPr>
          <w:rFonts w:asciiTheme="minorHAnsi" w:hAnsiTheme="minorHAnsi" w:cstheme="minorHAnsi"/>
        </w:rPr>
        <w:t xml:space="preserve">, w tym 375 000,00 zł udziału własnego realizatora </w:t>
      </w:r>
      <w:r w:rsidR="00C42C9D" w:rsidRPr="00BC10F2">
        <w:rPr>
          <w:rFonts w:asciiTheme="minorHAnsi" w:hAnsiTheme="minorHAnsi" w:cstheme="minorHAnsi"/>
        </w:rPr>
        <w:t>oraz</w:t>
      </w:r>
      <w:r w:rsidR="00006ECE">
        <w:rPr>
          <w:rFonts w:asciiTheme="minorHAnsi" w:hAnsiTheme="minorHAnsi" w:cstheme="minorHAnsi"/>
        </w:rPr>
        <w:t xml:space="preserve"> 1 500 000,00 zł</w:t>
      </w:r>
      <w:r w:rsidR="003458AC" w:rsidRPr="00BC10F2">
        <w:rPr>
          <w:rFonts w:asciiTheme="minorHAnsi" w:hAnsiTheme="minorHAnsi" w:cstheme="minorHAnsi"/>
        </w:rPr>
        <w:t xml:space="preserve"> wnioskowan</w:t>
      </w:r>
      <w:r w:rsidR="00C42C9D" w:rsidRPr="00BC10F2">
        <w:rPr>
          <w:rFonts w:asciiTheme="minorHAnsi" w:hAnsiTheme="minorHAnsi" w:cstheme="minorHAnsi"/>
        </w:rPr>
        <w:t>ej</w:t>
      </w:r>
      <w:r w:rsidR="003458AC" w:rsidRPr="00BC10F2">
        <w:rPr>
          <w:rFonts w:asciiTheme="minorHAnsi" w:hAnsiTheme="minorHAnsi" w:cstheme="minorHAnsi"/>
        </w:rPr>
        <w:t xml:space="preserve"> kwot</w:t>
      </w:r>
      <w:r w:rsidR="00C42C9D" w:rsidRPr="00BC10F2">
        <w:rPr>
          <w:rFonts w:asciiTheme="minorHAnsi" w:hAnsiTheme="minorHAnsi" w:cstheme="minorHAnsi"/>
        </w:rPr>
        <w:t>y</w:t>
      </w:r>
      <w:r w:rsidR="003458AC" w:rsidRPr="00BC10F2">
        <w:rPr>
          <w:rFonts w:asciiTheme="minorHAnsi" w:hAnsiTheme="minorHAnsi" w:cstheme="minorHAnsi"/>
        </w:rPr>
        <w:t xml:space="preserve"> dofinansowania</w:t>
      </w:r>
      <w:r w:rsidRPr="00BC10F2">
        <w:rPr>
          <w:rFonts w:asciiTheme="minorHAnsi" w:hAnsiTheme="minorHAnsi" w:cstheme="minorHAnsi"/>
        </w:rPr>
        <w:t xml:space="preserve">. </w:t>
      </w:r>
    </w:p>
    <w:p w14:paraId="63E212A7" w14:textId="7E10B325" w:rsidR="00A80621" w:rsidRPr="00BC10F2" w:rsidRDefault="007941FC" w:rsidP="00BC10F2">
      <w:pPr>
        <w:pStyle w:val="Nagwek2"/>
        <w:rPr>
          <w:rFonts w:asciiTheme="minorHAnsi" w:hAnsiTheme="minorHAnsi" w:cstheme="minorHAnsi"/>
        </w:rPr>
      </w:pPr>
      <w:bookmarkStart w:id="31" w:name="_Toc146115007"/>
      <w:r w:rsidRPr="00BC10F2">
        <w:rPr>
          <w:rFonts w:asciiTheme="minorHAnsi" w:hAnsiTheme="minorHAnsi" w:cstheme="minorHAnsi"/>
        </w:rPr>
        <w:t>Źródła finansowania</w:t>
      </w:r>
      <w:bookmarkEnd w:id="31"/>
      <w:r w:rsidRPr="00BC10F2">
        <w:rPr>
          <w:rFonts w:asciiTheme="minorHAnsi" w:hAnsiTheme="minorHAnsi" w:cstheme="minorHAnsi"/>
        </w:rPr>
        <w:t xml:space="preserve">   </w:t>
      </w:r>
    </w:p>
    <w:p w14:paraId="72F27E36" w14:textId="3B9C7F29" w:rsidR="00A80621" w:rsidRPr="00BC10F2" w:rsidRDefault="007941FC">
      <w:pPr>
        <w:pStyle w:val="Tekstpodstawowy"/>
        <w:rPr>
          <w:rFonts w:asciiTheme="minorHAnsi" w:hAnsiTheme="minorHAnsi" w:cstheme="minorHAnsi"/>
        </w:rPr>
      </w:pPr>
      <w:r w:rsidRPr="00BC10F2">
        <w:rPr>
          <w:rFonts w:asciiTheme="minorHAnsi" w:hAnsiTheme="minorHAnsi" w:cstheme="minorHAnsi"/>
        </w:rPr>
        <w:t>Program</w:t>
      </w:r>
      <w:r w:rsidR="000A4EB9" w:rsidRPr="00BC10F2">
        <w:rPr>
          <w:rFonts w:asciiTheme="minorHAnsi" w:hAnsiTheme="minorHAnsi" w:cstheme="minorHAnsi"/>
        </w:rPr>
        <w:t xml:space="preserve">, którego całkowity koszt realizacji wynosi 1 875 000 zł, </w:t>
      </w:r>
      <w:r w:rsidRPr="00BC10F2">
        <w:rPr>
          <w:rFonts w:asciiTheme="minorHAnsi" w:hAnsiTheme="minorHAnsi" w:cstheme="minorHAnsi"/>
        </w:rPr>
        <w:t xml:space="preserve">sfinansowany zostanie z budżetu Funduszu Medycznego – Subfunduszu Rozwoju Profilaktyki zgodnie z konkursem wniosków FM-SRP.01.2022 w 80% </w:t>
      </w:r>
      <w:r w:rsidR="000A4EB9" w:rsidRPr="00BC10F2">
        <w:rPr>
          <w:rFonts w:asciiTheme="minorHAnsi" w:hAnsiTheme="minorHAnsi" w:cstheme="minorHAnsi"/>
        </w:rPr>
        <w:t>(</w:t>
      </w:r>
      <w:r w:rsidR="000E0DEE" w:rsidRPr="00BC10F2">
        <w:rPr>
          <w:rFonts w:asciiTheme="minorHAnsi" w:hAnsiTheme="minorHAnsi" w:cstheme="minorHAnsi"/>
        </w:rPr>
        <w:t>czyli</w:t>
      </w:r>
      <w:r w:rsidR="000A4EB9" w:rsidRPr="00BC10F2">
        <w:rPr>
          <w:rFonts w:asciiTheme="minorHAnsi" w:hAnsiTheme="minorHAnsi" w:cstheme="minorHAnsi"/>
        </w:rPr>
        <w:t xml:space="preserve"> 1 500 000 zł)</w:t>
      </w:r>
      <w:r w:rsidRPr="00BC10F2">
        <w:rPr>
          <w:rFonts w:asciiTheme="minorHAnsi" w:hAnsiTheme="minorHAnsi" w:cstheme="minorHAnsi"/>
        </w:rPr>
        <w:t xml:space="preserve"> oraz budżetu Miasta St. Warszawy w 20%</w:t>
      </w:r>
      <w:r w:rsidR="000A4EB9" w:rsidRPr="00BC10F2">
        <w:rPr>
          <w:rFonts w:asciiTheme="minorHAnsi" w:hAnsiTheme="minorHAnsi" w:cstheme="minorHAnsi"/>
        </w:rPr>
        <w:t xml:space="preserve"> (</w:t>
      </w:r>
      <w:r w:rsidR="000E0DEE" w:rsidRPr="00BC10F2">
        <w:rPr>
          <w:rFonts w:asciiTheme="minorHAnsi" w:hAnsiTheme="minorHAnsi" w:cstheme="minorHAnsi"/>
        </w:rPr>
        <w:t>czyli</w:t>
      </w:r>
      <w:r w:rsidR="000A4EB9" w:rsidRPr="00BC10F2">
        <w:rPr>
          <w:rFonts w:asciiTheme="minorHAnsi" w:hAnsiTheme="minorHAnsi" w:cstheme="minorHAnsi"/>
        </w:rPr>
        <w:t xml:space="preserve"> 375 000 zł)</w:t>
      </w:r>
      <w:r w:rsidRPr="00BC10F2">
        <w:rPr>
          <w:rFonts w:asciiTheme="minorHAnsi" w:hAnsiTheme="minorHAnsi" w:cstheme="minorHAnsi"/>
        </w:rPr>
        <w:t>. W przypadku posiadania dodatkowych środ</w:t>
      </w:r>
      <w:r w:rsidR="001053AA">
        <w:rPr>
          <w:rFonts w:asciiTheme="minorHAnsi" w:hAnsiTheme="minorHAnsi" w:cstheme="minorHAnsi"/>
        </w:rPr>
        <w:t>ków finansowanych w budżecie m.</w:t>
      </w:r>
      <w:r w:rsidRPr="00BC10F2">
        <w:rPr>
          <w:rFonts w:asciiTheme="minorHAnsi" w:hAnsiTheme="minorHAnsi" w:cstheme="minorHAnsi"/>
        </w:rPr>
        <w:t>st</w:t>
      </w:r>
      <w:r w:rsidR="000E0DEE" w:rsidRPr="00BC10F2">
        <w:rPr>
          <w:rFonts w:asciiTheme="minorHAnsi" w:hAnsiTheme="minorHAnsi" w:cstheme="minorHAnsi"/>
        </w:rPr>
        <w:t>.</w:t>
      </w:r>
      <w:r w:rsidRPr="00BC10F2">
        <w:rPr>
          <w:rFonts w:asciiTheme="minorHAnsi" w:hAnsiTheme="minorHAnsi" w:cstheme="minorHAnsi"/>
        </w:rPr>
        <w:t xml:space="preserve"> Warszawa, budżet programu może zostać zwiększony.</w:t>
      </w:r>
    </w:p>
    <w:p w14:paraId="5BE0CCE2" w14:textId="77777777" w:rsidR="00A80621" w:rsidRPr="00BC10F2" w:rsidRDefault="00A80621">
      <w:pPr>
        <w:rPr>
          <w:rFonts w:asciiTheme="minorHAnsi" w:hAnsiTheme="minorHAnsi" w:cstheme="minorHAnsi"/>
          <w:b/>
          <w:bCs w:val="0"/>
          <w:sz w:val="22"/>
          <w:szCs w:val="22"/>
        </w:rPr>
      </w:pPr>
    </w:p>
    <w:p w14:paraId="5A20F043" w14:textId="77777777" w:rsidR="00A80621" w:rsidRPr="00BC10F2" w:rsidRDefault="007941FC">
      <w:pPr>
        <w:pStyle w:val="Nagwekwykazurde1"/>
        <w:rPr>
          <w:rFonts w:asciiTheme="minorHAnsi" w:hAnsiTheme="minorHAnsi" w:cstheme="minorHAnsi"/>
        </w:rPr>
      </w:pPr>
      <w:bookmarkStart w:id="32" w:name="_Toc146115008"/>
      <w:r w:rsidRPr="00BC10F2">
        <w:rPr>
          <w:rFonts w:asciiTheme="minorHAnsi" w:hAnsiTheme="minorHAnsi" w:cstheme="minorHAnsi"/>
        </w:rPr>
        <w:lastRenderedPageBreak/>
        <w:t>Bibliografia</w:t>
      </w:r>
      <w:bookmarkEnd w:id="32"/>
    </w:p>
    <w:tbl>
      <w:tblPr>
        <w:tblW w:w="5000" w:type="pct"/>
        <w:tblInd w:w="85" w:type="dxa"/>
        <w:tblLayout w:type="fixed"/>
        <w:tblCellMar>
          <w:top w:w="85" w:type="dxa"/>
          <w:left w:w="85" w:type="dxa"/>
          <w:bottom w:w="85" w:type="dxa"/>
          <w:right w:w="85" w:type="dxa"/>
        </w:tblCellMar>
        <w:tblLook w:val="0000" w:firstRow="0" w:lastRow="0" w:firstColumn="0" w:lastColumn="0" w:noHBand="0" w:noVBand="0"/>
      </w:tblPr>
      <w:tblGrid>
        <w:gridCol w:w="1648"/>
        <w:gridCol w:w="7424"/>
      </w:tblGrid>
      <w:tr w:rsidR="00A80621" w:rsidRPr="00BC10F2" w14:paraId="7FDB3CC3" w14:textId="77777777">
        <w:trPr>
          <w:trHeight w:val="394"/>
        </w:trPr>
        <w:tc>
          <w:tcPr>
            <w:tcW w:w="9071" w:type="dxa"/>
            <w:gridSpan w:val="2"/>
            <w:tcBorders>
              <w:top w:val="single" w:sz="12" w:space="0" w:color="000000"/>
              <w:bottom w:val="single" w:sz="4" w:space="0" w:color="000000"/>
            </w:tcBorders>
            <w:shd w:val="clear" w:color="auto" w:fill="F2F2F2"/>
            <w:vAlign w:val="center"/>
          </w:tcPr>
          <w:p w14:paraId="3CAE2557"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Dokumenty </w:t>
            </w:r>
            <w:proofErr w:type="spellStart"/>
            <w:r w:rsidRPr="00BC10F2">
              <w:rPr>
                <w:rFonts w:asciiTheme="minorHAnsi" w:hAnsiTheme="minorHAnsi" w:cstheme="minorHAnsi"/>
              </w:rPr>
              <w:t>AOTMiT</w:t>
            </w:r>
            <w:proofErr w:type="spellEnd"/>
          </w:p>
        </w:tc>
      </w:tr>
      <w:tr w:rsidR="00A80621" w:rsidRPr="00BC10F2" w14:paraId="0F37B17F" w14:textId="77777777">
        <w:trPr>
          <w:trHeight w:val="394"/>
        </w:trPr>
        <w:tc>
          <w:tcPr>
            <w:tcW w:w="1648" w:type="dxa"/>
            <w:tcBorders>
              <w:top w:val="single" w:sz="4" w:space="0" w:color="000000"/>
              <w:bottom w:val="single" w:sz="4" w:space="0" w:color="000000"/>
            </w:tcBorders>
            <w:shd w:val="clear" w:color="auto" w:fill="auto"/>
            <w:vAlign w:val="center"/>
          </w:tcPr>
          <w:p w14:paraId="18B713F5"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Opinia RP </w:t>
            </w:r>
          </w:p>
        </w:tc>
        <w:tc>
          <w:tcPr>
            <w:tcW w:w="7423" w:type="dxa"/>
            <w:tcBorders>
              <w:top w:val="single" w:sz="4" w:space="0" w:color="000000"/>
              <w:bottom w:val="single" w:sz="4" w:space="0" w:color="000000"/>
            </w:tcBorders>
            <w:shd w:val="clear" w:color="auto" w:fill="auto"/>
            <w:vAlign w:val="center"/>
          </w:tcPr>
          <w:p w14:paraId="42854F15"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Opinia Rady Przejrzystości 294/2019 z dnia 9 września 2019 roku w sprawie zalecanych technologii medycznych, działań przeprowadzanych w ramach programów polityki zdrowotnej oraz warunków ich realizacji dla problemu zdrowotnego: profilaktyka i wczesne wykrywanie osteoporozy pierwotnej </w:t>
            </w:r>
          </w:p>
        </w:tc>
      </w:tr>
      <w:tr w:rsidR="00A80621" w:rsidRPr="00BC10F2" w14:paraId="33B9654F" w14:textId="77777777">
        <w:trPr>
          <w:trHeight w:val="188"/>
        </w:trPr>
        <w:tc>
          <w:tcPr>
            <w:tcW w:w="1648" w:type="dxa"/>
            <w:tcBorders>
              <w:top w:val="single" w:sz="4" w:space="0" w:color="000000"/>
              <w:bottom w:val="single" w:sz="4" w:space="0" w:color="000000"/>
            </w:tcBorders>
            <w:shd w:val="clear" w:color="auto" w:fill="auto"/>
            <w:vAlign w:val="center"/>
          </w:tcPr>
          <w:p w14:paraId="66A118F2"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Raport </w:t>
            </w:r>
            <w:proofErr w:type="spellStart"/>
            <w:r w:rsidRPr="00BC10F2">
              <w:rPr>
                <w:rFonts w:asciiTheme="minorHAnsi" w:hAnsiTheme="minorHAnsi" w:cstheme="minorHAnsi"/>
              </w:rPr>
              <w:t>AOTMiT</w:t>
            </w:r>
            <w:proofErr w:type="spellEnd"/>
            <w:r w:rsidRPr="00BC10F2">
              <w:rPr>
                <w:rFonts w:asciiTheme="minorHAnsi" w:hAnsiTheme="minorHAnsi" w:cstheme="minorHAnsi"/>
              </w:rPr>
              <w:t xml:space="preserve"> 2018</w:t>
            </w:r>
          </w:p>
        </w:tc>
        <w:tc>
          <w:tcPr>
            <w:tcW w:w="7423" w:type="dxa"/>
            <w:tcBorders>
              <w:top w:val="single" w:sz="4" w:space="0" w:color="000000"/>
              <w:bottom w:val="single" w:sz="4" w:space="0" w:color="000000"/>
            </w:tcBorders>
            <w:shd w:val="clear" w:color="auto" w:fill="auto"/>
            <w:vAlign w:val="center"/>
          </w:tcPr>
          <w:p w14:paraId="4D46E483"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Raport nr OT.423.1.2018 „Profilaktyka i wczesne wykrywanie osteoporozy pierwotnej w ramach programów polityki zdrowotnej”, Warszawa, październik 2018. </w:t>
            </w:r>
          </w:p>
        </w:tc>
      </w:tr>
      <w:tr w:rsidR="00A80621" w:rsidRPr="00BC10F2" w14:paraId="018F33F6" w14:textId="77777777">
        <w:trPr>
          <w:trHeight w:val="191"/>
        </w:trPr>
        <w:tc>
          <w:tcPr>
            <w:tcW w:w="1648" w:type="dxa"/>
            <w:tcBorders>
              <w:top w:val="single" w:sz="4" w:space="0" w:color="000000"/>
              <w:bottom w:val="single" w:sz="4" w:space="0" w:color="000000"/>
            </w:tcBorders>
            <w:shd w:val="clear" w:color="auto" w:fill="auto"/>
            <w:vAlign w:val="center"/>
          </w:tcPr>
          <w:p w14:paraId="6A705ADE"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Rekomendacja Prezesa </w:t>
            </w:r>
            <w:proofErr w:type="spellStart"/>
            <w:r w:rsidRPr="00BC10F2">
              <w:rPr>
                <w:rFonts w:asciiTheme="minorHAnsi" w:hAnsiTheme="minorHAnsi" w:cstheme="minorHAnsi"/>
              </w:rPr>
              <w:t>AOTMiT</w:t>
            </w:r>
            <w:proofErr w:type="spellEnd"/>
            <w:r w:rsidRPr="00BC10F2">
              <w:rPr>
                <w:rFonts w:asciiTheme="minorHAnsi" w:hAnsiTheme="minorHAnsi" w:cstheme="minorHAnsi"/>
              </w:rPr>
              <w:t xml:space="preserve"> 2020</w:t>
            </w:r>
          </w:p>
        </w:tc>
        <w:tc>
          <w:tcPr>
            <w:tcW w:w="7423" w:type="dxa"/>
            <w:tcBorders>
              <w:top w:val="single" w:sz="4" w:space="0" w:color="000000"/>
              <w:bottom w:val="single" w:sz="4" w:space="0" w:color="000000"/>
            </w:tcBorders>
            <w:shd w:val="clear" w:color="auto" w:fill="auto"/>
            <w:vAlign w:val="center"/>
          </w:tcPr>
          <w:p w14:paraId="735AE850"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Rekomendacja nr 9/2020 z dnia 30 listopada 2020 Prezesa Agencji Oceny Technologii Medycznych i Taryfikacji w sprawie zalecanych technologii medycznych, działań przeprowadzanych w ramach programów polityki zdrowotnej oraz warunków realizacji tych programów, dotyczących wykrywania osteoporozy (https://bipold.aotm.gov.pl/assets/files/ppz/2020/REK/9_2020.pdf)</w:t>
            </w:r>
          </w:p>
        </w:tc>
      </w:tr>
      <w:tr w:rsidR="00A80621" w:rsidRPr="00BC10F2" w14:paraId="55A79685" w14:textId="77777777">
        <w:trPr>
          <w:trHeight w:val="191"/>
        </w:trPr>
        <w:tc>
          <w:tcPr>
            <w:tcW w:w="9071" w:type="dxa"/>
            <w:gridSpan w:val="2"/>
            <w:tcBorders>
              <w:top w:val="single" w:sz="4" w:space="0" w:color="000000"/>
              <w:bottom w:val="single" w:sz="4" w:space="0" w:color="000000"/>
            </w:tcBorders>
            <w:shd w:val="clear" w:color="auto" w:fill="F2F2F2"/>
            <w:vAlign w:val="center"/>
          </w:tcPr>
          <w:p w14:paraId="6DC9113F"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Literatura</w:t>
            </w:r>
          </w:p>
        </w:tc>
      </w:tr>
      <w:tr w:rsidR="00A80621" w:rsidRPr="00BC10F2" w14:paraId="602A58BB" w14:textId="77777777">
        <w:trPr>
          <w:trHeight w:val="292"/>
        </w:trPr>
        <w:tc>
          <w:tcPr>
            <w:tcW w:w="1648" w:type="dxa"/>
            <w:tcBorders>
              <w:top w:val="single" w:sz="4" w:space="0" w:color="000000"/>
              <w:bottom w:val="single" w:sz="4" w:space="0" w:color="000000"/>
            </w:tcBorders>
            <w:shd w:val="clear" w:color="auto" w:fill="auto"/>
            <w:vAlign w:val="center"/>
          </w:tcPr>
          <w:p w14:paraId="194662A2"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Akesson</w:t>
            </w:r>
            <w:proofErr w:type="spellEnd"/>
            <w:r w:rsidRPr="00BC10F2">
              <w:rPr>
                <w:rFonts w:asciiTheme="minorHAnsi" w:hAnsiTheme="minorHAnsi" w:cstheme="minorHAnsi"/>
              </w:rPr>
              <w:t xml:space="preserve"> 2013 </w:t>
            </w:r>
          </w:p>
        </w:tc>
        <w:tc>
          <w:tcPr>
            <w:tcW w:w="7423" w:type="dxa"/>
            <w:tcBorders>
              <w:top w:val="single" w:sz="4" w:space="0" w:color="000000"/>
              <w:bottom w:val="single" w:sz="4" w:space="0" w:color="000000"/>
            </w:tcBorders>
            <w:shd w:val="clear" w:color="auto" w:fill="auto"/>
            <w:vAlign w:val="center"/>
          </w:tcPr>
          <w:p w14:paraId="3C428D0F"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Akesson</w:t>
            </w:r>
            <w:proofErr w:type="spellEnd"/>
            <w:r w:rsidRPr="00BC10F2">
              <w:rPr>
                <w:rFonts w:asciiTheme="minorHAnsi" w:hAnsiTheme="minorHAnsi" w:cstheme="minorHAnsi"/>
                <w:lang w:val="en-IN"/>
              </w:rPr>
              <w:t xml:space="preserve"> K, Marsh D, Mitchell PJ, McLellan AR, </w:t>
            </w:r>
            <w:proofErr w:type="spellStart"/>
            <w:r w:rsidRPr="00BC10F2">
              <w:rPr>
                <w:rFonts w:asciiTheme="minorHAnsi" w:hAnsiTheme="minorHAnsi" w:cstheme="minorHAnsi"/>
                <w:lang w:val="en-IN"/>
              </w:rPr>
              <w:t>Stenmark</w:t>
            </w:r>
            <w:proofErr w:type="spellEnd"/>
            <w:r w:rsidRPr="00BC10F2">
              <w:rPr>
                <w:rFonts w:asciiTheme="minorHAnsi" w:hAnsiTheme="minorHAnsi" w:cstheme="minorHAnsi"/>
                <w:lang w:val="en-IN"/>
              </w:rPr>
              <w:t xml:space="preserve"> J, </w:t>
            </w:r>
            <w:proofErr w:type="spellStart"/>
            <w:r w:rsidRPr="00BC10F2">
              <w:rPr>
                <w:rFonts w:asciiTheme="minorHAnsi" w:hAnsiTheme="minorHAnsi" w:cstheme="minorHAnsi"/>
                <w:lang w:val="en-IN"/>
              </w:rPr>
              <w:t>Pierroz</w:t>
            </w:r>
            <w:proofErr w:type="spellEnd"/>
            <w:r w:rsidRPr="00BC10F2">
              <w:rPr>
                <w:rFonts w:asciiTheme="minorHAnsi" w:hAnsiTheme="minorHAnsi" w:cstheme="minorHAnsi"/>
                <w:lang w:val="en-IN"/>
              </w:rPr>
              <w:t xml:space="preserve"> DD, </w:t>
            </w:r>
            <w:proofErr w:type="spellStart"/>
            <w:r w:rsidRPr="00BC10F2">
              <w:rPr>
                <w:rFonts w:asciiTheme="minorHAnsi" w:hAnsiTheme="minorHAnsi" w:cstheme="minorHAnsi"/>
                <w:lang w:val="en-IN"/>
              </w:rPr>
              <w:t>Kyer</w:t>
            </w:r>
            <w:proofErr w:type="spellEnd"/>
            <w:r w:rsidRPr="00BC10F2">
              <w:rPr>
                <w:rFonts w:asciiTheme="minorHAnsi" w:hAnsiTheme="minorHAnsi" w:cstheme="minorHAnsi"/>
                <w:lang w:val="en-IN"/>
              </w:rPr>
              <w:t xml:space="preserve"> C, Cooper C; IOF Fracture Working Group (2013) Capture the Fracture: a Best Practice Framework and global campaign to break the fragility fracture cycle. </w:t>
            </w:r>
            <w:proofErr w:type="spellStart"/>
            <w:r w:rsidRPr="00BC10F2">
              <w:rPr>
                <w:rFonts w:asciiTheme="minorHAnsi" w:hAnsiTheme="minorHAnsi" w:cstheme="minorHAnsi"/>
              </w:rPr>
              <w:t>Osteoporos</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Int</w:t>
            </w:r>
            <w:proofErr w:type="spellEnd"/>
            <w:r w:rsidRPr="00BC10F2">
              <w:rPr>
                <w:rFonts w:asciiTheme="minorHAnsi" w:hAnsiTheme="minorHAnsi" w:cstheme="minorHAnsi"/>
              </w:rPr>
              <w:t xml:space="preserve"> 24:2135-2152. Pozyskano z: https://www.capturethefracture.org/best-practice-framework, dostęp z 21.09.2018. </w:t>
            </w:r>
          </w:p>
        </w:tc>
      </w:tr>
      <w:tr w:rsidR="00A80621" w:rsidRPr="00BC10F2" w14:paraId="2DEB987C" w14:textId="77777777">
        <w:trPr>
          <w:trHeight w:val="191"/>
        </w:trPr>
        <w:tc>
          <w:tcPr>
            <w:tcW w:w="1648" w:type="dxa"/>
            <w:tcBorders>
              <w:top w:val="single" w:sz="4" w:space="0" w:color="000000"/>
              <w:bottom w:val="single" w:sz="4" w:space="0" w:color="000000"/>
            </w:tcBorders>
            <w:shd w:val="clear" w:color="auto" w:fill="auto"/>
            <w:vAlign w:val="center"/>
          </w:tcPr>
          <w:p w14:paraId="539AE76F"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Avenell</w:t>
            </w:r>
            <w:proofErr w:type="spellEnd"/>
            <w:r w:rsidRPr="00BC10F2">
              <w:rPr>
                <w:rFonts w:asciiTheme="minorHAnsi" w:hAnsiTheme="minorHAnsi" w:cstheme="minorHAnsi"/>
              </w:rPr>
              <w:t xml:space="preserve"> 2014 </w:t>
            </w:r>
          </w:p>
        </w:tc>
        <w:tc>
          <w:tcPr>
            <w:tcW w:w="7423" w:type="dxa"/>
            <w:tcBorders>
              <w:top w:val="single" w:sz="4" w:space="0" w:color="000000"/>
              <w:bottom w:val="single" w:sz="4" w:space="0" w:color="000000"/>
            </w:tcBorders>
            <w:shd w:val="clear" w:color="auto" w:fill="auto"/>
            <w:vAlign w:val="center"/>
          </w:tcPr>
          <w:p w14:paraId="78AD5D92"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Avenell</w:t>
            </w:r>
            <w:proofErr w:type="spellEnd"/>
            <w:r w:rsidRPr="00BC10F2">
              <w:rPr>
                <w:rFonts w:asciiTheme="minorHAnsi" w:hAnsiTheme="minorHAnsi" w:cstheme="minorHAnsi"/>
                <w:lang w:val="en-IN"/>
              </w:rPr>
              <w:t xml:space="preserve">, A., </w:t>
            </w:r>
            <w:proofErr w:type="spellStart"/>
            <w:r w:rsidRPr="00BC10F2">
              <w:rPr>
                <w:rFonts w:asciiTheme="minorHAnsi" w:hAnsiTheme="minorHAnsi" w:cstheme="minorHAnsi"/>
                <w:lang w:val="en-IN"/>
              </w:rPr>
              <w:t>Mak</w:t>
            </w:r>
            <w:proofErr w:type="spellEnd"/>
            <w:r w:rsidRPr="00BC10F2">
              <w:rPr>
                <w:rFonts w:asciiTheme="minorHAnsi" w:hAnsiTheme="minorHAnsi" w:cstheme="minorHAnsi"/>
                <w:lang w:val="en-IN"/>
              </w:rPr>
              <w:t xml:space="preserve">, J., &amp; O'Connell, D. (2014). Vitamin D and vitamin D analogues for preventing fractures in post‐menopausal women and older men. </w:t>
            </w:r>
            <w:r w:rsidRPr="00BC10F2">
              <w:rPr>
                <w:rFonts w:asciiTheme="minorHAnsi" w:hAnsiTheme="minorHAnsi" w:cstheme="minorHAnsi"/>
              </w:rPr>
              <w:t xml:space="preserve">The </w:t>
            </w:r>
            <w:proofErr w:type="spellStart"/>
            <w:r w:rsidRPr="00BC10F2">
              <w:rPr>
                <w:rFonts w:asciiTheme="minorHAnsi" w:hAnsiTheme="minorHAnsi" w:cstheme="minorHAnsi"/>
              </w:rPr>
              <w:t>Cochrane</w:t>
            </w:r>
            <w:proofErr w:type="spellEnd"/>
            <w:r w:rsidRPr="00BC10F2">
              <w:rPr>
                <w:rFonts w:asciiTheme="minorHAnsi" w:hAnsiTheme="minorHAnsi" w:cstheme="minorHAnsi"/>
              </w:rPr>
              <w:t xml:space="preserve"> Library </w:t>
            </w:r>
          </w:p>
        </w:tc>
      </w:tr>
      <w:tr w:rsidR="00A80621" w:rsidRPr="00BC10F2" w14:paraId="60C89289" w14:textId="77777777">
        <w:trPr>
          <w:trHeight w:val="292"/>
        </w:trPr>
        <w:tc>
          <w:tcPr>
            <w:tcW w:w="1648" w:type="dxa"/>
            <w:tcBorders>
              <w:top w:val="single" w:sz="4" w:space="0" w:color="000000"/>
              <w:bottom w:val="single" w:sz="4" w:space="0" w:color="000000"/>
            </w:tcBorders>
            <w:shd w:val="clear" w:color="auto" w:fill="auto"/>
            <w:vAlign w:val="center"/>
          </w:tcPr>
          <w:p w14:paraId="42459CFF"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Bell 2014 </w:t>
            </w:r>
          </w:p>
        </w:tc>
        <w:tc>
          <w:tcPr>
            <w:tcW w:w="7423" w:type="dxa"/>
            <w:tcBorders>
              <w:top w:val="single" w:sz="4" w:space="0" w:color="000000"/>
              <w:bottom w:val="single" w:sz="4" w:space="0" w:color="000000"/>
            </w:tcBorders>
            <w:shd w:val="clear" w:color="auto" w:fill="auto"/>
            <w:vAlign w:val="center"/>
          </w:tcPr>
          <w:p w14:paraId="03A4B536"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Bell, K., Strand, H., &amp; Inder, W. J. (2014). Effect of a dedicated osteoporosis health professional on screening and treatment in outpatients presenting with acute low trauma non-hip fracture: a systematic review. </w:t>
            </w:r>
            <w:proofErr w:type="spellStart"/>
            <w:r w:rsidRPr="00BC10F2">
              <w:rPr>
                <w:rFonts w:asciiTheme="minorHAnsi" w:hAnsiTheme="minorHAnsi" w:cstheme="minorHAnsi"/>
              </w:rPr>
              <w:t>Archives</w:t>
            </w:r>
            <w:proofErr w:type="spellEnd"/>
            <w:r w:rsidRPr="00BC10F2">
              <w:rPr>
                <w:rFonts w:asciiTheme="minorHAnsi" w:hAnsiTheme="minorHAnsi" w:cstheme="minorHAnsi"/>
              </w:rPr>
              <w:t xml:space="preserve"> of </w:t>
            </w:r>
            <w:proofErr w:type="spellStart"/>
            <w:r w:rsidRPr="00BC10F2">
              <w:rPr>
                <w:rFonts w:asciiTheme="minorHAnsi" w:hAnsiTheme="minorHAnsi" w:cstheme="minorHAnsi"/>
              </w:rPr>
              <w:t>osteoporosis</w:t>
            </w:r>
            <w:proofErr w:type="spellEnd"/>
            <w:r w:rsidRPr="00BC10F2">
              <w:rPr>
                <w:rFonts w:asciiTheme="minorHAnsi" w:hAnsiTheme="minorHAnsi" w:cstheme="minorHAnsi"/>
              </w:rPr>
              <w:t xml:space="preserve">, 9(1), 167 </w:t>
            </w:r>
          </w:p>
        </w:tc>
      </w:tr>
      <w:tr w:rsidR="00A80621" w:rsidRPr="00BC10F2" w14:paraId="1AF5A982" w14:textId="77777777">
        <w:trPr>
          <w:trHeight w:val="292"/>
        </w:trPr>
        <w:tc>
          <w:tcPr>
            <w:tcW w:w="1648" w:type="dxa"/>
            <w:tcBorders>
              <w:top w:val="single" w:sz="4" w:space="0" w:color="000000"/>
              <w:bottom w:val="single" w:sz="4" w:space="0" w:color="000000"/>
            </w:tcBorders>
            <w:shd w:val="clear" w:color="auto" w:fill="auto"/>
            <w:vAlign w:val="center"/>
          </w:tcPr>
          <w:p w14:paraId="09AA7B46"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Calciolari</w:t>
            </w:r>
            <w:proofErr w:type="spellEnd"/>
            <w:r w:rsidRPr="00BC10F2">
              <w:rPr>
                <w:rFonts w:asciiTheme="minorHAnsi" w:hAnsiTheme="minorHAnsi" w:cstheme="minorHAnsi"/>
              </w:rPr>
              <w:t xml:space="preserve"> 2015 </w:t>
            </w:r>
          </w:p>
        </w:tc>
        <w:tc>
          <w:tcPr>
            <w:tcW w:w="7423" w:type="dxa"/>
            <w:tcBorders>
              <w:top w:val="single" w:sz="4" w:space="0" w:color="000000"/>
              <w:bottom w:val="single" w:sz="4" w:space="0" w:color="000000"/>
            </w:tcBorders>
            <w:shd w:val="clear" w:color="auto" w:fill="auto"/>
            <w:vAlign w:val="center"/>
          </w:tcPr>
          <w:p w14:paraId="6C47D650"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fr-FR"/>
              </w:rPr>
              <w:t xml:space="preserve">Calciolari, E., Donos, N., Park, J. C., Petrie, A., &amp; Mardas, N. (2015). </w:t>
            </w:r>
            <w:r w:rsidRPr="00BC10F2">
              <w:rPr>
                <w:rFonts w:asciiTheme="minorHAnsi" w:hAnsiTheme="minorHAnsi" w:cstheme="minorHAnsi"/>
                <w:lang w:val="en-IN"/>
              </w:rPr>
              <w:t xml:space="preserve">Panoramic measures for oral bone mass in detecting osteoporosis: a systematic review and meta-analysis. </w:t>
            </w:r>
            <w:proofErr w:type="spellStart"/>
            <w:r w:rsidRPr="00BC10F2">
              <w:rPr>
                <w:rFonts w:asciiTheme="minorHAnsi" w:hAnsiTheme="minorHAnsi" w:cstheme="minorHAnsi"/>
              </w:rPr>
              <w:t>Journal</w:t>
            </w:r>
            <w:proofErr w:type="spellEnd"/>
            <w:r w:rsidRPr="00BC10F2">
              <w:rPr>
                <w:rFonts w:asciiTheme="minorHAnsi" w:hAnsiTheme="minorHAnsi" w:cstheme="minorHAnsi"/>
              </w:rPr>
              <w:t xml:space="preserve"> of </w:t>
            </w:r>
            <w:proofErr w:type="spellStart"/>
            <w:r w:rsidRPr="00BC10F2">
              <w:rPr>
                <w:rFonts w:asciiTheme="minorHAnsi" w:hAnsiTheme="minorHAnsi" w:cstheme="minorHAnsi"/>
              </w:rPr>
              <w:t>dental</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research</w:t>
            </w:r>
            <w:proofErr w:type="spellEnd"/>
            <w:r w:rsidRPr="00BC10F2">
              <w:rPr>
                <w:rFonts w:asciiTheme="minorHAnsi" w:hAnsiTheme="minorHAnsi" w:cstheme="minorHAnsi"/>
              </w:rPr>
              <w:t xml:space="preserve">, 94(3_suppl), 17S-27S </w:t>
            </w:r>
          </w:p>
        </w:tc>
      </w:tr>
      <w:tr w:rsidR="00A80621" w:rsidRPr="00BC10F2" w14:paraId="2F3997A8" w14:textId="77777777">
        <w:trPr>
          <w:trHeight w:val="188"/>
        </w:trPr>
        <w:tc>
          <w:tcPr>
            <w:tcW w:w="1648" w:type="dxa"/>
            <w:tcBorders>
              <w:top w:val="single" w:sz="4" w:space="0" w:color="000000"/>
              <w:bottom w:val="single" w:sz="4" w:space="0" w:color="000000"/>
            </w:tcBorders>
            <w:shd w:val="clear" w:color="auto" w:fill="auto"/>
            <w:vAlign w:val="center"/>
          </w:tcPr>
          <w:p w14:paraId="5D74B02C"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Crandall</w:t>
            </w:r>
            <w:proofErr w:type="spellEnd"/>
            <w:r w:rsidRPr="00BC10F2">
              <w:rPr>
                <w:rFonts w:asciiTheme="minorHAnsi" w:hAnsiTheme="minorHAnsi" w:cstheme="minorHAnsi"/>
              </w:rPr>
              <w:t xml:space="preserve"> 2015 </w:t>
            </w:r>
          </w:p>
        </w:tc>
        <w:tc>
          <w:tcPr>
            <w:tcW w:w="7423" w:type="dxa"/>
            <w:tcBorders>
              <w:top w:val="single" w:sz="4" w:space="0" w:color="000000"/>
              <w:bottom w:val="single" w:sz="4" w:space="0" w:color="000000"/>
            </w:tcBorders>
            <w:shd w:val="clear" w:color="auto" w:fill="auto"/>
            <w:vAlign w:val="center"/>
          </w:tcPr>
          <w:p w14:paraId="609780EB"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Crandall, C. J. (2015). Risk assessment tools for osteoporosis screening in postmenopausal women: a systematic review. </w:t>
            </w:r>
            <w:proofErr w:type="spellStart"/>
            <w:r w:rsidRPr="00BC10F2">
              <w:rPr>
                <w:rFonts w:asciiTheme="minorHAnsi" w:hAnsiTheme="minorHAnsi" w:cstheme="minorHAnsi"/>
              </w:rPr>
              <w:t>Current</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osteoporosis</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reports</w:t>
            </w:r>
            <w:proofErr w:type="spellEnd"/>
            <w:r w:rsidRPr="00BC10F2">
              <w:rPr>
                <w:rFonts w:asciiTheme="minorHAnsi" w:hAnsiTheme="minorHAnsi" w:cstheme="minorHAnsi"/>
              </w:rPr>
              <w:t xml:space="preserve">, 13(5), 287-301 </w:t>
            </w:r>
          </w:p>
        </w:tc>
      </w:tr>
      <w:tr w:rsidR="00A80621" w:rsidRPr="00BC10F2" w14:paraId="0EE43319" w14:textId="77777777">
        <w:trPr>
          <w:trHeight w:val="292"/>
        </w:trPr>
        <w:tc>
          <w:tcPr>
            <w:tcW w:w="1648" w:type="dxa"/>
            <w:tcBorders>
              <w:top w:val="single" w:sz="4" w:space="0" w:color="000000"/>
              <w:bottom w:val="single" w:sz="4" w:space="0" w:color="000000"/>
            </w:tcBorders>
            <w:shd w:val="clear" w:color="auto" w:fill="auto"/>
            <w:vAlign w:val="center"/>
          </w:tcPr>
          <w:p w14:paraId="4F7BCB2B"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Dardzińska 2016</w:t>
            </w:r>
          </w:p>
        </w:tc>
        <w:tc>
          <w:tcPr>
            <w:tcW w:w="7423" w:type="dxa"/>
            <w:tcBorders>
              <w:top w:val="single" w:sz="4" w:space="0" w:color="000000"/>
              <w:bottom w:val="single" w:sz="4" w:space="0" w:color="000000"/>
            </w:tcBorders>
            <w:shd w:val="clear" w:color="auto" w:fill="auto"/>
            <w:vAlign w:val="center"/>
          </w:tcPr>
          <w:p w14:paraId="5B2E00DE"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Dardzińska J, </w:t>
            </w:r>
            <w:proofErr w:type="spellStart"/>
            <w:r w:rsidRPr="00BC10F2">
              <w:rPr>
                <w:rFonts w:asciiTheme="minorHAnsi" w:hAnsiTheme="minorHAnsi" w:cstheme="minorHAnsi"/>
              </w:rPr>
              <w:t>Chabaj</w:t>
            </w:r>
            <w:proofErr w:type="spellEnd"/>
            <w:r w:rsidRPr="00BC10F2">
              <w:rPr>
                <w:rFonts w:asciiTheme="minorHAnsi" w:hAnsiTheme="minorHAnsi" w:cstheme="minorHAnsi"/>
              </w:rPr>
              <w:t xml:space="preserve"> – </w:t>
            </w:r>
            <w:proofErr w:type="spellStart"/>
            <w:r w:rsidRPr="00BC10F2">
              <w:rPr>
                <w:rFonts w:asciiTheme="minorHAnsi" w:hAnsiTheme="minorHAnsi" w:cstheme="minorHAnsi"/>
              </w:rPr>
              <w:t>Kędroń</w:t>
            </w:r>
            <w:proofErr w:type="spellEnd"/>
            <w:r w:rsidRPr="00BC10F2">
              <w:rPr>
                <w:rFonts w:asciiTheme="minorHAnsi" w:hAnsiTheme="minorHAnsi" w:cstheme="minorHAnsi"/>
              </w:rPr>
              <w:t xml:space="preserve"> H., </w:t>
            </w:r>
            <w:proofErr w:type="spellStart"/>
            <w:r w:rsidRPr="00BC10F2">
              <w:rPr>
                <w:rFonts w:asciiTheme="minorHAnsi" w:hAnsiTheme="minorHAnsi" w:cstheme="minorHAnsi"/>
              </w:rPr>
              <w:t>Małgorzewicz</w:t>
            </w:r>
            <w:proofErr w:type="spellEnd"/>
            <w:r w:rsidRPr="00BC10F2">
              <w:rPr>
                <w:rFonts w:asciiTheme="minorHAnsi" w:hAnsiTheme="minorHAnsi" w:cstheme="minorHAnsi"/>
              </w:rPr>
              <w:t xml:space="preserve"> S., Osteoporoza jako choroba społeczna i cywilizacyjna – metody profilaktyki, </w:t>
            </w:r>
            <w:proofErr w:type="spellStart"/>
            <w:r w:rsidRPr="00BC10F2">
              <w:rPr>
                <w:rFonts w:asciiTheme="minorHAnsi" w:hAnsiTheme="minorHAnsi" w:cstheme="minorHAnsi"/>
              </w:rPr>
              <w:t>Hygeia</w:t>
            </w:r>
            <w:proofErr w:type="spellEnd"/>
            <w:r w:rsidRPr="00BC10F2">
              <w:rPr>
                <w:rFonts w:asciiTheme="minorHAnsi" w:hAnsiTheme="minorHAnsi" w:cstheme="minorHAnsi"/>
              </w:rPr>
              <w:t xml:space="preserve"> Public </w:t>
            </w:r>
            <w:proofErr w:type="spellStart"/>
            <w:r w:rsidRPr="00BC10F2">
              <w:rPr>
                <w:rFonts w:asciiTheme="minorHAnsi" w:hAnsiTheme="minorHAnsi" w:cstheme="minorHAnsi"/>
              </w:rPr>
              <w:t>Health</w:t>
            </w:r>
            <w:proofErr w:type="spellEnd"/>
            <w:r w:rsidRPr="00BC10F2">
              <w:rPr>
                <w:rFonts w:asciiTheme="minorHAnsi" w:hAnsiTheme="minorHAnsi" w:cstheme="minorHAnsi"/>
              </w:rPr>
              <w:t xml:space="preserve"> 2016, 51(1), s. 23</w:t>
            </w:r>
          </w:p>
        </w:tc>
      </w:tr>
      <w:tr w:rsidR="00A80621" w:rsidRPr="00BC10F2" w14:paraId="6074A3CD" w14:textId="77777777">
        <w:trPr>
          <w:trHeight w:val="292"/>
        </w:trPr>
        <w:tc>
          <w:tcPr>
            <w:tcW w:w="1648" w:type="dxa"/>
            <w:tcBorders>
              <w:top w:val="single" w:sz="4" w:space="0" w:color="000000"/>
              <w:bottom w:val="single" w:sz="4" w:space="0" w:color="000000"/>
            </w:tcBorders>
            <w:shd w:val="clear" w:color="auto" w:fill="auto"/>
            <w:vAlign w:val="center"/>
          </w:tcPr>
          <w:p w14:paraId="6388EF84"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EFOiChMS</w:t>
            </w:r>
            <w:proofErr w:type="spellEnd"/>
            <w:r w:rsidRPr="00BC10F2">
              <w:rPr>
                <w:rFonts w:asciiTheme="minorHAnsi" w:hAnsiTheme="minorHAnsi" w:cstheme="minorHAnsi"/>
              </w:rPr>
              <w:t xml:space="preserve"> 2015 </w:t>
            </w:r>
          </w:p>
        </w:tc>
        <w:tc>
          <w:tcPr>
            <w:tcW w:w="7423" w:type="dxa"/>
            <w:tcBorders>
              <w:top w:val="single" w:sz="4" w:space="0" w:color="000000"/>
              <w:bottom w:val="single" w:sz="4" w:space="0" w:color="000000"/>
            </w:tcBorders>
            <w:shd w:val="clear" w:color="auto" w:fill="auto"/>
            <w:vAlign w:val="center"/>
          </w:tcPr>
          <w:p w14:paraId="175985F4"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rPr>
              <w:t>EFOiChMS</w:t>
            </w:r>
            <w:proofErr w:type="spellEnd"/>
            <w:r w:rsidRPr="00BC10F2">
              <w:rPr>
                <w:rFonts w:asciiTheme="minorHAnsi" w:hAnsiTheme="minorHAnsi" w:cstheme="minorHAnsi"/>
              </w:rPr>
              <w:t xml:space="preserve"> (2015). Raport: Osteoporoza – Cicha epidemia. Pozyskano z: http://www.osteoporoza.pl/index.php?option=com_content&amp;view=article&amp;id=1907&amp;Itemid=149, dostęp z 06.08.2018. </w:t>
            </w:r>
          </w:p>
        </w:tc>
      </w:tr>
      <w:tr w:rsidR="00A80621" w:rsidRPr="00BC10F2" w14:paraId="231AFD01" w14:textId="77777777">
        <w:trPr>
          <w:trHeight w:val="292"/>
        </w:trPr>
        <w:tc>
          <w:tcPr>
            <w:tcW w:w="1648" w:type="dxa"/>
            <w:tcBorders>
              <w:top w:val="single" w:sz="4" w:space="0" w:color="000000"/>
              <w:bottom w:val="single" w:sz="4" w:space="0" w:color="000000"/>
            </w:tcBorders>
            <w:shd w:val="clear" w:color="auto" w:fill="auto"/>
            <w:vAlign w:val="center"/>
          </w:tcPr>
          <w:p w14:paraId="75BCD838"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Głuszko 2016</w:t>
            </w:r>
          </w:p>
        </w:tc>
        <w:tc>
          <w:tcPr>
            <w:tcW w:w="7423" w:type="dxa"/>
            <w:tcBorders>
              <w:top w:val="single" w:sz="4" w:space="0" w:color="000000"/>
              <w:bottom w:val="single" w:sz="4" w:space="0" w:color="000000"/>
            </w:tcBorders>
            <w:shd w:val="clear" w:color="auto" w:fill="auto"/>
            <w:vAlign w:val="center"/>
          </w:tcPr>
          <w:p w14:paraId="68BFD9FF"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Zalecenia postępowania diagnostyczno-terapeutycznego, Osteoporoza, Reumatologia, 2016. </w:t>
            </w:r>
            <w:r w:rsidRPr="00BC10F2">
              <w:rPr>
                <w:rFonts w:asciiTheme="minorHAnsi" w:hAnsiTheme="minorHAnsi" w:cstheme="minorHAnsi"/>
                <w:lang w:val="en-IN"/>
              </w:rPr>
              <w:t>2015)</w:t>
            </w:r>
          </w:p>
        </w:tc>
      </w:tr>
      <w:tr w:rsidR="00A80621" w:rsidRPr="00BC10F2" w14:paraId="702366A6" w14:textId="77777777">
        <w:trPr>
          <w:trHeight w:val="292"/>
        </w:trPr>
        <w:tc>
          <w:tcPr>
            <w:tcW w:w="1648" w:type="dxa"/>
            <w:tcBorders>
              <w:top w:val="single" w:sz="4" w:space="0" w:color="000000"/>
              <w:bottom w:val="single" w:sz="4" w:space="0" w:color="000000"/>
            </w:tcBorders>
            <w:shd w:val="clear" w:color="auto" w:fill="auto"/>
            <w:vAlign w:val="center"/>
          </w:tcPr>
          <w:p w14:paraId="5D68E262"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Głuszko 2017 </w:t>
            </w:r>
          </w:p>
        </w:tc>
        <w:tc>
          <w:tcPr>
            <w:tcW w:w="7423" w:type="dxa"/>
            <w:tcBorders>
              <w:top w:val="single" w:sz="4" w:space="0" w:color="000000"/>
              <w:bottom w:val="single" w:sz="4" w:space="0" w:color="000000"/>
            </w:tcBorders>
            <w:shd w:val="clear" w:color="auto" w:fill="auto"/>
            <w:vAlign w:val="center"/>
          </w:tcPr>
          <w:p w14:paraId="1BC1AD55"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Głuszko, P., </w:t>
            </w:r>
            <w:proofErr w:type="spellStart"/>
            <w:r w:rsidRPr="00BC10F2">
              <w:rPr>
                <w:rFonts w:asciiTheme="minorHAnsi" w:hAnsiTheme="minorHAnsi" w:cstheme="minorHAnsi"/>
              </w:rPr>
              <w:t>Tłustochowicz</w:t>
            </w:r>
            <w:proofErr w:type="spellEnd"/>
            <w:r w:rsidRPr="00BC10F2">
              <w:rPr>
                <w:rFonts w:asciiTheme="minorHAnsi" w:hAnsiTheme="minorHAnsi" w:cstheme="minorHAnsi"/>
              </w:rPr>
              <w:t xml:space="preserve">, W., &amp; Korkosz, M. (2017). Choroby metaboliczne kości. W: Gajewski P (red.) </w:t>
            </w:r>
            <w:proofErr w:type="spellStart"/>
            <w:r w:rsidRPr="00BC10F2">
              <w:rPr>
                <w:rFonts w:asciiTheme="minorHAnsi" w:hAnsiTheme="minorHAnsi" w:cstheme="minorHAnsi"/>
                <w:lang w:val="en-IN"/>
              </w:rPr>
              <w:t>Interna</w:t>
            </w:r>
            <w:proofErr w:type="spellEnd"/>
            <w:r w:rsidRPr="00BC10F2">
              <w:rPr>
                <w:rFonts w:asciiTheme="minorHAnsi" w:hAnsiTheme="minorHAnsi" w:cstheme="minorHAnsi"/>
                <w:lang w:val="en-IN"/>
              </w:rPr>
              <w:t xml:space="preserve"> </w:t>
            </w:r>
            <w:proofErr w:type="spellStart"/>
            <w:r w:rsidRPr="00BC10F2">
              <w:rPr>
                <w:rFonts w:asciiTheme="minorHAnsi" w:hAnsiTheme="minorHAnsi" w:cstheme="minorHAnsi"/>
                <w:lang w:val="en-IN"/>
              </w:rPr>
              <w:t>Szczeklika</w:t>
            </w:r>
            <w:proofErr w:type="spellEnd"/>
            <w:r w:rsidRPr="00BC10F2">
              <w:rPr>
                <w:rFonts w:asciiTheme="minorHAnsi" w:hAnsiTheme="minorHAnsi" w:cstheme="minorHAnsi"/>
                <w:lang w:val="en-IN"/>
              </w:rPr>
              <w:t xml:space="preserve">, 2070-2076. </w:t>
            </w:r>
          </w:p>
        </w:tc>
      </w:tr>
      <w:tr w:rsidR="00A80621" w:rsidRPr="00BC10F2" w14:paraId="5BBF2187" w14:textId="77777777">
        <w:trPr>
          <w:trHeight w:val="292"/>
        </w:trPr>
        <w:tc>
          <w:tcPr>
            <w:tcW w:w="1648" w:type="dxa"/>
            <w:tcBorders>
              <w:top w:val="single" w:sz="4" w:space="0" w:color="000000"/>
              <w:bottom w:val="single" w:sz="4" w:space="0" w:color="000000"/>
            </w:tcBorders>
            <w:shd w:val="clear" w:color="auto" w:fill="auto"/>
            <w:vAlign w:val="center"/>
          </w:tcPr>
          <w:p w14:paraId="1925E72B"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Guirguis</w:t>
            </w:r>
            <w:proofErr w:type="spellEnd"/>
            <w:r w:rsidRPr="00BC10F2">
              <w:rPr>
                <w:rFonts w:asciiTheme="minorHAnsi" w:hAnsiTheme="minorHAnsi" w:cstheme="minorHAnsi"/>
              </w:rPr>
              <w:t xml:space="preserve">-Blake 2018 </w:t>
            </w:r>
          </w:p>
        </w:tc>
        <w:tc>
          <w:tcPr>
            <w:tcW w:w="7423" w:type="dxa"/>
            <w:tcBorders>
              <w:top w:val="single" w:sz="4" w:space="0" w:color="000000"/>
              <w:bottom w:val="single" w:sz="4" w:space="0" w:color="000000"/>
            </w:tcBorders>
            <w:shd w:val="clear" w:color="auto" w:fill="auto"/>
            <w:vAlign w:val="center"/>
          </w:tcPr>
          <w:p w14:paraId="5E220FA5"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fr-FR"/>
              </w:rPr>
              <w:t xml:space="preserve">Guirguis-Blake, J. M., Michael, Y. L., Perdue, L. A., Coppola, E. L., &amp; Beil, T. L. (2018). </w:t>
            </w:r>
            <w:r w:rsidRPr="00BC10F2">
              <w:rPr>
                <w:rFonts w:asciiTheme="minorHAnsi" w:hAnsiTheme="minorHAnsi" w:cstheme="minorHAnsi"/>
                <w:lang w:val="en-IN"/>
              </w:rPr>
              <w:t xml:space="preserve">Interventions to prevent falls in older adults: updated evidence report and systematic review for the US Preventive Services Task Force. </w:t>
            </w:r>
            <w:r w:rsidRPr="00BC10F2">
              <w:rPr>
                <w:rFonts w:asciiTheme="minorHAnsi" w:hAnsiTheme="minorHAnsi" w:cstheme="minorHAnsi"/>
              </w:rPr>
              <w:t xml:space="preserve">Jama, 319(16), 1705-1716 </w:t>
            </w:r>
          </w:p>
        </w:tc>
      </w:tr>
      <w:tr w:rsidR="00A80621" w:rsidRPr="00BC10F2" w14:paraId="6E7875E4" w14:textId="77777777">
        <w:trPr>
          <w:trHeight w:val="292"/>
        </w:trPr>
        <w:tc>
          <w:tcPr>
            <w:tcW w:w="1648" w:type="dxa"/>
            <w:tcBorders>
              <w:top w:val="single" w:sz="4" w:space="0" w:color="000000"/>
              <w:bottom w:val="single" w:sz="4" w:space="0" w:color="000000"/>
            </w:tcBorders>
            <w:shd w:val="clear" w:color="auto" w:fill="auto"/>
            <w:vAlign w:val="center"/>
          </w:tcPr>
          <w:p w14:paraId="4E762A28"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Hernlund</w:t>
            </w:r>
            <w:proofErr w:type="spellEnd"/>
            <w:r w:rsidRPr="00BC10F2">
              <w:rPr>
                <w:rFonts w:asciiTheme="minorHAnsi" w:hAnsiTheme="minorHAnsi" w:cstheme="minorHAnsi"/>
              </w:rPr>
              <w:t xml:space="preserve"> 2013 </w:t>
            </w:r>
          </w:p>
        </w:tc>
        <w:tc>
          <w:tcPr>
            <w:tcW w:w="7423" w:type="dxa"/>
            <w:tcBorders>
              <w:top w:val="single" w:sz="4" w:space="0" w:color="000000"/>
              <w:bottom w:val="single" w:sz="4" w:space="0" w:color="000000"/>
            </w:tcBorders>
            <w:shd w:val="clear" w:color="auto" w:fill="auto"/>
            <w:vAlign w:val="center"/>
          </w:tcPr>
          <w:p w14:paraId="263C32E0"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Hernlund</w:t>
            </w:r>
            <w:proofErr w:type="spellEnd"/>
            <w:r w:rsidRPr="00BC10F2">
              <w:rPr>
                <w:rFonts w:asciiTheme="minorHAnsi" w:hAnsiTheme="minorHAnsi" w:cstheme="minorHAnsi"/>
                <w:lang w:val="en-IN"/>
              </w:rPr>
              <w:t xml:space="preserve">, E., </w:t>
            </w:r>
            <w:proofErr w:type="spellStart"/>
            <w:r w:rsidRPr="00BC10F2">
              <w:rPr>
                <w:rFonts w:asciiTheme="minorHAnsi" w:hAnsiTheme="minorHAnsi" w:cstheme="minorHAnsi"/>
                <w:lang w:val="en-IN"/>
              </w:rPr>
              <w:t>Svedbom</w:t>
            </w:r>
            <w:proofErr w:type="spellEnd"/>
            <w:r w:rsidRPr="00BC10F2">
              <w:rPr>
                <w:rFonts w:asciiTheme="minorHAnsi" w:hAnsiTheme="minorHAnsi" w:cstheme="minorHAnsi"/>
                <w:lang w:val="en-IN"/>
              </w:rPr>
              <w:t xml:space="preserve">, A., </w:t>
            </w:r>
            <w:proofErr w:type="spellStart"/>
            <w:r w:rsidRPr="00BC10F2">
              <w:rPr>
                <w:rFonts w:asciiTheme="minorHAnsi" w:hAnsiTheme="minorHAnsi" w:cstheme="minorHAnsi"/>
                <w:lang w:val="en-IN"/>
              </w:rPr>
              <w:t>Ivergård</w:t>
            </w:r>
            <w:proofErr w:type="spellEnd"/>
            <w:r w:rsidRPr="00BC10F2">
              <w:rPr>
                <w:rFonts w:asciiTheme="minorHAnsi" w:hAnsiTheme="minorHAnsi" w:cstheme="minorHAnsi"/>
                <w:lang w:val="en-IN"/>
              </w:rPr>
              <w:t xml:space="preserve">, M., </w:t>
            </w:r>
            <w:proofErr w:type="spellStart"/>
            <w:r w:rsidRPr="00BC10F2">
              <w:rPr>
                <w:rFonts w:asciiTheme="minorHAnsi" w:hAnsiTheme="minorHAnsi" w:cstheme="minorHAnsi"/>
                <w:lang w:val="en-IN"/>
              </w:rPr>
              <w:t>Compston</w:t>
            </w:r>
            <w:proofErr w:type="spellEnd"/>
            <w:r w:rsidRPr="00BC10F2">
              <w:rPr>
                <w:rFonts w:asciiTheme="minorHAnsi" w:hAnsiTheme="minorHAnsi" w:cstheme="minorHAnsi"/>
                <w:lang w:val="en-IN"/>
              </w:rPr>
              <w:t xml:space="preserve">, J., Cooper, C., </w:t>
            </w:r>
            <w:proofErr w:type="spellStart"/>
            <w:r w:rsidRPr="00BC10F2">
              <w:rPr>
                <w:rFonts w:asciiTheme="minorHAnsi" w:hAnsiTheme="minorHAnsi" w:cstheme="minorHAnsi"/>
                <w:lang w:val="en-IN"/>
              </w:rPr>
              <w:t>Stenmark</w:t>
            </w:r>
            <w:proofErr w:type="spellEnd"/>
            <w:r w:rsidRPr="00BC10F2">
              <w:rPr>
                <w:rFonts w:asciiTheme="minorHAnsi" w:hAnsiTheme="minorHAnsi" w:cstheme="minorHAnsi"/>
                <w:lang w:val="en-IN"/>
              </w:rPr>
              <w:t xml:space="preserve">, J., ... &amp; Kanis, J. A. (2013). Osteoporosis in the European Union: medical management, epidemiology and economic burden. Archives of osteoporosis, 8(1-2), 136. </w:t>
            </w:r>
          </w:p>
        </w:tc>
      </w:tr>
      <w:tr w:rsidR="00A80621" w:rsidRPr="00BC10F2" w14:paraId="60D528EB" w14:textId="77777777">
        <w:trPr>
          <w:trHeight w:val="188"/>
        </w:trPr>
        <w:tc>
          <w:tcPr>
            <w:tcW w:w="1648" w:type="dxa"/>
            <w:tcBorders>
              <w:top w:val="single" w:sz="4" w:space="0" w:color="000000"/>
              <w:bottom w:val="single" w:sz="4" w:space="0" w:color="000000"/>
            </w:tcBorders>
            <w:shd w:val="clear" w:color="auto" w:fill="auto"/>
            <w:vAlign w:val="center"/>
          </w:tcPr>
          <w:p w14:paraId="1E4FA6B7"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Høiberg</w:t>
            </w:r>
            <w:proofErr w:type="spellEnd"/>
            <w:r w:rsidRPr="00BC10F2">
              <w:rPr>
                <w:rFonts w:asciiTheme="minorHAnsi" w:hAnsiTheme="minorHAnsi" w:cstheme="minorHAnsi"/>
              </w:rPr>
              <w:t xml:space="preserve"> 2016 </w:t>
            </w:r>
          </w:p>
        </w:tc>
        <w:tc>
          <w:tcPr>
            <w:tcW w:w="7423" w:type="dxa"/>
            <w:tcBorders>
              <w:top w:val="single" w:sz="4" w:space="0" w:color="000000"/>
              <w:bottom w:val="single" w:sz="4" w:space="0" w:color="000000"/>
            </w:tcBorders>
            <w:shd w:val="clear" w:color="auto" w:fill="auto"/>
            <w:vAlign w:val="center"/>
          </w:tcPr>
          <w:p w14:paraId="70BB69C2"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Høiberg</w:t>
            </w:r>
            <w:proofErr w:type="spellEnd"/>
            <w:r w:rsidRPr="00BC10F2">
              <w:rPr>
                <w:rFonts w:asciiTheme="minorHAnsi" w:hAnsiTheme="minorHAnsi" w:cstheme="minorHAnsi"/>
                <w:lang w:val="en-IN"/>
              </w:rPr>
              <w:t xml:space="preserve">, M. P., Rubin, K. H., Hermann, A. P., </w:t>
            </w:r>
            <w:proofErr w:type="spellStart"/>
            <w:r w:rsidRPr="00BC10F2">
              <w:rPr>
                <w:rFonts w:asciiTheme="minorHAnsi" w:hAnsiTheme="minorHAnsi" w:cstheme="minorHAnsi"/>
                <w:lang w:val="en-IN"/>
              </w:rPr>
              <w:t>Brixen</w:t>
            </w:r>
            <w:proofErr w:type="spellEnd"/>
            <w:r w:rsidRPr="00BC10F2">
              <w:rPr>
                <w:rFonts w:asciiTheme="minorHAnsi" w:hAnsiTheme="minorHAnsi" w:cstheme="minorHAnsi"/>
                <w:lang w:val="en-IN"/>
              </w:rPr>
              <w:t xml:space="preserve">, K., &amp; Abrahamsen, B. (2016). Diagnostic devices for osteoporosis in the general population: a systematic review. </w:t>
            </w:r>
            <w:proofErr w:type="spellStart"/>
            <w:r w:rsidRPr="00BC10F2">
              <w:rPr>
                <w:rFonts w:asciiTheme="minorHAnsi" w:hAnsiTheme="minorHAnsi" w:cstheme="minorHAnsi"/>
              </w:rPr>
              <w:t>Bone</w:t>
            </w:r>
            <w:proofErr w:type="spellEnd"/>
            <w:r w:rsidRPr="00BC10F2">
              <w:rPr>
                <w:rFonts w:asciiTheme="minorHAnsi" w:hAnsiTheme="minorHAnsi" w:cstheme="minorHAnsi"/>
              </w:rPr>
              <w:t xml:space="preserve">, 92, 58-69 </w:t>
            </w:r>
          </w:p>
        </w:tc>
      </w:tr>
      <w:tr w:rsidR="00A80621" w:rsidRPr="00BC10F2" w14:paraId="2D145DFC" w14:textId="77777777">
        <w:trPr>
          <w:trHeight w:val="290"/>
        </w:trPr>
        <w:tc>
          <w:tcPr>
            <w:tcW w:w="1648" w:type="dxa"/>
            <w:tcBorders>
              <w:top w:val="single" w:sz="4" w:space="0" w:color="000000"/>
              <w:bottom w:val="single" w:sz="4" w:space="0" w:color="000000"/>
            </w:tcBorders>
            <w:shd w:val="clear" w:color="auto" w:fill="auto"/>
            <w:vAlign w:val="center"/>
          </w:tcPr>
          <w:p w14:paraId="6C8F9982"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lastRenderedPageBreak/>
              <w:t xml:space="preserve">Huang 2014 </w:t>
            </w:r>
          </w:p>
        </w:tc>
        <w:tc>
          <w:tcPr>
            <w:tcW w:w="7423" w:type="dxa"/>
            <w:tcBorders>
              <w:top w:val="single" w:sz="4" w:space="0" w:color="000000"/>
              <w:bottom w:val="single" w:sz="4" w:space="0" w:color="000000"/>
            </w:tcBorders>
            <w:shd w:val="clear" w:color="auto" w:fill="auto"/>
            <w:vAlign w:val="center"/>
          </w:tcPr>
          <w:p w14:paraId="5C00FDC5"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Huang, Z. B., Wan, S. L., Lu, Y. J., Ning, L., Liu, C., &amp; Fan, S. W. (2014). Does vitamin K2 play a role in the prevention and treatment of osteoporosis for postmenopausal women: a meta-analysis of randomized controlled trials. </w:t>
            </w:r>
            <w:proofErr w:type="spellStart"/>
            <w:r w:rsidRPr="00BC10F2">
              <w:rPr>
                <w:rFonts w:asciiTheme="minorHAnsi" w:hAnsiTheme="minorHAnsi" w:cstheme="minorHAnsi"/>
              </w:rPr>
              <w:t>Osteoporosis</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international</w:t>
            </w:r>
            <w:proofErr w:type="spellEnd"/>
            <w:r w:rsidRPr="00BC10F2">
              <w:rPr>
                <w:rFonts w:asciiTheme="minorHAnsi" w:hAnsiTheme="minorHAnsi" w:cstheme="minorHAnsi"/>
              </w:rPr>
              <w:t xml:space="preserve">, 26(3), 1175-1186 </w:t>
            </w:r>
          </w:p>
        </w:tc>
      </w:tr>
      <w:tr w:rsidR="00A80621" w:rsidRPr="00BC10F2" w14:paraId="53B62007" w14:textId="77777777">
        <w:trPr>
          <w:trHeight w:val="292"/>
        </w:trPr>
        <w:tc>
          <w:tcPr>
            <w:tcW w:w="1648" w:type="dxa"/>
            <w:tcBorders>
              <w:top w:val="single" w:sz="4" w:space="0" w:color="000000"/>
              <w:bottom w:val="single" w:sz="4" w:space="0" w:color="000000"/>
            </w:tcBorders>
            <w:shd w:val="clear" w:color="auto" w:fill="auto"/>
            <w:vAlign w:val="center"/>
          </w:tcPr>
          <w:p w14:paraId="01666A36"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Ito 2015 </w:t>
            </w:r>
          </w:p>
        </w:tc>
        <w:tc>
          <w:tcPr>
            <w:tcW w:w="7423" w:type="dxa"/>
            <w:tcBorders>
              <w:top w:val="single" w:sz="4" w:space="0" w:color="000000"/>
              <w:bottom w:val="single" w:sz="4" w:space="0" w:color="000000"/>
            </w:tcBorders>
            <w:shd w:val="clear" w:color="auto" w:fill="auto"/>
            <w:vAlign w:val="center"/>
          </w:tcPr>
          <w:p w14:paraId="51054F0A"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Ito, K., &amp; Leslie, W. D. (2015). Cost-effectiveness of fracture prevention in rural women with limited access to dual-energy X-ray absorptiometry. </w:t>
            </w:r>
            <w:proofErr w:type="spellStart"/>
            <w:r w:rsidRPr="00BC10F2">
              <w:rPr>
                <w:rFonts w:asciiTheme="minorHAnsi" w:hAnsiTheme="minorHAnsi" w:cstheme="minorHAnsi"/>
              </w:rPr>
              <w:t>Osteoporosis</w:t>
            </w:r>
            <w:proofErr w:type="spellEnd"/>
            <w:r w:rsidRPr="00BC10F2">
              <w:rPr>
                <w:rFonts w:asciiTheme="minorHAnsi" w:hAnsiTheme="minorHAnsi" w:cstheme="minorHAnsi"/>
              </w:rPr>
              <w:t xml:space="preserve"> International, 26(8), 2111-2119 </w:t>
            </w:r>
          </w:p>
        </w:tc>
      </w:tr>
      <w:tr w:rsidR="00A80621" w:rsidRPr="00BC10F2" w14:paraId="6B181028" w14:textId="77777777">
        <w:trPr>
          <w:trHeight w:val="292"/>
        </w:trPr>
        <w:tc>
          <w:tcPr>
            <w:tcW w:w="1648" w:type="dxa"/>
            <w:tcBorders>
              <w:top w:val="single" w:sz="4" w:space="0" w:color="000000"/>
              <w:bottom w:val="single" w:sz="4" w:space="0" w:color="000000"/>
            </w:tcBorders>
            <w:shd w:val="clear" w:color="auto" w:fill="auto"/>
            <w:vAlign w:val="center"/>
          </w:tcPr>
          <w:p w14:paraId="0CF79958"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IOF 2018 </w:t>
            </w:r>
          </w:p>
        </w:tc>
        <w:tc>
          <w:tcPr>
            <w:tcW w:w="7423" w:type="dxa"/>
            <w:tcBorders>
              <w:top w:val="single" w:sz="4" w:space="0" w:color="000000"/>
              <w:bottom w:val="single" w:sz="4" w:space="0" w:color="000000"/>
            </w:tcBorders>
            <w:shd w:val="clear" w:color="auto" w:fill="auto"/>
            <w:vAlign w:val="center"/>
          </w:tcPr>
          <w:p w14:paraId="11C26E8F"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IOF (2018). Map of best practice. </w:t>
            </w:r>
            <w:r w:rsidRPr="00BC10F2">
              <w:rPr>
                <w:rFonts w:asciiTheme="minorHAnsi" w:hAnsiTheme="minorHAnsi" w:cstheme="minorHAnsi"/>
              </w:rPr>
              <w:t>Pozyskano z: https://www.capturethefracture.org/map-of-best-practice</w:t>
            </w:r>
          </w:p>
        </w:tc>
      </w:tr>
      <w:tr w:rsidR="00A80621" w:rsidRPr="00BC10F2" w14:paraId="6AE254EE" w14:textId="77777777">
        <w:trPr>
          <w:trHeight w:val="292"/>
        </w:trPr>
        <w:tc>
          <w:tcPr>
            <w:tcW w:w="1648" w:type="dxa"/>
            <w:tcBorders>
              <w:top w:val="single" w:sz="4" w:space="0" w:color="000000"/>
              <w:bottom w:val="single" w:sz="4" w:space="0" w:color="000000"/>
            </w:tcBorders>
            <w:shd w:val="clear" w:color="auto" w:fill="auto"/>
            <w:vAlign w:val="center"/>
          </w:tcPr>
          <w:p w14:paraId="1530AED1"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Janiszewska 2015</w:t>
            </w:r>
          </w:p>
        </w:tc>
        <w:tc>
          <w:tcPr>
            <w:tcW w:w="7423" w:type="dxa"/>
            <w:tcBorders>
              <w:top w:val="single" w:sz="4" w:space="0" w:color="000000"/>
              <w:bottom w:val="single" w:sz="4" w:space="0" w:color="000000"/>
            </w:tcBorders>
            <w:shd w:val="clear" w:color="auto" w:fill="auto"/>
            <w:vAlign w:val="center"/>
          </w:tcPr>
          <w:p w14:paraId="07AF4B24"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Janiszewska M, Kulik T, Dziedzic M, </w:t>
            </w:r>
            <w:proofErr w:type="spellStart"/>
            <w:r w:rsidRPr="00BC10F2">
              <w:rPr>
                <w:rFonts w:asciiTheme="minorHAnsi" w:hAnsiTheme="minorHAnsi" w:cstheme="minorHAnsi"/>
              </w:rPr>
              <w:t>Żołnierczuk</w:t>
            </w:r>
            <w:proofErr w:type="spellEnd"/>
            <w:r w:rsidRPr="00BC10F2">
              <w:rPr>
                <w:rFonts w:asciiTheme="minorHAnsi" w:hAnsiTheme="minorHAnsi" w:cstheme="minorHAnsi"/>
              </w:rPr>
              <w:t xml:space="preserve">-Kieliszek D, 12. Barańska A, Osteoporoza jako problem społeczny – patogeneza, objawy i czynniki ryzyka osteoporozy </w:t>
            </w:r>
            <w:proofErr w:type="spellStart"/>
            <w:r w:rsidRPr="00BC10F2">
              <w:rPr>
                <w:rFonts w:asciiTheme="minorHAnsi" w:hAnsiTheme="minorHAnsi" w:cstheme="minorHAnsi"/>
              </w:rPr>
              <w:t>pomenopauzalnej</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Probl</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Hig</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Epidemiol</w:t>
            </w:r>
            <w:proofErr w:type="spellEnd"/>
            <w:r w:rsidRPr="00BC10F2">
              <w:rPr>
                <w:rFonts w:asciiTheme="minorHAnsi" w:hAnsiTheme="minorHAnsi" w:cstheme="minorHAnsi"/>
              </w:rPr>
              <w:t xml:space="preserve"> 2015, 96(1), s. 107-110. </w:t>
            </w:r>
            <w:proofErr w:type="spellStart"/>
            <w:r w:rsidRPr="00BC10F2">
              <w:rPr>
                <w:rFonts w:asciiTheme="minorHAnsi" w:hAnsiTheme="minorHAnsi" w:cstheme="minorHAnsi"/>
                <w:lang w:val="en-IN"/>
              </w:rPr>
              <w:t>Źródło</w:t>
            </w:r>
            <w:proofErr w:type="spellEnd"/>
            <w:r w:rsidRPr="00BC10F2">
              <w:rPr>
                <w:rFonts w:asciiTheme="minorHAnsi" w:hAnsiTheme="minorHAnsi" w:cstheme="minorHAnsi"/>
                <w:lang w:val="en-IN"/>
              </w:rPr>
              <w:t>: http://phie.pl/pdf/phe-2015/phe-2015-1-106.pdf</w:t>
            </w:r>
          </w:p>
        </w:tc>
      </w:tr>
      <w:tr w:rsidR="00A80621" w:rsidRPr="00BC10F2" w14:paraId="1F9DCA26" w14:textId="77777777">
        <w:trPr>
          <w:trHeight w:val="292"/>
        </w:trPr>
        <w:tc>
          <w:tcPr>
            <w:tcW w:w="1648" w:type="dxa"/>
            <w:tcBorders>
              <w:top w:val="single" w:sz="4" w:space="0" w:color="000000"/>
              <w:bottom w:val="single" w:sz="4" w:space="0" w:color="000000"/>
            </w:tcBorders>
            <w:shd w:val="clear" w:color="auto" w:fill="auto"/>
            <w:vAlign w:val="center"/>
          </w:tcPr>
          <w:p w14:paraId="07E118CA"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Jensen 2013 </w:t>
            </w:r>
          </w:p>
        </w:tc>
        <w:tc>
          <w:tcPr>
            <w:tcW w:w="7423" w:type="dxa"/>
            <w:tcBorders>
              <w:top w:val="single" w:sz="4" w:space="0" w:color="000000"/>
              <w:bottom w:val="single" w:sz="4" w:space="0" w:color="000000"/>
            </w:tcBorders>
            <w:shd w:val="clear" w:color="auto" w:fill="auto"/>
            <w:vAlign w:val="center"/>
          </w:tcPr>
          <w:p w14:paraId="6180A744"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Jensen, A. L., Lomborg, K., Wind, G., &amp; </w:t>
            </w:r>
            <w:proofErr w:type="spellStart"/>
            <w:r w:rsidRPr="00BC10F2">
              <w:rPr>
                <w:rFonts w:asciiTheme="minorHAnsi" w:hAnsiTheme="minorHAnsi" w:cstheme="minorHAnsi"/>
                <w:lang w:val="en-IN"/>
              </w:rPr>
              <w:t>Langdahl</w:t>
            </w:r>
            <w:proofErr w:type="spellEnd"/>
            <w:r w:rsidRPr="00BC10F2">
              <w:rPr>
                <w:rFonts w:asciiTheme="minorHAnsi" w:hAnsiTheme="minorHAnsi" w:cstheme="minorHAnsi"/>
                <w:lang w:val="en-IN"/>
              </w:rPr>
              <w:t xml:space="preserve">, B. L. (2013). Effectiveness and characteristics of multifaceted osteoporosis group education—a systematic review. </w:t>
            </w:r>
            <w:proofErr w:type="spellStart"/>
            <w:r w:rsidRPr="00BC10F2">
              <w:rPr>
                <w:rFonts w:asciiTheme="minorHAnsi" w:hAnsiTheme="minorHAnsi" w:cstheme="minorHAnsi"/>
              </w:rPr>
              <w:t>Osteoporosis</w:t>
            </w:r>
            <w:proofErr w:type="spellEnd"/>
            <w:r w:rsidRPr="00BC10F2">
              <w:rPr>
                <w:rFonts w:asciiTheme="minorHAnsi" w:hAnsiTheme="minorHAnsi" w:cstheme="minorHAnsi"/>
              </w:rPr>
              <w:t xml:space="preserve"> International, 25(4), 1209-1224 </w:t>
            </w:r>
          </w:p>
        </w:tc>
      </w:tr>
      <w:tr w:rsidR="00A80621" w:rsidRPr="00433CBA" w14:paraId="5AA18713" w14:textId="77777777">
        <w:trPr>
          <w:trHeight w:val="188"/>
        </w:trPr>
        <w:tc>
          <w:tcPr>
            <w:tcW w:w="1648" w:type="dxa"/>
            <w:tcBorders>
              <w:top w:val="single" w:sz="4" w:space="0" w:color="000000"/>
              <w:bottom w:val="single" w:sz="4" w:space="0" w:color="000000"/>
            </w:tcBorders>
            <w:shd w:val="clear" w:color="auto" w:fill="auto"/>
            <w:vAlign w:val="center"/>
          </w:tcPr>
          <w:p w14:paraId="0360E39B"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Kahwati</w:t>
            </w:r>
            <w:proofErr w:type="spellEnd"/>
            <w:r w:rsidRPr="00BC10F2">
              <w:rPr>
                <w:rFonts w:asciiTheme="minorHAnsi" w:hAnsiTheme="minorHAnsi" w:cstheme="minorHAnsi"/>
              </w:rPr>
              <w:t xml:space="preserve"> 2018 </w:t>
            </w:r>
          </w:p>
        </w:tc>
        <w:tc>
          <w:tcPr>
            <w:tcW w:w="7423" w:type="dxa"/>
            <w:tcBorders>
              <w:top w:val="single" w:sz="4" w:space="0" w:color="000000"/>
              <w:bottom w:val="single" w:sz="4" w:space="0" w:color="000000"/>
            </w:tcBorders>
            <w:shd w:val="clear" w:color="auto" w:fill="auto"/>
            <w:vAlign w:val="center"/>
          </w:tcPr>
          <w:p w14:paraId="370875F2" w14:textId="77777777" w:rsidR="00A80621" w:rsidRPr="00BC10F2" w:rsidRDefault="007941FC">
            <w:pPr>
              <w:pStyle w:val="Tabela-TekstpodstawowyDolewej"/>
              <w:widowControl w:val="0"/>
              <w:rPr>
                <w:rFonts w:asciiTheme="minorHAnsi" w:hAnsiTheme="minorHAnsi" w:cstheme="minorHAnsi"/>
                <w:lang w:val="en-IN"/>
              </w:rPr>
            </w:pPr>
            <w:proofErr w:type="spellStart"/>
            <w:r w:rsidRPr="00BC10F2">
              <w:rPr>
                <w:rFonts w:asciiTheme="minorHAnsi" w:hAnsiTheme="minorHAnsi" w:cstheme="minorHAnsi"/>
                <w:lang w:val="en-IN"/>
              </w:rPr>
              <w:t>Kahwati</w:t>
            </w:r>
            <w:proofErr w:type="spellEnd"/>
            <w:r w:rsidRPr="00BC10F2">
              <w:rPr>
                <w:rFonts w:asciiTheme="minorHAnsi" w:hAnsiTheme="minorHAnsi" w:cstheme="minorHAnsi"/>
                <w:lang w:val="en-IN"/>
              </w:rPr>
              <w:t xml:space="preserve">, L. C., Weber, R. P., Pan, H., </w:t>
            </w:r>
            <w:proofErr w:type="spellStart"/>
            <w:r w:rsidRPr="00BC10F2">
              <w:rPr>
                <w:rFonts w:asciiTheme="minorHAnsi" w:hAnsiTheme="minorHAnsi" w:cstheme="minorHAnsi"/>
                <w:lang w:val="en-IN"/>
              </w:rPr>
              <w:t>Gourlay</w:t>
            </w:r>
            <w:proofErr w:type="spellEnd"/>
            <w:r w:rsidRPr="00BC10F2">
              <w:rPr>
                <w:rFonts w:asciiTheme="minorHAnsi" w:hAnsiTheme="minorHAnsi" w:cstheme="minorHAnsi"/>
                <w:lang w:val="en-IN"/>
              </w:rPr>
              <w:t xml:space="preserve">, M., LeBlanc, E., Coker-Schwimmer, M., &amp; Viswanathan, M. </w:t>
            </w:r>
          </w:p>
        </w:tc>
      </w:tr>
      <w:tr w:rsidR="00A80621" w:rsidRPr="00BC10F2" w14:paraId="323C1D4D" w14:textId="77777777">
        <w:trPr>
          <w:trHeight w:val="292"/>
        </w:trPr>
        <w:tc>
          <w:tcPr>
            <w:tcW w:w="1648" w:type="dxa"/>
            <w:tcBorders>
              <w:top w:val="single" w:sz="4" w:space="0" w:color="000000"/>
              <w:bottom w:val="single" w:sz="4" w:space="0" w:color="000000"/>
            </w:tcBorders>
            <w:shd w:val="clear" w:color="auto" w:fill="auto"/>
            <w:vAlign w:val="center"/>
          </w:tcPr>
          <w:p w14:paraId="01C7CCA8"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Kanis</w:t>
            </w:r>
            <w:proofErr w:type="spellEnd"/>
            <w:r w:rsidRPr="00BC10F2">
              <w:rPr>
                <w:rFonts w:asciiTheme="minorHAnsi" w:hAnsiTheme="minorHAnsi" w:cstheme="minorHAnsi"/>
              </w:rPr>
              <w:t xml:space="preserve"> 2012 </w:t>
            </w:r>
          </w:p>
        </w:tc>
        <w:tc>
          <w:tcPr>
            <w:tcW w:w="7423" w:type="dxa"/>
            <w:tcBorders>
              <w:top w:val="single" w:sz="4" w:space="0" w:color="000000"/>
              <w:bottom w:val="single" w:sz="4" w:space="0" w:color="000000"/>
            </w:tcBorders>
            <w:shd w:val="clear" w:color="auto" w:fill="auto"/>
            <w:vAlign w:val="center"/>
          </w:tcPr>
          <w:p w14:paraId="6902F9F5"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2018). Vitamin D, calcium, or combined supplementation for the primary prevention of fractures in community-dwelling adults: evidence report and systematic review for the US Preventive Services Task Force. </w:t>
            </w:r>
            <w:r w:rsidRPr="00BC10F2">
              <w:rPr>
                <w:rFonts w:asciiTheme="minorHAnsi" w:hAnsiTheme="minorHAnsi" w:cstheme="minorHAnsi"/>
              </w:rPr>
              <w:t xml:space="preserve">Jama, 319(15), 1600-1612 </w:t>
            </w:r>
          </w:p>
        </w:tc>
      </w:tr>
      <w:tr w:rsidR="00A80621" w:rsidRPr="00BC10F2" w14:paraId="6DB124B7" w14:textId="77777777">
        <w:trPr>
          <w:trHeight w:val="292"/>
        </w:trPr>
        <w:tc>
          <w:tcPr>
            <w:tcW w:w="1648" w:type="dxa"/>
            <w:tcBorders>
              <w:top w:val="single" w:sz="4" w:space="0" w:color="000000"/>
              <w:bottom w:val="single" w:sz="4" w:space="0" w:color="000000"/>
            </w:tcBorders>
            <w:shd w:val="clear" w:color="auto" w:fill="auto"/>
            <w:vAlign w:val="center"/>
          </w:tcPr>
          <w:p w14:paraId="473CCFAA"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Kanis</w:t>
            </w:r>
            <w:proofErr w:type="spellEnd"/>
            <w:r w:rsidRPr="00BC10F2">
              <w:rPr>
                <w:rFonts w:asciiTheme="minorHAnsi" w:hAnsiTheme="minorHAnsi" w:cstheme="minorHAnsi"/>
              </w:rPr>
              <w:t xml:space="preserve"> 2013 </w:t>
            </w:r>
          </w:p>
        </w:tc>
        <w:tc>
          <w:tcPr>
            <w:tcW w:w="7423" w:type="dxa"/>
            <w:tcBorders>
              <w:top w:val="single" w:sz="4" w:space="0" w:color="000000"/>
              <w:bottom w:val="single" w:sz="4" w:space="0" w:color="000000"/>
            </w:tcBorders>
            <w:shd w:val="clear" w:color="auto" w:fill="auto"/>
            <w:vAlign w:val="center"/>
          </w:tcPr>
          <w:p w14:paraId="02F78B8C"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Kanis, J. A., Oden, A., McCloskey, E. V., Johansson, H., Wahl, D. A., &amp; Cooper, C. (2012). A systematic review of hip fracture incidence and probability of fracture worldwide. </w:t>
            </w:r>
            <w:proofErr w:type="spellStart"/>
            <w:r w:rsidRPr="00BC10F2">
              <w:rPr>
                <w:rFonts w:asciiTheme="minorHAnsi" w:hAnsiTheme="minorHAnsi" w:cstheme="minorHAnsi"/>
              </w:rPr>
              <w:t>Osteoporosis</w:t>
            </w:r>
            <w:proofErr w:type="spellEnd"/>
            <w:r w:rsidRPr="00BC10F2">
              <w:rPr>
                <w:rFonts w:asciiTheme="minorHAnsi" w:hAnsiTheme="minorHAnsi" w:cstheme="minorHAnsi"/>
              </w:rPr>
              <w:t xml:space="preserve"> International, 23(9), 2239-2256. </w:t>
            </w:r>
          </w:p>
        </w:tc>
      </w:tr>
      <w:tr w:rsidR="00A80621" w:rsidRPr="00433CBA" w14:paraId="541ABF42" w14:textId="77777777">
        <w:trPr>
          <w:trHeight w:val="292"/>
        </w:trPr>
        <w:tc>
          <w:tcPr>
            <w:tcW w:w="1648" w:type="dxa"/>
            <w:tcBorders>
              <w:top w:val="single" w:sz="4" w:space="0" w:color="000000"/>
              <w:bottom w:val="single" w:sz="4" w:space="0" w:color="000000"/>
            </w:tcBorders>
            <w:shd w:val="clear" w:color="auto" w:fill="auto"/>
            <w:vAlign w:val="center"/>
          </w:tcPr>
          <w:p w14:paraId="3FDA7CCA"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Kastner</w:t>
            </w:r>
            <w:proofErr w:type="spellEnd"/>
            <w:r w:rsidRPr="00BC10F2">
              <w:rPr>
                <w:rFonts w:asciiTheme="minorHAnsi" w:hAnsiTheme="minorHAnsi" w:cstheme="minorHAnsi"/>
              </w:rPr>
              <w:t xml:space="preserve"> 2017 </w:t>
            </w:r>
          </w:p>
        </w:tc>
        <w:tc>
          <w:tcPr>
            <w:tcW w:w="7423" w:type="dxa"/>
            <w:tcBorders>
              <w:top w:val="single" w:sz="4" w:space="0" w:color="000000"/>
              <w:bottom w:val="single" w:sz="4" w:space="0" w:color="000000"/>
            </w:tcBorders>
            <w:shd w:val="clear" w:color="auto" w:fill="auto"/>
            <w:vAlign w:val="center"/>
          </w:tcPr>
          <w:p w14:paraId="3BF228F9"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fr-FR"/>
              </w:rPr>
              <w:t xml:space="preserve">Kanis, J. A., Borgström, F., Compston, J., Dreinhöfer, K., Nolte, E., Jonsson, L., ... </w:t>
            </w:r>
            <w:r w:rsidRPr="00BC10F2">
              <w:rPr>
                <w:rFonts w:asciiTheme="minorHAnsi" w:hAnsiTheme="minorHAnsi" w:cstheme="minorHAnsi"/>
                <w:lang w:val="en-IN"/>
              </w:rPr>
              <w:t xml:space="preserve">&amp; </w:t>
            </w:r>
            <w:proofErr w:type="spellStart"/>
            <w:r w:rsidRPr="00BC10F2">
              <w:rPr>
                <w:rFonts w:asciiTheme="minorHAnsi" w:hAnsiTheme="minorHAnsi" w:cstheme="minorHAnsi"/>
                <w:lang w:val="en-IN"/>
              </w:rPr>
              <w:t>Stenmark</w:t>
            </w:r>
            <w:proofErr w:type="spellEnd"/>
            <w:r w:rsidRPr="00BC10F2">
              <w:rPr>
                <w:rFonts w:asciiTheme="minorHAnsi" w:hAnsiTheme="minorHAnsi" w:cstheme="minorHAnsi"/>
                <w:lang w:val="en-IN"/>
              </w:rPr>
              <w:t xml:space="preserve">, J. (2013). SCOPE: a scorecard for osteoporosis in Europe. Archives of osteoporosis, 8(1-2), 144. </w:t>
            </w:r>
          </w:p>
        </w:tc>
      </w:tr>
      <w:tr w:rsidR="00A80621" w:rsidRPr="00BC10F2" w14:paraId="15344A2B" w14:textId="77777777">
        <w:trPr>
          <w:trHeight w:val="292"/>
        </w:trPr>
        <w:tc>
          <w:tcPr>
            <w:tcW w:w="1648" w:type="dxa"/>
            <w:tcBorders>
              <w:top w:val="single" w:sz="4" w:space="0" w:color="000000"/>
              <w:bottom w:val="single" w:sz="4" w:space="0" w:color="000000"/>
            </w:tcBorders>
            <w:shd w:val="clear" w:color="auto" w:fill="auto"/>
            <w:vAlign w:val="center"/>
          </w:tcPr>
          <w:p w14:paraId="212828E9"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Liu</w:t>
            </w:r>
            <w:proofErr w:type="spellEnd"/>
            <w:r w:rsidRPr="00BC10F2">
              <w:rPr>
                <w:rFonts w:asciiTheme="minorHAnsi" w:hAnsiTheme="minorHAnsi" w:cstheme="minorHAnsi"/>
              </w:rPr>
              <w:t xml:space="preserve"> 2008 </w:t>
            </w:r>
          </w:p>
        </w:tc>
        <w:tc>
          <w:tcPr>
            <w:tcW w:w="7423" w:type="dxa"/>
            <w:tcBorders>
              <w:top w:val="single" w:sz="4" w:space="0" w:color="000000"/>
              <w:bottom w:val="single" w:sz="4" w:space="0" w:color="000000"/>
            </w:tcBorders>
            <w:shd w:val="clear" w:color="auto" w:fill="auto"/>
            <w:vAlign w:val="center"/>
          </w:tcPr>
          <w:p w14:paraId="1CB635A2"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Kastner, M., Perrier, L., </w:t>
            </w:r>
            <w:proofErr w:type="spellStart"/>
            <w:r w:rsidRPr="00BC10F2">
              <w:rPr>
                <w:rFonts w:asciiTheme="minorHAnsi" w:hAnsiTheme="minorHAnsi" w:cstheme="minorHAnsi"/>
                <w:lang w:val="en-IN"/>
              </w:rPr>
              <w:t>Munce</w:t>
            </w:r>
            <w:proofErr w:type="spellEnd"/>
            <w:r w:rsidRPr="00BC10F2">
              <w:rPr>
                <w:rFonts w:asciiTheme="minorHAnsi" w:hAnsiTheme="minorHAnsi" w:cstheme="minorHAnsi"/>
                <w:lang w:val="en-IN"/>
              </w:rPr>
              <w:t xml:space="preserve">, S. E. P., </w:t>
            </w:r>
            <w:proofErr w:type="spellStart"/>
            <w:r w:rsidRPr="00BC10F2">
              <w:rPr>
                <w:rFonts w:asciiTheme="minorHAnsi" w:hAnsiTheme="minorHAnsi" w:cstheme="minorHAnsi"/>
                <w:lang w:val="en-IN"/>
              </w:rPr>
              <w:t>Adhihetty</w:t>
            </w:r>
            <w:proofErr w:type="spellEnd"/>
            <w:r w:rsidRPr="00BC10F2">
              <w:rPr>
                <w:rFonts w:asciiTheme="minorHAnsi" w:hAnsiTheme="minorHAnsi" w:cstheme="minorHAnsi"/>
                <w:lang w:val="en-IN"/>
              </w:rPr>
              <w:t xml:space="preserve">, C. C., Lau, A., Hamid, J., ... &amp; Straus, S. E. (2017). Complex interventions can increase osteoporosis investigations and treatment: a systematic review and meta-analysis. </w:t>
            </w:r>
            <w:proofErr w:type="spellStart"/>
            <w:r w:rsidRPr="00BC10F2">
              <w:rPr>
                <w:rFonts w:asciiTheme="minorHAnsi" w:hAnsiTheme="minorHAnsi" w:cstheme="minorHAnsi"/>
              </w:rPr>
              <w:t>Osteoporosis</w:t>
            </w:r>
            <w:proofErr w:type="spellEnd"/>
            <w:r w:rsidRPr="00BC10F2">
              <w:rPr>
                <w:rFonts w:asciiTheme="minorHAnsi" w:hAnsiTheme="minorHAnsi" w:cstheme="minorHAnsi"/>
              </w:rPr>
              <w:t xml:space="preserve"> International, 1-13 </w:t>
            </w:r>
          </w:p>
        </w:tc>
      </w:tr>
      <w:tr w:rsidR="00A80621" w:rsidRPr="00BC10F2" w14:paraId="71CE0C63" w14:textId="77777777">
        <w:trPr>
          <w:trHeight w:val="394"/>
        </w:trPr>
        <w:tc>
          <w:tcPr>
            <w:tcW w:w="1648" w:type="dxa"/>
            <w:tcBorders>
              <w:top w:val="single" w:sz="4" w:space="0" w:color="000000"/>
              <w:bottom w:val="single" w:sz="4" w:space="0" w:color="000000"/>
            </w:tcBorders>
            <w:shd w:val="clear" w:color="auto" w:fill="auto"/>
            <w:vAlign w:val="center"/>
          </w:tcPr>
          <w:p w14:paraId="120DFD96"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Marques 2015 </w:t>
            </w:r>
          </w:p>
        </w:tc>
        <w:tc>
          <w:tcPr>
            <w:tcW w:w="7423" w:type="dxa"/>
            <w:tcBorders>
              <w:top w:val="single" w:sz="4" w:space="0" w:color="000000"/>
              <w:bottom w:val="single" w:sz="4" w:space="0" w:color="000000"/>
            </w:tcBorders>
            <w:shd w:val="clear" w:color="auto" w:fill="auto"/>
            <w:vAlign w:val="center"/>
          </w:tcPr>
          <w:p w14:paraId="3DC60C2E"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Liu, H., Paige, N. M., </w:t>
            </w:r>
            <w:proofErr w:type="spellStart"/>
            <w:r w:rsidRPr="00BC10F2">
              <w:rPr>
                <w:rFonts w:asciiTheme="minorHAnsi" w:hAnsiTheme="minorHAnsi" w:cstheme="minorHAnsi"/>
                <w:lang w:val="en-IN"/>
              </w:rPr>
              <w:t>Goldzweig</w:t>
            </w:r>
            <w:proofErr w:type="spellEnd"/>
            <w:r w:rsidRPr="00BC10F2">
              <w:rPr>
                <w:rFonts w:asciiTheme="minorHAnsi" w:hAnsiTheme="minorHAnsi" w:cstheme="minorHAnsi"/>
                <w:lang w:val="en-IN"/>
              </w:rPr>
              <w:t xml:space="preserve">, C. L., Wong, E., Zhou, A., </w:t>
            </w:r>
            <w:proofErr w:type="spellStart"/>
            <w:r w:rsidRPr="00BC10F2">
              <w:rPr>
                <w:rFonts w:asciiTheme="minorHAnsi" w:hAnsiTheme="minorHAnsi" w:cstheme="minorHAnsi"/>
                <w:lang w:val="en-IN"/>
              </w:rPr>
              <w:t>Suttorp</w:t>
            </w:r>
            <w:proofErr w:type="spellEnd"/>
            <w:r w:rsidRPr="00BC10F2">
              <w:rPr>
                <w:rFonts w:asciiTheme="minorHAnsi" w:hAnsiTheme="minorHAnsi" w:cstheme="minorHAnsi"/>
                <w:lang w:val="en-IN"/>
              </w:rPr>
              <w:t xml:space="preserve">, M. J., ... &amp; </w:t>
            </w:r>
            <w:proofErr w:type="spellStart"/>
            <w:r w:rsidRPr="00BC10F2">
              <w:rPr>
                <w:rFonts w:asciiTheme="minorHAnsi" w:hAnsiTheme="minorHAnsi" w:cstheme="minorHAnsi"/>
                <w:lang w:val="en-IN"/>
              </w:rPr>
              <w:t>Shekelle</w:t>
            </w:r>
            <w:proofErr w:type="spellEnd"/>
            <w:r w:rsidRPr="00BC10F2">
              <w:rPr>
                <w:rFonts w:asciiTheme="minorHAnsi" w:hAnsiTheme="minorHAnsi" w:cstheme="minorHAnsi"/>
                <w:lang w:val="en-IN"/>
              </w:rPr>
              <w:t xml:space="preserve">, P. (2008). Screening for Osteoporosis in Men: A Systematic Review for an American College of Physicians </w:t>
            </w:r>
            <w:proofErr w:type="spellStart"/>
            <w:r w:rsidRPr="00BC10F2">
              <w:rPr>
                <w:rFonts w:asciiTheme="minorHAnsi" w:hAnsiTheme="minorHAnsi" w:cstheme="minorHAnsi"/>
                <w:lang w:val="en-IN"/>
              </w:rPr>
              <w:t>GuidelineMale</w:t>
            </w:r>
            <w:proofErr w:type="spellEnd"/>
            <w:r w:rsidRPr="00BC10F2">
              <w:rPr>
                <w:rFonts w:asciiTheme="minorHAnsi" w:hAnsiTheme="minorHAnsi" w:cstheme="minorHAnsi"/>
                <w:lang w:val="en-IN"/>
              </w:rPr>
              <w:t xml:space="preserve"> Osteoporosis Screening. </w:t>
            </w:r>
            <w:proofErr w:type="spellStart"/>
            <w:r w:rsidRPr="00BC10F2">
              <w:rPr>
                <w:rFonts w:asciiTheme="minorHAnsi" w:hAnsiTheme="minorHAnsi" w:cstheme="minorHAnsi"/>
              </w:rPr>
              <w:t>Annals</w:t>
            </w:r>
            <w:proofErr w:type="spellEnd"/>
            <w:r w:rsidRPr="00BC10F2">
              <w:rPr>
                <w:rFonts w:asciiTheme="minorHAnsi" w:hAnsiTheme="minorHAnsi" w:cstheme="minorHAnsi"/>
              </w:rPr>
              <w:t xml:space="preserve"> of </w:t>
            </w:r>
            <w:proofErr w:type="spellStart"/>
            <w:r w:rsidRPr="00BC10F2">
              <w:rPr>
                <w:rFonts w:asciiTheme="minorHAnsi" w:hAnsiTheme="minorHAnsi" w:cstheme="minorHAnsi"/>
              </w:rPr>
              <w:t>Internal</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Medicine</w:t>
            </w:r>
            <w:proofErr w:type="spellEnd"/>
            <w:r w:rsidRPr="00BC10F2">
              <w:rPr>
                <w:rFonts w:asciiTheme="minorHAnsi" w:hAnsiTheme="minorHAnsi" w:cstheme="minorHAnsi"/>
              </w:rPr>
              <w:t xml:space="preserve">, 148(9), 685-701 </w:t>
            </w:r>
          </w:p>
        </w:tc>
      </w:tr>
      <w:tr w:rsidR="00A80621" w:rsidRPr="00BC10F2" w14:paraId="22D491E7" w14:textId="77777777">
        <w:trPr>
          <w:trHeight w:val="292"/>
        </w:trPr>
        <w:tc>
          <w:tcPr>
            <w:tcW w:w="1648" w:type="dxa"/>
            <w:tcBorders>
              <w:top w:val="single" w:sz="4" w:space="0" w:color="000000"/>
              <w:bottom w:val="single" w:sz="4" w:space="0" w:color="000000"/>
            </w:tcBorders>
            <w:shd w:val="clear" w:color="auto" w:fill="auto"/>
            <w:vAlign w:val="center"/>
          </w:tcPr>
          <w:p w14:paraId="08BE1D57"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Merlijn</w:t>
            </w:r>
            <w:proofErr w:type="spellEnd"/>
            <w:r w:rsidRPr="00BC10F2">
              <w:rPr>
                <w:rFonts w:asciiTheme="minorHAnsi" w:hAnsiTheme="minorHAnsi" w:cstheme="minorHAnsi"/>
              </w:rPr>
              <w:t xml:space="preserve"> 2018 </w:t>
            </w:r>
          </w:p>
        </w:tc>
        <w:tc>
          <w:tcPr>
            <w:tcW w:w="7423" w:type="dxa"/>
            <w:tcBorders>
              <w:top w:val="single" w:sz="4" w:space="0" w:color="000000"/>
              <w:bottom w:val="single" w:sz="4" w:space="0" w:color="000000"/>
            </w:tcBorders>
            <w:shd w:val="clear" w:color="auto" w:fill="auto"/>
            <w:vAlign w:val="center"/>
          </w:tcPr>
          <w:p w14:paraId="00785153"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fr-FR"/>
              </w:rPr>
              <w:t xml:space="preserve">Marques, A., Ferreira, R. J., Santos, E., Loza, E., Carmona, L., &amp; da Silva, J. A. P. (2015). </w:t>
            </w:r>
            <w:r w:rsidRPr="00BC10F2">
              <w:rPr>
                <w:rFonts w:asciiTheme="minorHAnsi" w:hAnsiTheme="minorHAnsi" w:cstheme="minorHAnsi"/>
                <w:lang w:val="en-IN"/>
              </w:rPr>
              <w:t xml:space="preserve">The accuracy of osteoporotic fracture risk prediction tools: a systematic review and meta-analysis. </w:t>
            </w:r>
            <w:proofErr w:type="spellStart"/>
            <w:r w:rsidRPr="00BC10F2">
              <w:rPr>
                <w:rFonts w:asciiTheme="minorHAnsi" w:hAnsiTheme="minorHAnsi" w:cstheme="minorHAnsi"/>
              </w:rPr>
              <w:t>Annals</w:t>
            </w:r>
            <w:proofErr w:type="spellEnd"/>
            <w:r w:rsidRPr="00BC10F2">
              <w:rPr>
                <w:rFonts w:asciiTheme="minorHAnsi" w:hAnsiTheme="minorHAnsi" w:cstheme="minorHAnsi"/>
              </w:rPr>
              <w:t xml:space="preserve"> of the </w:t>
            </w:r>
            <w:proofErr w:type="spellStart"/>
            <w:r w:rsidRPr="00BC10F2">
              <w:rPr>
                <w:rFonts w:asciiTheme="minorHAnsi" w:hAnsiTheme="minorHAnsi" w:cstheme="minorHAnsi"/>
              </w:rPr>
              <w:t>rheumatic</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diseases</w:t>
            </w:r>
            <w:proofErr w:type="spellEnd"/>
            <w:r w:rsidRPr="00BC10F2">
              <w:rPr>
                <w:rFonts w:asciiTheme="minorHAnsi" w:hAnsiTheme="minorHAnsi" w:cstheme="minorHAnsi"/>
              </w:rPr>
              <w:t xml:space="preserve">, annrheumdis-2015 </w:t>
            </w:r>
          </w:p>
        </w:tc>
      </w:tr>
      <w:tr w:rsidR="00A80621" w:rsidRPr="00BC10F2" w14:paraId="0FCF664E" w14:textId="77777777">
        <w:trPr>
          <w:trHeight w:val="292"/>
        </w:trPr>
        <w:tc>
          <w:tcPr>
            <w:tcW w:w="1648" w:type="dxa"/>
            <w:tcBorders>
              <w:top w:val="single" w:sz="4" w:space="0" w:color="000000"/>
              <w:bottom w:val="single" w:sz="4" w:space="0" w:color="000000"/>
            </w:tcBorders>
            <w:shd w:val="clear" w:color="auto" w:fill="auto"/>
            <w:vAlign w:val="center"/>
          </w:tcPr>
          <w:p w14:paraId="4FEE1FF6"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Misiorowski</w:t>
            </w:r>
            <w:proofErr w:type="spellEnd"/>
            <w:r w:rsidRPr="00BC10F2">
              <w:rPr>
                <w:rFonts w:asciiTheme="minorHAnsi" w:hAnsiTheme="minorHAnsi" w:cstheme="minorHAnsi"/>
              </w:rPr>
              <w:t xml:space="preserve"> 2013 </w:t>
            </w:r>
          </w:p>
        </w:tc>
        <w:tc>
          <w:tcPr>
            <w:tcW w:w="7423" w:type="dxa"/>
            <w:tcBorders>
              <w:top w:val="single" w:sz="4" w:space="0" w:color="000000"/>
              <w:bottom w:val="single" w:sz="4" w:space="0" w:color="000000"/>
            </w:tcBorders>
            <w:shd w:val="clear" w:color="auto" w:fill="auto"/>
            <w:vAlign w:val="center"/>
          </w:tcPr>
          <w:p w14:paraId="7D4D0BEC"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rPr>
              <w:t>Misiorowski</w:t>
            </w:r>
            <w:proofErr w:type="spellEnd"/>
            <w:r w:rsidRPr="00BC10F2">
              <w:rPr>
                <w:rFonts w:asciiTheme="minorHAnsi" w:hAnsiTheme="minorHAnsi" w:cstheme="minorHAnsi"/>
              </w:rPr>
              <w:t xml:space="preserve"> W., Głuszko P. (2013). Rozpoznawanie, prewencja i leczenie osteoporozy u mężczyzn. Podsumowanie wytycznych The </w:t>
            </w:r>
            <w:proofErr w:type="spellStart"/>
            <w:r w:rsidRPr="00BC10F2">
              <w:rPr>
                <w:rFonts w:asciiTheme="minorHAnsi" w:hAnsiTheme="minorHAnsi" w:cstheme="minorHAnsi"/>
              </w:rPr>
              <w:t>Endocrine</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Society</w:t>
            </w:r>
            <w:proofErr w:type="spellEnd"/>
            <w:r w:rsidRPr="00BC10F2">
              <w:rPr>
                <w:rFonts w:asciiTheme="minorHAnsi" w:hAnsiTheme="minorHAnsi" w:cstheme="minorHAnsi"/>
              </w:rPr>
              <w:t xml:space="preserve"> 2012. Pozyskano z: https://www.mp.pl/reumatologia/wytyczne/78861,rozpoznawanie-prewencja-i-leczenie-osteoporozy-u-mezczyzn-podsumowanie-wytycznych-the-endocrine-society-2012,1; dostęp z 23.08.2018. </w:t>
            </w:r>
          </w:p>
        </w:tc>
      </w:tr>
      <w:tr w:rsidR="00A80621" w:rsidRPr="00433CBA" w14:paraId="1BE8B5A3" w14:textId="77777777">
        <w:trPr>
          <w:trHeight w:val="394"/>
        </w:trPr>
        <w:tc>
          <w:tcPr>
            <w:tcW w:w="1648" w:type="dxa"/>
            <w:tcBorders>
              <w:top w:val="single" w:sz="4" w:space="0" w:color="000000"/>
              <w:bottom w:val="single" w:sz="4" w:space="0" w:color="000000"/>
            </w:tcBorders>
            <w:shd w:val="clear" w:color="auto" w:fill="auto"/>
            <w:vAlign w:val="center"/>
          </w:tcPr>
          <w:p w14:paraId="229484B2"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Moayyeri</w:t>
            </w:r>
            <w:proofErr w:type="spellEnd"/>
            <w:r w:rsidRPr="00BC10F2">
              <w:rPr>
                <w:rFonts w:asciiTheme="minorHAnsi" w:hAnsiTheme="minorHAnsi" w:cstheme="minorHAnsi"/>
              </w:rPr>
              <w:t xml:space="preserve"> 2011 </w:t>
            </w:r>
          </w:p>
        </w:tc>
        <w:tc>
          <w:tcPr>
            <w:tcW w:w="7423" w:type="dxa"/>
            <w:tcBorders>
              <w:top w:val="single" w:sz="4" w:space="0" w:color="000000"/>
              <w:bottom w:val="single" w:sz="4" w:space="0" w:color="000000"/>
            </w:tcBorders>
            <w:shd w:val="clear" w:color="auto" w:fill="auto"/>
            <w:vAlign w:val="center"/>
          </w:tcPr>
          <w:p w14:paraId="36B369A5" w14:textId="77777777" w:rsidR="00A80621" w:rsidRPr="00BC10F2" w:rsidRDefault="007941FC">
            <w:pPr>
              <w:pStyle w:val="Tabela-TekstpodstawowyDolewej"/>
              <w:widowControl w:val="0"/>
              <w:rPr>
                <w:rFonts w:asciiTheme="minorHAnsi" w:hAnsiTheme="minorHAnsi" w:cstheme="minorHAnsi"/>
                <w:lang w:val="en-IN"/>
              </w:rPr>
            </w:pPr>
            <w:proofErr w:type="spellStart"/>
            <w:r w:rsidRPr="00BC10F2">
              <w:rPr>
                <w:rFonts w:asciiTheme="minorHAnsi" w:hAnsiTheme="minorHAnsi" w:cstheme="minorHAnsi"/>
                <w:lang w:val="en-IN"/>
              </w:rPr>
              <w:t>Merlijn</w:t>
            </w:r>
            <w:proofErr w:type="spellEnd"/>
            <w:r w:rsidRPr="00BC10F2">
              <w:rPr>
                <w:rFonts w:asciiTheme="minorHAnsi" w:hAnsiTheme="minorHAnsi" w:cstheme="minorHAnsi"/>
                <w:lang w:val="en-IN"/>
              </w:rPr>
              <w:t xml:space="preserve"> T, Swart K, </w:t>
            </w:r>
            <w:proofErr w:type="spellStart"/>
            <w:r w:rsidRPr="00BC10F2">
              <w:rPr>
                <w:rFonts w:asciiTheme="minorHAnsi" w:hAnsiTheme="minorHAnsi" w:cstheme="minorHAnsi"/>
                <w:lang w:val="en-IN"/>
              </w:rPr>
              <w:t>Netelenbos</w:t>
            </w:r>
            <w:proofErr w:type="spellEnd"/>
            <w:r w:rsidRPr="00BC10F2">
              <w:rPr>
                <w:rFonts w:asciiTheme="minorHAnsi" w:hAnsiTheme="minorHAnsi" w:cstheme="minorHAnsi"/>
                <w:lang w:val="en-IN"/>
              </w:rPr>
              <w:t xml:space="preserve"> C, Elders P (2018). Screening of high fracture risk in primary care to reduce fractures: the SALT Osteoporosis Study a randomized trial. Conference: 45th </w:t>
            </w:r>
            <w:proofErr w:type="spellStart"/>
            <w:r w:rsidRPr="00BC10F2">
              <w:rPr>
                <w:rFonts w:asciiTheme="minorHAnsi" w:hAnsiTheme="minorHAnsi" w:cstheme="minorHAnsi"/>
                <w:lang w:val="en-IN"/>
              </w:rPr>
              <w:t>european</w:t>
            </w:r>
            <w:proofErr w:type="spellEnd"/>
            <w:r w:rsidRPr="00BC10F2">
              <w:rPr>
                <w:rFonts w:asciiTheme="minorHAnsi" w:hAnsiTheme="minorHAnsi" w:cstheme="minorHAnsi"/>
                <w:lang w:val="en-IN"/>
              </w:rPr>
              <w:t xml:space="preserve"> calcified tissue society congress, ECTS 2018. Spain, 2018, 102(1 Supplement 1), S17 </w:t>
            </w:r>
          </w:p>
        </w:tc>
      </w:tr>
      <w:tr w:rsidR="00A80621" w:rsidRPr="00BC10F2" w14:paraId="5467EEFD" w14:textId="77777777">
        <w:trPr>
          <w:trHeight w:val="292"/>
        </w:trPr>
        <w:tc>
          <w:tcPr>
            <w:tcW w:w="1648" w:type="dxa"/>
            <w:tcBorders>
              <w:top w:val="single" w:sz="4" w:space="0" w:color="000000"/>
              <w:bottom w:val="single" w:sz="4" w:space="0" w:color="000000"/>
            </w:tcBorders>
            <w:shd w:val="clear" w:color="auto" w:fill="auto"/>
            <w:vAlign w:val="center"/>
          </w:tcPr>
          <w:p w14:paraId="498CE7C2"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Morfeld</w:t>
            </w:r>
            <w:proofErr w:type="spellEnd"/>
            <w:r w:rsidRPr="00BC10F2">
              <w:rPr>
                <w:rFonts w:asciiTheme="minorHAnsi" w:hAnsiTheme="minorHAnsi" w:cstheme="minorHAnsi"/>
              </w:rPr>
              <w:t xml:space="preserve"> 2017 </w:t>
            </w:r>
          </w:p>
        </w:tc>
        <w:tc>
          <w:tcPr>
            <w:tcW w:w="7423" w:type="dxa"/>
            <w:tcBorders>
              <w:top w:val="single" w:sz="4" w:space="0" w:color="000000"/>
              <w:bottom w:val="single" w:sz="4" w:space="0" w:color="000000"/>
            </w:tcBorders>
            <w:shd w:val="clear" w:color="auto" w:fill="auto"/>
            <w:vAlign w:val="center"/>
          </w:tcPr>
          <w:p w14:paraId="3DA3EA7F"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Moayyeri</w:t>
            </w:r>
            <w:proofErr w:type="spellEnd"/>
            <w:r w:rsidRPr="00BC10F2">
              <w:rPr>
                <w:rFonts w:asciiTheme="minorHAnsi" w:hAnsiTheme="minorHAnsi" w:cstheme="minorHAnsi"/>
                <w:lang w:val="en-IN"/>
              </w:rPr>
              <w:t xml:space="preserve">, A., Adams, J., Adler, R., Blake, G., Krieg, M. A., Hans, D., ... &amp; </w:t>
            </w:r>
            <w:proofErr w:type="spellStart"/>
            <w:r w:rsidRPr="00BC10F2">
              <w:rPr>
                <w:rFonts w:asciiTheme="minorHAnsi" w:hAnsiTheme="minorHAnsi" w:cstheme="minorHAnsi"/>
                <w:lang w:val="en-IN"/>
              </w:rPr>
              <w:t>Lewiecki</w:t>
            </w:r>
            <w:proofErr w:type="spellEnd"/>
            <w:r w:rsidRPr="00BC10F2">
              <w:rPr>
                <w:rFonts w:asciiTheme="minorHAnsi" w:hAnsiTheme="minorHAnsi" w:cstheme="minorHAnsi"/>
                <w:lang w:val="en-IN"/>
              </w:rPr>
              <w:t xml:space="preserve">, E. M. (2011). Quantitative ultrasound of the heel and fracture risk assessment: an updated meta-analysis. </w:t>
            </w:r>
            <w:r w:rsidRPr="00BC10F2">
              <w:rPr>
                <w:rFonts w:asciiTheme="minorHAnsi" w:hAnsiTheme="minorHAnsi" w:cstheme="minorHAnsi"/>
              </w:rPr>
              <w:t xml:space="preserve">In OSTEOPOROSIS INTERNATIONAL (Vol. 22, pp. 98-99) </w:t>
            </w:r>
          </w:p>
        </w:tc>
      </w:tr>
      <w:tr w:rsidR="00A80621" w:rsidRPr="00BC10F2" w14:paraId="2A300D4B" w14:textId="77777777">
        <w:trPr>
          <w:trHeight w:val="292"/>
        </w:trPr>
        <w:tc>
          <w:tcPr>
            <w:tcW w:w="1648" w:type="dxa"/>
            <w:tcBorders>
              <w:top w:val="single" w:sz="4" w:space="0" w:color="000000"/>
              <w:bottom w:val="single" w:sz="4" w:space="0" w:color="000000"/>
            </w:tcBorders>
            <w:shd w:val="clear" w:color="auto" w:fill="auto"/>
            <w:vAlign w:val="center"/>
          </w:tcPr>
          <w:p w14:paraId="32484C7B"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MPZ 2018 </w:t>
            </w:r>
          </w:p>
        </w:tc>
        <w:tc>
          <w:tcPr>
            <w:tcW w:w="7423" w:type="dxa"/>
            <w:tcBorders>
              <w:top w:val="single" w:sz="4" w:space="0" w:color="000000"/>
              <w:bottom w:val="single" w:sz="4" w:space="0" w:color="000000"/>
            </w:tcBorders>
            <w:shd w:val="clear" w:color="auto" w:fill="auto"/>
            <w:vAlign w:val="center"/>
          </w:tcPr>
          <w:p w14:paraId="1AAAEC18"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MPZ (2018). Mapy potrzeb zdrowotnych w zakresie chorób układu kostno-mięśniowego. Pozyskano z: http://www.mpz.mz.gov.pl/mapy-dla-30-grup-chorob/, dostęp z 06.08.2018 </w:t>
            </w:r>
          </w:p>
        </w:tc>
      </w:tr>
      <w:tr w:rsidR="00A80621" w:rsidRPr="00BC10F2" w14:paraId="28FFC25E" w14:textId="77777777">
        <w:trPr>
          <w:trHeight w:val="292"/>
        </w:trPr>
        <w:tc>
          <w:tcPr>
            <w:tcW w:w="1648" w:type="dxa"/>
            <w:tcBorders>
              <w:top w:val="single" w:sz="4" w:space="0" w:color="000000"/>
              <w:bottom w:val="single" w:sz="4" w:space="0" w:color="000000"/>
            </w:tcBorders>
            <w:shd w:val="clear" w:color="auto" w:fill="auto"/>
            <w:vAlign w:val="center"/>
          </w:tcPr>
          <w:p w14:paraId="107AAF0C"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Mueller 2009 </w:t>
            </w:r>
          </w:p>
        </w:tc>
        <w:tc>
          <w:tcPr>
            <w:tcW w:w="7423" w:type="dxa"/>
            <w:tcBorders>
              <w:top w:val="single" w:sz="4" w:space="0" w:color="000000"/>
              <w:bottom w:val="single" w:sz="4" w:space="0" w:color="000000"/>
            </w:tcBorders>
            <w:shd w:val="clear" w:color="auto" w:fill="auto"/>
            <w:vAlign w:val="center"/>
          </w:tcPr>
          <w:p w14:paraId="4D9A06B2"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Mueller, D., &amp; </w:t>
            </w:r>
            <w:proofErr w:type="spellStart"/>
            <w:r w:rsidRPr="00BC10F2">
              <w:rPr>
                <w:rFonts w:asciiTheme="minorHAnsi" w:hAnsiTheme="minorHAnsi" w:cstheme="minorHAnsi"/>
                <w:lang w:val="en-IN"/>
              </w:rPr>
              <w:t>Gandjour</w:t>
            </w:r>
            <w:proofErr w:type="spellEnd"/>
            <w:r w:rsidRPr="00BC10F2">
              <w:rPr>
                <w:rFonts w:asciiTheme="minorHAnsi" w:hAnsiTheme="minorHAnsi" w:cstheme="minorHAnsi"/>
                <w:lang w:val="en-IN"/>
              </w:rPr>
              <w:t xml:space="preserve">, A. (2009). Cost‐Effectiveness of Using Clinical Risk Factors with and without DXA for Osteoporosis Screening in Postmenopausal Women. Value in Health, 12(8), 1106-1117 </w:t>
            </w:r>
          </w:p>
        </w:tc>
      </w:tr>
      <w:tr w:rsidR="00A80621" w:rsidRPr="00BC10F2" w14:paraId="1CA97FC9" w14:textId="77777777">
        <w:trPr>
          <w:trHeight w:val="292"/>
        </w:trPr>
        <w:tc>
          <w:tcPr>
            <w:tcW w:w="1648" w:type="dxa"/>
            <w:tcBorders>
              <w:top w:val="single" w:sz="4" w:space="0" w:color="000000"/>
              <w:bottom w:val="single" w:sz="4" w:space="0" w:color="000000"/>
            </w:tcBorders>
            <w:shd w:val="clear" w:color="auto" w:fill="auto"/>
            <w:vAlign w:val="center"/>
          </w:tcPr>
          <w:p w14:paraId="76D0529B"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lastRenderedPageBreak/>
              <w:t>Nayak</w:t>
            </w:r>
            <w:proofErr w:type="spellEnd"/>
            <w:r w:rsidRPr="00BC10F2">
              <w:rPr>
                <w:rFonts w:asciiTheme="minorHAnsi" w:hAnsiTheme="minorHAnsi" w:cstheme="minorHAnsi"/>
              </w:rPr>
              <w:t xml:space="preserve"> 2014 </w:t>
            </w:r>
          </w:p>
        </w:tc>
        <w:tc>
          <w:tcPr>
            <w:tcW w:w="7423" w:type="dxa"/>
            <w:tcBorders>
              <w:top w:val="single" w:sz="4" w:space="0" w:color="000000"/>
              <w:bottom w:val="single" w:sz="4" w:space="0" w:color="000000"/>
            </w:tcBorders>
            <w:shd w:val="clear" w:color="auto" w:fill="auto"/>
            <w:vAlign w:val="center"/>
          </w:tcPr>
          <w:p w14:paraId="30FE08EF"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Nayak, S., Edwards, D. L., Saleh, A. A., &amp; Greenspan, S. L. (2014). Performance of risk assessment instruments for predicting osteoporotic fracture risk: a systematic review. Osteoporosis International, 25(1), 23-49 </w:t>
            </w:r>
          </w:p>
        </w:tc>
      </w:tr>
      <w:tr w:rsidR="00A80621" w:rsidRPr="00BC10F2" w14:paraId="7B10F5D2" w14:textId="77777777">
        <w:trPr>
          <w:trHeight w:val="292"/>
        </w:trPr>
        <w:tc>
          <w:tcPr>
            <w:tcW w:w="1648" w:type="dxa"/>
            <w:tcBorders>
              <w:top w:val="single" w:sz="4" w:space="0" w:color="000000"/>
              <w:bottom w:val="single" w:sz="4" w:space="0" w:color="000000"/>
            </w:tcBorders>
            <w:shd w:val="clear" w:color="auto" w:fill="auto"/>
            <w:vAlign w:val="center"/>
          </w:tcPr>
          <w:p w14:paraId="2D97F605"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Nayak</w:t>
            </w:r>
            <w:proofErr w:type="spellEnd"/>
            <w:r w:rsidRPr="00BC10F2">
              <w:rPr>
                <w:rFonts w:asciiTheme="minorHAnsi" w:hAnsiTheme="minorHAnsi" w:cstheme="minorHAnsi"/>
              </w:rPr>
              <w:t xml:space="preserve"> 2015 </w:t>
            </w:r>
          </w:p>
        </w:tc>
        <w:tc>
          <w:tcPr>
            <w:tcW w:w="7423" w:type="dxa"/>
            <w:tcBorders>
              <w:top w:val="single" w:sz="4" w:space="0" w:color="000000"/>
              <w:bottom w:val="single" w:sz="4" w:space="0" w:color="000000"/>
            </w:tcBorders>
            <w:shd w:val="clear" w:color="auto" w:fill="auto"/>
            <w:vAlign w:val="center"/>
          </w:tcPr>
          <w:p w14:paraId="39C5F9E7"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Nayak, S., Edwards, D. L., Saleh, A. A., &amp; Greenspan, S. L. (2015). Systematic review and meta-analysis of the performance of clinical risk assessment instruments for screening for osteoporosis or low bone density. Osteoporosis International, 26(5), 1543-1554 </w:t>
            </w:r>
          </w:p>
        </w:tc>
      </w:tr>
      <w:tr w:rsidR="00A80621" w:rsidRPr="00BC10F2" w14:paraId="417433CB" w14:textId="77777777">
        <w:trPr>
          <w:trHeight w:val="292"/>
        </w:trPr>
        <w:tc>
          <w:tcPr>
            <w:tcW w:w="1648" w:type="dxa"/>
            <w:tcBorders>
              <w:top w:val="single" w:sz="4" w:space="0" w:color="000000"/>
              <w:bottom w:val="single" w:sz="4" w:space="0" w:color="000000"/>
            </w:tcBorders>
            <w:shd w:val="clear" w:color="auto" w:fill="auto"/>
            <w:vAlign w:val="center"/>
          </w:tcPr>
          <w:p w14:paraId="54B37080"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Nayak</w:t>
            </w:r>
            <w:proofErr w:type="spellEnd"/>
            <w:r w:rsidRPr="00BC10F2">
              <w:rPr>
                <w:rFonts w:asciiTheme="minorHAnsi" w:hAnsiTheme="minorHAnsi" w:cstheme="minorHAnsi"/>
              </w:rPr>
              <w:t xml:space="preserve"> 2018 </w:t>
            </w:r>
          </w:p>
        </w:tc>
        <w:tc>
          <w:tcPr>
            <w:tcW w:w="7423" w:type="dxa"/>
            <w:tcBorders>
              <w:top w:val="single" w:sz="4" w:space="0" w:color="000000"/>
              <w:bottom w:val="single" w:sz="4" w:space="0" w:color="000000"/>
            </w:tcBorders>
            <w:shd w:val="clear" w:color="auto" w:fill="auto"/>
            <w:vAlign w:val="center"/>
          </w:tcPr>
          <w:p w14:paraId="02EFB80B"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Nayak, S., &amp; Greenspan, S. L. (2018). How Can We Improve Osteoporosis Care? A Systematic Review and Meta‐Analysis of the Efficacy of Quality Improvement Strategies for Osteoporosis. Journal of Bone and Mineral Research </w:t>
            </w:r>
          </w:p>
        </w:tc>
      </w:tr>
      <w:tr w:rsidR="00A80621" w:rsidRPr="00BC10F2" w14:paraId="4083E98C" w14:textId="77777777">
        <w:trPr>
          <w:trHeight w:val="292"/>
        </w:trPr>
        <w:tc>
          <w:tcPr>
            <w:tcW w:w="1648" w:type="dxa"/>
            <w:tcBorders>
              <w:top w:val="single" w:sz="4" w:space="0" w:color="000000"/>
              <w:bottom w:val="single" w:sz="4" w:space="0" w:color="000000"/>
            </w:tcBorders>
            <w:shd w:val="clear" w:color="auto" w:fill="auto"/>
            <w:vAlign w:val="center"/>
          </w:tcPr>
          <w:p w14:paraId="21F3DCA0"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NFZ o Zdrowiu. Osteoporoza </w:t>
            </w:r>
          </w:p>
        </w:tc>
        <w:tc>
          <w:tcPr>
            <w:tcW w:w="7423" w:type="dxa"/>
            <w:tcBorders>
              <w:top w:val="single" w:sz="4" w:space="0" w:color="000000"/>
              <w:bottom w:val="single" w:sz="4" w:space="0" w:color="000000"/>
            </w:tcBorders>
            <w:shd w:val="clear" w:color="auto" w:fill="auto"/>
            <w:vAlign w:val="center"/>
          </w:tcPr>
          <w:p w14:paraId="2363A37E"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NFZ o zdrowiu, Osteoporoza, Centrala Narodowego Funduszu Zdrowia Departament Analiz i Strategii, Warszawa 2019 (https://ezdrowie.gov.pl/portal/home/badania-i-dane/zdrowe-dane/raporty/nfz-o-zdrowiu-osteoporoza?modSingleId=37208_</w:t>
            </w:r>
          </w:p>
        </w:tc>
      </w:tr>
      <w:tr w:rsidR="00A80621" w:rsidRPr="00433CBA" w14:paraId="72A0B821" w14:textId="77777777">
        <w:trPr>
          <w:trHeight w:val="292"/>
        </w:trPr>
        <w:tc>
          <w:tcPr>
            <w:tcW w:w="1648" w:type="dxa"/>
            <w:tcBorders>
              <w:top w:val="single" w:sz="4" w:space="0" w:color="000000"/>
              <w:bottom w:val="single" w:sz="4" w:space="0" w:color="000000"/>
            </w:tcBorders>
            <w:shd w:val="clear" w:color="auto" w:fill="auto"/>
            <w:vAlign w:val="center"/>
          </w:tcPr>
          <w:p w14:paraId="1FA3725C"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Orchard</w:t>
            </w:r>
            <w:proofErr w:type="spellEnd"/>
            <w:r w:rsidRPr="00BC10F2">
              <w:rPr>
                <w:rFonts w:asciiTheme="minorHAnsi" w:hAnsiTheme="minorHAnsi" w:cstheme="minorHAnsi"/>
              </w:rPr>
              <w:t xml:space="preserve"> 2012 </w:t>
            </w:r>
          </w:p>
        </w:tc>
        <w:tc>
          <w:tcPr>
            <w:tcW w:w="7423" w:type="dxa"/>
            <w:tcBorders>
              <w:top w:val="single" w:sz="4" w:space="0" w:color="000000"/>
              <w:bottom w:val="single" w:sz="4" w:space="0" w:color="000000"/>
            </w:tcBorders>
            <w:shd w:val="clear" w:color="auto" w:fill="auto"/>
            <w:vAlign w:val="center"/>
          </w:tcPr>
          <w:p w14:paraId="5C66E65F"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 xml:space="preserve">Orchard, T. S., Pan, X., Cheek, F., Ing, S. W., &amp; Jackson, R. D. (2012). A systematic review of omega-3 fatty acids and osteoporosis. British Journal of Nutrition, 107(S2), S253-S260 </w:t>
            </w:r>
          </w:p>
        </w:tc>
      </w:tr>
      <w:tr w:rsidR="00A80621" w:rsidRPr="00BC10F2" w14:paraId="289D36A2" w14:textId="77777777">
        <w:trPr>
          <w:trHeight w:val="292"/>
        </w:trPr>
        <w:tc>
          <w:tcPr>
            <w:tcW w:w="1648" w:type="dxa"/>
            <w:tcBorders>
              <w:top w:val="single" w:sz="4" w:space="0" w:color="000000"/>
              <w:bottom w:val="single" w:sz="4" w:space="0" w:color="000000"/>
            </w:tcBorders>
            <w:shd w:val="clear" w:color="auto" w:fill="auto"/>
            <w:vAlign w:val="center"/>
          </w:tcPr>
          <w:p w14:paraId="1AC4C03A"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Posadzki 2016 </w:t>
            </w:r>
          </w:p>
        </w:tc>
        <w:tc>
          <w:tcPr>
            <w:tcW w:w="7423" w:type="dxa"/>
            <w:tcBorders>
              <w:top w:val="single" w:sz="4" w:space="0" w:color="000000"/>
              <w:bottom w:val="single" w:sz="4" w:space="0" w:color="000000"/>
            </w:tcBorders>
            <w:shd w:val="clear" w:color="auto" w:fill="auto"/>
            <w:vAlign w:val="center"/>
          </w:tcPr>
          <w:p w14:paraId="090F3CD4"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Posadzki</w:t>
            </w:r>
            <w:proofErr w:type="spellEnd"/>
            <w:r w:rsidRPr="00BC10F2">
              <w:rPr>
                <w:rFonts w:asciiTheme="minorHAnsi" w:hAnsiTheme="minorHAnsi" w:cstheme="minorHAnsi"/>
                <w:lang w:val="en-IN"/>
              </w:rPr>
              <w:t xml:space="preserve">, P., </w:t>
            </w:r>
            <w:proofErr w:type="spellStart"/>
            <w:r w:rsidRPr="00BC10F2">
              <w:rPr>
                <w:rFonts w:asciiTheme="minorHAnsi" w:hAnsiTheme="minorHAnsi" w:cstheme="minorHAnsi"/>
                <w:lang w:val="en-IN"/>
              </w:rPr>
              <w:t>Mastellos</w:t>
            </w:r>
            <w:proofErr w:type="spellEnd"/>
            <w:r w:rsidRPr="00BC10F2">
              <w:rPr>
                <w:rFonts w:asciiTheme="minorHAnsi" w:hAnsiTheme="minorHAnsi" w:cstheme="minorHAnsi"/>
                <w:lang w:val="en-IN"/>
              </w:rPr>
              <w:t xml:space="preserve">, N., Ryan, R., Gunn, L. H., Felix, L. M., Pappas, Y., ... &amp; Car, J. (2016). Automated telephone communication systems for preventive healthcare and management of long‐term conditions. The Cochrane Library </w:t>
            </w:r>
          </w:p>
        </w:tc>
      </w:tr>
      <w:tr w:rsidR="00A80621" w:rsidRPr="00BC10F2" w14:paraId="78760C8C" w14:textId="77777777">
        <w:trPr>
          <w:trHeight w:val="292"/>
        </w:trPr>
        <w:tc>
          <w:tcPr>
            <w:tcW w:w="1648" w:type="dxa"/>
            <w:tcBorders>
              <w:top w:val="single" w:sz="4" w:space="0" w:color="000000"/>
              <w:bottom w:val="single" w:sz="4" w:space="0" w:color="000000"/>
            </w:tcBorders>
            <w:shd w:val="clear" w:color="auto" w:fill="auto"/>
            <w:vAlign w:val="center"/>
          </w:tcPr>
          <w:p w14:paraId="32459F5F"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Rabijewski</w:t>
            </w:r>
            <w:proofErr w:type="spellEnd"/>
            <w:r w:rsidRPr="00BC10F2">
              <w:rPr>
                <w:rFonts w:asciiTheme="minorHAnsi" w:hAnsiTheme="minorHAnsi" w:cstheme="minorHAnsi"/>
              </w:rPr>
              <w:t xml:space="preserve"> 2017 </w:t>
            </w:r>
          </w:p>
        </w:tc>
        <w:tc>
          <w:tcPr>
            <w:tcW w:w="7423" w:type="dxa"/>
            <w:tcBorders>
              <w:top w:val="single" w:sz="4" w:space="0" w:color="000000"/>
              <w:bottom w:val="single" w:sz="4" w:space="0" w:color="000000"/>
            </w:tcBorders>
            <w:shd w:val="clear" w:color="auto" w:fill="auto"/>
            <w:vAlign w:val="center"/>
          </w:tcPr>
          <w:p w14:paraId="33FFD408"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rPr>
              <w:t>Rabijewski</w:t>
            </w:r>
            <w:proofErr w:type="spellEnd"/>
            <w:r w:rsidRPr="00BC10F2">
              <w:rPr>
                <w:rFonts w:asciiTheme="minorHAnsi" w:hAnsiTheme="minorHAnsi" w:cstheme="minorHAnsi"/>
              </w:rPr>
              <w:t xml:space="preserve"> M., Czynniki ryzyka osteoporozy, ze szczególnym uwzględnieniem prawidłowego rozwoju i metabolizmu tkanki kostnej, Forum Zakażeń 2017;8(5):383–388</w:t>
            </w:r>
          </w:p>
        </w:tc>
      </w:tr>
      <w:tr w:rsidR="00A80621" w:rsidRPr="00BC10F2" w14:paraId="7651FBB7" w14:textId="77777777">
        <w:trPr>
          <w:trHeight w:val="292"/>
        </w:trPr>
        <w:tc>
          <w:tcPr>
            <w:tcW w:w="1648" w:type="dxa"/>
            <w:tcBorders>
              <w:top w:val="single" w:sz="4" w:space="0" w:color="000000"/>
              <w:bottom w:val="single" w:sz="4" w:space="0" w:color="000000"/>
            </w:tcBorders>
            <w:shd w:val="clear" w:color="auto" w:fill="auto"/>
            <w:vAlign w:val="center"/>
          </w:tcPr>
          <w:p w14:paraId="63CC484D"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Reid</w:t>
            </w:r>
            <w:proofErr w:type="spellEnd"/>
            <w:r w:rsidRPr="00BC10F2">
              <w:rPr>
                <w:rFonts w:asciiTheme="minorHAnsi" w:hAnsiTheme="minorHAnsi" w:cstheme="minorHAnsi"/>
              </w:rPr>
              <w:t xml:space="preserve"> 2013 </w:t>
            </w:r>
          </w:p>
        </w:tc>
        <w:tc>
          <w:tcPr>
            <w:tcW w:w="7423" w:type="dxa"/>
            <w:tcBorders>
              <w:top w:val="single" w:sz="4" w:space="0" w:color="000000"/>
              <w:bottom w:val="single" w:sz="4" w:space="0" w:color="000000"/>
            </w:tcBorders>
            <w:shd w:val="clear" w:color="auto" w:fill="auto"/>
            <w:vAlign w:val="center"/>
          </w:tcPr>
          <w:p w14:paraId="2EFE8C1D"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Reid, I. R., </w:t>
            </w:r>
            <w:proofErr w:type="spellStart"/>
            <w:r w:rsidRPr="00BC10F2">
              <w:rPr>
                <w:rFonts w:asciiTheme="minorHAnsi" w:hAnsiTheme="minorHAnsi" w:cstheme="minorHAnsi"/>
                <w:lang w:val="en-IN"/>
              </w:rPr>
              <w:t>Bolland</w:t>
            </w:r>
            <w:proofErr w:type="spellEnd"/>
            <w:r w:rsidRPr="00BC10F2">
              <w:rPr>
                <w:rFonts w:asciiTheme="minorHAnsi" w:hAnsiTheme="minorHAnsi" w:cstheme="minorHAnsi"/>
                <w:lang w:val="en-IN"/>
              </w:rPr>
              <w:t xml:space="preserve">, M. J., &amp; Grey, A. (2013). Effects of vitamin D supplements on bone mineral density: a systematic review and meta-analysis. The Lancet, 383(9912), 146-155 </w:t>
            </w:r>
          </w:p>
        </w:tc>
      </w:tr>
      <w:tr w:rsidR="00A80621" w:rsidRPr="00BC10F2" w14:paraId="64EB60DB" w14:textId="77777777">
        <w:trPr>
          <w:trHeight w:val="292"/>
        </w:trPr>
        <w:tc>
          <w:tcPr>
            <w:tcW w:w="1648" w:type="dxa"/>
            <w:tcBorders>
              <w:top w:val="single" w:sz="4" w:space="0" w:color="000000"/>
              <w:bottom w:val="single" w:sz="4" w:space="0" w:color="000000"/>
            </w:tcBorders>
            <w:shd w:val="clear" w:color="auto" w:fill="auto"/>
            <w:vAlign w:val="center"/>
          </w:tcPr>
          <w:p w14:paraId="42328AC0"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Rubin 2013 </w:t>
            </w:r>
          </w:p>
        </w:tc>
        <w:tc>
          <w:tcPr>
            <w:tcW w:w="7423" w:type="dxa"/>
            <w:tcBorders>
              <w:top w:val="single" w:sz="4" w:space="0" w:color="000000"/>
              <w:bottom w:val="single" w:sz="4" w:space="0" w:color="000000"/>
            </w:tcBorders>
            <w:shd w:val="clear" w:color="auto" w:fill="auto"/>
            <w:vAlign w:val="center"/>
          </w:tcPr>
          <w:p w14:paraId="2801B78D"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Rubin, K. H., </w:t>
            </w:r>
            <w:proofErr w:type="spellStart"/>
            <w:r w:rsidRPr="00BC10F2">
              <w:rPr>
                <w:rFonts w:asciiTheme="minorHAnsi" w:hAnsiTheme="minorHAnsi" w:cstheme="minorHAnsi"/>
                <w:lang w:val="en-IN"/>
              </w:rPr>
              <w:t>Friis</w:t>
            </w:r>
            <w:proofErr w:type="spellEnd"/>
            <w:r w:rsidRPr="00BC10F2">
              <w:rPr>
                <w:rFonts w:asciiTheme="minorHAnsi" w:hAnsiTheme="minorHAnsi" w:cstheme="minorHAnsi"/>
                <w:lang w:val="en-IN"/>
              </w:rPr>
              <w:t xml:space="preserve">‐Holmberg, T., Hermann, A. P., Abrahamsen, B., &amp; </w:t>
            </w:r>
            <w:proofErr w:type="spellStart"/>
            <w:r w:rsidRPr="00BC10F2">
              <w:rPr>
                <w:rFonts w:asciiTheme="minorHAnsi" w:hAnsiTheme="minorHAnsi" w:cstheme="minorHAnsi"/>
                <w:lang w:val="en-IN"/>
              </w:rPr>
              <w:t>Brixen</w:t>
            </w:r>
            <w:proofErr w:type="spellEnd"/>
            <w:r w:rsidRPr="00BC10F2">
              <w:rPr>
                <w:rFonts w:asciiTheme="minorHAnsi" w:hAnsiTheme="minorHAnsi" w:cstheme="minorHAnsi"/>
                <w:lang w:val="en-IN"/>
              </w:rPr>
              <w:t xml:space="preserve">, K. (2013). Risk assessment tools to identify women with increased risk of osteoporotic fracture: complexity or simplicity? A systematic review. Journal of Bone and Mineral Research, 28(8), 1701-1717 </w:t>
            </w:r>
          </w:p>
        </w:tc>
      </w:tr>
      <w:tr w:rsidR="00A80621" w:rsidRPr="00BC10F2" w14:paraId="2CD66088" w14:textId="77777777">
        <w:trPr>
          <w:trHeight w:val="292"/>
        </w:trPr>
        <w:tc>
          <w:tcPr>
            <w:tcW w:w="1648" w:type="dxa"/>
            <w:tcBorders>
              <w:top w:val="single" w:sz="4" w:space="0" w:color="000000"/>
              <w:bottom w:val="single" w:sz="4" w:space="0" w:color="000000"/>
            </w:tcBorders>
            <w:shd w:val="clear" w:color="auto" w:fill="auto"/>
            <w:vAlign w:val="center"/>
          </w:tcPr>
          <w:p w14:paraId="34EF9A16"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Ryan 2013 </w:t>
            </w:r>
          </w:p>
        </w:tc>
        <w:tc>
          <w:tcPr>
            <w:tcW w:w="7423" w:type="dxa"/>
            <w:tcBorders>
              <w:top w:val="single" w:sz="4" w:space="0" w:color="000000"/>
              <w:bottom w:val="single" w:sz="4" w:space="0" w:color="000000"/>
            </w:tcBorders>
            <w:shd w:val="clear" w:color="auto" w:fill="auto"/>
            <w:vAlign w:val="center"/>
          </w:tcPr>
          <w:p w14:paraId="66F70060"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Ryan, P., </w:t>
            </w:r>
            <w:proofErr w:type="spellStart"/>
            <w:r w:rsidRPr="00BC10F2">
              <w:rPr>
                <w:rFonts w:asciiTheme="minorHAnsi" w:hAnsiTheme="minorHAnsi" w:cstheme="minorHAnsi"/>
                <w:lang w:val="en-IN"/>
              </w:rPr>
              <w:t>Schlidt</w:t>
            </w:r>
            <w:proofErr w:type="spellEnd"/>
            <w:r w:rsidRPr="00BC10F2">
              <w:rPr>
                <w:rFonts w:asciiTheme="minorHAnsi" w:hAnsiTheme="minorHAnsi" w:cstheme="minorHAnsi"/>
                <w:lang w:val="en-IN"/>
              </w:rPr>
              <w:t xml:space="preserve">, A., &amp; Ryan, C. (2013). The impact of osteoporosis prevention programs on calcium intake: a systematic review. Osteoporosis International, 24(6), 1791-1801 </w:t>
            </w:r>
          </w:p>
        </w:tc>
      </w:tr>
      <w:tr w:rsidR="00A80621" w:rsidRPr="00BC10F2" w14:paraId="5D1E2418" w14:textId="77777777">
        <w:trPr>
          <w:trHeight w:val="292"/>
        </w:trPr>
        <w:tc>
          <w:tcPr>
            <w:tcW w:w="1648" w:type="dxa"/>
            <w:tcBorders>
              <w:top w:val="single" w:sz="4" w:space="0" w:color="000000"/>
              <w:bottom w:val="single" w:sz="4" w:space="0" w:color="000000"/>
            </w:tcBorders>
            <w:shd w:val="clear" w:color="auto" w:fill="auto"/>
            <w:vAlign w:val="center"/>
          </w:tcPr>
          <w:p w14:paraId="37420C56"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Shen</w:t>
            </w:r>
            <w:proofErr w:type="spellEnd"/>
            <w:r w:rsidRPr="00BC10F2">
              <w:rPr>
                <w:rFonts w:asciiTheme="minorHAnsi" w:hAnsiTheme="minorHAnsi" w:cstheme="minorHAnsi"/>
              </w:rPr>
              <w:t xml:space="preserve"> 2022</w:t>
            </w:r>
          </w:p>
        </w:tc>
        <w:tc>
          <w:tcPr>
            <w:tcW w:w="7423" w:type="dxa"/>
            <w:tcBorders>
              <w:top w:val="single" w:sz="4" w:space="0" w:color="000000"/>
              <w:bottom w:val="single" w:sz="4" w:space="0" w:color="000000"/>
            </w:tcBorders>
            <w:shd w:val="clear" w:color="auto" w:fill="auto"/>
            <w:vAlign w:val="center"/>
          </w:tcPr>
          <w:p w14:paraId="7BE00B4B"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The Global Burden of Osteoporosis, Low Bone Mass, and Its Related Fracture in 204 Countries and Territories, 1990-2019; Front. Endocrinol. 13:882241</w:t>
            </w:r>
          </w:p>
        </w:tc>
      </w:tr>
      <w:tr w:rsidR="00A80621" w:rsidRPr="00BC10F2" w14:paraId="2A7243BB" w14:textId="77777777">
        <w:trPr>
          <w:trHeight w:val="292"/>
        </w:trPr>
        <w:tc>
          <w:tcPr>
            <w:tcW w:w="1648" w:type="dxa"/>
            <w:tcBorders>
              <w:top w:val="single" w:sz="4" w:space="0" w:color="000000"/>
              <w:bottom w:val="single" w:sz="4" w:space="0" w:color="000000"/>
            </w:tcBorders>
            <w:shd w:val="clear" w:color="auto" w:fill="auto"/>
            <w:vAlign w:val="center"/>
          </w:tcPr>
          <w:p w14:paraId="685BA3A1"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Smektała 2020 </w:t>
            </w:r>
          </w:p>
        </w:tc>
        <w:tc>
          <w:tcPr>
            <w:tcW w:w="7423" w:type="dxa"/>
            <w:tcBorders>
              <w:top w:val="single" w:sz="4" w:space="0" w:color="000000"/>
              <w:bottom w:val="single" w:sz="4" w:space="0" w:color="000000"/>
            </w:tcBorders>
            <w:shd w:val="clear" w:color="auto" w:fill="auto"/>
            <w:vAlign w:val="center"/>
          </w:tcPr>
          <w:p w14:paraId="1EA13B72"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Smektała A., Dobosz A, Osteoporoza – patofizjologia, objawy, profilaktyka i leczenie, 2020, str. 347 źródło: </w:t>
            </w:r>
            <w:hyperlink r:id="rId16" w:history="1">
              <w:r w:rsidRPr="00BC10F2">
                <w:rPr>
                  <w:rFonts w:asciiTheme="minorHAnsi" w:hAnsiTheme="minorHAnsi" w:cstheme="minorHAnsi"/>
                </w:rPr>
                <w:t>https://www.ptfarm.pl/PF/przeglad-numerow/-/28652</w:t>
              </w:r>
            </w:hyperlink>
            <w:r w:rsidRPr="00BC10F2">
              <w:rPr>
                <w:rFonts w:asciiTheme="minorHAnsi" w:hAnsiTheme="minorHAnsi" w:cstheme="minorHAnsi"/>
              </w:rPr>
              <w:t xml:space="preserve"> </w:t>
            </w:r>
          </w:p>
        </w:tc>
      </w:tr>
      <w:tr w:rsidR="00A80621" w:rsidRPr="00BC10F2" w14:paraId="3017F32B" w14:textId="77777777">
        <w:trPr>
          <w:trHeight w:val="292"/>
        </w:trPr>
        <w:tc>
          <w:tcPr>
            <w:tcW w:w="1648" w:type="dxa"/>
            <w:tcBorders>
              <w:top w:val="single" w:sz="4" w:space="0" w:color="000000"/>
              <w:bottom w:val="single" w:sz="4" w:space="0" w:color="000000"/>
            </w:tcBorders>
            <w:shd w:val="clear" w:color="auto" w:fill="auto"/>
            <w:vAlign w:val="center"/>
          </w:tcPr>
          <w:p w14:paraId="7C9D2310"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Smith</w:t>
            </w:r>
            <w:proofErr w:type="spellEnd"/>
            <w:r w:rsidRPr="00BC10F2">
              <w:rPr>
                <w:rFonts w:asciiTheme="minorHAnsi" w:hAnsiTheme="minorHAnsi" w:cstheme="minorHAnsi"/>
              </w:rPr>
              <w:t xml:space="preserve"> 2010 </w:t>
            </w:r>
          </w:p>
        </w:tc>
        <w:tc>
          <w:tcPr>
            <w:tcW w:w="7423" w:type="dxa"/>
            <w:tcBorders>
              <w:top w:val="single" w:sz="4" w:space="0" w:color="000000"/>
              <w:bottom w:val="single" w:sz="4" w:space="0" w:color="000000"/>
            </w:tcBorders>
            <w:shd w:val="clear" w:color="auto" w:fill="auto"/>
            <w:vAlign w:val="center"/>
          </w:tcPr>
          <w:p w14:paraId="33571D9E"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Smith, C. A. (2010). A Systematic Review of Healthcare Professional–Led Education for Patients With Osteoporosis or Those at High Risk for the Disease. Orthopaedic Nursing, 29(2), 119-132 </w:t>
            </w:r>
          </w:p>
        </w:tc>
      </w:tr>
      <w:tr w:rsidR="00A80621" w:rsidRPr="00BC10F2" w14:paraId="51F2A61E" w14:textId="77777777">
        <w:trPr>
          <w:trHeight w:val="292"/>
        </w:trPr>
        <w:tc>
          <w:tcPr>
            <w:tcW w:w="1648" w:type="dxa"/>
            <w:tcBorders>
              <w:top w:val="single" w:sz="4" w:space="0" w:color="000000"/>
              <w:bottom w:val="single" w:sz="4" w:space="0" w:color="000000"/>
            </w:tcBorders>
            <w:shd w:val="clear" w:color="auto" w:fill="auto"/>
            <w:vAlign w:val="center"/>
          </w:tcPr>
          <w:p w14:paraId="21D87803"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Szczeklik 2017</w:t>
            </w:r>
          </w:p>
        </w:tc>
        <w:tc>
          <w:tcPr>
            <w:tcW w:w="7423" w:type="dxa"/>
            <w:tcBorders>
              <w:top w:val="single" w:sz="4" w:space="0" w:color="000000"/>
              <w:bottom w:val="single" w:sz="4" w:space="0" w:color="000000"/>
            </w:tcBorders>
            <w:shd w:val="clear" w:color="auto" w:fill="auto"/>
            <w:vAlign w:val="center"/>
          </w:tcPr>
          <w:p w14:paraId="0880D832"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Interna Szczeklika 2017. Podręcznik chorób wewnętrznych, Kraków 2017</w:t>
            </w:r>
          </w:p>
        </w:tc>
      </w:tr>
      <w:tr w:rsidR="00A80621" w:rsidRPr="00BC10F2" w14:paraId="6B9BF245" w14:textId="77777777">
        <w:trPr>
          <w:trHeight w:val="292"/>
        </w:trPr>
        <w:tc>
          <w:tcPr>
            <w:tcW w:w="1648" w:type="dxa"/>
            <w:tcBorders>
              <w:top w:val="single" w:sz="4" w:space="0" w:color="000000"/>
              <w:bottom w:val="single" w:sz="4" w:space="0" w:color="000000"/>
            </w:tcBorders>
            <w:shd w:val="clear" w:color="auto" w:fill="auto"/>
            <w:vAlign w:val="center"/>
          </w:tcPr>
          <w:p w14:paraId="64DBB054"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Viswanathan</w:t>
            </w:r>
            <w:proofErr w:type="spellEnd"/>
            <w:r w:rsidRPr="00BC10F2">
              <w:rPr>
                <w:rFonts w:asciiTheme="minorHAnsi" w:hAnsiTheme="minorHAnsi" w:cstheme="minorHAnsi"/>
              </w:rPr>
              <w:t xml:space="preserve"> 2018 </w:t>
            </w:r>
          </w:p>
        </w:tc>
        <w:tc>
          <w:tcPr>
            <w:tcW w:w="7423" w:type="dxa"/>
            <w:tcBorders>
              <w:top w:val="single" w:sz="4" w:space="0" w:color="000000"/>
              <w:bottom w:val="single" w:sz="4" w:space="0" w:color="000000"/>
            </w:tcBorders>
            <w:shd w:val="clear" w:color="auto" w:fill="auto"/>
            <w:vAlign w:val="center"/>
          </w:tcPr>
          <w:p w14:paraId="5B0861C7"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Viswanathan, M., Reddy, S., Berkman, N., Cullen, K., Middleton, J. C., Nicholson, W. K., &amp; </w:t>
            </w:r>
            <w:proofErr w:type="spellStart"/>
            <w:r w:rsidRPr="00BC10F2">
              <w:rPr>
                <w:rFonts w:asciiTheme="minorHAnsi" w:hAnsiTheme="minorHAnsi" w:cstheme="minorHAnsi"/>
                <w:lang w:val="en-IN"/>
              </w:rPr>
              <w:t>Kahwati</w:t>
            </w:r>
            <w:proofErr w:type="spellEnd"/>
            <w:r w:rsidRPr="00BC10F2">
              <w:rPr>
                <w:rFonts w:asciiTheme="minorHAnsi" w:hAnsiTheme="minorHAnsi" w:cstheme="minorHAnsi"/>
                <w:lang w:val="en-IN"/>
              </w:rPr>
              <w:t xml:space="preserve">, L. C. (2018). Screening to prevent osteoporotic fractures: updated evidence report and systematic review for the US Preventive Services Task Force. JAMA, 319(24), 2532-2551. </w:t>
            </w:r>
          </w:p>
        </w:tc>
      </w:tr>
      <w:tr w:rsidR="00A80621" w:rsidRPr="00BC10F2" w14:paraId="0FBF9201" w14:textId="77777777">
        <w:trPr>
          <w:trHeight w:val="292"/>
        </w:trPr>
        <w:tc>
          <w:tcPr>
            <w:tcW w:w="1648" w:type="dxa"/>
            <w:tcBorders>
              <w:top w:val="single" w:sz="4" w:space="0" w:color="000000"/>
              <w:bottom w:val="single" w:sz="4" w:space="0" w:color="000000"/>
            </w:tcBorders>
            <w:shd w:val="clear" w:color="auto" w:fill="auto"/>
            <w:vAlign w:val="center"/>
          </w:tcPr>
          <w:p w14:paraId="58AA3F3F"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Walter 2018 </w:t>
            </w:r>
          </w:p>
        </w:tc>
        <w:tc>
          <w:tcPr>
            <w:tcW w:w="7423" w:type="dxa"/>
            <w:tcBorders>
              <w:top w:val="single" w:sz="4" w:space="0" w:color="000000"/>
              <w:bottom w:val="single" w:sz="4" w:space="0" w:color="000000"/>
            </w:tcBorders>
            <w:shd w:val="clear" w:color="auto" w:fill="auto"/>
            <w:vAlign w:val="center"/>
          </w:tcPr>
          <w:p w14:paraId="1649293C"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fr-FR"/>
              </w:rPr>
              <w:t xml:space="preserve">Walter, E., Dellago, H., Grillari, J., Dimai, H. P., &amp; Hackl, M. (2018). </w:t>
            </w:r>
            <w:r w:rsidRPr="00BC10F2">
              <w:rPr>
                <w:rFonts w:asciiTheme="minorHAnsi" w:hAnsiTheme="minorHAnsi" w:cstheme="minorHAnsi"/>
                <w:lang w:val="en-IN"/>
              </w:rPr>
              <w:t xml:space="preserve">Cost-utility analysis of fracture risk assessment using microRNAs compared with standard tools and no monitoring in the Austrian female population. Bone, 108, 44-54 </w:t>
            </w:r>
          </w:p>
        </w:tc>
      </w:tr>
      <w:tr w:rsidR="00A80621" w:rsidRPr="00BC10F2" w14:paraId="3A05FF69" w14:textId="77777777">
        <w:trPr>
          <w:trHeight w:val="292"/>
        </w:trPr>
        <w:tc>
          <w:tcPr>
            <w:tcW w:w="1648" w:type="dxa"/>
            <w:tcBorders>
              <w:top w:val="single" w:sz="4" w:space="0" w:color="000000"/>
              <w:bottom w:val="single" w:sz="4" w:space="0" w:color="000000"/>
            </w:tcBorders>
            <w:shd w:val="clear" w:color="auto" w:fill="auto"/>
            <w:vAlign w:val="center"/>
          </w:tcPr>
          <w:p w14:paraId="4350F479"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Walters</w:t>
            </w:r>
            <w:proofErr w:type="spellEnd"/>
            <w:r w:rsidRPr="00BC10F2">
              <w:rPr>
                <w:rFonts w:asciiTheme="minorHAnsi" w:hAnsiTheme="minorHAnsi" w:cstheme="minorHAnsi"/>
              </w:rPr>
              <w:t xml:space="preserve"> 2017 </w:t>
            </w:r>
          </w:p>
        </w:tc>
        <w:tc>
          <w:tcPr>
            <w:tcW w:w="7423" w:type="dxa"/>
            <w:tcBorders>
              <w:top w:val="single" w:sz="4" w:space="0" w:color="000000"/>
              <w:bottom w:val="single" w:sz="4" w:space="0" w:color="000000"/>
            </w:tcBorders>
            <w:shd w:val="clear" w:color="auto" w:fill="auto"/>
            <w:vAlign w:val="center"/>
          </w:tcPr>
          <w:p w14:paraId="13BFA412"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Walters, S., Khan, T., Ong, T., &amp; Sahota, O. (2017). Fracture liaison services: improving outcomes for patients with osteoporosis. Clinical interventions in aging, 12, 117 </w:t>
            </w:r>
          </w:p>
        </w:tc>
      </w:tr>
      <w:tr w:rsidR="00A80621" w:rsidRPr="00BC10F2" w14:paraId="5260CC47" w14:textId="77777777">
        <w:trPr>
          <w:trHeight w:val="292"/>
        </w:trPr>
        <w:tc>
          <w:tcPr>
            <w:tcW w:w="1648" w:type="dxa"/>
            <w:tcBorders>
              <w:top w:val="single" w:sz="4" w:space="0" w:color="000000"/>
              <w:bottom w:val="single" w:sz="4" w:space="0" w:color="000000"/>
            </w:tcBorders>
            <w:shd w:val="clear" w:color="auto" w:fill="auto"/>
            <w:vAlign w:val="center"/>
          </w:tcPr>
          <w:p w14:paraId="132433D1"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Weaver</w:t>
            </w:r>
            <w:proofErr w:type="spellEnd"/>
            <w:r w:rsidRPr="00BC10F2">
              <w:rPr>
                <w:rFonts w:asciiTheme="minorHAnsi" w:hAnsiTheme="minorHAnsi" w:cstheme="minorHAnsi"/>
              </w:rPr>
              <w:t xml:space="preserve"> 2016 </w:t>
            </w:r>
          </w:p>
        </w:tc>
        <w:tc>
          <w:tcPr>
            <w:tcW w:w="7423" w:type="dxa"/>
            <w:tcBorders>
              <w:top w:val="single" w:sz="4" w:space="0" w:color="000000"/>
              <w:bottom w:val="single" w:sz="4" w:space="0" w:color="000000"/>
            </w:tcBorders>
            <w:shd w:val="clear" w:color="auto" w:fill="auto"/>
            <w:vAlign w:val="center"/>
          </w:tcPr>
          <w:p w14:paraId="6EE49624"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Weaver, C. M., Alexander, D. D., Boushey, C. J., Dawson-Hughes, B., </w:t>
            </w:r>
            <w:proofErr w:type="spellStart"/>
            <w:r w:rsidRPr="00BC10F2">
              <w:rPr>
                <w:rFonts w:asciiTheme="minorHAnsi" w:hAnsiTheme="minorHAnsi" w:cstheme="minorHAnsi"/>
                <w:lang w:val="en-IN"/>
              </w:rPr>
              <w:t>Lappe</w:t>
            </w:r>
            <w:proofErr w:type="spellEnd"/>
            <w:r w:rsidRPr="00BC10F2">
              <w:rPr>
                <w:rFonts w:asciiTheme="minorHAnsi" w:hAnsiTheme="minorHAnsi" w:cstheme="minorHAnsi"/>
                <w:lang w:val="en-IN"/>
              </w:rPr>
              <w:t xml:space="preserve">, J. M., </w:t>
            </w:r>
            <w:proofErr w:type="spellStart"/>
            <w:r w:rsidRPr="00BC10F2">
              <w:rPr>
                <w:rFonts w:asciiTheme="minorHAnsi" w:hAnsiTheme="minorHAnsi" w:cstheme="minorHAnsi"/>
                <w:lang w:val="en-IN"/>
              </w:rPr>
              <w:t>LeBoff</w:t>
            </w:r>
            <w:proofErr w:type="spellEnd"/>
            <w:r w:rsidRPr="00BC10F2">
              <w:rPr>
                <w:rFonts w:asciiTheme="minorHAnsi" w:hAnsiTheme="minorHAnsi" w:cstheme="minorHAnsi"/>
                <w:lang w:val="en-IN"/>
              </w:rPr>
              <w:t xml:space="preserve">, M. S., ... &amp; Wang, D. D. (2016). Calcium plus vitamin D supplementation and risk of fractures: an updated meta-analysis from the National Osteoporosis Foundation. Osteoporosis International, 27(1), 367-376 </w:t>
            </w:r>
          </w:p>
        </w:tc>
      </w:tr>
      <w:tr w:rsidR="00A80621" w:rsidRPr="00433CBA" w14:paraId="6375BDC1" w14:textId="77777777">
        <w:trPr>
          <w:trHeight w:val="292"/>
        </w:trPr>
        <w:tc>
          <w:tcPr>
            <w:tcW w:w="1648" w:type="dxa"/>
            <w:tcBorders>
              <w:top w:val="single" w:sz="4" w:space="0" w:color="000000"/>
              <w:bottom w:val="single" w:sz="4" w:space="0" w:color="000000"/>
            </w:tcBorders>
            <w:shd w:val="clear" w:color="auto" w:fill="auto"/>
            <w:vAlign w:val="center"/>
          </w:tcPr>
          <w:p w14:paraId="66899A87"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WHO 2009 </w:t>
            </w:r>
          </w:p>
        </w:tc>
        <w:tc>
          <w:tcPr>
            <w:tcW w:w="7423" w:type="dxa"/>
            <w:tcBorders>
              <w:top w:val="single" w:sz="4" w:space="0" w:color="000000"/>
              <w:bottom w:val="single" w:sz="4" w:space="0" w:color="000000"/>
            </w:tcBorders>
            <w:shd w:val="clear" w:color="auto" w:fill="auto"/>
            <w:vAlign w:val="center"/>
          </w:tcPr>
          <w:p w14:paraId="47FA2BF9"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 xml:space="preserve">World Health Organization (2009). International Statistical Classification of Diseases and Related </w:t>
            </w:r>
            <w:r w:rsidRPr="00BC10F2">
              <w:rPr>
                <w:rFonts w:asciiTheme="minorHAnsi" w:hAnsiTheme="minorHAnsi" w:cstheme="minorHAnsi"/>
                <w:lang w:val="en-IN"/>
              </w:rPr>
              <w:lastRenderedPageBreak/>
              <w:t xml:space="preserve">Health Problems, ICD-10, Volume I. </w:t>
            </w:r>
          </w:p>
        </w:tc>
      </w:tr>
      <w:tr w:rsidR="00A80621" w:rsidRPr="00BC10F2" w14:paraId="4A794ADC" w14:textId="77777777">
        <w:trPr>
          <w:trHeight w:val="292"/>
        </w:trPr>
        <w:tc>
          <w:tcPr>
            <w:tcW w:w="1648" w:type="dxa"/>
            <w:tcBorders>
              <w:top w:val="single" w:sz="4" w:space="0" w:color="000000"/>
              <w:bottom w:val="single" w:sz="4" w:space="0" w:color="000000"/>
            </w:tcBorders>
            <w:shd w:val="clear" w:color="auto" w:fill="auto"/>
            <w:vAlign w:val="center"/>
          </w:tcPr>
          <w:p w14:paraId="36FD8E33"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lastRenderedPageBreak/>
              <w:t xml:space="preserve">Wu 2018 </w:t>
            </w:r>
          </w:p>
        </w:tc>
        <w:tc>
          <w:tcPr>
            <w:tcW w:w="7423" w:type="dxa"/>
            <w:tcBorders>
              <w:top w:val="single" w:sz="4" w:space="0" w:color="000000"/>
              <w:bottom w:val="single" w:sz="4" w:space="0" w:color="000000"/>
            </w:tcBorders>
            <w:shd w:val="clear" w:color="auto" w:fill="auto"/>
            <w:vAlign w:val="center"/>
          </w:tcPr>
          <w:p w14:paraId="38450262"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Wu, C. H., Kao, I. J., Hung, W. C., Lin, S. C., Liu, H. C., Hsieh, M. H., ... &amp; Yang, R. S. (2018). Economic impact and cost-effectiveness of fracture liaison services: a systematic review of the literature. Osteoporosis International, 1-16 </w:t>
            </w:r>
          </w:p>
        </w:tc>
      </w:tr>
      <w:tr w:rsidR="00A80621" w:rsidRPr="00BC10F2" w14:paraId="2FE1D8E2" w14:textId="77777777">
        <w:trPr>
          <w:trHeight w:val="292"/>
        </w:trPr>
        <w:tc>
          <w:tcPr>
            <w:tcW w:w="1648" w:type="dxa"/>
            <w:tcBorders>
              <w:top w:val="single" w:sz="4" w:space="0" w:color="000000"/>
              <w:bottom w:val="single" w:sz="4" w:space="0" w:color="000000"/>
            </w:tcBorders>
            <w:shd w:val="clear" w:color="auto" w:fill="auto"/>
            <w:vAlign w:val="center"/>
          </w:tcPr>
          <w:p w14:paraId="2A39AAEC"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Xu</w:t>
            </w:r>
            <w:proofErr w:type="spellEnd"/>
            <w:r w:rsidRPr="00BC10F2">
              <w:rPr>
                <w:rFonts w:asciiTheme="minorHAnsi" w:hAnsiTheme="minorHAnsi" w:cstheme="minorHAnsi"/>
              </w:rPr>
              <w:t xml:space="preserve"> 2016 </w:t>
            </w:r>
          </w:p>
        </w:tc>
        <w:tc>
          <w:tcPr>
            <w:tcW w:w="7423" w:type="dxa"/>
            <w:tcBorders>
              <w:top w:val="single" w:sz="4" w:space="0" w:color="000000"/>
              <w:bottom w:val="single" w:sz="4" w:space="0" w:color="000000"/>
            </w:tcBorders>
            <w:shd w:val="clear" w:color="auto" w:fill="auto"/>
            <w:vAlign w:val="center"/>
          </w:tcPr>
          <w:p w14:paraId="015EE0C7"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fr-FR"/>
              </w:rPr>
              <w:t xml:space="preserve">Xu, J., Lombardi, G., Jiao, W., &amp; Banfi, G. (2016). </w:t>
            </w:r>
            <w:r w:rsidRPr="00BC10F2">
              <w:rPr>
                <w:rFonts w:asciiTheme="minorHAnsi" w:hAnsiTheme="minorHAnsi" w:cstheme="minorHAnsi"/>
                <w:lang w:val="en-IN"/>
              </w:rPr>
              <w:t xml:space="preserve">Effects of exercise on bone status in female subjects, from young girls to postmenopausal women: an overview of systematic reviews and meta-analyses. Sports Medicine, 46(8), 1165-1182 </w:t>
            </w:r>
          </w:p>
        </w:tc>
      </w:tr>
      <w:tr w:rsidR="00A80621" w:rsidRPr="00BC10F2" w14:paraId="64804BDB" w14:textId="77777777">
        <w:trPr>
          <w:trHeight w:val="292"/>
        </w:trPr>
        <w:tc>
          <w:tcPr>
            <w:tcW w:w="9071" w:type="dxa"/>
            <w:gridSpan w:val="2"/>
            <w:tcBorders>
              <w:top w:val="single" w:sz="4" w:space="0" w:color="000000"/>
              <w:bottom w:val="single" w:sz="4" w:space="0" w:color="000000"/>
            </w:tcBorders>
            <w:shd w:val="clear" w:color="auto" w:fill="F2F2F2"/>
            <w:vAlign w:val="center"/>
          </w:tcPr>
          <w:p w14:paraId="064A1E7D"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Wytyczne</w:t>
            </w:r>
          </w:p>
        </w:tc>
      </w:tr>
      <w:tr w:rsidR="00A80621" w:rsidRPr="00BC10F2" w14:paraId="5CAC0BAA" w14:textId="77777777">
        <w:trPr>
          <w:trHeight w:val="292"/>
        </w:trPr>
        <w:tc>
          <w:tcPr>
            <w:tcW w:w="1648" w:type="dxa"/>
            <w:tcBorders>
              <w:top w:val="single" w:sz="4" w:space="0" w:color="000000"/>
              <w:bottom w:val="single" w:sz="4" w:space="0" w:color="000000"/>
            </w:tcBorders>
            <w:shd w:val="clear" w:color="auto" w:fill="auto"/>
            <w:vAlign w:val="center"/>
          </w:tcPr>
          <w:p w14:paraId="28EAF9B9"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AACE/ACE 2020 </w:t>
            </w:r>
          </w:p>
        </w:tc>
        <w:tc>
          <w:tcPr>
            <w:tcW w:w="7423" w:type="dxa"/>
            <w:tcBorders>
              <w:top w:val="single" w:sz="4" w:space="0" w:color="000000"/>
              <w:bottom w:val="single" w:sz="4" w:space="0" w:color="000000"/>
            </w:tcBorders>
            <w:shd w:val="clear" w:color="auto" w:fill="auto"/>
            <w:vAlign w:val="center"/>
          </w:tcPr>
          <w:p w14:paraId="597AF23E"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Camacho, P. M., </w:t>
            </w:r>
            <w:proofErr w:type="spellStart"/>
            <w:r w:rsidRPr="00BC10F2">
              <w:rPr>
                <w:rFonts w:asciiTheme="minorHAnsi" w:hAnsiTheme="minorHAnsi" w:cstheme="minorHAnsi"/>
                <w:lang w:val="en-IN"/>
              </w:rPr>
              <w:t>Petak</w:t>
            </w:r>
            <w:proofErr w:type="spellEnd"/>
            <w:r w:rsidRPr="00BC10F2">
              <w:rPr>
                <w:rFonts w:asciiTheme="minorHAnsi" w:hAnsiTheme="minorHAnsi" w:cstheme="minorHAnsi"/>
                <w:lang w:val="en-IN"/>
              </w:rPr>
              <w:t xml:space="preserve">, S. M., Binkley, N., Diab, D.L. et.al. . (2016). American Association of clinical endocrinologists and American College of endocrinology clinical practice guidelines for the diagnosis and treatment of postmenopausal osteoporosis—2020 update. Endocrine Practice, 26(s1), 1-46. </w:t>
            </w:r>
          </w:p>
        </w:tc>
      </w:tr>
      <w:tr w:rsidR="00A80621" w:rsidRPr="00433CBA" w14:paraId="4CADE41E" w14:textId="77777777">
        <w:trPr>
          <w:trHeight w:val="188"/>
        </w:trPr>
        <w:tc>
          <w:tcPr>
            <w:tcW w:w="1648" w:type="dxa"/>
            <w:tcBorders>
              <w:top w:val="single" w:sz="4" w:space="0" w:color="000000"/>
              <w:bottom w:val="single" w:sz="4" w:space="0" w:color="000000"/>
            </w:tcBorders>
            <w:shd w:val="clear" w:color="auto" w:fill="auto"/>
            <w:vAlign w:val="center"/>
          </w:tcPr>
          <w:p w14:paraId="4F485C1D"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ACOG 2021 </w:t>
            </w:r>
          </w:p>
        </w:tc>
        <w:tc>
          <w:tcPr>
            <w:tcW w:w="7423" w:type="dxa"/>
            <w:tcBorders>
              <w:top w:val="single" w:sz="4" w:space="0" w:color="000000"/>
              <w:bottom w:val="single" w:sz="4" w:space="0" w:color="000000"/>
            </w:tcBorders>
            <w:shd w:val="clear" w:color="auto" w:fill="auto"/>
            <w:vAlign w:val="center"/>
          </w:tcPr>
          <w:p w14:paraId="260298D5"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ACOG (2021). Osteoporosis Prevention, Screening, and Diagnosis: ACOG Clinical Practice Guideline No. 1</w:t>
            </w:r>
          </w:p>
        </w:tc>
      </w:tr>
      <w:tr w:rsidR="00A80621" w:rsidRPr="00BC10F2" w14:paraId="47B1F9C4" w14:textId="77777777">
        <w:trPr>
          <w:trHeight w:val="292"/>
        </w:trPr>
        <w:tc>
          <w:tcPr>
            <w:tcW w:w="1648" w:type="dxa"/>
            <w:tcBorders>
              <w:top w:val="single" w:sz="4" w:space="0" w:color="000000"/>
              <w:bottom w:val="single" w:sz="4" w:space="0" w:color="000000"/>
            </w:tcBorders>
            <w:shd w:val="clear" w:color="auto" w:fill="auto"/>
            <w:vAlign w:val="center"/>
          </w:tcPr>
          <w:p w14:paraId="46152A57"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ACP 2023 </w:t>
            </w:r>
          </w:p>
        </w:tc>
        <w:tc>
          <w:tcPr>
            <w:tcW w:w="7423" w:type="dxa"/>
            <w:tcBorders>
              <w:top w:val="single" w:sz="4" w:space="0" w:color="000000"/>
              <w:bottom w:val="single" w:sz="4" w:space="0" w:color="000000"/>
            </w:tcBorders>
            <w:shd w:val="clear" w:color="auto" w:fill="auto"/>
            <w:vAlign w:val="center"/>
          </w:tcPr>
          <w:p w14:paraId="35062479"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Qaseem</w:t>
            </w:r>
            <w:proofErr w:type="spellEnd"/>
            <w:r w:rsidRPr="00BC10F2">
              <w:rPr>
                <w:rFonts w:asciiTheme="minorHAnsi" w:hAnsiTheme="minorHAnsi" w:cstheme="minorHAnsi"/>
                <w:lang w:val="en-IN"/>
              </w:rPr>
              <w:t xml:space="preserve">, A., Hicks L.A; </w:t>
            </w:r>
            <w:proofErr w:type="spellStart"/>
            <w:r w:rsidRPr="00BC10F2">
              <w:rPr>
                <w:rFonts w:asciiTheme="minorHAnsi" w:hAnsiTheme="minorHAnsi" w:cstheme="minorHAnsi"/>
                <w:lang w:val="en-IN"/>
              </w:rPr>
              <w:t>Forciea</w:t>
            </w:r>
            <w:proofErr w:type="spellEnd"/>
            <w:r w:rsidRPr="00BC10F2">
              <w:rPr>
                <w:rFonts w:asciiTheme="minorHAnsi" w:hAnsiTheme="minorHAnsi" w:cstheme="minorHAnsi"/>
                <w:lang w:val="en-IN"/>
              </w:rPr>
              <w:t xml:space="preserve">, M. A., </w:t>
            </w:r>
            <w:proofErr w:type="spellStart"/>
            <w:r w:rsidRPr="00BC10F2">
              <w:rPr>
                <w:rFonts w:asciiTheme="minorHAnsi" w:hAnsiTheme="minorHAnsi" w:cstheme="minorHAnsi"/>
                <w:lang w:val="en-IN"/>
              </w:rPr>
              <w:t>Etxeandia-Ikobaltzeta</w:t>
            </w:r>
            <w:proofErr w:type="spellEnd"/>
            <w:r w:rsidRPr="00BC10F2">
              <w:rPr>
                <w:rFonts w:asciiTheme="minorHAnsi" w:hAnsiTheme="minorHAnsi" w:cstheme="minorHAnsi"/>
                <w:lang w:val="en-IN"/>
              </w:rPr>
              <w:t xml:space="preserve">, I.; </w:t>
            </w:r>
            <w:proofErr w:type="spellStart"/>
            <w:r w:rsidRPr="00BC10F2">
              <w:rPr>
                <w:rFonts w:asciiTheme="minorHAnsi" w:hAnsiTheme="minorHAnsi" w:cstheme="minorHAnsi"/>
                <w:lang w:val="en-IN"/>
              </w:rPr>
              <w:t>Shamliyan</w:t>
            </w:r>
            <w:proofErr w:type="spellEnd"/>
            <w:r w:rsidRPr="00BC10F2">
              <w:rPr>
                <w:rFonts w:asciiTheme="minorHAnsi" w:hAnsiTheme="minorHAnsi" w:cstheme="minorHAnsi"/>
                <w:lang w:val="en-IN"/>
              </w:rPr>
              <w:t xml:space="preserve">, T. Cooney T.G (2013). Pharmacologic Treatment of Primary Osteoporosis or Low Bone Mass to Prevent Fractures in Adults: A Living Clinical Guideline From the American College of Physicians. Annals of Internal Medicine. </w:t>
            </w:r>
          </w:p>
        </w:tc>
      </w:tr>
      <w:tr w:rsidR="00A80621" w:rsidRPr="00433CBA" w14:paraId="247ECEF9" w14:textId="77777777">
        <w:trPr>
          <w:trHeight w:val="292"/>
        </w:trPr>
        <w:tc>
          <w:tcPr>
            <w:tcW w:w="1648" w:type="dxa"/>
            <w:tcBorders>
              <w:top w:val="single" w:sz="4" w:space="0" w:color="000000"/>
              <w:bottom w:val="single" w:sz="4" w:space="0" w:color="000000"/>
            </w:tcBorders>
            <w:shd w:val="clear" w:color="auto" w:fill="auto"/>
            <w:vAlign w:val="center"/>
          </w:tcPr>
          <w:p w14:paraId="11C7BCCE"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ACR 2022</w:t>
            </w:r>
          </w:p>
        </w:tc>
        <w:tc>
          <w:tcPr>
            <w:tcW w:w="7423" w:type="dxa"/>
            <w:tcBorders>
              <w:top w:val="single" w:sz="4" w:space="0" w:color="000000"/>
              <w:bottom w:val="single" w:sz="4" w:space="0" w:color="000000"/>
            </w:tcBorders>
            <w:shd w:val="clear" w:color="auto" w:fill="auto"/>
            <w:vAlign w:val="center"/>
          </w:tcPr>
          <w:p w14:paraId="36A2F431"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fr-FR"/>
              </w:rPr>
              <w:t xml:space="preserve">Joseph S. Yu et. Al (2022). </w:t>
            </w:r>
            <w:r w:rsidRPr="00BC10F2">
              <w:rPr>
                <w:rFonts w:asciiTheme="minorHAnsi" w:hAnsiTheme="minorHAnsi" w:cstheme="minorHAnsi"/>
                <w:lang w:val="en-IN"/>
              </w:rPr>
              <w:t xml:space="preserve">ACR Appropriateness Criteria. Osteoporosis and Bone Mineral Density: 2022 Update, J Am </w:t>
            </w:r>
            <w:proofErr w:type="spellStart"/>
            <w:r w:rsidRPr="00BC10F2">
              <w:rPr>
                <w:rFonts w:asciiTheme="minorHAnsi" w:hAnsiTheme="minorHAnsi" w:cstheme="minorHAnsi"/>
                <w:lang w:val="en-IN"/>
              </w:rPr>
              <w:t>Coll</w:t>
            </w:r>
            <w:proofErr w:type="spellEnd"/>
            <w:r w:rsidRPr="00BC10F2">
              <w:rPr>
                <w:rFonts w:asciiTheme="minorHAnsi" w:hAnsiTheme="minorHAnsi" w:cstheme="minorHAnsi"/>
                <w:lang w:val="en-IN"/>
              </w:rPr>
              <w:t xml:space="preserve"> </w:t>
            </w:r>
            <w:proofErr w:type="spellStart"/>
            <w:r w:rsidRPr="00BC10F2">
              <w:rPr>
                <w:rFonts w:asciiTheme="minorHAnsi" w:hAnsiTheme="minorHAnsi" w:cstheme="minorHAnsi"/>
                <w:lang w:val="en-IN"/>
              </w:rPr>
              <w:t>Radiol</w:t>
            </w:r>
            <w:proofErr w:type="spellEnd"/>
            <w:r w:rsidRPr="00BC10F2">
              <w:rPr>
                <w:rFonts w:asciiTheme="minorHAnsi" w:hAnsiTheme="minorHAnsi" w:cstheme="minorHAnsi"/>
                <w:lang w:val="en-IN"/>
              </w:rPr>
              <w:t xml:space="preserve"> 2022;19:S417-S432.. </w:t>
            </w:r>
          </w:p>
        </w:tc>
      </w:tr>
      <w:tr w:rsidR="00A80621" w:rsidRPr="00BC10F2" w14:paraId="4433A5C2" w14:textId="77777777">
        <w:trPr>
          <w:trHeight w:val="292"/>
        </w:trPr>
        <w:tc>
          <w:tcPr>
            <w:tcW w:w="1648" w:type="dxa"/>
            <w:tcBorders>
              <w:top w:val="single" w:sz="4" w:space="0" w:color="000000"/>
              <w:bottom w:val="single" w:sz="4" w:space="0" w:color="000000"/>
            </w:tcBorders>
            <w:shd w:val="clear" w:color="auto" w:fill="auto"/>
            <w:vAlign w:val="center"/>
          </w:tcPr>
          <w:p w14:paraId="2FD6F1C3"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CTFPHC 2010/2013 </w:t>
            </w:r>
          </w:p>
        </w:tc>
        <w:tc>
          <w:tcPr>
            <w:tcW w:w="7423" w:type="dxa"/>
            <w:tcBorders>
              <w:top w:val="single" w:sz="4" w:space="0" w:color="000000"/>
              <w:bottom w:val="single" w:sz="4" w:space="0" w:color="000000"/>
            </w:tcBorders>
            <w:shd w:val="clear" w:color="auto" w:fill="auto"/>
            <w:vAlign w:val="center"/>
          </w:tcPr>
          <w:p w14:paraId="64058E5E"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CTFPHC (2010/2013). Clinical Practice Guideline for the Diagnosis and Management of Osteoporosis in Canada. </w:t>
            </w:r>
            <w:r w:rsidRPr="00BC10F2">
              <w:rPr>
                <w:rFonts w:asciiTheme="minorHAnsi" w:hAnsiTheme="minorHAnsi" w:cstheme="minorHAnsi"/>
              </w:rPr>
              <w:t xml:space="preserve">Pozyskano z: https://canadiantaskforce.ca/guidelines/appraised-guidelines/osteoporosis/, dostęp z 20.09.2018. </w:t>
            </w:r>
          </w:p>
        </w:tc>
      </w:tr>
      <w:tr w:rsidR="00A80621" w:rsidRPr="00433CBA" w14:paraId="2DC85784" w14:textId="77777777">
        <w:trPr>
          <w:trHeight w:val="292"/>
        </w:trPr>
        <w:tc>
          <w:tcPr>
            <w:tcW w:w="1648" w:type="dxa"/>
            <w:tcBorders>
              <w:top w:val="single" w:sz="4" w:space="0" w:color="000000"/>
              <w:bottom w:val="single" w:sz="4" w:space="0" w:color="000000"/>
            </w:tcBorders>
            <w:shd w:val="clear" w:color="auto" w:fill="auto"/>
            <w:vAlign w:val="center"/>
          </w:tcPr>
          <w:p w14:paraId="0C6AD5C0"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ESC 2012 </w:t>
            </w:r>
          </w:p>
        </w:tc>
        <w:tc>
          <w:tcPr>
            <w:tcW w:w="7423" w:type="dxa"/>
            <w:tcBorders>
              <w:top w:val="single" w:sz="4" w:space="0" w:color="000000"/>
              <w:bottom w:val="single" w:sz="4" w:space="0" w:color="000000"/>
            </w:tcBorders>
            <w:shd w:val="clear" w:color="auto" w:fill="auto"/>
            <w:vAlign w:val="center"/>
          </w:tcPr>
          <w:p w14:paraId="7996EB28"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 xml:space="preserve">Watts, N. B., Adler, R. A., </w:t>
            </w:r>
            <w:proofErr w:type="spellStart"/>
            <w:r w:rsidRPr="00BC10F2">
              <w:rPr>
                <w:rFonts w:asciiTheme="minorHAnsi" w:hAnsiTheme="minorHAnsi" w:cstheme="minorHAnsi"/>
                <w:lang w:val="en-IN"/>
              </w:rPr>
              <w:t>Bilezikian</w:t>
            </w:r>
            <w:proofErr w:type="spellEnd"/>
            <w:r w:rsidRPr="00BC10F2">
              <w:rPr>
                <w:rFonts w:asciiTheme="minorHAnsi" w:hAnsiTheme="minorHAnsi" w:cstheme="minorHAnsi"/>
                <w:lang w:val="en-IN"/>
              </w:rPr>
              <w:t xml:space="preserve">, J. P., Drake, M. T., </w:t>
            </w:r>
            <w:proofErr w:type="spellStart"/>
            <w:r w:rsidRPr="00BC10F2">
              <w:rPr>
                <w:rFonts w:asciiTheme="minorHAnsi" w:hAnsiTheme="minorHAnsi" w:cstheme="minorHAnsi"/>
                <w:lang w:val="en-IN"/>
              </w:rPr>
              <w:t>Eastell</w:t>
            </w:r>
            <w:proofErr w:type="spellEnd"/>
            <w:r w:rsidRPr="00BC10F2">
              <w:rPr>
                <w:rFonts w:asciiTheme="minorHAnsi" w:hAnsiTheme="minorHAnsi" w:cstheme="minorHAnsi"/>
                <w:lang w:val="en-IN"/>
              </w:rPr>
              <w:t xml:space="preserve">, R., Orwoll, E. S., &amp; Finkelstein, J. S. (2012). Osteoporosis in men: an Endocrine Society clinical practice guideline. The Journal of Clinical Endocrinology &amp; Metabolism, 97(6), 1802-1822. </w:t>
            </w:r>
          </w:p>
        </w:tc>
      </w:tr>
      <w:tr w:rsidR="00A80621" w:rsidRPr="00BC10F2" w14:paraId="4487EF98" w14:textId="77777777">
        <w:trPr>
          <w:trHeight w:val="292"/>
        </w:trPr>
        <w:tc>
          <w:tcPr>
            <w:tcW w:w="1648" w:type="dxa"/>
            <w:tcBorders>
              <w:top w:val="single" w:sz="4" w:space="0" w:color="000000"/>
              <w:bottom w:val="single" w:sz="4" w:space="0" w:color="000000"/>
            </w:tcBorders>
            <w:shd w:val="clear" w:color="auto" w:fill="auto"/>
            <w:vAlign w:val="center"/>
          </w:tcPr>
          <w:p w14:paraId="79D231B3"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ESCEO 2015 </w:t>
            </w:r>
          </w:p>
        </w:tc>
        <w:tc>
          <w:tcPr>
            <w:tcW w:w="7423" w:type="dxa"/>
            <w:tcBorders>
              <w:top w:val="single" w:sz="4" w:space="0" w:color="000000"/>
              <w:bottom w:val="single" w:sz="4" w:space="0" w:color="000000"/>
            </w:tcBorders>
            <w:shd w:val="clear" w:color="auto" w:fill="auto"/>
            <w:vAlign w:val="center"/>
          </w:tcPr>
          <w:p w14:paraId="0FC99C90"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Harvey, N. C., </w:t>
            </w:r>
            <w:proofErr w:type="spellStart"/>
            <w:r w:rsidRPr="00BC10F2">
              <w:rPr>
                <w:rFonts w:asciiTheme="minorHAnsi" w:hAnsiTheme="minorHAnsi" w:cstheme="minorHAnsi"/>
                <w:lang w:val="en-IN"/>
              </w:rPr>
              <w:t>Glüer</w:t>
            </w:r>
            <w:proofErr w:type="spellEnd"/>
            <w:r w:rsidRPr="00BC10F2">
              <w:rPr>
                <w:rFonts w:asciiTheme="minorHAnsi" w:hAnsiTheme="minorHAnsi" w:cstheme="minorHAnsi"/>
                <w:lang w:val="en-IN"/>
              </w:rPr>
              <w:t xml:space="preserve">, C. C., Binkley, N., McCloskey, E. V., Brandi, M. L., Cooper, C., ... &amp; </w:t>
            </w:r>
            <w:proofErr w:type="spellStart"/>
            <w:r w:rsidRPr="00BC10F2">
              <w:rPr>
                <w:rFonts w:asciiTheme="minorHAnsi" w:hAnsiTheme="minorHAnsi" w:cstheme="minorHAnsi"/>
                <w:lang w:val="en-IN"/>
              </w:rPr>
              <w:t>Reginster</w:t>
            </w:r>
            <w:proofErr w:type="spellEnd"/>
            <w:r w:rsidRPr="00BC10F2">
              <w:rPr>
                <w:rFonts w:asciiTheme="minorHAnsi" w:hAnsiTheme="minorHAnsi" w:cstheme="minorHAnsi"/>
                <w:lang w:val="en-IN"/>
              </w:rPr>
              <w:t xml:space="preserve">, J. Y. (2015). Trabecular bone score (TBS) as a new complementary approach for osteoporosis evaluation in clinical practice. Bone, 78, 216-224. </w:t>
            </w:r>
          </w:p>
        </w:tc>
      </w:tr>
      <w:tr w:rsidR="00A80621" w:rsidRPr="00BC10F2" w14:paraId="12174332" w14:textId="77777777">
        <w:trPr>
          <w:trHeight w:val="292"/>
        </w:trPr>
        <w:tc>
          <w:tcPr>
            <w:tcW w:w="1648" w:type="dxa"/>
            <w:tcBorders>
              <w:top w:val="single" w:sz="4" w:space="0" w:color="000000"/>
              <w:bottom w:val="single" w:sz="4" w:space="0" w:color="000000"/>
            </w:tcBorders>
            <w:shd w:val="clear" w:color="auto" w:fill="auto"/>
            <w:vAlign w:val="center"/>
          </w:tcPr>
          <w:p w14:paraId="2DFF654C"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ESCEO/IOF 2013 </w:t>
            </w:r>
          </w:p>
        </w:tc>
        <w:tc>
          <w:tcPr>
            <w:tcW w:w="7423" w:type="dxa"/>
            <w:tcBorders>
              <w:top w:val="single" w:sz="4" w:space="0" w:color="000000"/>
              <w:bottom w:val="single" w:sz="4" w:space="0" w:color="000000"/>
            </w:tcBorders>
            <w:shd w:val="clear" w:color="auto" w:fill="auto"/>
            <w:vAlign w:val="center"/>
          </w:tcPr>
          <w:p w14:paraId="39DDEE99"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Kanis, J. A., McCloskey, E. V., Johansson, H., Cooper, C., Rizzoli, R., &amp; </w:t>
            </w:r>
            <w:proofErr w:type="spellStart"/>
            <w:r w:rsidRPr="00BC10F2">
              <w:rPr>
                <w:rFonts w:asciiTheme="minorHAnsi" w:hAnsiTheme="minorHAnsi" w:cstheme="minorHAnsi"/>
                <w:lang w:val="en-IN"/>
              </w:rPr>
              <w:t>Reginster</w:t>
            </w:r>
            <w:proofErr w:type="spellEnd"/>
            <w:r w:rsidRPr="00BC10F2">
              <w:rPr>
                <w:rFonts w:asciiTheme="minorHAnsi" w:hAnsiTheme="minorHAnsi" w:cstheme="minorHAnsi"/>
                <w:lang w:val="en-IN"/>
              </w:rPr>
              <w:t xml:space="preserve">, J. Y. (2013). European guidance for the diagnosis and management of osteoporosis in postmenopausal women. Osteoporosis international, 24(1), 23-57. </w:t>
            </w:r>
          </w:p>
        </w:tc>
      </w:tr>
      <w:tr w:rsidR="00A80621" w:rsidRPr="00BC10F2" w14:paraId="0695EE54" w14:textId="77777777">
        <w:trPr>
          <w:trHeight w:val="292"/>
        </w:trPr>
        <w:tc>
          <w:tcPr>
            <w:tcW w:w="1648" w:type="dxa"/>
            <w:tcBorders>
              <w:top w:val="single" w:sz="4" w:space="0" w:color="000000"/>
              <w:bottom w:val="single" w:sz="4" w:space="0" w:color="000000"/>
            </w:tcBorders>
            <w:shd w:val="clear" w:color="auto" w:fill="auto"/>
            <w:vAlign w:val="center"/>
          </w:tcPr>
          <w:p w14:paraId="21797FF3"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EULAR/ EFFORT 2016 </w:t>
            </w:r>
          </w:p>
        </w:tc>
        <w:tc>
          <w:tcPr>
            <w:tcW w:w="7423" w:type="dxa"/>
            <w:tcBorders>
              <w:top w:val="single" w:sz="4" w:space="0" w:color="000000"/>
              <w:bottom w:val="single" w:sz="4" w:space="0" w:color="000000"/>
            </w:tcBorders>
            <w:shd w:val="clear" w:color="auto" w:fill="auto"/>
            <w:vAlign w:val="center"/>
          </w:tcPr>
          <w:p w14:paraId="4D2E5C40"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rPr>
              <w:t>Lems</w:t>
            </w:r>
            <w:proofErr w:type="spellEnd"/>
            <w:r w:rsidRPr="00BC10F2">
              <w:rPr>
                <w:rFonts w:asciiTheme="minorHAnsi" w:hAnsiTheme="minorHAnsi" w:cstheme="minorHAnsi"/>
              </w:rPr>
              <w:t xml:space="preserve">, W. F., </w:t>
            </w:r>
            <w:proofErr w:type="spellStart"/>
            <w:r w:rsidRPr="00BC10F2">
              <w:rPr>
                <w:rFonts w:asciiTheme="minorHAnsi" w:hAnsiTheme="minorHAnsi" w:cstheme="minorHAnsi"/>
              </w:rPr>
              <w:t>Dreinhöfer</w:t>
            </w:r>
            <w:proofErr w:type="spellEnd"/>
            <w:r w:rsidRPr="00BC10F2">
              <w:rPr>
                <w:rFonts w:asciiTheme="minorHAnsi" w:hAnsiTheme="minorHAnsi" w:cstheme="minorHAnsi"/>
              </w:rPr>
              <w:t xml:space="preserve">, K. E., </w:t>
            </w:r>
            <w:proofErr w:type="spellStart"/>
            <w:r w:rsidRPr="00BC10F2">
              <w:rPr>
                <w:rFonts w:asciiTheme="minorHAnsi" w:hAnsiTheme="minorHAnsi" w:cstheme="minorHAnsi"/>
              </w:rPr>
              <w:t>Bischoff</w:t>
            </w:r>
            <w:proofErr w:type="spellEnd"/>
            <w:r w:rsidRPr="00BC10F2">
              <w:rPr>
                <w:rFonts w:asciiTheme="minorHAnsi" w:hAnsiTheme="minorHAnsi" w:cstheme="minorHAnsi"/>
              </w:rPr>
              <w:t xml:space="preserve">-Ferrari, H., Blauth, M., </w:t>
            </w:r>
            <w:proofErr w:type="spellStart"/>
            <w:r w:rsidRPr="00BC10F2">
              <w:rPr>
                <w:rFonts w:asciiTheme="minorHAnsi" w:hAnsiTheme="minorHAnsi" w:cstheme="minorHAnsi"/>
              </w:rPr>
              <w:t>Czerwinski</w:t>
            </w:r>
            <w:proofErr w:type="spellEnd"/>
            <w:r w:rsidRPr="00BC10F2">
              <w:rPr>
                <w:rFonts w:asciiTheme="minorHAnsi" w:hAnsiTheme="minorHAnsi" w:cstheme="minorHAnsi"/>
              </w:rPr>
              <w:t xml:space="preserve">, E., da Silva, J. A. P., ... &amp; Marsh, D. (2016). </w:t>
            </w:r>
            <w:r w:rsidRPr="00BC10F2">
              <w:rPr>
                <w:rFonts w:asciiTheme="minorHAnsi" w:hAnsiTheme="minorHAnsi" w:cstheme="minorHAnsi"/>
                <w:lang w:val="en-IN"/>
              </w:rPr>
              <w:t xml:space="preserve">EULAR/EFORT recommendations for management of patients older than 50 years with a fragility fracture and prevention of subsequent fractures. Annals of the rheumatic diseases, annrheumdis-2016. </w:t>
            </w:r>
          </w:p>
        </w:tc>
      </w:tr>
      <w:tr w:rsidR="00A80621" w:rsidRPr="00BC10F2" w14:paraId="505993AF" w14:textId="77777777">
        <w:trPr>
          <w:trHeight w:val="292"/>
        </w:trPr>
        <w:tc>
          <w:tcPr>
            <w:tcW w:w="1648" w:type="dxa"/>
            <w:tcBorders>
              <w:top w:val="single" w:sz="4" w:space="0" w:color="000000"/>
              <w:bottom w:val="single" w:sz="4" w:space="0" w:color="000000"/>
            </w:tcBorders>
            <w:shd w:val="clear" w:color="auto" w:fill="auto"/>
            <w:vAlign w:val="center"/>
          </w:tcPr>
          <w:p w14:paraId="40E4AF48"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ICSI 2017 </w:t>
            </w:r>
          </w:p>
        </w:tc>
        <w:tc>
          <w:tcPr>
            <w:tcW w:w="7423" w:type="dxa"/>
            <w:tcBorders>
              <w:top w:val="single" w:sz="4" w:space="0" w:color="000000"/>
              <w:bottom w:val="single" w:sz="4" w:space="0" w:color="000000"/>
            </w:tcBorders>
            <w:shd w:val="clear" w:color="auto" w:fill="auto"/>
            <w:vAlign w:val="center"/>
          </w:tcPr>
          <w:p w14:paraId="202541CA"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Allen S., Forney-Gorman A., Homan M., Kearns A., </w:t>
            </w:r>
            <w:proofErr w:type="spellStart"/>
            <w:r w:rsidRPr="00BC10F2">
              <w:rPr>
                <w:rFonts w:asciiTheme="minorHAnsi" w:hAnsiTheme="minorHAnsi" w:cstheme="minorHAnsi"/>
                <w:lang w:val="en-IN"/>
              </w:rPr>
              <w:t>Kramlinger</w:t>
            </w:r>
            <w:proofErr w:type="spellEnd"/>
            <w:r w:rsidRPr="00BC10F2">
              <w:rPr>
                <w:rFonts w:asciiTheme="minorHAnsi" w:hAnsiTheme="minorHAnsi" w:cstheme="minorHAnsi"/>
                <w:lang w:val="en-IN"/>
              </w:rPr>
              <w:t xml:space="preserve"> A., Sauer M. (2017). Institute for Clinical Systems Improvement. Diagnosis and Treatment of Osteoporosis. Updated July 2017. </w:t>
            </w:r>
          </w:p>
        </w:tc>
      </w:tr>
      <w:tr w:rsidR="00A80621" w:rsidRPr="00BC10F2" w14:paraId="59AFF304" w14:textId="77777777">
        <w:trPr>
          <w:trHeight w:val="292"/>
        </w:trPr>
        <w:tc>
          <w:tcPr>
            <w:tcW w:w="1648" w:type="dxa"/>
            <w:tcBorders>
              <w:top w:val="single" w:sz="4" w:space="0" w:color="000000"/>
              <w:bottom w:val="single" w:sz="4" w:space="0" w:color="000000"/>
            </w:tcBorders>
            <w:shd w:val="clear" w:color="auto" w:fill="auto"/>
            <w:vAlign w:val="center"/>
          </w:tcPr>
          <w:p w14:paraId="17838E59"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ISCD 2015 </w:t>
            </w:r>
          </w:p>
        </w:tc>
        <w:tc>
          <w:tcPr>
            <w:tcW w:w="7423" w:type="dxa"/>
            <w:tcBorders>
              <w:top w:val="single" w:sz="4" w:space="0" w:color="000000"/>
              <w:bottom w:val="single" w:sz="4" w:space="0" w:color="000000"/>
            </w:tcBorders>
            <w:shd w:val="clear" w:color="auto" w:fill="auto"/>
            <w:vAlign w:val="center"/>
          </w:tcPr>
          <w:p w14:paraId="2CF8A3C8"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fr-FR"/>
              </w:rPr>
              <w:t xml:space="preserve">Engelke, K., Lang, T., Khosla, S., Qin, L., Zysset, P., Leslie, W. D., … </w:t>
            </w:r>
            <w:proofErr w:type="spellStart"/>
            <w:r w:rsidRPr="00BC10F2">
              <w:rPr>
                <w:rFonts w:asciiTheme="minorHAnsi" w:hAnsiTheme="minorHAnsi" w:cstheme="minorHAnsi"/>
                <w:lang w:val="en-IN"/>
              </w:rPr>
              <w:t>Schousboe</w:t>
            </w:r>
            <w:proofErr w:type="spellEnd"/>
            <w:r w:rsidRPr="00BC10F2">
              <w:rPr>
                <w:rFonts w:asciiTheme="minorHAnsi" w:hAnsiTheme="minorHAnsi" w:cstheme="minorHAnsi"/>
                <w:lang w:val="en-IN"/>
              </w:rPr>
              <w:t xml:space="preserve">, J. T. (2015). Clinical Use of Quantitative Computed Tomography (QCT) of the Hip in the Management of Osteoporosis in Adults: the 2015 ISCD Official Positions—Part I. Journal of Clinical Densitometry, 18(3), 338–358; </w:t>
            </w:r>
            <w:proofErr w:type="spellStart"/>
            <w:r w:rsidRPr="00BC10F2">
              <w:rPr>
                <w:rFonts w:asciiTheme="minorHAnsi" w:hAnsiTheme="minorHAnsi" w:cstheme="minorHAnsi"/>
                <w:lang w:val="en-IN"/>
              </w:rPr>
              <w:t>Zysset</w:t>
            </w:r>
            <w:proofErr w:type="spellEnd"/>
            <w:r w:rsidRPr="00BC10F2">
              <w:rPr>
                <w:rFonts w:asciiTheme="minorHAnsi" w:hAnsiTheme="minorHAnsi" w:cstheme="minorHAnsi"/>
                <w:lang w:val="en-IN"/>
              </w:rPr>
              <w:t xml:space="preserve">, P., Qin, L., Lang, T., Khosla, S., Leslie, W. D., Shepherd, J. A., … </w:t>
            </w:r>
            <w:proofErr w:type="spellStart"/>
            <w:r w:rsidRPr="00BC10F2">
              <w:rPr>
                <w:rFonts w:asciiTheme="minorHAnsi" w:hAnsiTheme="minorHAnsi" w:cstheme="minorHAnsi"/>
                <w:lang w:val="en-IN"/>
              </w:rPr>
              <w:t>Engelke</w:t>
            </w:r>
            <w:proofErr w:type="spellEnd"/>
            <w:r w:rsidRPr="00BC10F2">
              <w:rPr>
                <w:rFonts w:asciiTheme="minorHAnsi" w:hAnsiTheme="minorHAnsi" w:cstheme="minorHAnsi"/>
                <w:lang w:val="en-IN"/>
              </w:rPr>
              <w:t xml:space="preserve">, K. (2015). Clinical Use of Quantitative Computed Tomography–Based Finite Element Analysis of the Hip and Spine in the Management of Osteoporosis in Adults: the 2015 ISCD Official Positions—Part II. Journal of Clinical Densitometry, 18(3), 359–392. </w:t>
            </w:r>
          </w:p>
        </w:tc>
      </w:tr>
      <w:tr w:rsidR="00A80621" w:rsidRPr="00BC10F2" w14:paraId="0847A641" w14:textId="77777777">
        <w:trPr>
          <w:trHeight w:val="292"/>
        </w:trPr>
        <w:tc>
          <w:tcPr>
            <w:tcW w:w="1648" w:type="dxa"/>
            <w:tcBorders>
              <w:top w:val="single" w:sz="4" w:space="0" w:color="000000"/>
              <w:bottom w:val="single" w:sz="4" w:space="0" w:color="000000"/>
            </w:tcBorders>
            <w:shd w:val="clear" w:color="auto" w:fill="auto"/>
            <w:vAlign w:val="center"/>
          </w:tcPr>
          <w:p w14:paraId="4E0AC59B"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ISCD/IOF 2011 </w:t>
            </w:r>
          </w:p>
        </w:tc>
        <w:tc>
          <w:tcPr>
            <w:tcW w:w="7423" w:type="dxa"/>
            <w:tcBorders>
              <w:top w:val="single" w:sz="4" w:space="0" w:color="000000"/>
              <w:bottom w:val="single" w:sz="4" w:space="0" w:color="000000"/>
            </w:tcBorders>
            <w:shd w:val="clear" w:color="auto" w:fill="auto"/>
            <w:vAlign w:val="center"/>
          </w:tcPr>
          <w:p w14:paraId="0E4BAD65"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Blank, R. D. (2011). Official Positions for FRAX® Clinical Regarding Prior Fractures. Journal of Clinical Densitometry, 14(3), 205–211; </w:t>
            </w:r>
            <w:proofErr w:type="spellStart"/>
            <w:r w:rsidRPr="00BC10F2">
              <w:rPr>
                <w:rFonts w:asciiTheme="minorHAnsi" w:hAnsiTheme="minorHAnsi" w:cstheme="minorHAnsi"/>
                <w:lang w:val="en-IN"/>
              </w:rPr>
              <w:t>Cauley</w:t>
            </w:r>
            <w:proofErr w:type="spellEnd"/>
            <w:r w:rsidRPr="00BC10F2">
              <w:rPr>
                <w:rFonts w:asciiTheme="minorHAnsi" w:hAnsiTheme="minorHAnsi" w:cstheme="minorHAnsi"/>
                <w:lang w:val="en-IN"/>
              </w:rPr>
              <w:t xml:space="preserve">, J. A., El-Hajj </w:t>
            </w:r>
            <w:proofErr w:type="spellStart"/>
            <w:r w:rsidRPr="00BC10F2">
              <w:rPr>
                <w:rFonts w:asciiTheme="minorHAnsi" w:hAnsiTheme="minorHAnsi" w:cstheme="minorHAnsi"/>
                <w:lang w:val="en-IN"/>
              </w:rPr>
              <w:t>Fuleihan</w:t>
            </w:r>
            <w:proofErr w:type="spellEnd"/>
            <w:r w:rsidRPr="00BC10F2">
              <w:rPr>
                <w:rFonts w:asciiTheme="minorHAnsi" w:hAnsiTheme="minorHAnsi" w:cstheme="minorHAnsi"/>
                <w:lang w:val="en-IN"/>
              </w:rPr>
              <w:t xml:space="preserve">, G., Arabi, A., Fujiwara, S., </w:t>
            </w:r>
            <w:proofErr w:type="spellStart"/>
            <w:r w:rsidRPr="00BC10F2">
              <w:rPr>
                <w:rFonts w:asciiTheme="minorHAnsi" w:hAnsiTheme="minorHAnsi" w:cstheme="minorHAnsi"/>
                <w:lang w:val="en-IN"/>
              </w:rPr>
              <w:t>Ragi-Eis</w:t>
            </w:r>
            <w:proofErr w:type="spellEnd"/>
            <w:r w:rsidRPr="00BC10F2">
              <w:rPr>
                <w:rFonts w:asciiTheme="minorHAnsi" w:hAnsiTheme="minorHAnsi" w:cstheme="minorHAnsi"/>
                <w:lang w:val="en-IN"/>
              </w:rPr>
              <w:t xml:space="preserve">, S., Calderon, A., … </w:t>
            </w:r>
            <w:proofErr w:type="spellStart"/>
            <w:r w:rsidRPr="00BC10F2">
              <w:rPr>
                <w:rFonts w:asciiTheme="minorHAnsi" w:hAnsiTheme="minorHAnsi" w:cstheme="minorHAnsi"/>
                <w:lang w:val="en-IN"/>
              </w:rPr>
              <w:t>Luckey</w:t>
            </w:r>
            <w:proofErr w:type="spellEnd"/>
            <w:r w:rsidRPr="00BC10F2">
              <w:rPr>
                <w:rFonts w:asciiTheme="minorHAnsi" w:hAnsiTheme="minorHAnsi" w:cstheme="minorHAnsi"/>
                <w:lang w:val="en-IN"/>
              </w:rPr>
              <w:t xml:space="preserve">, M. (2011). Official Positions for FRAX® Clinical Regarding International </w:t>
            </w:r>
            <w:r w:rsidRPr="00BC10F2">
              <w:rPr>
                <w:rFonts w:asciiTheme="minorHAnsi" w:hAnsiTheme="minorHAnsi" w:cstheme="minorHAnsi"/>
                <w:lang w:val="en-IN"/>
              </w:rPr>
              <w:lastRenderedPageBreak/>
              <w:t xml:space="preserve">Differences. Journal of Clinical Densitometry, 14(3), 240–262; </w:t>
            </w:r>
            <w:proofErr w:type="spellStart"/>
            <w:r w:rsidRPr="00BC10F2">
              <w:rPr>
                <w:rFonts w:asciiTheme="minorHAnsi" w:hAnsiTheme="minorHAnsi" w:cstheme="minorHAnsi"/>
                <w:lang w:val="en-IN"/>
              </w:rPr>
              <w:t>Lewiecki</w:t>
            </w:r>
            <w:proofErr w:type="spellEnd"/>
            <w:r w:rsidRPr="00BC10F2">
              <w:rPr>
                <w:rFonts w:asciiTheme="minorHAnsi" w:hAnsiTheme="minorHAnsi" w:cstheme="minorHAnsi"/>
                <w:lang w:val="en-IN"/>
              </w:rPr>
              <w:t xml:space="preserve">, E. M., </w:t>
            </w:r>
            <w:proofErr w:type="spellStart"/>
            <w:r w:rsidRPr="00BC10F2">
              <w:rPr>
                <w:rFonts w:asciiTheme="minorHAnsi" w:hAnsiTheme="minorHAnsi" w:cstheme="minorHAnsi"/>
                <w:lang w:val="en-IN"/>
              </w:rPr>
              <w:t>Compston</w:t>
            </w:r>
            <w:proofErr w:type="spellEnd"/>
            <w:r w:rsidRPr="00BC10F2">
              <w:rPr>
                <w:rFonts w:asciiTheme="minorHAnsi" w:hAnsiTheme="minorHAnsi" w:cstheme="minorHAnsi"/>
                <w:lang w:val="en-IN"/>
              </w:rPr>
              <w:t xml:space="preserve">, J. E., Miller, P. D., Adachi, J. D., Adams, J. E., Leslie, W. D., … Khan, A. A. (2011). Official Positions for FRAX® Bone Mineral Density and FRAX® Simplification. Journal of Clinical Densitometry, 14(3), 226–236; Hans, D. B., Kanis, J. A., </w:t>
            </w:r>
            <w:proofErr w:type="spellStart"/>
            <w:r w:rsidRPr="00BC10F2">
              <w:rPr>
                <w:rFonts w:asciiTheme="minorHAnsi" w:hAnsiTheme="minorHAnsi" w:cstheme="minorHAnsi"/>
                <w:lang w:val="en-IN"/>
              </w:rPr>
              <w:t>Baim</w:t>
            </w:r>
            <w:proofErr w:type="spellEnd"/>
            <w:r w:rsidRPr="00BC10F2">
              <w:rPr>
                <w:rFonts w:asciiTheme="minorHAnsi" w:hAnsiTheme="minorHAnsi" w:cstheme="minorHAnsi"/>
                <w:lang w:val="en-IN"/>
              </w:rPr>
              <w:t xml:space="preserve">, S., </w:t>
            </w:r>
            <w:proofErr w:type="spellStart"/>
            <w:r w:rsidRPr="00BC10F2">
              <w:rPr>
                <w:rFonts w:asciiTheme="minorHAnsi" w:hAnsiTheme="minorHAnsi" w:cstheme="minorHAnsi"/>
                <w:lang w:val="en-IN"/>
              </w:rPr>
              <w:t>Bilezikian</w:t>
            </w:r>
            <w:proofErr w:type="spellEnd"/>
            <w:r w:rsidRPr="00BC10F2">
              <w:rPr>
                <w:rFonts w:asciiTheme="minorHAnsi" w:hAnsiTheme="minorHAnsi" w:cstheme="minorHAnsi"/>
                <w:lang w:val="en-IN"/>
              </w:rPr>
              <w:t xml:space="preserve">, J. P., Binkley, N., </w:t>
            </w:r>
            <w:proofErr w:type="spellStart"/>
            <w:r w:rsidRPr="00BC10F2">
              <w:rPr>
                <w:rFonts w:asciiTheme="minorHAnsi" w:hAnsiTheme="minorHAnsi" w:cstheme="minorHAnsi"/>
                <w:lang w:val="en-IN"/>
              </w:rPr>
              <w:t>Cauley</w:t>
            </w:r>
            <w:proofErr w:type="spellEnd"/>
            <w:r w:rsidRPr="00BC10F2">
              <w:rPr>
                <w:rFonts w:asciiTheme="minorHAnsi" w:hAnsiTheme="minorHAnsi" w:cstheme="minorHAnsi"/>
                <w:lang w:val="en-IN"/>
              </w:rPr>
              <w:t xml:space="preserve">, J. A., … Rizzoli, R. (2011). Joint Official Positions of the International Society for Clinical Densitometry and International Osteoporosis Foundation on FRAX®. Journal of Clinical Densitometry, 14(3), 171–180. </w:t>
            </w:r>
          </w:p>
        </w:tc>
      </w:tr>
      <w:tr w:rsidR="00A80621" w:rsidRPr="00433CBA" w14:paraId="5C64F74F" w14:textId="77777777">
        <w:trPr>
          <w:trHeight w:val="292"/>
        </w:trPr>
        <w:tc>
          <w:tcPr>
            <w:tcW w:w="1648" w:type="dxa"/>
            <w:tcBorders>
              <w:top w:val="single" w:sz="4" w:space="0" w:color="000000"/>
              <w:bottom w:val="single" w:sz="4" w:space="0" w:color="000000"/>
            </w:tcBorders>
            <w:shd w:val="clear" w:color="auto" w:fill="auto"/>
            <w:vAlign w:val="center"/>
          </w:tcPr>
          <w:p w14:paraId="3FC1C5AF"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lastRenderedPageBreak/>
              <w:t xml:space="preserve">MCG 2022 </w:t>
            </w:r>
          </w:p>
        </w:tc>
        <w:tc>
          <w:tcPr>
            <w:tcW w:w="7423" w:type="dxa"/>
            <w:tcBorders>
              <w:top w:val="single" w:sz="4" w:space="0" w:color="000000"/>
              <w:bottom w:val="single" w:sz="4" w:space="0" w:color="000000"/>
            </w:tcBorders>
            <w:shd w:val="clear" w:color="auto" w:fill="auto"/>
            <w:vAlign w:val="center"/>
          </w:tcPr>
          <w:p w14:paraId="07C99BA6"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 xml:space="preserve">Health Technology Assessment Section, Ministry of Health Malaysia, Clinical Practice Guidelines (CPG) on Management of Osteoporosis, 2022. https://www.moh.gov.my/moh/resources/Penerbitan/CPG/Rheumatology/2022Nov_MOS_CPG-Management_of_OP-ed3.pdf </w:t>
            </w:r>
          </w:p>
        </w:tc>
      </w:tr>
      <w:tr w:rsidR="00A80621" w:rsidRPr="00BC10F2" w14:paraId="47D7C110" w14:textId="77777777">
        <w:trPr>
          <w:trHeight w:val="292"/>
        </w:trPr>
        <w:tc>
          <w:tcPr>
            <w:tcW w:w="1648" w:type="dxa"/>
            <w:tcBorders>
              <w:top w:val="single" w:sz="4" w:space="0" w:color="000000"/>
              <w:bottom w:val="single" w:sz="4" w:space="0" w:color="000000"/>
            </w:tcBorders>
            <w:shd w:val="clear" w:color="auto" w:fill="auto"/>
            <w:vAlign w:val="center"/>
          </w:tcPr>
          <w:p w14:paraId="287080E5"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NICE 2017 </w:t>
            </w:r>
          </w:p>
        </w:tc>
        <w:tc>
          <w:tcPr>
            <w:tcW w:w="7423" w:type="dxa"/>
            <w:tcBorders>
              <w:top w:val="single" w:sz="4" w:space="0" w:color="000000"/>
              <w:bottom w:val="single" w:sz="4" w:space="0" w:color="000000"/>
            </w:tcBorders>
            <w:shd w:val="clear" w:color="auto" w:fill="auto"/>
            <w:vAlign w:val="center"/>
          </w:tcPr>
          <w:p w14:paraId="7F0D99F1"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NICE (2017). Assessing the risk of fragility fractures. NICE 146. </w:t>
            </w:r>
          </w:p>
        </w:tc>
      </w:tr>
      <w:tr w:rsidR="00A80621" w:rsidRPr="00433CBA" w14:paraId="749A2BE0" w14:textId="77777777">
        <w:trPr>
          <w:trHeight w:val="292"/>
        </w:trPr>
        <w:tc>
          <w:tcPr>
            <w:tcW w:w="1648" w:type="dxa"/>
            <w:tcBorders>
              <w:top w:val="single" w:sz="4" w:space="0" w:color="000000"/>
              <w:bottom w:val="single" w:sz="4" w:space="0" w:color="000000"/>
            </w:tcBorders>
            <w:shd w:val="clear" w:color="auto" w:fill="auto"/>
            <w:vAlign w:val="center"/>
          </w:tcPr>
          <w:p w14:paraId="3B166F3C"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NOGG 2022 </w:t>
            </w:r>
          </w:p>
        </w:tc>
        <w:tc>
          <w:tcPr>
            <w:tcW w:w="7423" w:type="dxa"/>
            <w:tcBorders>
              <w:top w:val="single" w:sz="4" w:space="0" w:color="000000"/>
              <w:bottom w:val="single" w:sz="4" w:space="0" w:color="000000"/>
            </w:tcBorders>
            <w:shd w:val="clear" w:color="auto" w:fill="auto"/>
            <w:vAlign w:val="center"/>
          </w:tcPr>
          <w:p w14:paraId="66B62444"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 xml:space="preserve">Gregson, C.L., Armstrong, D.J., Bowden, J. et al. UK clinical guideline for the prevention and treatment of osteoporosis. Arch </w:t>
            </w:r>
            <w:proofErr w:type="spellStart"/>
            <w:r w:rsidRPr="00BC10F2">
              <w:rPr>
                <w:rFonts w:asciiTheme="minorHAnsi" w:hAnsiTheme="minorHAnsi" w:cstheme="minorHAnsi"/>
                <w:lang w:val="en-IN"/>
              </w:rPr>
              <w:t>Osteoporos</w:t>
            </w:r>
            <w:proofErr w:type="spellEnd"/>
            <w:r w:rsidRPr="00BC10F2">
              <w:rPr>
                <w:rFonts w:asciiTheme="minorHAnsi" w:hAnsiTheme="minorHAnsi" w:cstheme="minorHAnsi"/>
                <w:lang w:val="en-IN"/>
              </w:rPr>
              <w:t xml:space="preserve"> 17, 58 (2022).; NOGG 2021 Clinical guideline for the prevention and treatment of osteoporosis, https://www.nogg.org.uk/full-guideline</w:t>
            </w:r>
          </w:p>
        </w:tc>
      </w:tr>
      <w:tr w:rsidR="00A80621" w:rsidRPr="00BC10F2" w14:paraId="00AD3069" w14:textId="77777777">
        <w:trPr>
          <w:trHeight w:val="292"/>
        </w:trPr>
        <w:tc>
          <w:tcPr>
            <w:tcW w:w="1648" w:type="dxa"/>
            <w:tcBorders>
              <w:top w:val="single" w:sz="4" w:space="0" w:color="000000"/>
              <w:bottom w:val="single" w:sz="4" w:space="0" w:color="000000"/>
            </w:tcBorders>
            <w:shd w:val="clear" w:color="auto" w:fill="auto"/>
            <w:vAlign w:val="center"/>
          </w:tcPr>
          <w:p w14:paraId="59923526"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NOS 2014 </w:t>
            </w:r>
          </w:p>
        </w:tc>
        <w:tc>
          <w:tcPr>
            <w:tcW w:w="7423" w:type="dxa"/>
            <w:tcBorders>
              <w:top w:val="single" w:sz="4" w:space="0" w:color="000000"/>
              <w:bottom w:val="single" w:sz="4" w:space="0" w:color="000000"/>
            </w:tcBorders>
            <w:shd w:val="clear" w:color="auto" w:fill="auto"/>
            <w:vAlign w:val="center"/>
          </w:tcPr>
          <w:p w14:paraId="590DC78C"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Aspray</w:t>
            </w:r>
            <w:proofErr w:type="spellEnd"/>
            <w:r w:rsidRPr="00BC10F2">
              <w:rPr>
                <w:rFonts w:asciiTheme="minorHAnsi" w:hAnsiTheme="minorHAnsi" w:cstheme="minorHAnsi"/>
                <w:lang w:val="en-IN"/>
              </w:rPr>
              <w:t xml:space="preserve">, T. J., Bowring, C., Fraser, W., Gittoes, N., Javaid, M. K., Macdonald, H., ... &amp; Francis, R. M. (2014). National osteoporosis society vitamin D guideline summary. Age and ageing, 43(5), 592-595. </w:t>
            </w:r>
          </w:p>
        </w:tc>
      </w:tr>
      <w:tr w:rsidR="00A80621" w:rsidRPr="00BC10F2" w14:paraId="7E559AD0" w14:textId="77777777">
        <w:trPr>
          <w:trHeight w:val="292"/>
        </w:trPr>
        <w:tc>
          <w:tcPr>
            <w:tcW w:w="1648" w:type="dxa"/>
            <w:tcBorders>
              <w:top w:val="single" w:sz="4" w:space="0" w:color="000000"/>
              <w:bottom w:val="single" w:sz="4" w:space="0" w:color="000000"/>
            </w:tcBorders>
            <w:shd w:val="clear" w:color="auto" w:fill="auto"/>
            <w:vAlign w:val="center"/>
          </w:tcPr>
          <w:p w14:paraId="0F26EADD"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OC 2010, 2015 </w:t>
            </w:r>
          </w:p>
        </w:tc>
        <w:tc>
          <w:tcPr>
            <w:tcW w:w="7423" w:type="dxa"/>
            <w:tcBorders>
              <w:top w:val="single" w:sz="4" w:space="0" w:color="000000"/>
              <w:bottom w:val="single" w:sz="4" w:space="0" w:color="000000"/>
            </w:tcBorders>
            <w:shd w:val="clear" w:color="auto" w:fill="auto"/>
            <w:vAlign w:val="center"/>
          </w:tcPr>
          <w:p w14:paraId="630CD509"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Papaioannou</w:t>
            </w:r>
            <w:proofErr w:type="spellEnd"/>
            <w:r w:rsidRPr="00BC10F2">
              <w:rPr>
                <w:rFonts w:asciiTheme="minorHAnsi" w:hAnsiTheme="minorHAnsi" w:cstheme="minorHAnsi"/>
                <w:lang w:val="en-IN"/>
              </w:rPr>
              <w:t xml:space="preserve">, A., </w:t>
            </w:r>
            <w:proofErr w:type="spellStart"/>
            <w:r w:rsidRPr="00BC10F2">
              <w:rPr>
                <w:rFonts w:asciiTheme="minorHAnsi" w:hAnsiTheme="minorHAnsi" w:cstheme="minorHAnsi"/>
                <w:lang w:val="en-IN"/>
              </w:rPr>
              <w:t>Santesso</w:t>
            </w:r>
            <w:proofErr w:type="spellEnd"/>
            <w:r w:rsidRPr="00BC10F2">
              <w:rPr>
                <w:rFonts w:asciiTheme="minorHAnsi" w:hAnsiTheme="minorHAnsi" w:cstheme="minorHAnsi"/>
                <w:lang w:val="en-IN"/>
              </w:rPr>
              <w:t xml:space="preserve">, N., Morin, S. N., Feldman, S., Adachi, J. D., Crilly, R., ... &amp; Katz, P. (2015). Recommendations for preventing fracture in long-term care. Canadian Medical Association Journal, 187(15), 1135-1144; </w:t>
            </w:r>
            <w:proofErr w:type="spellStart"/>
            <w:r w:rsidRPr="00BC10F2">
              <w:rPr>
                <w:rFonts w:asciiTheme="minorHAnsi" w:hAnsiTheme="minorHAnsi" w:cstheme="minorHAnsi"/>
                <w:lang w:val="en-IN"/>
              </w:rPr>
              <w:t>Papaioannou</w:t>
            </w:r>
            <w:proofErr w:type="spellEnd"/>
            <w:r w:rsidRPr="00BC10F2">
              <w:rPr>
                <w:rFonts w:asciiTheme="minorHAnsi" w:hAnsiTheme="minorHAnsi" w:cstheme="minorHAnsi"/>
                <w:lang w:val="en-IN"/>
              </w:rPr>
              <w:t xml:space="preserve">, A., Morin, S., Cheung, A. M., Atkinson, S., Brown, J. P., Feldman, S., ... &amp; </w:t>
            </w:r>
            <w:proofErr w:type="spellStart"/>
            <w:r w:rsidRPr="00BC10F2">
              <w:rPr>
                <w:rFonts w:asciiTheme="minorHAnsi" w:hAnsiTheme="minorHAnsi" w:cstheme="minorHAnsi"/>
                <w:lang w:val="en-IN"/>
              </w:rPr>
              <w:t>Kvern</w:t>
            </w:r>
            <w:proofErr w:type="spellEnd"/>
            <w:r w:rsidRPr="00BC10F2">
              <w:rPr>
                <w:rFonts w:asciiTheme="minorHAnsi" w:hAnsiTheme="minorHAnsi" w:cstheme="minorHAnsi"/>
                <w:lang w:val="en-IN"/>
              </w:rPr>
              <w:t xml:space="preserve">, B. (2010). 2010 clinical practice guidelines for the diagnosis and management of osteoporosis in Canada: summary. Canadian Medical Association Journal, 182(17), 1864-1873; </w:t>
            </w:r>
            <w:proofErr w:type="spellStart"/>
            <w:r w:rsidRPr="00BC10F2">
              <w:rPr>
                <w:rFonts w:asciiTheme="minorHAnsi" w:hAnsiTheme="minorHAnsi" w:cstheme="minorHAnsi"/>
                <w:lang w:val="en-IN"/>
              </w:rPr>
              <w:t>Lentle</w:t>
            </w:r>
            <w:proofErr w:type="spellEnd"/>
            <w:r w:rsidRPr="00BC10F2">
              <w:rPr>
                <w:rFonts w:asciiTheme="minorHAnsi" w:hAnsiTheme="minorHAnsi" w:cstheme="minorHAnsi"/>
                <w:lang w:val="en-IN"/>
              </w:rPr>
              <w:t xml:space="preserve">, B., Cheung, A. M., Hanley, D. A., Leslie, W. D., Lyons, D., </w:t>
            </w:r>
            <w:proofErr w:type="spellStart"/>
            <w:r w:rsidRPr="00BC10F2">
              <w:rPr>
                <w:rFonts w:asciiTheme="minorHAnsi" w:hAnsiTheme="minorHAnsi" w:cstheme="minorHAnsi"/>
                <w:lang w:val="en-IN"/>
              </w:rPr>
              <w:t>Papaioannou</w:t>
            </w:r>
            <w:proofErr w:type="spellEnd"/>
            <w:r w:rsidRPr="00BC10F2">
              <w:rPr>
                <w:rFonts w:asciiTheme="minorHAnsi" w:hAnsiTheme="minorHAnsi" w:cstheme="minorHAnsi"/>
                <w:lang w:val="en-IN"/>
              </w:rPr>
              <w:t xml:space="preserve">, A., … </w:t>
            </w:r>
            <w:proofErr w:type="spellStart"/>
            <w:r w:rsidRPr="00BC10F2">
              <w:rPr>
                <w:rFonts w:asciiTheme="minorHAnsi" w:hAnsiTheme="minorHAnsi" w:cstheme="minorHAnsi"/>
                <w:lang w:val="en-IN"/>
              </w:rPr>
              <w:t>Siminoski</w:t>
            </w:r>
            <w:proofErr w:type="spellEnd"/>
            <w:r w:rsidRPr="00BC10F2">
              <w:rPr>
                <w:rFonts w:asciiTheme="minorHAnsi" w:hAnsiTheme="minorHAnsi" w:cstheme="minorHAnsi"/>
                <w:lang w:val="en-IN"/>
              </w:rPr>
              <w:t xml:space="preserve">, K. (2011). Osteoporosis Canada 2010 Guidelines for the Assessment of Fracture Risk. Canadian Association of Radiologists Journal, 62(4), 243–250. </w:t>
            </w:r>
          </w:p>
        </w:tc>
      </w:tr>
      <w:tr w:rsidR="00A80621" w:rsidRPr="00BC10F2" w14:paraId="2AF9FEFC" w14:textId="77777777">
        <w:trPr>
          <w:trHeight w:val="292"/>
        </w:trPr>
        <w:tc>
          <w:tcPr>
            <w:tcW w:w="1648" w:type="dxa"/>
            <w:tcBorders>
              <w:top w:val="single" w:sz="4" w:space="0" w:color="000000"/>
              <w:bottom w:val="single" w:sz="4" w:space="0" w:color="000000"/>
            </w:tcBorders>
            <w:shd w:val="clear" w:color="auto" w:fill="auto"/>
            <w:vAlign w:val="center"/>
          </w:tcPr>
          <w:p w14:paraId="35210C4F"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RACGP 2017 </w:t>
            </w:r>
          </w:p>
        </w:tc>
        <w:tc>
          <w:tcPr>
            <w:tcW w:w="7423" w:type="dxa"/>
            <w:tcBorders>
              <w:top w:val="single" w:sz="4" w:space="0" w:color="000000"/>
              <w:bottom w:val="single" w:sz="4" w:space="0" w:color="000000"/>
            </w:tcBorders>
            <w:shd w:val="clear" w:color="auto" w:fill="auto"/>
            <w:vAlign w:val="center"/>
          </w:tcPr>
          <w:p w14:paraId="4FE1F828"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The Royal Australian College of General Practitioners and Osteoporosis Australia (2017). Osteoporosis prevention, diagnosis and management in postmenopausal women and men over 50 years of age. 2nd </w:t>
            </w:r>
            <w:proofErr w:type="spellStart"/>
            <w:r w:rsidRPr="00BC10F2">
              <w:rPr>
                <w:rFonts w:asciiTheme="minorHAnsi" w:hAnsiTheme="minorHAnsi" w:cstheme="minorHAnsi"/>
                <w:lang w:val="en-IN"/>
              </w:rPr>
              <w:t>edn</w:t>
            </w:r>
            <w:proofErr w:type="spellEnd"/>
            <w:r w:rsidRPr="00BC10F2">
              <w:rPr>
                <w:rFonts w:asciiTheme="minorHAnsi" w:hAnsiTheme="minorHAnsi" w:cstheme="minorHAnsi"/>
                <w:lang w:val="en-IN"/>
              </w:rPr>
              <w:t xml:space="preserve">. East Melbourne, Vic: RACGP. </w:t>
            </w:r>
          </w:p>
        </w:tc>
      </w:tr>
      <w:tr w:rsidR="00A80621" w:rsidRPr="00BC10F2" w14:paraId="06473D00" w14:textId="77777777">
        <w:trPr>
          <w:trHeight w:val="292"/>
        </w:trPr>
        <w:tc>
          <w:tcPr>
            <w:tcW w:w="1648" w:type="dxa"/>
            <w:tcBorders>
              <w:top w:val="single" w:sz="4" w:space="0" w:color="000000"/>
              <w:bottom w:val="single" w:sz="4" w:space="0" w:color="000000"/>
            </w:tcBorders>
            <w:shd w:val="clear" w:color="auto" w:fill="auto"/>
            <w:vAlign w:val="center"/>
          </w:tcPr>
          <w:p w14:paraId="53B7C4F7"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SIGN 2020 </w:t>
            </w:r>
          </w:p>
        </w:tc>
        <w:tc>
          <w:tcPr>
            <w:tcW w:w="7423" w:type="dxa"/>
            <w:tcBorders>
              <w:top w:val="single" w:sz="4" w:space="0" w:color="000000"/>
              <w:bottom w:val="single" w:sz="4" w:space="0" w:color="000000"/>
            </w:tcBorders>
            <w:shd w:val="clear" w:color="auto" w:fill="auto"/>
            <w:vAlign w:val="center"/>
          </w:tcPr>
          <w:p w14:paraId="4C0C1324"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SIGN (2020). Management of osteoporosis and the prevention of fragility fractures. SIGN 142. </w:t>
            </w:r>
          </w:p>
        </w:tc>
      </w:tr>
      <w:tr w:rsidR="00A80621" w:rsidRPr="00BC10F2" w14:paraId="47B20FB8" w14:textId="77777777">
        <w:trPr>
          <w:trHeight w:val="292"/>
        </w:trPr>
        <w:tc>
          <w:tcPr>
            <w:tcW w:w="1648" w:type="dxa"/>
            <w:tcBorders>
              <w:top w:val="single" w:sz="4" w:space="0" w:color="000000"/>
              <w:bottom w:val="single" w:sz="4" w:space="0" w:color="000000"/>
            </w:tcBorders>
            <w:shd w:val="clear" w:color="auto" w:fill="auto"/>
            <w:vAlign w:val="center"/>
          </w:tcPr>
          <w:p w14:paraId="75FBD235"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SIOMMMS 2016 </w:t>
            </w:r>
          </w:p>
        </w:tc>
        <w:tc>
          <w:tcPr>
            <w:tcW w:w="7423" w:type="dxa"/>
            <w:tcBorders>
              <w:top w:val="single" w:sz="4" w:space="0" w:color="000000"/>
              <w:bottom w:val="single" w:sz="4" w:space="0" w:color="000000"/>
            </w:tcBorders>
            <w:shd w:val="clear" w:color="auto" w:fill="auto"/>
            <w:vAlign w:val="center"/>
          </w:tcPr>
          <w:p w14:paraId="58BC37B5"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Rossini, M., </w:t>
            </w:r>
            <w:proofErr w:type="spellStart"/>
            <w:r w:rsidRPr="00BC10F2">
              <w:rPr>
                <w:rFonts w:asciiTheme="minorHAnsi" w:hAnsiTheme="minorHAnsi" w:cstheme="minorHAnsi"/>
                <w:lang w:val="en-IN"/>
              </w:rPr>
              <w:t>Adami</w:t>
            </w:r>
            <w:proofErr w:type="spellEnd"/>
            <w:r w:rsidRPr="00BC10F2">
              <w:rPr>
                <w:rFonts w:asciiTheme="minorHAnsi" w:hAnsiTheme="minorHAnsi" w:cstheme="minorHAnsi"/>
                <w:lang w:val="en-IN"/>
              </w:rPr>
              <w:t xml:space="preserve">, S., </w:t>
            </w:r>
            <w:proofErr w:type="spellStart"/>
            <w:r w:rsidRPr="00BC10F2">
              <w:rPr>
                <w:rFonts w:asciiTheme="minorHAnsi" w:hAnsiTheme="minorHAnsi" w:cstheme="minorHAnsi"/>
                <w:lang w:val="en-IN"/>
              </w:rPr>
              <w:t>Bertoldo</w:t>
            </w:r>
            <w:proofErr w:type="spellEnd"/>
            <w:r w:rsidRPr="00BC10F2">
              <w:rPr>
                <w:rFonts w:asciiTheme="minorHAnsi" w:hAnsiTheme="minorHAnsi" w:cstheme="minorHAnsi"/>
                <w:lang w:val="en-IN"/>
              </w:rPr>
              <w:t xml:space="preserve">, F., </w:t>
            </w:r>
            <w:proofErr w:type="spellStart"/>
            <w:r w:rsidRPr="00BC10F2">
              <w:rPr>
                <w:rFonts w:asciiTheme="minorHAnsi" w:hAnsiTheme="minorHAnsi" w:cstheme="minorHAnsi"/>
                <w:lang w:val="en-IN"/>
              </w:rPr>
              <w:t>Diacinti</w:t>
            </w:r>
            <w:proofErr w:type="spellEnd"/>
            <w:r w:rsidRPr="00BC10F2">
              <w:rPr>
                <w:rFonts w:asciiTheme="minorHAnsi" w:hAnsiTheme="minorHAnsi" w:cstheme="minorHAnsi"/>
                <w:lang w:val="en-IN"/>
              </w:rPr>
              <w:t xml:space="preserve">, D., </w:t>
            </w:r>
            <w:proofErr w:type="spellStart"/>
            <w:r w:rsidRPr="00BC10F2">
              <w:rPr>
                <w:rFonts w:asciiTheme="minorHAnsi" w:hAnsiTheme="minorHAnsi" w:cstheme="minorHAnsi"/>
                <w:lang w:val="en-IN"/>
              </w:rPr>
              <w:t>Gatti</w:t>
            </w:r>
            <w:proofErr w:type="spellEnd"/>
            <w:r w:rsidRPr="00BC10F2">
              <w:rPr>
                <w:rFonts w:asciiTheme="minorHAnsi" w:hAnsiTheme="minorHAnsi" w:cstheme="minorHAnsi"/>
                <w:lang w:val="en-IN"/>
              </w:rPr>
              <w:t xml:space="preserve">, D., Giannini, S., ... &amp; </w:t>
            </w:r>
            <w:proofErr w:type="spellStart"/>
            <w:r w:rsidRPr="00BC10F2">
              <w:rPr>
                <w:rFonts w:asciiTheme="minorHAnsi" w:hAnsiTheme="minorHAnsi" w:cstheme="minorHAnsi"/>
                <w:lang w:val="en-IN"/>
              </w:rPr>
              <w:t>Pedrazzoni</w:t>
            </w:r>
            <w:proofErr w:type="spellEnd"/>
            <w:r w:rsidRPr="00BC10F2">
              <w:rPr>
                <w:rFonts w:asciiTheme="minorHAnsi" w:hAnsiTheme="minorHAnsi" w:cstheme="minorHAnsi"/>
                <w:lang w:val="en-IN"/>
              </w:rPr>
              <w:t xml:space="preserve">, M. (2016). Guidelines for the diagnosis, prevention and management of osteoporosis. </w:t>
            </w:r>
            <w:proofErr w:type="spellStart"/>
            <w:r w:rsidRPr="00BC10F2">
              <w:rPr>
                <w:rFonts w:asciiTheme="minorHAnsi" w:hAnsiTheme="minorHAnsi" w:cstheme="minorHAnsi"/>
                <w:lang w:val="en-IN"/>
              </w:rPr>
              <w:t>Reumatismo</w:t>
            </w:r>
            <w:proofErr w:type="spellEnd"/>
            <w:r w:rsidRPr="00BC10F2">
              <w:rPr>
                <w:rFonts w:asciiTheme="minorHAnsi" w:hAnsiTheme="minorHAnsi" w:cstheme="minorHAnsi"/>
                <w:lang w:val="en-IN"/>
              </w:rPr>
              <w:t xml:space="preserve">, 68(1), 1-39. </w:t>
            </w:r>
          </w:p>
        </w:tc>
      </w:tr>
      <w:tr w:rsidR="00A80621" w:rsidRPr="00BC10F2" w14:paraId="26EF2BF9" w14:textId="77777777">
        <w:trPr>
          <w:trHeight w:val="292"/>
        </w:trPr>
        <w:tc>
          <w:tcPr>
            <w:tcW w:w="1648" w:type="dxa"/>
            <w:tcBorders>
              <w:top w:val="single" w:sz="4" w:space="0" w:color="000000"/>
              <w:bottom w:val="single" w:sz="4" w:space="0" w:color="000000"/>
            </w:tcBorders>
            <w:shd w:val="clear" w:color="auto" w:fill="auto"/>
            <w:vAlign w:val="center"/>
          </w:tcPr>
          <w:p w14:paraId="1511CE14"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SMS 2013 </w:t>
            </w:r>
          </w:p>
        </w:tc>
        <w:tc>
          <w:tcPr>
            <w:tcW w:w="7423" w:type="dxa"/>
            <w:tcBorders>
              <w:top w:val="single" w:sz="4" w:space="0" w:color="000000"/>
              <w:bottom w:val="single" w:sz="4" w:space="0" w:color="000000"/>
            </w:tcBorders>
            <w:shd w:val="clear" w:color="auto" w:fill="auto"/>
            <w:vAlign w:val="center"/>
          </w:tcPr>
          <w:p w14:paraId="671B8CA3"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Mendoza, N., Sánchez-Borrego, R., </w:t>
            </w:r>
            <w:proofErr w:type="spellStart"/>
            <w:r w:rsidRPr="00BC10F2">
              <w:rPr>
                <w:rFonts w:asciiTheme="minorHAnsi" w:hAnsiTheme="minorHAnsi" w:cstheme="minorHAnsi"/>
                <w:lang w:val="en-IN"/>
              </w:rPr>
              <w:t>Villero</w:t>
            </w:r>
            <w:proofErr w:type="spellEnd"/>
            <w:r w:rsidRPr="00BC10F2">
              <w:rPr>
                <w:rFonts w:asciiTheme="minorHAnsi" w:hAnsiTheme="minorHAnsi" w:cstheme="minorHAnsi"/>
                <w:lang w:val="en-IN"/>
              </w:rPr>
              <w:t xml:space="preserve">, J., </w:t>
            </w:r>
            <w:proofErr w:type="spellStart"/>
            <w:r w:rsidRPr="00BC10F2">
              <w:rPr>
                <w:rFonts w:asciiTheme="minorHAnsi" w:hAnsiTheme="minorHAnsi" w:cstheme="minorHAnsi"/>
                <w:lang w:val="en-IN"/>
              </w:rPr>
              <w:t>Baró</w:t>
            </w:r>
            <w:proofErr w:type="spellEnd"/>
            <w:r w:rsidRPr="00BC10F2">
              <w:rPr>
                <w:rFonts w:asciiTheme="minorHAnsi" w:hAnsiTheme="minorHAnsi" w:cstheme="minorHAnsi"/>
                <w:lang w:val="en-IN"/>
              </w:rPr>
              <w:t xml:space="preserve">, F., </w:t>
            </w:r>
            <w:proofErr w:type="spellStart"/>
            <w:r w:rsidRPr="00BC10F2">
              <w:rPr>
                <w:rFonts w:asciiTheme="minorHAnsi" w:hAnsiTheme="minorHAnsi" w:cstheme="minorHAnsi"/>
                <w:lang w:val="en-IN"/>
              </w:rPr>
              <w:t>Calaf</w:t>
            </w:r>
            <w:proofErr w:type="spellEnd"/>
            <w:r w:rsidRPr="00BC10F2">
              <w:rPr>
                <w:rFonts w:asciiTheme="minorHAnsi" w:hAnsiTheme="minorHAnsi" w:cstheme="minorHAnsi"/>
                <w:lang w:val="en-IN"/>
              </w:rPr>
              <w:t xml:space="preserve">, J., </w:t>
            </w:r>
            <w:proofErr w:type="spellStart"/>
            <w:r w:rsidRPr="00BC10F2">
              <w:rPr>
                <w:rFonts w:asciiTheme="minorHAnsi" w:hAnsiTheme="minorHAnsi" w:cstheme="minorHAnsi"/>
                <w:lang w:val="en-IN"/>
              </w:rPr>
              <w:t>Cancelo</w:t>
            </w:r>
            <w:proofErr w:type="spellEnd"/>
            <w:r w:rsidRPr="00BC10F2">
              <w:rPr>
                <w:rFonts w:asciiTheme="minorHAnsi" w:hAnsiTheme="minorHAnsi" w:cstheme="minorHAnsi"/>
                <w:lang w:val="en-IN"/>
              </w:rPr>
              <w:t xml:space="preserve">, M. J., ... &amp; </w:t>
            </w:r>
            <w:proofErr w:type="spellStart"/>
            <w:r w:rsidRPr="00BC10F2">
              <w:rPr>
                <w:rFonts w:asciiTheme="minorHAnsi" w:hAnsiTheme="minorHAnsi" w:cstheme="minorHAnsi"/>
                <w:lang w:val="en-IN"/>
              </w:rPr>
              <w:t>Llaneza</w:t>
            </w:r>
            <w:proofErr w:type="spellEnd"/>
            <w:r w:rsidRPr="00BC10F2">
              <w:rPr>
                <w:rFonts w:asciiTheme="minorHAnsi" w:hAnsiTheme="minorHAnsi" w:cstheme="minorHAnsi"/>
                <w:lang w:val="en-IN"/>
              </w:rPr>
              <w:t xml:space="preserve">, P. (2013). 2013 Up-date of the consensus statement of the Spanish Menopause Society on postmenopausal osteoporosis. </w:t>
            </w:r>
            <w:proofErr w:type="spellStart"/>
            <w:r w:rsidRPr="00BC10F2">
              <w:rPr>
                <w:rFonts w:asciiTheme="minorHAnsi" w:hAnsiTheme="minorHAnsi" w:cstheme="minorHAnsi"/>
                <w:lang w:val="en-IN"/>
              </w:rPr>
              <w:t>Maturitas</w:t>
            </w:r>
            <w:proofErr w:type="spellEnd"/>
            <w:r w:rsidRPr="00BC10F2">
              <w:rPr>
                <w:rFonts w:asciiTheme="minorHAnsi" w:hAnsiTheme="minorHAnsi" w:cstheme="minorHAnsi"/>
                <w:lang w:val="en-IN"/>
              </w:rPr>
              <w:t xml:space="preserve">, 76(1), 99-107. </w:t>
            </w:r>
          </w:p>
        </w:tc>
      </w:tr>
      <w:tr w:rsidR="00A80621" w:rsidRPr="00433CBA" w14:paraId="013F2302" w14:textId="77777777">
        <w:trPr>
          <w:trHeight w:val="292"/>
        </w:trPr>
        <w:tc>
          <w:tcPr>
            <w:tcW w:w="1648" w:type="dxa"/>
            <w:tcBorders>
              <w:top w:val="single" w:sz="4" w:space="0" w:color="000000"/>
              <w:bottom w:val="single" w:sz="4" w:space="0" w:color="000000"/>
            </w:tcBorders>
            <w:shd w:val="clear" w:color="auto" w:fill="auto"/>
            <w:vAlign w:val="center"/>
          </w:tcPr>
          <w:p w14:paraId="4076B25E"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SOGC 2022 </w:t>
            </w:r>
          </w:p>
        </w:tc>
        <w:tc>
          <w:tcPr>
            <w:tcW w:w="7423" w:type="dxa"/>
            <w:tcBorders>
              <w:top w:val="single" w:sz="4" w:space="0" w:color="000000"/>
              <w:bottom w:val="single" w:sz="4" w:space="0" w:color="000000"/>
            </w:tcBorders>
            <w:shd w:val="clear" w:color="auto" w:fill="auto"/>
            <w:vAlign w:val="center"/>
          </w:tcPr>
          <w:p w14:paraId="24A5A1DB"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Khan A. et al.  Guideline No. 422g: Menopause and Osteoporosis. (2022). SOGC CLINICAL PRACTICE GUIDELINE; Volume 44, ISSUE 5, P527-536.e5, May 2022</w:t>
            </w:r>
          </w:p>
        </w:tc>
      </w:tr>
      <w:tr w:rsidR="00A80621" w:rsidRPr="00433CBA" w14:paraId="5A94329B" w14:textId="77777777">
        <w:trPr>
          <w:trHeight w:val="292"/>
        </w:trPr>
        <w:tc>
          <w:tcPr>
            <w:tcW w:w="1648" w:type="dxa"/>
            <w:tcBorders>
              <w:top w:val="single" w:sz="4" w:space="0" w:color="000000"/>
              <w:bottom w:val="single" w:sz="4" w:space="0" w:color="000000"/>
            </w:tcBorders>
            <w:shd w:val="clear" w:color="auto" w:fill="auto"/>
            <w:vAlign w:val="center"/>
          </w:tcPr>
          <w:p w14:paraId="6E2EAC09"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UK NSC 2019 </w:t>
            </w:r>
          </w:p>
        </w:tc>
        <w:tc>
          <w:tcPr>
            <w:tcW w:w="7423" w:type="dxa"/>
            <w:tcBorders>
              <w:top w:val="single" w:sz="4" w:space="0" w:color="000000"/>
              <w:bottom w:val="single" w:sz="4" w:space="0" w:color="000000"/>
            </w:tcBorders>
            <w:shd w:val="clear" w:color="auto" w:fill="auto"/>
            <w:vAlign w:val="center"/>
          </w:tcPr>
          <w:p w14:paraId="0F8ACAD6"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 xml:space="preserve">UK NSC (2019). The UK NSC recommendation on Osteoporosis screening in women after the menopause. https://view-health-screening-recommendations.service.gov.uk/osteoporosis/ </w:t>
            </w:r>
            <w:proofErr w:type="spellStart"/>
            <w:r w:rsidRPr="00BC10F2">
              <w:rPr>
                <w:rFonts w:asciiTheme="minorHAnsi" w:hAnsiTheme="minorHAnsi" w:cstheme="minorHAnsi"/>
                <w:lang w:val="en-GB"/>
              </w:rPr>
              <w:t>dostęp</w:t>
            </w:r>
            <w:proofErr w:type="spellEnd"/>
            <w:r w:rsidRPr="00BC10F2">
              <w:rPr>
                <w:rFonts w:asciiTheme="minorHAnsi" w:hAnsiTheme="minorHAnsi" w:cstheme="minorHAnsi"/>
                <w:lang w:val="en-GB"/>
              </w:rPr>
              <w:t xml:space="preserve"> z 31.01.2023. </w:t>
            </w:r>
          </w:p>
        </w:tc>
      </w:tr>
      <w:tr w:rsidR="00A80621" w:rsidRPr="00BC10F2" w14:paraId="422D5E84" w14:textId="77777777">
        <w:trPr>
          <w:trHeight w:val="292"/>
        </w:trPr>
        <w:tc>
          <w:tcPr>
            <w:tcW w:w="1648" w:type="dxa"/>
            <w:tcBorders>
              <w:top w:val="single" w:sz="4" w:space="0" w:color="000000"/>
              <w:bottom w:val="single" w:sz="4" w:space="0" w:color="000000"/>
            </w:tcBorders>
            <w:shd w:val="clear" w:color="auto" w:fill="auto"/>
            <w:vAlign w:val="center"/>
          </w:tcPr>
          <w:p w14:paraId="02664D5D"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USPSTF 2018a </w:t>
            </w:r>
          </w:p>
        </w:tc>
        <w:tc>
          <w:tcPr>
            <w:tcW w:w="7423" w:type="dxa"/>
            <w:tcBorders>
              <w:top w:val="single" w:sz="4" w:space="0" w:color="000000"/>
              <w:bottom w:val="single" w:sz="4" w:space="0" w:color="000000"/>
            </w:tcBorders>
            <w:shd w:val="clear" w:color="auto" w:fill="auto"/>
            <w:vAlign w:val="center"/>
          </w:tcPr>
          <w:p w14:paraId="29B28F3A"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USPSTF (2018). Final Recommendation Statement. Osteoporosis to Prevent Fractures: Screening. </w:t>
            </w:r>
            <w:r w:rsidRPr="00BC10F2">
              <w:rPr>
                <w:rFonts w:asciiTheme="minorHAnsi" w:hAnsiTheme="minorHAnsi" w:cstheme="minorHAnsi"/>
              </w:rPr>
              <w:t xml:space="preserve">Pozyskano z: https://www.uspreventiveservicestaskforce.org/Page/Document/RecommendationStatementFinal/osteoporosis-screening1, dostęp z 29.08.2018. </w:t>
            </w:r>
          </w:p>
        </w:tc>
      </w:tr>
      <w:tr w:rsidR="00A80621" w:rsidRPr="00BC10F2" w14:paraId="370370A0" w14:textId="77777777">
        <w:trPr>
          <w:trHeight w:val="292"/>
        </w:trPr>
        <w:tc>
          <w:tcPr>
            <w:tcW w:w="1648" w:type="dxa"/>
            <w:tcBorders>
              <w:top w:val="single" w:sz="4" w:space="0" w:color="000000"/>
              <w:bottom w:val="single" w:sz="4" w:space="0" w:color="000000"/>
            </w:tcBorders>
            <w:shd w:val="clear" w:color="auto" w:fill="auto"/>
            <w:vAlign w:val="center"/>
          </w:tcPr>
          <w:p w14:paraId="618FD281"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USPSTF 2018b </w:t>
            </w:r>
          </w:p>
        </w:tc>
        <w:tc>
          <w:tcPr>
            <w:tcW w:w="7423" w:type="dxa"/>
            <w:tcBorders>
              <w:top w:val="single" w:sz="4" w:space="0" w:color="000000"/>
              <w:bottom w:val="single" w:sz="4" w:space="0" w:color="000000"/>
            </w:tcBorders>
            <w:shd w:val="clear" w:color="auto" w:fill="auto"/>
            <w:vAlign w:val="center"/>
          </w:tcPr>
          <w:p w14:paraId="658B95EC"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USPSTF (2018). Final Recommendation Statement. Falls Prevention in Community-Dwelling Older Adults: Interventions. </w:t>
            </w:r>
            <w:r w:rsidRPr="00BC10F2">
              <w:rPr>
                <w:rFonts w:asciiTheme="minorHAnsi" w:hAnsiTheme="minorHAnsi" w:cstheme="minorHAnsi"/>
              </w:rPr>
              <w:t xml:space="preserve">Pozyskano z: https://www.uspreventiveservicestaskforce.org/Page/Document/RecommendationStatementFinal/falls-prevention-in-older-adults-interventions1, dostęp z 30.08.2018. </w:t>
            </w:r>
          </w:p>
        </w:tc>
      </w:tr>
      <w:tr w:rsidR="00A80621" w:rsidRPr="00BC10F2" w14:paraId="0E4A5F90" w14:textId="77777777">
        <w:trPr>
          <w:trHeight w:val="292"/>
        </w:trPr>
        <w:tc>
          <w:tcPr>
            <w:tcW w:w="1648" w:type="dxa"/>
            <w:tcBorders>
              <w:top w:val="single" w:sz="4" w:space="0" w:color="000000"/>
              <w:bottom w:val="single" w:sz="4" w:space="0" w:color="000000"/>
            </w:tcBorders>
            <w:shd w:val="clear" w:color="auto" w:fill="auto"/>
            <w:vAlign w:val="center"/>
          </w:tcPr>
          <w:p w14:paraId="1A048790"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USPSTF 2018c </w:t>
            </w:r>
          </w:p>
        </w:tc>
        <w:tc>
          <w:tcPr>
            <w:tcW w:w="7423" w:type="dxa"/>
            <w:tcBorders>
              <w:top w:val="single" w:sz="4" w:space="0" w:color="000000"/>
              <w:bottom w:val="single" w:sz="4" w:space="0" w:color="000000"/>
            </w:tcBorders>
            <w:shd w:val="clear" w:color="auto" w:fill="auto"/>
            <w:vAlign w:val="center"/>
          </w:tcPr>
          <w:p w14:paraId="3AD16632"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Grossman D.C. i </w:t>
            </w:r>
            <w:proofErr w:type="spellStart"/>
            <w:r w:rsidRPr="00BC10F2">
              <w:rPr>
                <w:rFonts w:asciiTheme="minorHAnsi" w:hAnsiTheme="minorHAnsi" w:cstheme="minorHAnsi"/>
                <w:lang w:val="en-IN"/>
              </w:rPr>
              <w:t>wsp</w:t>
            </w:r>
            <w:proofErr w:type="spellEnd"/>
            <w:r w:rsidRPr="00BC10F2">
              <w:rPr>
                <w:rFonts w:asciiTheme="minorHAnsi" w:hAnsiTheme="minorHAnsi" w:cstheme="minorHAnsi"/>
                <w:lang w:val="en-IN"/>
              </w:rPr>
              <w:t xml:space="preserve">. (2018). Vitamin D, Calcium, or Combined Supplementation for the Primary </w:t>
            </w:r>
            <w:r w:rsidRPr="00BC10F2">
              <w:rPr>
                <w:rFonts w:asciiTheme="minorHAnsi" w:hAnsiTheme="minorHAnsi" w:cstheme="minorHAnsi"/>
                <w:lang w:val="en-IN"/>
              </w:rPr>
              <w:lastRenderedPageBreak/>
              <w:t xml:space="preserve">Prevention of Fractures in Community-Dwelling Adults: US Preventive Services Task Force Recommendation Statement. JAMA. 2018 Apr 17;319(15):1592-1599. </w:t>
            </w:r>
            <w:proofErr w:type="spellStart"/>
            <w:r w:rsidRPr="00BC10F2">
              <w:rPr>
                <w:rFonts w:asciiTheme="minorHAnsi" w:hAnsiTheme="minorHAnsi" w:cstheme="minorHAnsi"/>
                <w:lang w:val="en-IN"/>
              </w:rPr>
              <w:t>doi</w:t>
            </w:r>
            <w:proofErr w:type="spellEnd"/>
            <w:r w:rsidRPr="00BC10F2">
              <w:rPr>
                <w:rFonts w:asciiTheme="minorHAnsi" w:hAnsiTheme="minorHAnsi" w:cstheme="minorHAnsi"/>
                <w:lang w:val="en-IN"/>
              </w:rPr>
              <w:t xml:space="preserve">: 10.1001/jama.2018.3185. </w:t>
            </w:r>
          </w:p>
        </w:tc>
      </w:tr>
      <w:tr w:rsidR="00A80621" w:rsidRPr="00BC10F2" w14:paraId="4082102F" w14:textId="77777777">
        <w:trPr>
          <w:trHeight w:val="292"/>
        </w:trPr>
        <w:tc>
          <w:tcPr>
            <w:tcW w:w="1648" w:type="dxa"/>
            <w:tcBorders>
              <w:top w:val="single" w:sz="4" w:space="0" w:color="000000"/>
              <w:bottom w:val="single" w:sz="4" w:space="0" w:color="000000"/>
            </w:tcBorders>
            <w:shd w:val="clear" w:color="auto" w:fill="auto"/>
            <w:vAlign w:val="center"/>
          </w:tcPr>
          <w:p w14:paraId="5640D128"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lastRenderedPageBreak/>
              <w:t xml:space="preserve">WFO 2017 </w:t>
            </w:r>
          </w:p>
        </w:tc>
        <w:tc>
          <w:tcPr>
            <w:tcW w:w="7423" w:type="dxa"/>
            <w:tcBorders>
              <w:top w:val="single" w:sz="4" w:space="0" w:color="000000"/>
              <w:bottom w:val="single" w:sz="4" w:space="0" w:color="000000"/>
            </w:tcBorders>
            <w:shd w:val="clear" w:color="auto" w:fill="auto"/>
            <w:vAlign w:val="center"/>
          </w:tcPr>
          <w:p w14:paraId="0FA4CE11"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Lorenc, R., Głuszko, P., Franek, E., Jabłoński, M., Jaworski, M., Kalinka-Warzocha, E., ... &amp; </w:t>
            </w:r>
            <w:proofErr w:type="spellStart"/>
            <w:r w:rsidRPr="00BC10F2">
              <w:rPr>
                <w:rFonts w:asciiTheme="minorHAnsi" w:hAnsiTheme="minorHAnsi" w:cstheme="minorHAnsi"/>
              </w:rPr>
              <w:t>Misiorowski</w:t>
            </w:r>
            <w:proofErr w:type="spellEnd"/>
            <w:r w:rsidRPr="00BC10F2">
              <w:rPr>
                <w:rFonts w:asciiTheme="minorHAnsi" w:hAnsiTheme="minorHAnsi" w:cstheme="minorHAnsi"/>
              </w:rPr>
              <w:t xml:space="preserve">, W. (2017). Zalecenia postępowania diagnostycznego i leczniczego w osteoporozie w Polsce. </w:t>
            </w:r>
            <w:proofErr w:type="spellStart"/>
            <w:r w:rsidRPr="00BC10F2">
              <w:rPr>
                <w:rFonts w:asciiTheme="minorHAnsi" w:hAnsiTheme="minorHAnsi" w:cstheme="minorHAnsi"/>
                <w:lang w:val="en-IN"/>
              </w:rPr>
              <w:t>Aktualizacja</w:t>
            </w:r>
            <w:proofErr w:type="spellEnd"/>
            <w:r w:rsidRPr="00BC10F2">
              <w:rPr>
                <w:rFonts w:asciiTheme="minorHAnsi" w:hAnsiTheme="minorHAnsi" w:cstheme="minorHAnsi"/>
                <w:lang w:val="en-IN"/>
              </w:rPr>
              <w:t xml:space="preserve"> 2017. </w:t>
            </w:r>
            <w:proofErr w:type="spellStart"/>
            <w:r w:rsidRPr="00BC10F2">
              <w:rPr>
                <w:rFonts w:asciiTheme="minorHAnsi" w:hAnsiTheme="minorHAnsi" w:cstheme="minorHAnsi"/>
                <w:lang w:val="en-IN"/>
              </w:rPr>
              <w:t>Endokrynologia</w:t>
            </w:r>
            <w:proofErr w:type="spellEnd"/>
            <w:r w:rsidRPr="00BC10F2">
              <w:rPr>
                <w:rFonts w:asciiTheme="minorHAnsi" w:hAnsiTheme="minorHAnsi" w:cstheme="minorHAnsi"/>
                <w:lang w:val="en-IN"/>
              </w:rPr>
              <w:t xml:space="preserve"> </w:t>
            </w:r>
            <w:proofErr w:type="spellStart"/>
            <w:r w:rsidRPr="00BC10F2">
              <w:rPr>
                <w:rFonts w:asciiTheme="minorHAnsi" w:hAnsiTheme="minorHAnsi" w:cstheme="minorHAnsi"/>
                <w:lang w:val="en-IN"/>
              </w:rPr>
              <w:t>Polska</w:t>
            </w:r>
            <w:proofErr w:type="spellEnd"/>
            <w:r w:rsidRPr="00BC10F2">
              <w:rPr>
                <w:rFonts w:asciiTheme="minorHAnsi" w:hAnsiTheme="minorHAnsi" w:cstheme="minorHAnsi"/>
                <w:lang w:val="en-IN"/>
              </w:rPr>
              <w:t xml:space="preserve">, 68(A), 1-18. </w:t>
            </w:r>
          </w:p>
        </w:tc>
      </w:tr>
      <w:tr w:rsidR="00A80621" w:rsidRPr="00BC10F2" w14:paraId="7584410F" w14:textId="77777777">
        <w:trPr>
          <w:trHeight w:val="292"/>
        </w:trPr>
        <w:tc>
          <w:tcPr>
            <w:tcW w:w="1648" w:type="dxa"/>
            <w:tcBorders>
              <w:top w:val="single" w:sz="4" w:space="0" w:color="000000"/>
              <w:bottom w:val="single" w:sz="4" w:space="0" w:color="000000"/>
            </w:tcBorders>
            <w:shd w:val="clear" w:color="auto" w:fill="auto"/>
            <w:vAlign w:val="center"/>
          </w:tcPr>
          <w:p w14:paraId="58B3A2C8"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WHO 2007 </w:t>
            </w:r>
          </w:p>
        </w:tc>
        <w:tc>
          <w:tcPr>
            <w:tcW w:w="7423" w:type="dxa"/>
            <w:tcBorders>
              <w:top w:val="single" w:sz="4" w:space="0" w:color="000000"/>
              <w:bottom w:val="single" w:sz="4" w:space="0" w:color="000000"/>
            </w:tcBorders>
            <w:shd w:val="clear" w:color="auto" w:fill="auto"/>
            <w:vAlign w:val="center"/>
          </w:tcPr>
          <w:p w14:paraId="7E78A5F9"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World Health Organization. (2004, May). WHO scientific group on the assessment of osteoporosis at primary health care level. In Summary meeting report (pp. 5-7). </w:t>
            </w:r>
          </w:p>
        </w:tc>
      </w:tr>
      <w:tr w:rsidR="00A80621" w:rsidRPr="00433CBA" w14:paraId="5340541D" w14:textId="77777777">
        <w:trPr>
          <w:trHeight w:val="292"/>
        </w:trPr>
        <w:tc>
          <w:tcPr>
            <w:tcW w:w="1648" w:type="dxa"/>
            <w:tcBorders>
              <w:top w:val="single" w:sz="4" w:space="0" w:color="000000"/>
              <w:bottom w:val="single" w:sz="12" w:space="0" w:color="000000"/>
            </w:tcBorders>
            <w:shd w:val="clear" w:color="auto" w:fill="auto"/>
            <w:vAlign w:val="center"/>
          </w:tcPr>
          <w:p w14:paraId="6DC0C32C"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WHO 2016 </w:t>
            </w:r>
          </w:p>
        </w:tc>
        <w:tc>
          <w:tcPr>
            <w:tcW w:w="7423" w:type="dxa"/>
            <w:tcBorders>
              <w:top w:val="single" w:sz="4" w:space="0" w:color="000000"/>
              <w:bottom w:val="single" w:sz="12" w:space="0" w:color="000000"/>
            </w:tcBorders>
            <w:shd w:val="clear" w:color="auto" w:fill="auto"/>
            <w:vAlign w:val="center"/>
          </w:tcPr>
          <w:p w14:paraId="170C7063"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 xml:space="preserve">Ford, N., Norris, S. L., &amp; Hill, S. R. (2016). Clarifying WHO's position on the FRAX® tool for fracture prediction. </w:t>
            </w:r>
          </w:p>
        </w:tc>
      </w:tr>
    </w:tbl>
    <w:p w14:paraId="65E7C7AE" w14:textId="66FABA97" w:rsidR="007941FC" w:rsidRPr="00BC10F2" w:rsidRDefault="007941FC">
      <w:pPr>
        <w:pStyle w:val="Teksttreci20"/>
        <w:shd w:val="clear" w:color="auto" w:fill="auto"/>
        <w:spacing w:before="120" w:line="360" w:lineRule="auto"/>
        <w:ind w:firstLine="0"/>
        <w:rPr>
          <w:rFonts w:asciiTheme="minorHAnsi" w:hAnsiTheme="minorHAnsi" w:cstheme="minorHAnsi"/>
          <w:lang w:val="en-IN"/>
        </w:rPr>
      </w:pPr>
    </w:p>
    <w:p w14:paraId="3BD50E58" w14:textId="7794177D" w:rsidR="00CD1CA4" w:rsidRPr="00BC10F2" w:rsidRDefault="00CD1CA4" w:rsidP="00CD1CA4">
      <w:pPr>
        <w:rPr>
          <w:rFonts w:asciiTheme="minorHAnsi" w:hAnsiTheme="minorHAnsi" w:cstheme="minorHAnsi"/>
          <w:lang w:val="en-IN"/>
        </w:rPr>
      </w:pPr>
    </w:p>
    <w:p w14:paraId="0756083B" w14:textId="0A866F9E" w:rsidR="00CD1CA4" w:rsidRPr="00BC10F2" w:rsidRDefault="00CD1CA4" w:rsidP="00CD1CA4">
      <w:pPr>
        <w:rPr>
          <w:rFonts w:asciiTheme="minorHAnsi" w:hAnsiTheme="minorHAnsi" w:cstheme="minorHAnsi"/>
          <w:lang w:val="en-IN"/>
        </w:rPr>
      </w:pPr>
    </w:p>
    <w:p w14:paraId="6274AC01" w14:textId="30F797A1" w:rsidR="00CD1CA4" w:rsidRPr="00BC10F2" w:rsidRDefault="00CD1CA4" w:rsidP="00CD1CA4">
      <w:pPr>
        <w:rPr>
          <w:rFonts w:asciiTheme="minorHAnsi" w:hAnsiTheme="minorHAnsi" w:cstheme="minorHAnsi"/>
          <w:lang w:val="en-IN"/>
        </w:rPr>
      </w:pPr>
    </w:p>
    <w:p w14:paraId="2580B93B" w14:textId="564ED9AF" w:rsidR="00CD1CA4" w:rsidRPr="00BC10F2" w:rsidRDefault="00CD1CA4" w:rsidP="00CD1CA4">
      <w:pPr>
        <w:rPr>
          <w:rFonts w:asciiTheme="minorHAnsi" w:hAnsiTheme="minorHAnsi" w:cstheme="minorHAnsi"/>
          <w:lang w:val="en-IN"/>
        </w:rPr>
      </w:pPr>
    </w:p>
    <w:p w14:paraId="2A01F2D4" w14:textId="27CD8A35" w:rsidR="00CD1CA4" w:rsidRPr="00BC10F2" w:rsidRDefault="00CD1CA4" w:rsidP="00CD1CA4">
      <w:pPr>
        <w:rPr>
          <w:rFonts w:asciiTheme="minorHAnsi" w:hAnsiTheme="minorHAnsi" w:cstheme="minorHAnsi"/>
          <w:lang w:val="en-IN"/>
        </w:rPr>
      </w:pPr>
    </w:p>
    <w:p w14:paraId="133BC8E8" w14:textId="779721DA" w:rsidR="00CD1CA4" w:rsidRPr="00BC10F2" w:rsidRDefault="00CD1CA4" w:rsidP="00CD1CA4">
      <w:pPr>
        <w:rPr>
          <w:rFonts w:asciiTheme="minorHAnsi" w:hAnsiTheme="minorHAnsi" w:cstheme="minorHAnsi"/>
          <w:lang w:val="en-IN"/>
        </w:rPr>
      </w:pPr>
    </w:p>
    <w:p w14:paraId="7BFAA386" w14:textId="59604B48" w:rsidR="00CD1CA4" w:rsidRPr="00BC10F2" w:rsidRDefault="00CD1CA4" w:rsidP="00CD1CA4">
      <w:pPr>
        <w:rPr>
          <w:rFonts w:asciiTheme="minorHAnsi" w:hAnsiTheme="minorHAnsi" w:cstheme="minorHAnsi"/>
          <w:lang w:val="en-IN"/>
        </w:rPr>
      </w:pPr>
    </w:p>
    <w:p w14:paraId="5E34EFE2" w14:textId="2FE38C11" w:rsidR="00CD1CA4" w:rsidRPr="00BC10F2" w:rsidRDefault="00CD1CA4" w:rsidP="00CD1CA4">
      <w:pPr>
        <w:rPr>
          <w:rFonts w:asciiTheme="minorHAnsi" w:hAnsiTheme="minorHAnsi" w:cstheme="minorHAnsi"/>
          <w:lang w:val="en-IN"/>
        </w:rPr>
      </w:pPr>
    </w:p>
    <w:p w14:paraId="47812F48" w14:textId="41FFC575" w:rsidR="00CD1CA4" w:rsidRPr="00BC10F2" w:rsidRDefault="00CD1CA4" w:rsidP="00CD1CA4">
      <w:pPr>
        <w:rPr>
          <w:rFonts w:asciiTheme="minorHAnsi" w:hAnsiTheme="minorHAnsi" w:cstheme="minorHAnsi"/>
          <w:lang w:val="en-IN"/>
        </w:rPr>
      </w:pPr>
    </w:p>
    <w:p w14:paraId="0C46ED5A" w14:textId="180C52FD" w:rsidR="00CD1CA4" w:rsidRPr="00BC10F2" w:rsidRDefault="00CD1CA4" w:rsidP="00CD1CA4">
      <w:pPr>
        <w:rPr>
          <w:rFonts w:asciiTheme="minorHAnsi" w:hAnsiTheme="minorHAnsi" w:cstheme="minorHAnsi"/>
          <w:lang w:val="en-IN"/>
        </w:rPr>
      </w:pPr>
    </w:p>
    <w:p w14:paraId="2BD87DB7" w14:textId="2B5BAC19" w:rsidR="00CD1CA4" w:rsidRPr="00BC10F2" w:rsidRDefault="00CD1CA4" w:rsidP="00CD1CA4">
      <w:pPr>
        <w:rPr>
          <w:rFonts w:asciiTheme="minorHAnsi" w:hAnsiTheme="minorHAnsi" w:cstheme="minorHAnsi"/>
          <w:lang w:val="en-IN"/>
        </w:rPr>
      </w:pPr>
    </w:p>
    <w:p w14:paraId="76E61405" w14:textId="739AF4F5" w:rsidR="00CD1CA4" w:rsidRPr="00BC10F2" w:rsidRDefault="00CD1CA4" w:rsidP="00CD1CA4">
      <w:pPr>
        <w:rPr>
          <w:rFonts w:asciiTheme="minorHAnsi" w:hAnsiTheme="minorHAnsi" w:cstheme="minorHAnsi"/>
          <w:lang w:val="en-IN"/>
        </w:rPr>
      </w:pPr>
    </w:p>
    <w:p w14:paraId="1AB43FA3" w14:textId="0FFA0199" w:rsidR="00CD1CA4" w:rsidRPr="00BC10F2" w:rsidRDefault="00CD1CA4" w:rsidP="00CD1CA4">
      <w:pPr>
        <w:rPr>
          <w:rFonts w:asciiTheme="minorHAnsi" w:hAnsiTheme="minorHAnsi" w:cstheme="minorHAnsi"/>
          <w:lang w:val="en-IN"/>
        </w:rPr>
      </w:pPr>
    </w:p>
    <w:p w14:paraId="051BF299" w14:textId="1C368AE9" w:rsidR="00CD1CA4" w:rsidRPr="00BC10F2" w:rsidRDefault="00CD1CA4" w:rsidP="00CD1CA4">
      <w:pPr>
        <w:rPr>
          <w:rFonts w:asciiTheme="minorHAnsi" w:hAnsiTheme="minorHAnsi" w:cstheme="minorHAnsi"/>
          <w:lang w:val="en-IN"/>
        </w:rPr>
      </w:pPr>
    </w:p>
    <w:p w14:paraId="737BD060" w14:textId="6FF5FADE" w:rsidR="00CD1CA4" w:rsidRPr="00BC10F2" w:rsidRDefault="00CD1CA4" w:rsidP="00CD1CA4">
      <w:pPr>
        <w:rPr>
          <w:rFonts w:asciiTheme="minorHAnsi" w:hAnsiTheme="minorHAnsi" w:cstheme="minorHAnsi"/>
          <w:lang w:val="en-IN"/>
        </w:rPr>
      </w:pPr>
    </w:p>
    <w:p w14:paraId="4AA60A90" w14:textId="5EF01026" w:rsidR="00CD1CA4" w:rsidRPr="00BC10F2" w:rsidRDefault="00CD1CA4" w:rsidP="00CD1CA4">
      <w:pPr>
        <w:rPr>
          <w:rFonts w:asciiTheme="minorHAnsi" w:hAnsiTheme="minorHAnsi" w:cstheme="minorHAnsi"/>
          <w:lang w:val="en-IN"/>
        </w:rPr>
      </w:pPr>
    </w:p>
    <w:p w14:paraId="3AA879D7" w14:textId="6C57067E" w:rsidR="00CD1CA4" w:rsidRPr="00BC10F2" w:rsidRDefault="00CD1CA4" w:rsidP="00CD1CA4">
      <w:pPr>
        <w:rPr>
          <w:rFonts w:asciiTheme="minorHAnsi" w:hAnsiTheme="minorHAnsi" w:cstheme="minorHAnsi"/>
          <w:lang w:val="en-IN"/>
        </w:rPr>
      </w:pPr>
    </w:p>
    <w:p w14:paraId="61A1045C" w14:textId="79312F89" w:rsidR="00CD1CA4" w:rsidRPr="00BC10F2" w:rsidRDefault="00CD1CA4" w:rsidP="00CD1CA4">
      <w:pPr>
        <w:rPr>
          <w:rFonts w:asciiTheme="minorHAnsi" w:hAnsiTheme="minorHAnsi" w:cstheme="minorHAnsi"/>
          <w:lang w:val="en-IN"/>
        </w:rPr>
      </w:pPr>
    </w:p>
    <w:p w14:paraId="4A6DBFD2" w14:textId="77777777" w:rsidR="00002A13" w:rsidRDefault="00002A13" w:rsidP="00CD1CA4">
      <w:pPr>
        <w:rPr>
          <w:rFonts w:asciiTheme="minorHAnsi" w:hAnsiTheme="minorHAnsi" w:cstheme="minorHAnsi"/>
          <w:lang w:val="en-IN"/>
        </w:rPr>
        <w:sectPr w:rsidR="00002A13" w:rsidSect="003E14BE">
          <w:headerReference w:type="even" r:id="rId17"/>
          <w:headerReference w:type="default" r:id="rId18"/>
          <w:footerReference w:type="even" r:id="rId19"/>
          <w:footerReference w:type="default" r:id="rId20"/>
          <w:footerReference w:type="first" r:id="rId21"/>
          <w:pgSz w:w="11906" w:h="16838"/>
          <w:pgMar w:top="1417" w:right="1417" w:bottom="1417" w:left="1417" w:header="283" w:footer="624" w:gutter="0"/>
          <w:pgNumType w:start="1"/>
          <w:cols w:space="708"/>
          <w:titlePg/>
          <w:docGrid w:linePitch="360"/>
        </w:sectPr>
      </w:pPr>
    </w:p>
    <w:p w14:paraId="24CFC1A7" w14:textId="77777777" w:rsidR="00002A13" w:rsidRPr="00002A13" w:rsidRDefault="00002A13" w:rsidP="00002A13">
      <w:pPr>
        <w:suppressAutoHyphens w:val="0"/>
        <w:spacing w:after="0" w:line="300" w:lineRule="auto"/>
        <w:jc w:val="center"/>
        <w:rPr>
          <w:rFonts w:asciiTheme="minorHAnsi" w:hAnsiTheme="minorHAnsi" w:cstheme="minorHAnsi"/>
          <w:b/>
          <w:sz w:val="22"/>
          <w:szCs w:val="22"/>
          <w:lang w:eastAsia="pl-PL" w:bidi="ar-SA"/>
        </w:rPr>
      </w:pPr>
      <w:r w:rsidRPr="00002A13">
        <w:rPr>
          <w:rFonts w:asciiTheme="minorHAnsi" w:hAnsiTheme="minorHAnsi" w:cstheme="minorHAnsi"/>
          <w:b/>
          <w:sz w:val="22"/>
          <w:szCs w:val="22"/>
          <w:lang w:eastAsia="pl-PL" w:bidi="ar-SA"/>
        </w:rPr>
        <w:lastRenderedPageBreak/>
        <w:t>UZASADNIENIE</w:t>
      </w:r>
    </w:p>
    <w:p w14:paraId="5144F929" w14:textId="77777777" w:rsidR="00002A13" w:rsidRPr="00002A13" w:rsidRDefault="00002A13" w:rsidP="00002A13">
      <w:pPr>
        <w:suppressAutoHyphens w:val="0"/>
        <w:spacing w:before="120" w:after="240" w:line="300" w:lineRule="auto"/>
        <w:jc w:val="center"/>
        <w:rPr>
          <w:rFonts w:asciiTheme="minorHAnsi" w:hAnsiTheme="minorHAnsi" w:cstheme="minorHAnsi"/>
          <w:b/>
          <w:sz w:val="22"/>
          <w:szCs w:val="22"/>
          <w:lang w:eastAsia="pl-PL" w:bidi="ar-SA"/>
        </w:rPr>
      </w:pPr>
      <w:r w:rsidRPr="00002A13">
        <w:rPr>
          <w:rFonts w:asciiTheme="minorHAnsi" w:hAnsiTheme="minorHAnsi" w:cstheme="minorHAnsi"/>
          <w:b/>
          <w:sz w:val="22"/>
          <w:szCs w:val="22"/>
          <w:lang w:eastAsia="pl-PL" w:bidi="ar-SA"/>
        </w:rPr>
        <w:t>projektu uchwały Rady Miasta Stołecznego Warszawy w sprawie przyjęcia programu polityki zdrowotnej z zakresu profilaktyki i wczesnego wykrywania osteoporozy dla mieszkanek Warszawy pn. „Niezłomne Warszawianki”, na lata 2023 – 2025</w:t>
      </w:r>
    </w:p>
    <w:p w14:paraId="5E177D66" w14:textId="77777777" w:rsidR="00002A13" w:rsidRPr="00002A13" w:rsidRDefault="00002A13" w:rsidP="00002A13">
      <w:pPr>
        <w:suppressAutoHyphens w:val="0"/>
        <w:spacing w:after="160" w:line="259" w:lineRule="auto"/>
        <w:rPr>
          <w:rFonts w:asciiTheme="minorHAnsi" w:eastAsiaTheme="minorHAnsi" w:hAnsiTheme="minorHAnsi" w:cstheme="minorHAnsi"/>
          <w:bCs w:val="0"/>
          <w:sz w:val="22"/>
          <w:szCs w:val="22"/>
          <w:lang w:bidi="ar-SA"/>
        </w:rPr>
      </w:pPr>
      <w:r w:rsidRPr="00002A13">
        <w:rPr>
          <w:rFonts w:asciiTheme="minorHAnsi" w:eastAsiaTheme="minorHAnsi" w:hAnsiTheme="minorHAnsi" w:cstheme="minorHAnsi"/>
          <w:bCs w:val="0"/>
          <w:sz w:val="22"/>
          <w:szCs w:val="22"/>
          <w:lang w:bidi="ar-SA"/>
        </w:rPr>
        <w:t>Osteoporoza to układowa choroba szkieletu, charakteryzująca się zwiększonym ryzykiem złamań kości w następstwie zmniejszenia ich odporności mechanicznej. Odporność mechaniczna kości jest uwarunkowana gęstością mineralną i jakością tkanki kostnej. Do złamania niskoenergetycznego (patologicznego) może dojść nie tylko z powodu osteoporozy, lecz np. z powodu nowotworu. Złamanie niskoenergetyczne definiuje się jako złamanie pod wpływem siły, która nie łamie zdrowej kości (upadek z wysokości własnego ciała lub wystąpienie złamania samoistnego).</w:t>
      </w:r>
    </w:p>
    <w:p w14:paraId="46329449" w14:textId="77777777" w:rsidR="00002A13" w:rsidRPr="00002A13" w:rsidRDefault="00002A13" w:rsidP="00002A13">
      <w:pPr>
        <w:suppressAutoHyphens w:val="0"/>
        <w:spacing w:after="160" w:line="259" w:lineRule="auto"/>
        <w:rPr>
          <w:rFonts w:asciiTheme="minorHAnsi" w:eastAsiaTheme="minorHAnsi" w:hAnsiTheme="minorHAnsi" w:cstheme="minorHAnsi"/>
          <w:bCs w:val="0"/>
          <w:sz w:val="22"/>
          <w:szCs w:val="22"/>
          <w:lang w:bidi="ar-SA"/>
        </w:rPr>
      </w:pPr>
      <w:r w:rsidRPr="00002A13">
        <w:rPr>
          <w:rFonts w:asciiTheme="minorHAnsi" w:eastAsiaTheme="minorHAnsi" w:hAnsiTheme="minorHAnsi" w:cstheme="minorHAnsi"/>
          <w:bCs w:val="0"/>
          <w:sz w:val="22"/>
          <w:szCs w:val="22"/>
          <w:lang w:bidi="ar-SA"/>
        </w:rPr>
        <w:t>Dane epidemiologiczne wskazują, że liczba osób z osteoporozą wynosi w Polsce ponad 2 mln, a jedynie ok. 30% ma ją rozpoznaną. Dane dotyczące stanu leczenia wskazują na konieczność poprawy diagnostyki, szczególnie w populacji osób powyżej 65+ roku życia. Zmiana powinna objąć zwiększenie zgłaszalności na poziomie podstawowej opieki zdrowotnej (POZ) oraz koordynację działań pomiędzy POZ a ambulatoryjną opiekę specjalistyczną - czyli poradniami osteoporozy lub reumatologicznymi.</w:t>
      </w:r>
    </w:p>
    <w:p w14:paraId="1D6F9362" w14:textId="77777777" w:rsidR="00002A13" w:rsidRPr="00002A13" w:rsidRDefault="00002A13" w:rsidP="00002A13">
      <w:pPr>
        <w:suppressAutoHyphens w:val="0"/>
        <w:spacing w:after="160" w:line="259" w:lineRule="auto"/>
        <w:rPr>
          <w:rFonts w:asciiTheme="minorHAnsi" w:eastAsiaTheme="minorHAnsi" w:hAnsiTheme="minorHAnsi" w:cstheme="minorHAnsi"/>
          <w:bCs w:val="0"/>
          <w:sz w:val="22"/>
          <w:szCs w:val="22"/>
          <w:lang w:bidi="ar-SA"/>
        </w:rPr>
      </w:pPr>
      <w:r w:rsidRPr="00002A13">
        <w:rPr>
          <w:rFonts w:asciiTheme="minorHAnsi" w:eastAsiaTheme="minorHAnsi" w:hAnsiTheme="minorHAnsi" w:cstheme="minorHAnsi"/>
          <w:bCs w:val="0"/>
          <w:sz w:val="22"/>
          <w:szCs w:val="22"/>
          <w:lang w:bidi="ar-SA"/>
        </w:rPr>
        <w:t>Proponowany program został stworzony zgodnie z Rekomendacją Prezesa AOTMIT nr 9/2020 z dnia 30 listopada 2020 i opiera się na rekomendacjach zarówno ekspertów polskich jak i międzynarodowych. Wskazane interwencje znajdują potwierdzenie w analizie dowodów naukowych.</w:t>
      </w:r>
    </w:p>
    <w:p w14:paraId="5C75C86D" w14:textId="77777777" w:rsidR="00002A13" w:rsidRPr="00002A13" w:rsidRDefault="00002A13" w:rsidP="00002A13">
      <w:pPr>
        <w:suppressAutoHyphens w:val="0"/>
        <w:spacing w:after="160" w:line="259" w:lineRule="auto"/>
        <w:rPr>
          <w:rFonts w:asciiTheme="minorHAnsi" w:eastAsiaTheme="minorHAnsi" w:hAnsiTheme="minorHAnsi" w:cstheme="minorBidi"/>
          <w:bCs w:val="0"/>
          <w:sz w:val="22"/>
          <w:szCs w:val="22"/>
          <w:lang w:bidi="ar-SA"/>
        </w:rPr>
      </w:pPr>
      <w:r w:rsidRPr="00002A13">
        <w:rPr>
          <w:rFonts w:asciiTheme="minorHAnsi" w:eastAsiaTheme="minorHAnsi" w:hAnsiTheme="minorHAnsi" w:cstheme="minorHAnsi"/>
          <w:bCs w:val="0"/>
          <w:sz w:val="22"/>
          <w:szCs w:val="22"/>
          <w:lang w:bidi="ar-SA"/>
        </w:rPr>
        <w:t xml:space="preserve">Program zakłada wdrożenie w ośrodkach uczestniczących w programie skutecznego schematu postępowania w zakresie identyfikacji pacjentów zagrożonych wysokim ryzykiem złamań niskoenergetycznych i identyfikacji osób z dokonanymi już złamaniami. Zakłada też działania edukacyjne dla pacjentów i personelu medycznego. </w:t>
      </w:r>
      <w:r w:rsidRPr="00002A13">
        <w:rPr>
          <w:rFonts w:asciiTheme="minorHAnsi" w:eastAsiaTheme="minorHAnsi" w:hAnsiTheme="minorHAnsi" w:cstheme="minorBidi"/>
          <w:bCs w:val="0"/>
          <w:sz w:val="22"/>
          <w:szCs w:val="22"/>
          <w:lang w:bidi="ar-SA"/>
        </w:rPr>
        <w:t>Program przyczyni się do wdrażania przyczynowego leczenia farmakologicznego u osób z rozpoznaniem osteoporozy w ramach programu w ramach istniejącej struktury organizacyjnej świadczeniodawców, a jego efektywne funkcjonowanie powinno zaowocować w przyszłości kontynuowaniem podobnej struktury świadczeń w ramach działań finansowanych przez NFZ.</w:t>
      </w:r>
    </w:p>
    <w:p w14:paraId="2D96F5C9" w14:textId="77777777" w:rsidR="00002A13" w:rsidRPr="00002A13" w:rsidRDefault="00002A13" w:rsidP="00002A13">
      <w:pPr>
        <w:suppressAutoHyphens w:val="0"/>
        <w:spacing w:after="160" w:line="259" w:lineRule="auto"/>
        <w:rPr>
          <w:rFonts w:asciiTheme="minorHAnsi" w:eastAsiaTheme="minorHAnsi" w:hAnsiTheme="minorHAnsi" w:cstheme="minorBidi"/>
          <w:bCs w:val="0"/>
          <w:sz w:val="22"/>
          <w:szCs w:val="22"/>
          <w:lang w:bidi="ar-SA"/>
        </w:rPr>
      </w:pPr>
      <w:r w:rsidRPr="00002A13">
        <w:rPr>
          <w:rFonts w:asciiTheme="minorHAnsi" w:eastAsiaTheme="minorHAnsi" w:hAnsiTheme="minorHAnsi" w:cstheme="minorBidi"/>
          <w:bCs w:val="0"/>
          <w:sz w:val="22"/>
          <w:szCs w:val="22"/>
          <w:lang w:bidi="ar-SA"/>
        </w:rPr>
        <w:t>Program jest zgodny z założeniami Uchwały Nr LXVI/1800/2018 Rady m.st. Warszawy z dnia 10 maja 2018 r. w sprawie przyjęcia strategii rozwoju miasta stołecznego Warszawy do 2030 roku (Cel operacyjny 2.3.: Korzystamy z usług blisko domu).</w:t>
      </w:r>
    </w:p>
    <w:p w14:paraId="135FE0FC" w14:textId="77777777" w:rsidR="00002A13" w:rsidRPr="00002A13" w:rsidRDefault="00002A13" w:rsidP="00002A13">
      <w:pPr>
        <w:suppressAutoHyphens w:val="0"/>
        <w:spacing w:after="160" w:line="259" w:lineRule="auto"/>
        <w:rPr>
          <w:rFonts w:asciiTheme="minorHAnsi" w:eastAsiaTheme="minorHAnsi" w:hAnsiTheme="minorHAnsi" w:cstheme="minorHAnsi"/>
          <w:bCs w:val="0"/>
          <w:sz w:val="22"/>
          <w:szCs w:val="22"/>
          <w:lang w:bidi="ar-SA"/>
        </w:rPr>
      </w:pPr>
      <w:r w:rsidRPr="00002A13">
        <w:rPr>
          <w:rFonts w:asciiTheme="minorHAnsi" w:eastAsiaTheme="minorHAnsi" w:hAnsiTheme="minorHAnsi" w:cstheme="minorBidi"/>
          <w:bCs w:val="0"/>
          <w:sz w:val="22"/>
          <w:szCs w:val="22"/>
          <w:lang w:bidi="ar-SA"/>
        </w:rPr>
        <w:t xml:space="preserve">Decyzją Ministra Zdrowia z dnia 14.09.2023 r. program uzyskał dofinansowanie w wysokości 1 500 000 zł (a więc 80% całości kosztów programu), w ramach konkursu Ministerstwa Zdrowia nr FM-SRP.01.2022 na dofinansowanie programów polityki zdrowotnej realizowanych przez gminy w obszarze edukacji w zakresie osteoporozy i wczesnego wykrywania osteoporozy. Środki na dofinansowanie pochodzą z Subfunduszu rozwoju profilaktyki </w:t>
      </w:r>
      <w:r w:rsidRPr="00002A13">
        <w:rPr>
          <w:rFonts w:asciiTheme="minorHAnsi" w:eastAsiaTheme="minorHAnsi" w:hAnsiTheme="minorHAnsi" w:cstheme="minorHAnsi"/>
          <w:bCs w:val="0"/>
          <w:sz w:val="22"/>
          <w:szCs w:val="22"/>
          <w:lang w:bidi="ar-SA"/>
        </w:rPr>
        <w:t xml:space="preserve">wyodrębnionego w ramach Funduszu Medycznego Ministerstwa Zdrowia. </w:t>
      </w:r>
    </w:p>
    <w:p w14:paraId="6046E987" w14:textId="77777777" w:rsidR="00002A13" w:rsidRPr="00002A13" w:rsidRDefault="00002A13" w:rsidP="00002A13">
      <w:pPr>
        <w:suppressAutoHyphens w:val="0"/>
        <w:spacing w:after="120" w:line="259" w:lineRule="auto"/>
        <w:rPr>
          <w:rFonts w:asciiTheme="minorHAnsi" w:eastAsiaTheme="minorHAnsi" w:hAnsiTheme="minorHAnsi" w:cstheme="minorBidi"/>
          <w:bCs w:val="0"/>
          <w:sz w:val="22"/>
          <w:szCs w:val="22"/>
          <w:lang w:bidi="ar-SA"/>
        </w:rPr>
      </w:pPr>
      <w:r w:rsidRPr="00002A13">
        <w:rPr>
          <w:rFonts w:asciiTheme="minorHAnsi" w:eastAsiaTheme="minorHAnsi" w:hAnsiTheme="minorHAnsi" w:cstheme="minorBidi"/>
          <w:bCs w:val="0"/>
          <w:sz w:val="22"/>
          <w:szCs w:val="22"/>
          <w:lang w:bidi="ar-SA"/>
        </w:rPr>
        <w:t>Budżet programu:</w:t>
      </w:r>
    </w:p>
    <w:tbl>
      <w:tblPr>
        <w:tblStyle w:val="Tabela-Siatka3"/>
        <w:tblW w:w="0" w:type="auto"/>
        <w:tblLook w:val="04A0" w:firstRow="1" w:lastRow="0" w:firstColumn="1" w:lastColumn="0" w:noHBand="0" w:noVBand="1"/>
      </w:tblPr>
      <w:tblGrid>
        <w:gridCol w:w="780"/>
        <w:gridCol w:w="2810"/>
        <w:gridCol w:w="2835"/>
        <w:gridCol w:w="1843"/>
      </w:tblGrid>
      <w:tr w:rsidR="00002A13" w:rsidRPr="00002A13" w14:paraId="0B97FB74" w14:textId="77777777" w:rsidTr="002B534A">
        <w:tc>
          <w:tcPr>
            <w:tcW w:w="729" w:type="dxa"/>
          </w:tcPr>
          <w:p w14:paraId="1B79D2E9" w14:textId="77777777" w:rsidR="00002A13" w:rsidRPr="00002A13" w:rsidRDefault="00002A13" w:rsidP="00002A13">
            <w:pPr>
              <w:widowControl w:val="0"/>
              <w:spacing w:after="0" w:line="240" w:lineRule="auto"/>
              <w:outlineLvl w:val="3"/>
              <w:rPr>
                <w:rFonts w:asciiTheme="minorHAnsi" w:hAnsiTheme="minorHAnsi" w:cstheme="minorHAnsi"/>
                <w:b/>
              </w:rPr>
            </w:pPr>
            <w:r w:rsidRPr="00002A13">
              <w:rPr>
                <w:rFonts w:asciiTheme="minorHAnsi" w:hAnsiTheme="minorHAnsi" w:cstheme="minorHAnsi"/>
                <w:b/>
              </w:rPr>
              <w:t>rok</w:t>
            </w:r>
          </w:p>
        </w:tc>
        <w:tc>
          <w:tcPr>
            <w:tcW w:w="2810" w:type="dxa"/>
          </w:tcPr>
          <w:p w14:paraId="2B9CF995" w14:textId="77777777" w:rsidR="00002A13" w:rsidRPr="00002A13" w:rsidRDefault="00002A13" w:rsidP="00002A13">
            <w:pPr>
              <w:widowControl w:val="0"/>
              <w:spacing w:after="0" w:line="240" w:lineRule="auto"/>
              <w:outlineLvl w:val="3"/>
              <w:rPr>
                <w:rFonts w:asciiTheme="minorHAnsi" w:hAnsiTheme="minorHAnsi" w:cstheme="minorHAnsi"/>
                <w:b/>
              </w:rPr>
            </w:pPr>
            <w:r w:rsidRPr="00002A13">
              <w:rPr>
                <w:rFonts w:asciiTheme="minorHAnsi" w:hAnsiTheme="minorHAnsi" w:cstheme="minorHAnsi"/>
                <w:b/>
              </w:rPr>
              <w:t>Wkład własny m.st. Warszawy</w:t>
            </w:r>
          </w:p>
        </w:tc>
        <w:tc>
          <w:tcPr>
            <w:tcW w:w="2835" w:type="dxa"/>
          </w:tcPr>
          <w:p w14:paraId="401F80CD" w14:textId="77777777" w:rsidR="00002A13" w:rsidRPr="00002A13" w:rsidRDefault="00002A13" w:rsidP="00002A13">
            <w:pPr>
              <w:widowControl w:val="0"/>
              <w:spacing w:after="0" w:line="240" w:lineRule="auto"/>
              <w:outlineLvl w:val="3"/>
              <w:rPr>
                <w:rFonts w:asciiTheme="minorHAnsi" w:hAnsiTheme="minorHAnsi" w:cstheme="minorHAnsi"/>
                <w:b/>
              </w:rPr>
            </w:pPr>
            <w:r w:rsidRPr="00002A13">
              <w:rPr>
                <w:rFonts w:asciiTheme="minorHAnsi" w:hAnsiTheme="minorHAnsi" w:cstheme="minorHAnsi"/>
                <w:b/>
              </w:rPr>
              <w:t>dofinansowanie z MZ / NFZ</w:t>
            </w:r>
          </w:p>
        </w:tc>
        <w:tc>
          <w:tcPr>
            <w:tcW w:w="1843" w:type="dxa"/>
          </w:tcPr>
          <w:p w14:paraId="139D10BE" w14:textId="77777777" w:rsidR="00002A13" w:rsidRPr="00002A13" w:rsidRDefault="00002A13" w:rsidP="00002A13">
            <w:pPr>
              <w:widowControl w:val="0"/>
              <w:spacing w:after="0" w:line="240" w:lineRule="auto"/>
              <w:outlineLvl w:val="3"/>
              <w:rPr>
                <w:rFonts w:asciiTheme="minorHAnsi" w:hAnsiTheme="minorHAnsi" w:cstheme="minorHAnsi"/>
                <w:b/>
              </w:rPr>
            </w:pPr>
            <w:r w:rsidRPr="00002A13">
              <w:rPr>
                <w:rFonts w:asciiTheme="minorHAnsi" w:hAnsiTheme="minorHAnsi" w:cstheme="minorHAnsi"/>
                <w:b/>
              </w:rPr>
              <w:t>Razem</w:t>
            </w:r>
          </w:p>
        </w:tc>
      </w:tr>
      <w:tr w:rsidR="00002A13" w:rsidRPr="00002A13" w14:paraId="5FE71A47" w14:textId="77777777" w:rsidTr="002B534A">
        <w:tc>
          <w:tcPr>
            <w:tcW w:w="729" w:type="dxa"/>
          </w:tcPr>
          <w:p w14:paraId="60964DFB" w14:textId="77777777" w:rsidR="00002A13" w:rsidRPr="00002A13" w:rsidRDefault="00002A13" w:rsidP="00002A13">
            <w:pPr>
              <w:widowControl w:val="0"/>
              <w:spacing w:before="60" w:after="60" w:line="240" w:lineRule="auto"/>
              <w:outlineLvl w:val="3"/>
              <w:rPr>
                <w:rFonts w:asciiTheme="minorHAnsi" w:hAnsiTheme="minorHAnsi" w:cstheme="minorHAnsi"/>
              </w:rPr>
            </w:pPr>
            <w:r w:rsidRPr="00002A13">
              <w:rPr>
                <w:rFonts w:asciiTheme="minorHAnsi" w:hAnsiTheme="minorHAnsi" w:cstheme="minorHAnsi"/>
              </w:rPr>
              <w:t>2023</w:t>
            </w:r>
          </w:p>
        </w:tc>
        <w:tc>
          <w:tcPr>
            <w:tcW w:w="2810" w:type="dxa"/>
          </w:tcPr>
          <w:p w14:paraId="013A82E9" w14:textId="77777777" w:rsidR="00002A13" w:rsidRPr="00002A13" w:rsidRDefault="00002A13" w:rsidP="00002A13">
            <w:pPr>
              <w:widowControl w:val="0"/>
              <w:spacing w:before="60" w:after="60" w:line="240" w:lineRule="auto"/>
              <w:outlineLvl w:val="3"/>
              <w:rPr>
                <w:rFonts w:asciiTheme="minorHAnsi" w:hAnsiTheme="minorHAnsi" w:cstheme="minorHAnsi"/>
              </w:rPr>
            </w:pPr>
            <w:r w:rsidRPr="00002A13">
              <w:rPr>
                <w:rFonts w:asciiTheme="minorHAnsi" w:hAnsiTheme="minorHAnsi" w:cstheme="minorHAnsi"/>
              </w:rPr>
              <w:t>0 zł</w:t>
            </w:r>
          </w:p>
        </w:tc>
        <w:tc>
          <w:tcPr>
            <w:tcW w:w="2835" w:type="dxa"/>
          </w:tcPr>
          <w:p w14:paraId="3CBCC743" w14:textId="77777777" w:rsidR="00002A13" w:rsidRPr="00002A13" w:rsidRDefault="00002A13" w:rsidP="00002A13">
            <w:pPr>
              <w:widowControl w:val="0"/>
              <w:spacing w:before="60" w:after="60" w:line="240" w:lineRule="auto"/>
              <w:outlineLvl w:val="3"/>
              <w:rPr>
                <w:rFonts w:asciiTheme="minorHAnsi" w:hAnsiTheme="minorHAnsi" w:cstheme="minorHAnsi"/>
              </w:rPr>
            </w:pPr>
            <w:r w:rsidRPr="00002A13">
              <w:rPr>
                <w:rFonts w:asciiTheme="minorHAnsi" w:hAnsiTheme="minorHAnsi" w:cstheme="minorHAnsi"/>
              </w:rPr>
              <w:t>0 zł</w:t>
            </w:r>
          </w:p>
        </w:tc>
        <w:tc>
          <w:tcPr>
            <w:tcW w:w="1843" w:type="dxa"/>
          </w:tcPr>
          <w:p w14:paraId="31352C09" w14:textId="77777777" w:rsidR="00002A13" w:rsidRPr="00002A13" w:rsidRDefault="00002A13" w:rsidP="00002A13">
            <w:pPr>
              <w:widowControl w:val="0"/>
              <w:spacing w:before="60" w:after="60" w:line="240" w:lineRule="auto"/>
              <w:outlineLvl w:val="3"/>
              <w:rPr>
                <w:rFonts w:asciiTheme="minorHAnsi" w:hAnsiTheme="minorHAnsi" w:cstheme="minorHAnsi"/>
              </w:rPr>
            </w:pPr>
            <w:r w:rsidRPr="00002A13">
              <w:rPr>
                <w:rFonts w:asciiTheme="minorHAnsi" w:hAnsiTheme="minorHAnsi" w:cstheme="minorHAnsi"/>
              </w:rPr>
              <w:t>0 zł</w:t>
            </w:r>
          </w:p>
        </w:tc>
      </w:tr>
      <w:tr w:rsidR="00002A13" w:rsidRPr="00002A13" w14:paraId="6EF679EF" w14:textId="77777777" w:rsidTr="002B534A">
        <w:trPr>
          <w:trHeight w:val="348"/>
        </w:trPr>
        <w:tc>
          <w:tcPr>
            <w:tcW w:w="729" w:type="dxa"/>
          </w:tcPr>
          <w:p w14:paraId="3FE7FACC" w14:textId="77777777" w:rsidR="00002A13" w:rsidRPr="00002A13" w:rsidRDefault="00002A13" w:rsidP="00002A13">
            <w:pPr>
              <w:widowControl w:val="0"/>
              <w:spacing w:before="60" w:after="60" w:line="240" w:lineRule="auto"/>
              <w:outlineLvl w:val="3"/>
              <w:rPr>
                <w:rFonts w:asciiTheme="minorHAnsi" w:hAnsiTheme="minorHAnsi" w:cstheme="minorHAnsi"/>
              </w:rPr>
            </w:pPr>
            <w:r w:rsidRPr="00002A13">
              <w:rPr>
                <w:rFonts w:asciiTheme="minorHAnsi" w:hAnsiTheme="minorHAnsi" w:cstheme="minorHAnsi"/>
              </w:rPr>
              <w:t>2024</w:t>
            </w:r>
          </w:p>
        </w:tc>
        <w:tc>
          <w:tcPr>
            <w:tcW w:w="2810" w:type="dxa"/>
          </w:tcPr>
          <w:p w14:paraId="418D3841" w14:textId="77777777" w:rsidR="00002A13" w:rsidRPr="00002A13" w:rsidRDefault="00002A13" w:rsidP="00002A13">
            <w:pPr>
              <w:widowControl w:val="0"/>
              <w:spacing w:before="60" w:after="60" w:line="240" w:lineRule="auto"/>
              <w:outlineLvl w:val="3"/>
              <w:rPr>
                <w:rFonts w:asciiTheme="minorHAnsi" w:hAnsiTheme="minorHAnsi" w:cstheme="minorHAnsi"/>
              </w:rPr>
            </w:pPr>
            <w:r w:rsidRPr="00002A13">
              <w:rPr>
                <w:rFonts w:asciiTheme="minorHAnsi" w:hAnsiTheme="minorHAnsi" w:cstheme="minorHAnsi"/>
              </w:rPr>
              <w:t>195 800 zł</w:t>
            </w:r>
          </w:p>
        </w:tc>
        <w:tc>
          <w:tcPr>
            <w:tcW w:w="2835" w:type="dxa"/>
          </w:tcPr>
          <w:p w14:paraId="61B3EEC7" w14:textId="77777777" w:rsidR="00002A13" w:rsidRPr="00002A13" w:rsidRDefault="00002A13" w:rsidP="00002A13">
            <w:pPr>
              <w:widowControl w:val="0"/>
              <w:spacing w:before="60" w:after="60" w:line="240" w:lineRule="auto"/>
              <w:outlineLvl w:val="3"/>
              <w:rPr>
                <w:rFonts w:asciiTheme="minorHAnsi" w:hAnsiTheme="minorHAnsi" w:cstheme="minorHAnsi"/>
              </w:rPr>
            </w:pPr>
            <w:r w:rsidRPr="00002A13">
              <w:rPr>
                <w:rFonts w:asciiTheme="minorHAnsi" w:hAnsiTheme="minorHAnsi" w:cstheme="minorHAnsi"/>
              </w:rPr>
              <w:t>783 200 zł</w:t>
            </w:r>
          </w:p>
        </w:tc>
        <w:tc>
          <w:tcPr>
            <w:tcW w:w="1843" w:type="dxa"/>
          </w:tcPr>
          <w:p w14:paraId="4EDC27FA" w14:textId="77777777" w:rsidR="00002A13" w:rsidRPr="00002A13" w:rsidRDefault="00002A13" w:rsidP="00002A13">
            <w:pPr>
              <w:widowControl w:val="0"/>
              <w:spacing w:before="60" w:after="60" w:line="240" w:lineRule="auto"/>
              <w:outlineLvl w:val="3"/>
              <w:rPr>
                <w:rFonts w:asciiTheme="minorHAnsi" w:hAnsiTheme="minorHAnsi" w:cstheme="minorHAnsi"/>
              </w:rPr>
            </w:pPr>
            <w:r w:rsidRPr="00002A13">
              <w:rPr>
                <w:rFonts w:asciiTheme="minorHAnsi" w:hAnsiTheme="minorHAnsi" w:cstheme="minorHAnsi"/>
              </w:rPr>
              <w:t>979 000 zł</w:t>
            </w:r>
          </w:p>
        </w:tc>
      </w:tr>
      <w:tr w:rsidR="00002A13" w:rsidRPr="00002A13" w14:paraId="141015F8" w14:textId="77777777" w:rsidTr="002B534A">
        <w:tc>
          <w:tcPr>
            <w:tcW w:w="729" w:type="dxa"/>
          </w:tcPr>
          <w:p w14:paraId="00B0B70C" w14:textId="77777777" w:rsidR="00002A13" w:rsidRPr="00002A13" w:rsidRDefault="00002A13" w:rsidP="00002A13">
            <w:pPr>
              <w:widowControl w:val="0"/>
              <w:spacing w:before="60" w:after="60" w:line="240" w:lineRule="auto"/>
              <w:outlineLvl w:val="3"/>
              <w:rPr>
                <w:rFonts w:asciiTheme="minorHAnsi" w:hAnsiTheme="minorHAnsi" w:cstheme="minorHAnsi"/>
              </w:rPr>
            </w:pPr>
            <w:r w:rsidRPr="00002A13">
              <w:rPr>
                <w:rFonts w:asciiTheme="minorHAnsi" w:hAnsiTheme="minorHAnsi" w:cstheme="minorHAnsi"/>
              </w:rPr>
              <w:t>2025</w:t>
            </w:r>
          </w:p>
        </w:tc>
        <w:tc>
          <w:tcPr>
            <w:tcW w:w="2810" w:type="dxa"/>
          </w:tcPr>
          <w:p w14:paraId="166AE628" w14:textId="77777777" w:rsidR="00002A13" w:rsidRPr="00002A13" w:rsidRDefault="00002A13" w:rsidP="00002A13">
            <w:pPr>
              <w:widowControl w:val="0"/>
              <w:spacing w:before="60" w:after="60" w:line="240" w:lineRule="auto"/>
              <w:outlineLvl w:val="3"/>
              <w:rPr>
                <w:rFonts w:asciiTheme="minorHAnsi" w:hAnsiTheme="minorHAnsi" w:cstheme="minorHAnsi"/>
              </w:rPr>
            </w:pPr>
            <w:r w:rsidRPr="00002A13">
              <w:rPr>
                <w:rFonts w:asciiTheme="minorHAnsi" w:hAnsiTheme="minorHAnsi" w:cstheme="minorHAnsi"/>
              </w:rPr>
              <w:t>179 200 zł</w:t>
            </w:r>
          </w:p>
        </w:tc>
        <w:tc>
          <w:tcPr>
            <w:tcW w:w="2835" w:type="dxa"/>
          </w:tcPr>
          <w:p w14:paraId="1E0C591D" w14:textId="77777777" w:rsidR="00002A13" w:rsidRPr="00002A13" w:rsidRDefault="00002A13" w:rsidP="00002A13">
            <w:pPr>
              <w:widowControl w:val="0"/>
              <w:spacing w:before="60" w:after="60" w:line="240" w:lineRule="auto"/>
              <w:outlineLvl w:val="3"/>
              <w:rPr>
                <w:rFonts w:asciiTheme="minorHAnsi" w:hAnsiTheme="minorHAnsi" w:cstheme="minorHAnsi"/>
              </w:rPr>
            </w:pPr>
            <w:r w:rsidRPr="00002A13">
              <w:rPr>
                <w:rFonts w:asciiTheme="minorHAnsi" w:hAnsiTheme="minorHAnsi" w:cstheme="minorHAnsi"/>
              </w:rPr>
              <w:t>716 800 zł</w:t>
            </w:r>
          </w:p>
        </w:tc>
        <w:tc>
          <w:tcPr>
            <w:tcW w:w="1843" w:type="dxa"/>
          </w:tcPr>
          <w:p w14:paraId="5AC35E93" w14:textId="77777777" w:rsidR="00002A13" w:rsidRPr="00002A13" w:rsidRDefault="00002A13" w:rsidP="00002A13">
            <w:pPr>
              <w:widowControl w:val="0"/>
              <w:spacing w:before="60" w:after="60" w:line="240" w:lineRule="auto"/>
              <w:outlineLvl w:val="3"/>
              <w:rPr>
                <w:rFonts w:asciiTheme="minorHAnsi" w:hAnsiTheme="minorHAnsi" w:cstheme="minorHAnsi"/>
              </w:rPr>
            </w:pPr>
            <w:r w:rsidRPr="00002A13">
              <w:rPr>
                <w:rFonts w:asciiTheme="minorHAnsi" w:hAnsiTheme="minorHAnsi" w:cstheme="minorHAnsi"/>
              </w:rPr>
              <w:t>896 000 zł</w:t>
            </w:r>
          </w:p>
        </w:tc>
      </w:tr>
      <w:tr w:rsidR="00002A13" w:rsidRPr="00002A13" w14:paraId="6ED620D5" w14:textId="77777777" w:rsidTr="002B534A">
        <w:tc>
          <w:tcPr>
            <w:tcW w:w="729" w:type="dxa"/>
          </w:tcPr>
          <w:p w14:paraId="48277DBF" w14:textId="77777777" w:rsidR="00002A13" w:rsidRPr="00002A13" w:rsidRDefault="00002A13" w:rsidP="00002A13">
            <w:pPr>
              <w:widowControl w:val="0"/>
              <w:spacing w:before="60" w:after="60" w:line="240" w:lineRule="auto"/>
              <w:outlineLvl w:val="3"/>
              <w:rPr>
                <w:rFonts w:asciiTheme="minorHAnsi" w:hAnsiTheme="minorHAnsi" w:cstheme="minorHAnsi"/>
                <w:b/>
              </w:rPr>
            </w:pPr>
            <w:r w:rsidRPr="00002A13">
              <w:rPr>
                <w:rFonts w:asciiTheme="minorHAnsi" w:hAnsiTheme="minorHAnsi" w:cstheme="minorHAnsi"/>
                <w:b/>
              </w:rPr>
              <w:lastRenderedPageBreak/>
              <w:t>razem</w:t>
            </w:r>
          </w:p>
        </w:tc>
        <w:tc>
          <w:tcPr>
            <w:tcW w:w="2810" w:type="dxa"/>
          </w:tcPr>
          <w:p w14:paraId="2E0FDA23" w14:textId="77777777" w:rsidR="00002A13" w:rsidRPr="00002A13" w:rsidRDefault="00002A13" w:rsidP="00002A13">
            <w:pPr>
              <w:widowControl w:val="0"/>
              <w:spacing w:before="60" w:after="60" w:line="240" w:lineRule="auto"/>
              <w:outlineLvl w:val="3"/>
              <w:rPr>
                <w:rFonts w:asciiTheme="minorHAnsi" w:hAnsiTheme="minorHAnsi" w:cstheme="minorHAnsi"/>
                <w:b/>
              </w:rPr>
            </w:pPr>
            <w:r w:rsidRPr="00002A13">
              <w:rPr>
                <w:rFonts w:asciiTheme="minorHAnsi" w:hAnsiTheme="minorHAnsi" w:cstheme="minorHAnsi"/>
                <w:b/>
              </w:rPr>
              <w:t>375 000 zł</w:t>
            </w:r>
          </w:p>
        </w:tc>
        <w:tc>
          <w:tcPr>
            <w:tcW w:w="2835" w:type="dxa"/>
          </w:tcPr>
          <w:p w14:paraId="31302AB6" w14:textId="77777777" w:rsidR="00002A13" w:rsidRPr="00002A13" w:rsidRDefault="00002A13" w:rsidP="00002A13">
            <w:pPr>
              <w:widowControl w:val="0"/>
              <w:spacing w:before="60" w:after="60" w:line="240" w:lineRule="auto"/>
              <w:outlineLvl w:val="3"/>
              <w:rPr>
                <w:rFonts w:asciiTheme="minorHAnsi" w:hAnsiTheme="minorHAnsi" w:cstheme="minorHAnsi"/>
                <w:b/>
              </w:rPr>
            </w:pPr>
            <w:r w:rsidRPr="00002A13">
              <w:rPr>
                <w:rFonts w:asciiTheme="minorHAnsi" w:hAnsiTheme="minorHAnsi" w:cstheme="minorHAnsi"/>
                <w:b/>
              </w:rPr>
              <w:t>1 500 00 zł</w:t>
            </w:r>
          </w:p>
        </w:tc>
        <w:tc>
          <w:tcPr>
            <w:tcW w:w="1843" w:type="dxa"/>
          </w:tcPr>
          <w:p w14:paraId="1FE35239" w14:textId="77777777" w:rsidR="00002A13" w:rsidRPr="00002A13" w:rsidRDefault="00002A13" w:rsidP="00002A13">
            <w:pPr>
              <w:widowControl w:val="0"/>
              <w:spacing w:before="60" w:after="60" w:line="240" w:lineRule="auto"/>
              <w:outlineLvl w:val="3"/>
              <w:rPr>
                <w:rFonts w:asciiTheme="minorHAnsi" w:hAnsiTheme="minorHAnsi" w:cstheme="minorHAnsi"/>
                <w:b/>
              </w:rPr>
            </w:pPr>
            <w:r w:rsidRPr="00002A13">
              <w:rPr>
                <w:rFonts w:asciiTheme="minorHAnsi" w:hAnsiTheme="minorHAnsi" w:cstheme="minorHAnsi"/>
                <w:b/>
              </w:rPr>
              <w:t>1 875 000 zł</w:t>
            </w:r>
          </w:p>
        </w:tc>
      </w:tr>
    </w:tbl>
    <w:p w14:paraId="27B67A33" w14:textId="77777777" w:rsidR="00002A13" w:rsidRPr="00002A13" w:rsidRDefault="00002A13" w:rsidP="00002A13">
      <w:pPr>
        <w:suppressAutoHyphens w:val="0"/>
        <w:spacing w:after="160" w:line="259" w:lineRule="auto"/>
        <w:rPr>
          <w:rFonts w:asciiTheme="minorHAnsi" w:eastAsiaTheme="minorHAnsi" w:hAnsiTheme="minorHAnsi" w:cstheme="minorHAnsi"/>
          <w:bCs w:val="0"/>
          <w:sz w:val="22"/>
          <w:szCs w:val="22"/>
          <w:lang w:bidi="ar-SA"/>
        </w:rPr>
      </w:pPr>
    </w:p>
    <w:p w14:paraId="1E7AC2E2" w14:textId="77777777" w:rsidR="00002A13" w:rsidRPr="00002A13" w:rsidRDefault="00002A13" w:rsidP="00002A13">
      <w:pPr>
        <w:suppressAutoHyphens w:val="0"/>
        <w:spacing w:after="160" w:line="259" w:lineRule="auto"/>
        <w:rPr>
          <w:rFonts w:asciiTheme="minorHAnsi" w:eastAsiaTheme="minorHAnsi" w:hAnsiTheme="minorHAnsi" w:cstheme="minorHAnsi"/>
          <w:bCs w:val="0"/>
          <w:sz w:val="22"/>
          <w:szCs w:val="22"/>
          <w:lang w:bidi="ar-SA"/>
        </w:rPr>
      </w:pPr>
      <w:r w:rsidRPr="00002A13">
        <w:rPr>
          <w:rFonts w:asciiTheme="minorHAnsi" w:eastAsiaTheme="minorHAnsi" w:hAnsiTheme="minorHAnsi" w:cstheme="minorHAnsi"/>
          <w:bCs w:val="0"/>
          <w:sz w:val="22"/>
          <w:szCs w:val="22"/>
          <w:lang w:bidi="ar-SA"/>
        </w:rPr>
        <w:t>Środki finansowe na wkład własny na realizację programu zostały ujęte w Wieloletniej Prognozie Finansowej miasta stołecznego Warszawy na lata 2023-2050 (dział 851, rozdział 85149, § 4280):</w:t>
      </w:r>
    </w:p>
    <w:p w14:paraId="66930F19" w14:textId="77777777" w:rsidR="00002A13" w:rsidRPr="00002A13" w:rsidRDefault="00002A13" w:rsidP="00002A13">
      <w:pPr>
        <w:suppressAutoHyphens w:val="0"/>
        <w:spacing w:after="160" w:line="259" w:lineRule="auto"/>
        <w:rPr>
          <w:rFonts w:asciiTheme="minorHAnsi" w:eastAsiaTheme="minorHAnsi" w:hAnsiTheme="minorHAnsi" w:cstheme="minorHAnsi"/>
          <w:bCs w:val="0"/>
          <w:sz w:val="22"/>
          <w:szCs w:val="22"/>
          <w:lang w:bidi="ar-SA"/>
        </w:rPr>
      </w:pPr>
      <w:r w:rsidRPr="00002A13">
        <w:rPr>
          <w:rFonts w:asciiTheme="minorHAnsi" w:eastAsiaTheme="minorHAnsi" w:hAnsiTheme="minorHAnsi" w:cstheme="minorHAnsi"/>
          <w:bCs w:val="0"/>
          <w:sz w:val="22"/>
          <w:szCs w:val="22"/>
          <w:lang w:bidi="ar-SA"/>
        </w:rPr>
        <w:t xml:space="preserve">1. w 2024 r. – 195 800 zł (słownie złotych: sto dziewięćdziesiąt pięć tysięcy osiemset); </w:t>
      </w:r>
    </w:p>
    <w:p w14:paraId="32B7185C" w14:textId="77777777" w:rsidR="00002A13" w:rsidRPr="00002A13" w:rsidRDefault="00002A13" w:rsidP="00002A13">
      <w:pPr>
        <w:suppressAutoHyphens w:val="0"/>
        <w:spacing w:after="160" w:line="259" w:lineRule="auto"/>
        <w:rPr>
          <w:rFonts w:asciiTheme="minorHAnsi" w:eastAsiaTheme="minorHAnsi" w:hAnsiTheme="minorHAnsi" w:cstheme="minorHAnsi"/>
          <w:bCs w:val="0"/>
          <w:sz w:val="22"/>
          <w:szCs w:val="22"/>
          <w:lang w:bidi="ar-SA"/>
        </w:rPr>
      </w:pPr>
      <w:r w:rsidRPr="00002A13">
        <w:rPr>
          <w:rFonts w:asciiTheme="minorHAnsi" w:eastAsiaTheme="minorHAnsi" w:hAnsiTheme="minorHAnsi" w:cstheme="minorHAnsi"/>
          <w:bCs w:val="0"/>
          <w:sz w:val="22"/>
          <w:szCs w:val="22"/>
          <w:lang w:bidi="ar-SA"/>
        </w:rPr>
        <w:t>2. w 2025 r. – 179 200 zł (słownie złotych: sto siedemdziesiąt dziewięć tysięcy dwieście).</w:t>
      </w:r>
    </w:p>
    <w:p w14:paraId="453B55FA" w14:textId="77777777" w:rsidR="00002A13" w:rsidRDefault="00002A13" w:rsidP="00CD1CA4">
      <w:pPr>
        <w:rPr>
          <w:rFonts w:asciiTheme="minorHAnsi" w:hAnsiTheme="minorHAnsi" w:cstheme="minorHAnsi"/>
          <w:lang w:val="en-IN"/>
        </w:rPr>
        <w:sectPr w:rsidR="00002A13" w:rsidSect="003E14BE">
          <w:pgSz w:w="11906" w:h="16838"/>
          <w:pgMar w:top="1417" w:right="1417" w:bottom="1417" w:left="1417" w:header="283" w:footer="624" w:gutter="0"/>
          <w:pgNumType w:start="1"/>
          <w:cols w:space="708"/>
          <w:titlePg/>
          <w:docGrid w:linePitch="360"/>
        </w:sectPr>
      </w:pPr>
    </w:p>
    <w:p w14:paraId="4AA1462A" w14:textId="77777777" w:rsidR="00002A13" w:rsidRPr="00C22CE7" w:rsidRDefault="00002A13" w:rsidP="00002A13">
      <w:pPr>
        <w:pStyle w:val="Styl"/>
        <w:ind w:right="-142"/>
        <w:jc w:val="center"/>
        <w:rPr>
          <w:rFonts w:asciiTheme="minorHAnsi" w:hAnsiTheme="minorHAnsi" w:cstheme="minorHAnsi"/>
          <w:b/>
        </w:rPr>
      </w:pPr>
    </w:p>
    <w:p w14:paraId="280DA1DC" w14:textId="77777777" w:rsidR="00002A13" w:rsidRPr="00C22CE7" w:rsidRDefault="00002A13" w:rsidP="00002A13">
      <w:pPr>
        <w:spacing w:line="360" w:lineRule="auto"/>
        <w:ind w:right="-142"/>
        <w:jc w:val="center"/>
        <w:rPr>
          <w:rFonts w:asciiTheme="minorHAnsi" w:hAnsiTheme="minorHAnsi" w:cstheme="minorHAnsi"/>
          <w:b/>
          <w:sz w:val="22"/>
          <w:szCs w:val="22"/>
        </w:rPr>
      </w:pPr>
      <w:r w:rsidRPr="00C22CE7">
        <w:rPr>
          <w:rFonts w:asciiTheme="minorHAnsi" w:hAnsiTheme="minorHAnsi" w:cstheme="minorHAnsi"/>
          <w:b/>
          <w:sz w:val="22"/>
          <w:szCs w:val="22"/>
        </w:rPr>
        <w:t xml:space="preserve">Opinia Skarbnika m.st. Warszawy z dnia28 września 2023 </w:t>
      </w:r>
      <w:r w:rsidRPr="00C22CE7">
        <w:rPr>
          <w:rFonts w:asciiTheme="minorHAnsi" w:hAnsiTheme="minorHAnsi" w:cstheme="minorHAnsi"/>
          <w:b/>
          <w:color w:val="000000" w:themeColor="text1"/>
          <w:sz w:val="22"/>
          <w:szCs w:val="22"/>
        </w:rPr>
        <w:t>r.</w:t>
      </w:r>
    </w:p>
    <w:p w14:paraId="2E073E47" w14:textId="77777777" w:rsidR="00002A13" w:rsidRPr="00C22CE7" w:rsidRDefault="00002A13" w:rsidP="00002A13">
      <w:pPr>
        <w:spacing w:line="360" w:lineRule="auto"/>
        <w:ind w:right="-142"/>
        <w:jc w:val="center"/>
        <w:rPr>
          <w:rFonts w:asciiTheme="minorHAnsi" w:hAnsiTheme="minorHAnsi" w:cstheme="minorHAnsi"/>
          <w:b/>
          <w:sz w:val="22"/>
          <w:szCs w:val="22"/>
        </w:rPr>
      </w:pPr>
      <w:r w:rsidRPr="00C22CE7">
        <w:rPr>
          <w:rFonts w:asciiTheme="minorHAnsi" w:hAnsiTheme="minorHAnsi" w:cstheme="minorHAnsi"/>
          <w:b/>
          <w:sz w:val="22"/>
          <w:szCs w:val="22"/>
        </w:rPr>
        <w:t>do projektu uchwały Rady m.st. Warszawy</w:t>
      </w:r>
    </w:p>
    <w:p w14:paraId="2AFE30CD" w14:textId="77777777" w:rsidR="00002A13" w:rsidRPr="00C22CE7" w:rsidRDefault="00002A13" w:rsidP="00002A13">
      <w:pPr>
        <w:spacing w:before="240" w:after="240" w:line="360" w:lineRule="auto"/>
        <w:ind w:right="-142"/>
        <w:rPr>
          <w:rFonts w:asciiTheme="minorHAnsi" w:hAnsiTheme="minorHAnsi" w:cstheme="minorHAnsi"/>
          <w:b/>
          <w:sz w:val="22"/>
          <w:szCs w:val="22"/>
        </w:rPr>
      </w:pPr>
    </w:p>
    <w:p w14:paraId="74A2FBB7" w14:textId="28FC8ABD" w:rsidR="00002A13" w:rsidRPr="00C22CE7" w:rsidRDefault="00002A13" w:rsidP="00002A13">
      <w:pPr>
        <w:spacing w:before="240" w:after="240" w:line="360" w:lineRule="auto"/>
        <w:ind w:right="-142"/>
        <w:rPr>
          <w:rFonts w:asciiTheme="minorHAnsi" w:hAnsiTheme="minorHAnsi" w:cstheme="minorHAnsi"/>
          <w:b/>
          <w:bCs w:val="0"/>
          <w:sz w:val="22"/>
          <w:szCs w:val="22"/>
          <w:shd w:val="clear" w:color="auto" w:fill="FFFFFF"/>
        </w:rPr>
      </w:pPr>
      <w:r w:rsidRPr="00C22CE7">
        <w:rPr>
          <w:rFonts w:asciiTheme="minorHAnsi" w:hAnsiTheme="minorHAnsi" w:cstheme="minorHAnsi"/>
          <w:sz w:val="22"/>
          <w:szCs w:val="22"/>
        </w:rPr>
        <w:t xml:space="preserve">Na podstawie § 29 ust. 6 Statutu miasta stołecznego Warszawy, stanowiącego załącznik </w:t>
      </w:r>
      <w:r w:rsidRPr="00C22CE7">
        <w:rPr>
          <w:rFonts w:asciiTheme="minorHAnsi" w:hAnsiTheme="minorHAnsi" w:cstheme="minorHAnsi"/>
          <w:sz w:val="22"/>
          <w:szCs w:val="22"/>
        </w:rPr>
        <w:br/>
        <w:t xml:space="preserve">do uchwały Nr XXII/743/2008 Rady miasta stołecznego Warszawy z dnia 10 stycznia 2008 roku (Dz. Urz. Woj. </w:t>
      </w:r>
      <w:proofErr w:type="spellStart"/>
      <w:r w:rsidRPr="00C22CE7">
        <w:rPr>
          <w:rFonts w:asciiTheme="minorHAnsi" w:hAnsiTheme="minorHAnsi" w:cstheme="minorHAnsi"/>
          <w:sz w:val="22"/>
          <w:szCs w:val="22"/>
        </w:rPr>
        <w:t>Maz</w:t>
      </w:r>
      <w:proofErr w:type="spellEnd"/>
      <w:r w:rsidRPr="00C22CE7">
        <w:rPr>
          <w:rFonts w:asciiTheme="minorHAnsi" w:hAnsiTheme="minorHAnsi" w:cstheme="minorHAnsi"/>
          <w:sz w:val="22"/>
          <w:szCs w:val="22"/>
        </w:rPr>
        <w:t xml:space="preserve">. z 2019 r. poz. 14465 z </w:t>
      </w:r>
      <w:proofErr w:type="spellStart"/>
      <w:r w:rsidRPr="00C22CE7">
        <w:rPr>
          <w:rFonts w:asciiTheme="minorHAnsi" w:hAnsiTheme="minorHAnsi" w:cstheme="minorHAnsi"/>
          <w:sz w:val="22"/>
          <w:szCs w:val="22"/>
        </w:rPr>
        <w:t>późn</w:t>
      </w:r>
      <w:proofErr w:type="spellEnd"/>
      <w:r w:rsidRPr="00C22CE7">
        <w:rPr>
          <w:rFonts w:asciiTheme="minorHAnsi" w:hAnsiTheme="minorHAnsi" w:cstheme="minorHAnsi"/>
          <w:sz w:val="22"/>
          <w:szCs w:val="22"/>
        </w:rPr>
        <w:t xml:space="preserve">. zm.) projekt uchwały Rady m.st. Warszawy </w:t>
      </w:r>
      <w:r w:rsidRPr="00C22CE7">
        <w:rPr>
          <w:rFonts w:asciiTheme="minorHAnsi" w:hAnsiTheme="minorHAnsi" w:cstheme="minorHAnsi"/>
          <w:b/>
          <w:color w:val="000000"/>
          <w:sz w:val="22"/>
          <w:szCs w:val="22"/>
        </w:rPr>
        <w:t>w sprawie przyjęcia programu polityki zdrowotnej z zakresu profilaktyki i wczesnego wykrywania osteoporozy dla mieszkanek Warszawy pn. „Niezłomne Warszawianki”, na lata 2023 – 2025</w:t>
      </w:r>
    </w:p>
    <w:p w14:paraId="2B9F941E" w14:textId="77777777" w:rsidR="00002A13" w:rsidRPr="00C22CE7" w:rsidRDefault="00002A13" w:rsidP="00002A13">
      <w:pPr>
        <w:spacing w:line="360" w:lineRule="auto"/>
        <w:ind w:right="-142"/>
        <w:rPr>
          <w:rFonts w:asciiTheme="minorHAnsi" w:hAnsiTheme="minorHAnsi" w:cstheme="minorHAnsi"/>
          <w:sz w:val="22"/>
          <w:szCs w:val="22"/>
        </w:rPr>
      </w:pPr>
      <w:r w:rsidRPr="00C22CE7">
        <w:rPr>
          <w:rFonts w:asciiTheme="minorHAnsi" w:hAnsiTheme="minorHAnsi" w:cstheme="minorHAnsi"/>
          <w:b/>
          <w:sz w:val="22"/>
          <w:szCs w:val="22"/>
        </w:rPr>
        <w:t>opiniuję pozytywnie.</w:t>
      </w:r>
    </w:p>
    <w:p w14:paraId="24020776" w14:textId="77777777" w:rsidR="00002A13" w:rsidRPr="00C22CE7" w:rsidRDefault="00002A13" w:rsidP="00002A13">
      <w:pPr>
        <w:jc w:val="both"/>
        <w:rPr>
          <w:rFonts w:asciiTheme="minorHAnsi" w:hAnsiTheme="minorHAnsi" w:cstheme="minorHAnsi"/>
          <w:sz w:val="22"/>
          <w:szCs w:val="22"/>
        </w:rPr>
      </w:pPr>
      <w:r w:rsidRPr="00C22CE7">
        <w:rPr>
          <w:rFonts w:asciiTheme="minorHAnsi" w:hAnsiTheme="minorHAnsi" w:cstheme="minorHAnsi"/>
          <w:sz w:val="22"/>
          <w:szCs w:val="22"/>
        </w:rPr>
        <w:t xml:space="preserve">Realizacja uchwały wymaga zmian w Wieloletniej Prognozie Finansowej m.st. Warszawy w latach 2024-2025. </w:t>
      </w:r>
    </w:p>
    <w:p w14:paraId="7CE4F50F" w14:textId="77777777" w:rsidR="00002A13" w:rsidRPr="00597CFC" w:rsidRDefault="00002A13" w:rsidP="00002A13">
      <w:pPr>
        <w:jc w:val="both"/>
        <w:rPr>
          <w:b/>
          <w:sz w:val="22"/>
          <w:szCs w:val="22"/>
        </w:rPr>
      </w:pPr>
    </w:p>
    <w:p w14:paraId="769A2D51" w14:textId="77777777" w:rsidR="00002A13" w:rsidRPr="00597CFC" w:rsidRDefault="00002A13" w:rsidP="00002A13">
      <w:pPr>
        <w:jc w:val="both"/>
        <w:rPr>
          <w:b/>
          <w:sz w:val="22"/>
          <w:szCs w:val="22"/>
        </w:rPr>
      </w:pPr>
    </w:p>
    <w:p w14:paraId="13C979C9" w14:textId="77777777" w:rsidR="00002A13" w:rsidRPr="00597CFC" w:rsidRDefault="00002A13" w:rsidP="00002A13">
      <w:pPr>
        <w:jc w:val="both"/>
        <w:rPr>
          <w:b/>
          <w:sz w:val="22"/>
          <w:szCs w:val="22"/>
        </w:rPr>
      </w:pPr>
    </w:p>
    <w:p w14:paraId="3351C327" w14:textId="77777777" w:rsidR="00002A13" w:rsidRPr="00597CFC" w:rsidRDefault="00002A13" w:rsidP="00002A13">
      <w:pPr>
        <w:jc w:val="both"/>
        <w:rPr>
          <w:b/>
          <w:sz w:val="22"/>
          <w:szCs w:val="22"/>
        </w:rPr>
      </w:pPr>
    </w:p>
    <w:p w14:paraId="62B86C4F" w14:textId="77777777" w:rsidR="00002A13" w:rsidRPr="00597CFC" w:rsidRDefault="00002A13" w:rsidP="00002A13">
      <w:pPr>
        <w:jc w:val="both"/>
        <w:rPr>
          <w:b/>
          <w:sz w:val="22"/>
          <w:szCs w:val="22"/>
        </w:rPr>
      </w:pPr>
    </w:p>
    <w:p w14:paraId="044B7AFC" w14:textId="77777777" w:rsidR="00002A13" w:rsidRPr="00597CFC" w:rsidRDefault="00002A13" w:rsidP="00002A13">
      <w:pPr>
        <w:rPr>
          <w:b/>
          <w:sz w:val="22"/>
          <w:szCs w:val="22"/>
        </w:rPr>
      </w:pPr>
      <w:bookmarkStart w:id="33" w:name="_GoBack"/>
      <w:bookmarkEnd w:id="33"/>
    </w:p>
    <w:p w14:paraId="5EB9C101" w14:textId="77777777" w:rsidR="00002A13" w:rsidRPr="00C22CE7" w:rsidRDefault="00002A13" w:rsidP="00002A13">
      <w:pPr>
        <w:ind w:left="4111"/>
        <w:jc w:val="center"/>
        <w:rPr>
          <w:rFonts w:asciiTheme="minorHAnsi" w:hAnsiTheme="minorHAnsi" w:cstheme="minorHAnsi"/>
          <w:b/>
          <w:sz w:val="22"/>
          <w:szCs w:val="22"/>
        </w:rPr>
      </w:pPr>
    </w:p>
    <w:p w14:paraId="172E2AB1" w14:textId="77777777" w:rsidR="00002A13" w:rsidRPr="00C22CE7" w:rsidRDefault="00002A13" w:rsidP="00002A13">
      <w:pPr>
        <w:ind w:left="4111"/>
        <w:jc w:val="center"/>
        <w:rPr>
          <w:rFonts w:asciiTheme="minorHAnsi" w:hAnsiTheme="minorHAnsi" w:cstheme="minorHAnsi"/>
          <w:b/>
          <w:sz w:val="22"/>
          <w:szCs w:val="22"/>
        </w:rPr>
      </w:pPr>
      <w:r w:rsidRPr="00C22CE7">
        <w:rPr>
          <w:rFonts w:asciiTheme="minorHAnsi" w:hAnsiTheme="minorHAnsi" w:cstheme="minorHAnsi"/>
          <w:b/>
          <w:sz w:val="22"/>
          <w:szCs w:val="22"/>
        </w:rPr>
        <w:t>Z upoważnienia Skarbnika m.st. Warszawy</w:t>
      </w:r>
    </w:p>
    <w:p w14:paraId="61288E48" w14:textId="77777777" w:rsidR="00002A13" w:rsidRPr="00C22CE7" w:rsidRDefault="00002A13" w:rsidP="00002A13">
      <w:pPr>
        <w:ind w:left="4111"/>
        <w:jc w:val="center"/>
        <w:rPr>
          <w:rFonts w:asciiTheme="minorHAnsi" w:hAnsiTheme="minorHAnsi" w:cstheme="minorHAnsi"/>
          <w:b/>
          <w:sz w:val="22"/>
          <w:szCs w:val="22"/>
        </w:rPr>
      </w:pPr>
    </w:p>
    <w:p w14:paraId="6BE75305" w14:textId="77777777" w:rsidR="00002A13" w:rsidRPr="00C22CE7" w:rsidRDefault="00002A13" w:rsidP="00002A13">
      <w:pPr>
        <w:ind w:left="4111"/>
        <w:jc w:val="center"/>
        <w:rPr>
          <w:rFonts w:asciiTheme="minorHAnsi" w:hAnsiTheme="minorHAnsi" w:cstheme="minorHAnsi"/>
          <w:b/>
          <w:sz w:val="22"/>
          <w:szCs w:val="22"/>
        </w:rPr>
      </w:pPr>
    </w:p>
    <w:p w14:paraId="2468D21E" w14:textId="77777777" w:rsidR="00002A13" w:rsidRPr="00C22CE7" w:rsidRDefault="00002A13" w:rsidP="00002A13">
      <w:pPr>
        <w:ind w:left="4111"/>
        <w:jc w:val="center"/>
        <w:rPr>
          <w:rFonts w:asciiTheme="minorHAnsi" w:hAnsiTheme="minorHAnsi" w:cstheme="minorHAnsi"/>
          <w:b/>
          <w:sz w:val="22"/>
          <w:szCs w:val="22"/>
        </w:rPr>
      </w:pPr>
    </w:p>
    <w:p w14:paraId="64518091" w14:textId="77777777" w:rsidR="00002A13" w:rsidRPr="00C22CE7" w:rsidRDefault="00002A13" w:rsidP="00002A13">
      <w:pPr>
        <w:ind w:left="4111"/>
        <w:jc w:val="center"/>
        <w:rPr>
          <w:rFonts w:asciiTheme="minorHAnsi" w:hAnsiTheme="minorHAnsi" w:cstheme="minorHAnsi"/>
          <w:sz w:val="22"/>
          <w:szCs w:val="22"/>
        </w:rPr>
      </w:pPr>
      <w:r w:rsidRPr="00C22CE7">
        <w:rPr>
          <w:rFonts w:asciiTheme="minorHAnsi" w:hAnsiTheme="minorHAnsi" w:cstheme="minorHAnsi"/>
          <w:sz w:val="22"/>
          <w:szCs w:val="22"/>
        </w:rPr>
        <w:t>Zastępca Skarbnika m.st. Warszawy</w:t>
      </w:r>
    </w:p>
    <w:p w14:paraId="25BE394E" w14:textId="77777777" w:rsidR="00002A13" w:rsidRPr="00C22CE7" w:rsidRDefault="00002A13" w:rsidP="00002A13">
      <w:pPr>
        <w:ind w:left="4111"/>
        <w:jc w:val="center"/>
        <w:rPr>
          <w:rFonts w:asciiTheme="minorHAnsi" w:hAnsiTheme="minorHAnsi" w:cstheme="minorHAnsi"/>
          <w:sz w:val="22"/>
          <w:szCs w:val="22"/>
        </w:rPr>
      </w:pPr>
      <w:r w:rsidRPr="00C22CE7">
        <w:rPr>
          <w:rFonts w:asciiTheme="minorHAnsi" w:hAnsiTheme="minorHAnsi" w:cstheme="minorHAnsi"/>
          <w:sz w:val="22"/>
          <w:szCs w:val="22"/>
        </w:rPr>
        <w:t>Dyrektor Biura Planowania Budżetowego</w:t>
      </w:r>
    </w:p>
    <w:p w14:paraId="0DA93E21" w14:textId="77777777" w:rsidR="00002A13" w:rsidRPr="00C22CE7" w:rsidRDefault="00002A13" w:rsidP="00002A13">
      <w:pPr>
        <w:ind w:left="4111"/>
        <w:jc w:val="center"/>
        <w:rPr>
          <w:rFonts w:asciiTheme="minorHAnsi" w:hAnsiTheme="minorHAnsi" w:cstheme="minorHAnsi"/>
          <w:sz w:val="22"/>
          <w:szCs w:val="22"/>
        </w:rPr>
      </w:pPr>
      <w:r w:rsidRPr="00C22CE7">
        <w:rPr>
          <w:rFonts w:asciiTheme="minorHAnsi" w:hAnsiTheme="minorHAnsi" w:cstheme="minorHAnsi"/>
          <w:sz w:val="22"/>
          <w:szCs w:val="22"/>
        </w:rPr>
        <w:t>Marzanna Krajewska</w:t>
      </w:r>
    </w:p>
    <w:p w14:paraId="6EF98D1C" w14:textId="76A74C33" w:rsidR="00CD1CA4" w:rsidRPr="00C22CE7" w:rsidRDefault="00CD1CA4" w:rsidP="00CD1CA4">
      <w:pPr>
        <w:rPr>
          <w:rFonts w:asciiTheme="minorHAnsi" w:hAnsiTheme="minorHAnsi" w:cstheme="minorHAnsi"/>
          <w:lang w:val="en-IN"/>
        </w:rPr>
      </w:pPr>
    </w:p>
    <w:p w14:paraId="19D09F55" w14:textId="2FFF3620" w:rsidR="00CD1CA4" w:rsidRPr="00E6153F" w:rsidRDefault="00CD1CA4" w:rsidP="00CD1CA4">
      <w:pPr>
        <w:jc w:val="right"/>
        <w:rPr>
          <w:rFonts w:asciiTheme="minorHAnsi" w:hAnsiTheme="minorHAnsi" w:cstheme="minorHAnsi"/>
          <w:lang w:val="en-US"/>
        </w:rPr>
      </w:pPr>
    </w:p>
    <w:sectPr w:rsidR="00CD1CA4" w:rsidRPr="00E6153F" w:rsidSect="003E14BE">
      <w:pgSz w:w="11906" w:h="16838"/>
      <w:pgMar w:top="1417" w:right="1417" w:bottom="1417" w:left="1417" w:header="283"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5A297" w14:textId="77777777" w:rsidR="002B534A" w:rsidRDefault="002B534A">
      <w:pPr>
        <w:spacing w:after="0" w:line="240" w:lineRule="auto"/>
      </w:pPr>
      <w:r>
        <w:separator/>
      </w:r>
    </w:p>
  </w:endnote>
  <w:endnote w:type="continuationSeparator" w:id="0">
    <w:p w14:paraId="2894DADA" w14:textId="77777777" w:rsidR="002B534A" w:rsidRDefault="002B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mpact">
    <w:panose1 w:val="020B080603090205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441582"/>
      <w:docPartObj>
        <w:docPartGallery w:val="Page Numbers (Bottom of Page)"/>
        <w:docPartUnique/>
      </w:docPartObj>
    </w:sdtPr>
    <w:sdtEndPr>
      <w:rPr>
        <w:rFonts w:ascii="Times New Roman" w:hAnsi="Times New Roman"/>
        <w:noProof/>
      </w:rPr>
    </w:sdtEndPr>
    <w:sdtContent>
      <w:p w14:paraId="59229DBE" w14:textId="77777777" w:rsidR="002B534A" w:rsidRPr="00670C87" w:rsidRDefault="002B534A" w:rsidP="00441CD1">
        <w:pPr>
          <w:pStyle w:val="Stopka0"/>
          <w:rPr>
            <w:rFonts w:ascii="Times New Roman" w:hAnsi="Times New Roman"/>
          </w:rPr>
        </w:pPr>
        <w:r w:rsidRPr="00670C87">
          <w:rPr>
            <w:rFonts w:ascii="Times New Roman" w:hAnsi="Times New Roman"/>
          </w:rPr>
          <w:fldChar w:fldCharType="begin"/>
        </w:r>
        <w:r w:rsidRPr="00670C87">
          <w:rPr>
            <w:rFonts w:ascii="Times New Roman" w:hAnsi="Times New Roman"/>
          </w:rPr>
          <w:instrText xml:space="preserve"> PAGE   \* MERGEFORMAT </w:instrText>
        </w:r>
        <w:r w:rsidRPr="00670C87">
          <w:rPr>
            <w:rFonts w:ascii="Times New Roman" w:hAnsi="Times New Roman"/>
          </w:rPr>
          <w:fldChar w:fldCharType="separate"/>
        </w:r>
        <w:r>
          <w:rPr>
            <w:rFonts w:ascii="Times New Roman" w:hAnsi="Times New Roman"/>
            <w:noProof/>
          </w:rPr>
          <w:t>2</w:t>
        </w:r>
        <w:r w:rsidRPr="00670C87">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A955E" w14:textId="77777777" w:rsidR="002B534A" w:rsidRDefault="002B534A">
    <w:pPr>
      <w:pStyle w:val="Stopka0"/>
    </w:pPr>
    <w:r>
      <w:fldChar w:fldCharType="begin"/>
    </w:r>
    <w:r>
      <w:instrText xml:space="preserve"> PAGE </w:instrText>
    </w:r>
    <w:r>
      <w:fldChar w:fldCharType="separate"/>
    </w:r>
    <w:r>
      <w:t>0</w:t>
    </w:r>
    <w:r>
      <w:fldChar w:fldCharType="end"/>
    </w:r>
  </w:p>
  <w:p w14:paraId="29C12A9D" w14:textId="77777777" w:rsidR="002B534A" w:rsidRDefault="002B534A">
    <w:pPr>
      <w:pStyle w:val="Stopka0"/>
    </w:pPr>
  </w:p>
  <w:p w14:paraId="4CB8DB03" w14:textId="77777777" w:rsidR="002B534A" w:rsidRDefault="002B534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D0300" w14:textId="7D6FF310" w:rsidR="002B534A" w:rsidRDefault="002B534A">
    <w:pPr>
      <w:pStyle w:val="Stopka0"/>
      <w:pBdr>
        <w:top w:val="single" w:sz="4" w:space="1" w:color="7F7F7F"/>
      </w:pBdr>
      <w:jc w:val="right"/>
    </w:pPr>
    <w:r>
      <w:rPr>
        <w:rStyle w:val="Stopka-numerstronytekst"/>
      </w:rPr>
      <w:t>Strona</w:t>
    </w:r>
    <w:r>
      <w:rPr>
        <w:rStyle w:val="StopkaZnak"/>
      </w:rPr>
      <w:t xml:space="preserve"> </w:t>
    </w:r>
    <w:r>
      <w:rPr>
        <w:rStyle w:val="Stopka-numerstronycyfry"/>
      </w:rPr>
      <w:fldChar w:fldCharType="begin"/>
    </w:r>
    <w:r>
      <w:rPr>
        <w:rStyle w:val="Stopka-numerstronycyfry"/>
      </w:rPr>
      <w:instrText xml:space="preserve"> PAGE </w:instrText>
    </w:r>
    <w:r>
      <w:rPr>
        <w:rStyle w:val="Stopka-numerstronycyfry"/>
      </w:rPr>
      <w:fldChar w:fldCharType="separate"/>
    </w:r>
    <w:r w:rsidR="00C22CE7">
      <w:rPr>
        <w:rStyle w:val="Stopka-numerstronycyfry"/>
        <w:noProof/>
      </w:rPr>
      <w:t>2</w:t>
    </w:r>
    <w:r>
      <w:rPr>
        <w:rStyle w:val="Stopka-numerstronycyfry"/>
      </w:rPr>
      <w:fldChar w:fldCharType="end"/>
    </w:r>
  </w:p>
  <w:p w14:paraId="2418566B" w14:textId="77777777" w:rsidR="002B534A" w:rsidRDefault="002B534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38AF" w14:textId="67B21CE3" w:rsidR="002B534A" w:rsidRDefault="002B534A">
    <w:pPr>
      <w:pStyle w:val="Stopka-stronapionowa"/>
      <w:pBdr>
        <w:top w:val="none" w:sz="0" w:space="0" w:color="000000"/>
      </w:pBdr>
    </w:pPr>
    <w:r>
      <w:rPr>
        <w:rStyle w:val="StopkaZnak"/>
      </w:rPr>
      <w:tab/>
    </w:r>
    <w:r>
      <w:tab/>
    </w:r>
  </w:p>
  <w:p w14:paraId="7AB5744F" w14:textId="77777777" w:rsidR="002B534A" w:rsidRDefault="002B53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890AE" w14:textId="77777777" w:rsidR="002B534A" w:rsidRDefault="002B534A">
      <w:pPr>
        <w:spacing w:after="0" w:line="240" w:lineRule="auto"/>
      </w:pPr>
      <w:r>
        <w:separator/>
      </w:r>
    </w:p>
  </w:footnote>
  <w:footnote w:type="continuationSeparator" w:id="0">
    <w:p w14:paraId="5F742340" w14:textId="77777777" w:rsidR="002B534A" w:rsidRDefault="002B534A">
      <w:pPr>
        <w:spacing w:after="0" w:line="240" w:lineRule="auto"/>
      </w:pPr>
      <w:r>
        <w:continuationSeparator/>
      </w:r>
    </w:p>
  </w:footnote>
  <w:footnote w:id="1">
    <w:p w14:paraId="78E08A32" w14:textId="760EFAC1" w:rsidR="002B534A" w:rsidRPr="00D55C37" w:rsidRDefault="002B534A" w:rsidP="003E14BE">
      <w:pPr>
        <w:pStyle w:val="Tekstprzypisudolnego"/>
        <w:ind w:left="227" w:hanging="227"/>
        <w:rPr>
          <w:rFonts w:asciiTheme="minorHAnsi" w:hAnsiTheme="minorHAnsi" w:cstheme="minorHAnsi"/>
          <w:sz w:val="22"/>
          <w:szCs w:val="22"/>
        </w:rPr>
      </w:pPr>
      <w:r>
        <w:rPr>
          <w:rStyle w:val="Odwoanieprzypisudolnego"/>
        </w:rPr>
        <w:footnoteRef/>
      </w:r>
      <w:r w:rsidRPr="00BC3024">
        <w:rPr>
          <w:vertAlign w:val="superscript"/>
        </w:rPr>
        <w:t>)</w:t>
      </w:r>
      <w:r>
        <w:t xml:space="preserve"> </w:t>
      </w:r>
      <w:r w:rsidRPr="00D55C37">
        <w:rPr>
          <w:sz w:val="22"/>
          <w:szCs w:val="22"/>
        </w:rPr>
        <w:tab/>
      </w:r>
      <w:r w:rsidRPr="00D55C37">
        <w:rPr>
          <w:rFonts w:asciiTheme="minorHAnsi" w:hAnsiTheme="minorHAnsi" w:cstheme="minorHAnsi"/>
          <w:sz w:val="22"/>
          <w:szCs w:val="22"/>
        </w:rPr>
        <w:t xml:space="preserve">Zmiany tekstu jednolitego wymienionej ustawy zostały ogłoszone w Dz. U. z 2022 r. poz. </w:t>
      </w:r>
      <w:r w:rsidRPr="00D55C37">
        <w:rPr>
          <w:rFonts w:asciiTheme="minorHAnsi" w:hAnsiTheme="minorHAnsi" w:cstheme="minorHAnsi"/>
          <w:sz w:val="22"/>
          <w:szCs w:val="22"/>
          <w:lang w:eastAsia="pl-PL"/>
        </w:rPr>
        <w:t>2674 i 2770 oraz z 2023 r. poz. 605, 650, 658, 1234</w:t>
      </w:r>
      <w:r>
        <w:rPr>
          <w:rFonts w:asciiTheme="minorHAnsi" w:hAnsiTheme="minorHAnsi" w:cstheme="minorHAnsi"/>
          <w:sz w:val="22"/>
          <w:szCs w:val="22"/>
          <w:lang w:eastAsia="pl-PL"/>
        </w:rPr>
        <w:t>,</w:t>
      </w:r>
      <w:r w:rsidRPr="00D55C37">
        <w:rPr>
          <w:rFonts w:asciiTheme="minorHAnsi" w:hAnsiTheme="minorHAnsi" w:cstheme="minorHAnsi"/>
          <w:sz w:val="22"/>
          <w:szCs w:val="22"/>
          <w:lang w:eastAsia="pl-PL"/>
        </w:rPr>
        <w:t xml:space="preserve"> 1429</w:t>
      </w:r>
      <w:r>
        <w:rPr>
          <w:rFonts w:asciiTheme="minorHAnsi" w:hAnsiTheme="minorHAnsi" w:cstheme="minorHAnsi"/>
          <w:sz w:val="22"/>
          <w:szCs w:val="22"/>
          <w:lang w:eastAsia="pl-PL"/>
        </w:rPr>
        <w:t>, 1675, 1692, 1733, 1831, 1872 i 1938.</w:t>
      </w:r>
    </w:p>
  </w:footnote>
  <w:footnote w:id="2">
    <w:p w14:paraId="20B59A4E" w14:textId="77777777" w:rsidR="002B534A" w:rsidRDefault="002B534A">
      <w:pPr>
        <w:pStyle w:val="Tekstprzypisudolnego"/>
        <w:widowControl w:val="0"/>
      </w:pPr>
      <w:r>
        <w:rPr>
          <w:rStyle w:val="Znakiprzypiswdolnych"/>
          <w:rFonts w:ascii="Microsoft Sans Serif" w:hAnsi="Microsoft Sans Serif"/>
        </w:rPr>
        <w:footnoteRef/>
      </w:r>
      <w:r>
        <w:rPr>
          <w:rFonts w:cs="Arial"/>
          <w:sz w:val="18"/>
          <w:szCs w:val="18"/>
        </w:rPr>
        <w:t xml:space="preserve"> Weryfikacja na podstawie oświadczenia dołączonego do dokumentacji medycznej. W przypadku wystąpienia wątpliwości realizatora w tym zakresie, weryfikacja może nastąpić na podstawie dokumentu przedstawionego do wglądu realizatorowi (np. dowód osobisty, paszport, aktualny druk PIT, aktualne zaświadczenie z urzędu prowadzącego dział zajmujący się merytorycznie ewidencją ludności i inne)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8BCD" w14:textId="77777777" w:rsidR="002B534A" w:rsidRDefault="002B534A">
    <w:pPr>
      <w:pStyle w:val="Nagwek"/>
      <w:spacing w:before="480" w:after="240"/>
    </w:pPr>
    <w:r>
      <w:rPr>
        <w:rStyle w:val="Teksttreci9"/>
        <w:rFonts w:eastAsia="Microsoft Sans Serif" w:cs="Arial"/>
        <w:b w:val="0"/>
        <w:sz w:val="22"/>
        <w:szCs w:val="22"/>
      </w:rPr>
      <w:t>Program profilaktyki i wczesnego wykrywania osteoporozy dla Warszawiaków –„O(</w:t>
    </w:r>
    <w:proofErr w:type="spellStart"/>
    <w:r>
      <w:rPr>
        <w:rStyle w:val="Teksttreci9"/>
        <w:rFonts w:eastAsia="Microsoft Sans Serif" w:cs="Arial"/>
        <w:b w:val="0"/>
        <w:sz w:val="22"/>
        <w:szCs w:val="22"/>
      </w:rPr>
      <w:t>steo</w:t>
    </w:r>
    <w:proofErr w:type="spellEnd"/>
    <w:r>
      <w:rPr>
        <w:rStyle w:val="Teksttreci9"/>
        <w:rFonts w:eastAsia="Microsoft Sans Serif" w:cs="Arial"/>
        <w:b w:val="0"/>
        <w:sz w:val="22"/>
        <w:szCs w:val="22"/>
      </w:rPr>
      <w:t>) Was”</w:t>
    </w:r>
  </w:p>
  <w:p w14:paraId="7F328999" w14:textId="77777777" w:rsidR="002B534A" w:rsidRDefault="002B534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FCE19" w14:textId="67DB4172" w:rsidR="002B534A" w:rsidRDefault="002B534A">
    <w:pPr>
      <w:pStyle w:val="Nagwek"/>
      <w:pBdr>
        <w:top w:val="none" w:sz="0" w:space="0" w:color="000000"/>
        <w:left w:val="none" w:sz="0" w:space="0" w:color="000000"/>
        <w:bottom w:val="single" w:sz="4" w:space="1" w:color="7F7F7F"/>
        <w:right w:val="none" w:sz="0" w:space="0" w:color="000000"/>
      </w:pBdr>
    </w:pPr>
    <w:r>
      <w:rPr>
        <w:rStyle w:val="Teksttreci9"/>
        <w:rFonts w:eastAsia="Microsoft Sans Serif"/>
        <w:b w:val="0"/>
        <w:sz w:val="16"/>
      </w:rPr>
      <w:t>Program profilaktyki i wczesnego wykrywania osteoporozy dla Mieszkanek Warszawy „Niezłomne Warszawianki”</w:t>
    </w:r>
  </w:p>
  <w:p w14:paraId="7C1C71EF" w14:textId="77777777" w:rsidR="002B534A" w:rsidRDefault="002B534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54.75pt" o:bullet="t" filled="t">
        <v:fill color2="black"/>
        <v:imagedata r:id="rId1" o:title=""/>
      </v:shape>
    </w:pict>
  </w:numPicBullet>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Num2"/>
    <w:lvl w:ilvl="0">
      <w:numFmt w:val="decimal"/>
      <w:lvlText w:val=""/>
      <w:lvlJc w:val="left"/>
      <w:pPr>
        <w:tabs>
          <w:tab w:val="num" w:pos="0"/>
        </w:tabs>
        <w:ind w:left="0" w:firstLine="0"/>
      </w:pPr>
    </w:lvl>
    <w:lvl w:ilvl="1">
      <w:numFmt w:val="decimal"/>
      <w:pStyle w:val="Base-Tabela-Tekstlist"/>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0000003"/>
    <w:multiLevelType w:val="multilevel"/>
    <w:tmpl w:val="00000003"/>
    <w:name w:val="WWNum3"/>
    <w:lvl w:ilvl="0">
      <w:start w:val="1"/>
      <w:numFmt w:val="bullet"/>
      <w:pStyle w:val="HTA-Str-Hasa"/>
      <w:lvlText w:val="•"/>
      <w:lvlPicBulletId w:val="0"/>
      <w:lvlJc w:val="left"/>
      <w:pPr>
        <w:tabs>
          <w:tab w:val="num" w:pos="0"/>
        </w:tabs>
        <w:ind w:left="36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Num4"/>
    <w:lvl w:ilvl="0">
      <w:start w:val="1"/>
      <w:numFmt w:val="decimal"/>
      <w:pStyle w:val="HTA-Str-Listanumerowana"/>
      <w:lvlText w:val="%1."/>
      <w:lvlJc w:val="left"/>
      <w:pPr>
        <w:tabs>
          <w:tab w:val="num" w:pos="284"/>
        </w:tabs>
        <w:ind w:left="284" w:hanging="284"/>
      </w:pPr>
    </w:lvl>
    <w:lvl w:ilvl="1">
      <w:start w:val="1"/>
      <w:numFmt w:val="lowerLetter"/>
      <w:lvlText w:val="%2."/>
      <w:lvlJc w:val="left"/>
      <w:pPr>
        <w:tabs>
          <w:tab w:val="num" w:pos="0"/>
        </w:tabs>
        <w:ind w:left="568" w:hanging="284"/>
      </w:pPr>
    </w:lvl>
    <w:lvl w:ilvl="2">
      <w:start w:val="1"/>
      <w:numFmt w:val="lowerRoman"/>
      <w:lvlText w:val="%3."/>
      <w:lvlJc w:val="left"/>
      <w:pPr>
        <w:tabs>
          <w:tab w:val="num" w:pos="0"/>
        </w:tabs>
        <w:ind w:left="852" w:hanging="284"/>
      </w:pPr>
    </w:lvl>
    <w:lvl w:ilvl="3">
      <w:start w:val="1"/>
      <w:numFmt w:val="bullet"/>
      <w:lvlText w:val=""/>
      <w:lvlJc w:val="left"/>
      <w:pPr>
        <w:tabs>
          <w:tab w:val="num" w:pos="0"/>
        </w:tabs>
        <w:ind w:left="1136" w:hanging="284"/>
      </w:pPr>
      <w:rPr>
        <w:rFonts w:ascii="Symbol" w:hAnsi="Symbol" w:cs="Symbol"/>
        <w:color w:val="000000"/>
      </w:rPr>
    </w:lvl>
    <w:lvl w:ilvl="4">
      <w:start w:val="1"/>
      <w:numFmt w:val="bullet"/>
      <w:lvlText w:val="◦"/>
      <w:lvlJc w:val="left"/>
      <w:pPr>
        <w:tabs>
          <w:tab w:val="num" w:pos="0"/>
        </w:tabs>
        <w:ind w:left="1420" w:hanging="284"/>
      </w:pPr>
      <w:rPr>
        <w:rFonts w:ascii="Courier New" w:hAnsi="Courier New" w:cs="Courier New"/>
      </w:rPr>
    </w:lvl>
    <w:lvl w:ilvl="5">
      <w:start w:val="1"/>
      <w:numFmt w:val="bullet"/>
      <w:lvlText w:val="−"/>
      <w:lvlJc w:val="left"/>
      <w:pPr>
        <w:tabs>
          <w:tab w:val="num" w:pos="0"/>
        </w:tabs>
        <w:ind w:left="1704" w:hanging="284"/>
      </w:pPr>
      <w:rPr>
        <w:rFonts w:ascii="Courier New" w:hAnsi="Courier New" w:cs="Courier New"/>
      </w:rPr>
    </w:lvl>
    <w:lvl w:ilvl="6">
      <w:start w:val="1"/>
      <w:numFmt w:val="bullet"/>
      <w:lvlText w:val="−"/>
      <w:lvlJc w:val="left"/>
      <w:pPr>
        <w:tabs>
          <w:tab w:val="num" w:pos="0"/>
        </w:tabs>
        <w:ind w:left="1988" w:hanging="284"/>
      </w:pPr>
      <w:rPr>
        <w:rFonts w:ascii="Courier New" w:hAnsi="Courier New" w:cs="Courier New"/>
      </w:rPr>
    </w:lvl>
    <w:lvl w:ilvl="7">
      <w:start w:val="1"/>
      <w:numFmt w:val="bullet"/>
      <w:lvlText w:val="−"/>
      <w:lvlJc w:val="left"/>
      <w:pPr>
        <w:tabs>
          <w:tab w:val="num" w:pos="0"/>
        </w:tabs>
        <w:ind w:left="2272" w:hanging="284"/>
      </w:pPr>
      <w:rPr>
        <w:rFonts w:ascii="Courier New" w:hAnsi="Courier New" w:cs="Courier New"/>
      </w:rPr>
    </w:lvl>
    <w:lvl w:ilvl="8">
      <w:start w:val="1"/>
      <w:numFmt w:val="bullet"/>
      <w:lvlText w:val="−"/>
      <w:lvlJc w:val="left"/>
      <w:pPr>
        <w:tabs>
          <w:tab w:val="num" w:pos="0"/>
        </w:tabs>
        <w:ind w:left="2556" w:hanging="284"/>
      </w:pPr>
      <w:rPr>
        <w:rFonts w:ascii="Courier New" w:hAnsi="Courier New" w:cs="Courier New"/>
      </w:rPr>
    </w:lvl>
  </w:abstractNum>
  <w:abstractNum w:abstractNumId="4" w15:restartNumberingAfterBreak="0">
    <w:nsid w:val="00000005"/>
    <w:multiLevelType w:val="multilevel"/>
    <w:tmpl w:val="00000005"/>
    <w:name w:val="WWNum5"/>
    <w:lvl w:ilvl="0">
      <w:start w:val="1"/>
      <w:numFmt w:val="bullet"/>
      <w:pStyle w:val="HTA-Str-Listapunktowana"/>
      <w:lvlText w:val=""/>
      <w:lvlJc w:val="left"/>
      <w:pPr>
        <w:tabs>
          <w:tab w:val="num" w:pos="227"/>
        </w:tabs>
        <w:ind w:left="227" w:hanging="227"/>
      </w:pPr>
      <w:rPr>
        <w:rFonts w:ascii="Symbol" w:hAnsi="Symbol" w:cs="Symbol"/>
        <w:color w:val="000000"/>
      </w:rPr>
    </w:lvl>
    <w:lvl w:ilvl="1">
      <w:start w:val="1"/>
      <w:numFmt w:val="bullet"/>
      <w:lvlText w:val="◦"/>
      <w:lvlJc w:val="left"/>
      <w:pPr>
        <w:tabs>
          <w:tab w:val="num" w:pos="454"/>
        </w:tabs>
        <w:ind w:left="454" w:hanging="227"/>
      </w:pPr>
      <w:rPr>
        <w:rFonts w:ascii="Courier New" w:hAnsi="Courier New" w:cs="Courier New"/>
      </w:rPr>
    </w:lvl>
    <w:lvl w:ilvl="2">
      <w:start w:val="1"/>
      <w:numFmt w:val="none"/>
      <w:suff w:val="nothing"/>
      <w:lvlText w:val="-"/>
      <w:lvlJc w:val="left"/>
      <w:pPr>
        <w:tabs>
          <w:tab w:val="num" w:pos="0"/>
        </w:tabs>
        <w:ind w:left="681" w:hanging="227"/>
      </w:pPr>
    </w:lvl>
    <w:lvl w:ilvl="3">
      <w:start w:val="1"/>
      <w:numFmt w:val="bullet"/>
      <w:lvlText w:val=""/>
      <w:lvlJc w:val="left"/>
      <w:pPr>
        <w:tabs>
          <w:tab w:val="num" w:pos="908"/>
        </w:tabs>
        <w:ind w:left="908" w:hanging="227"/>
      </w:pPr>
      <w:rPr>
        <w:rFonts w:ascii="Wingdings" w:hAnsi="Wingdings" w:cs="Wingdings"/>
      </w:rPr>
    </w:lvl>
    <w:lvl w:ilvl="4">
      <w:start w:val="1"/>
      <w:numFmt w:val="bullet"/>
      <w:lvlText w:val="−"/>
      <w:lvlJc w:val="left"/>
      <w:pPr>
        <w:tabs>
          <w:tab w:val="num" w:pos="1135"/>
        </w:tabs>
        <w:ind w:left="1135" w:hanging="227"/>
      </w:pPr>
      <w:rPr>
        <w:rFonts w:ascii="Courier New" w:hAnsi="Courier New" w:cs="Courier New"/>
      </w:rPr>
    </w:lvl>
    <w:lvl w:ilvl="5">
      <w:start w:val="1"/>
      <w:numFmt w:val="bullet"/>
      <w:lvlText w:val="−"/>
      <w:lvlJc w:val="left"/>
      <w:pPr>
        <w:tabs>
          <w:tab w:val="num" w:pos="1362"/>
        </w:tabs>
        <w:ind w:left="1362" w:hanging="227"/>
      </w:pPr>
      <w:rPr>
        <w:rFonts w:ascii="Courier New" w:hAnsi="Courier New" w:cs="Courier New"/>
      </w:rPr>
    </w:lvl>
    <w:lvl w:ilvl="6">
      <w:start w:val="1"/>
      <w:numFmt w:val="bullet"/>
      <w:lvlText w:val="−"/>
      <w:lvlJc w:val="left"/>
      <w:pPr>
        <w:tabs>
          <w:tab w:val="num" w:pos="1589"/>
        </w:tabs>
        <w:ind w:left="1589" w:hanging="227"/>
      </w:pPr>
      <w:rPr>
        <w:rFonts w:ascii="Courier New" w:hAnsi="Courier New" w:cs="Courier New"/>
      </w:rPr>
    </w:lvl>
    <w:lvl w:ilvl="7">
      <w:start w:val="1"/>
      <w:numFmt w:val="bullet"/>
      <w:lvlText w:val="−"/>
      <w:lvlJc w:val="left"/>
      <w:pPr>
        <w:tabs>
          <w:tab w:val="num" w:pos="1816"/>
        </w:tabs>
        <w:ind w:left="1816" w:hanging="227"/>
      </w:pPr>
      <w:rPr>
        <w:rFonts w:ascii="Courier New" w:hAnsi="Courier New" w:cs="Courier New"/>
      </w:rPr>
    </w:lvl>
    <w:lvl w:ilvl="8">
      <w:start w:val="1"/>
      <w:numFmt w:val="bullet"/>
      <w:lvlText w:val="−"/>
      <w:lvlJc w:val="left"/>
      <w:pPr>
        <w:tabs>
          <w:tab w:val="num" w:pos="2043"/>
        </w:tabs>
        <w:ind w:left="2043" w:hanging="227"/>
      </w:pPr>
      <w:rPr>
        <w:rFonts w:ascii="Courier New" w:hAnsi="Courier New" w:cs="Courier New"/>
      </w:rPr>
    </w:lvl>
  </w:abstractNum>
  <w:abstractNum w:abstractNumId="5" w15:restartNumberingAfterBreak="0">
    <w:nsid w:val="00000006"/>
    <w:multiLevelType w:val="multilevel"/>
    <w:tmpl w:val="6E8203A8"/>
    <w:name w:val="WWNum6"/>
    <w:lvl w:ilvl="0">
      <w:start w:val="1"/>
      <w:numFmt w:val="decimal"/>
      <w:pStyle w:val="Listanumerowana1"/>
      <w:lvlText w:val="%1."/>
      <w:lvlJc w:val="left"/>
      <w:pPr>
        <w:tabs>
          <w:tab w:val="num" w:pos="284"/>
        </w:tabs>
        <w:ind w:left="284" w:hanging="284"/>
      </w:pPr>
      <w:rPr>
        <w:rFonts w:hint="default"/>
      </w:rPr>
    </w:lvl>
    <w:lvl w:ilvl="1">
      <w:start w:val="1"/>
      <w:numFmt w:val="lowerLetter"/>
      <w:pStyle w:val="Listanumerowana21"/>
      <w:lvlText w:val="%2."/>
      <w:lvlJc w:val="left"/>
      <w:pPr>
        <w:tabs>
          <w:tab w:val="num" w:pos="568"/>
        </w:tabs>
        <w:ind w:left="568" w:hanging="284"/>
      </w:pPr>
      <w:rPr>
        <w:rFonts w:hint="default"/>
      </w:rPr>
    </w:lvl>
    <w:lvl w:ilvl="2">
      <w:start w:val="1"/>
      <w:numFmt w:val="lowerRoman"/>
      <w:pStyle w:val="Listanumerowana31"/>
      <w:lvlText w:val="%3."/>
      <w:lvlJc w:val="left"/>
      <w:pPr>
        <w:tabs>
          <w:tab w:val="num" w:pos="852"/>
        </w:tabs>
        <w:ind w:left="852" w:hanging="284"/>
      </w:pPr>
      <w:rPr>
        <w:rFonts w:hint="default"/>
      </w:rPr>
    </w:lvl>
    <w:lvl w:ilvl="3">
      <w:start w:val="1"/>
      <w:numFmt w:val="bullet"/>
      <w:pStyle w:val="Listanumerowana41"/>
      <w:lvlText w:val=""/>
      <w:lvlJc w:val="left"/>
      <w:pPr>
        <w:tabs>
          <w:tab w:val="num" w:pos="1136"/>
        </w:tabs>
        <w:ind w:left="1136" w:hanging="284"/>
      </w:pPr>
      <w:rPr>
        <w:rFonts w:ascii="Symbol" w:hAnsi="Symbol" w:cs="Symbol" w:hint="default"/>
        <w:color w:val="000000"/>
      </w:rPr>
    </w:lvl>
    <w:lvl w:ilvl="4">
      <w:start w:val="1"/>
      <w:numFmt w:val="bullet"/>
      <w:pStyle w:val="Listanumerowana51"/>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Arial" w:hAnsi="Arial" w:cs="Arial" w:hint="default"/>
        <w:color w:val="000000"/>
      </w:rPr>
    </w:lvl>
    <w:lvl w:ilvl="6">
      <w:start w:val="1"/>
      <w:numFmt w:val="bullet"/>
      <w:lvlText w:val="·"/>
      <w:lvlJc w:val="left"/>
      <w:pPr>
        <w:tabs>
          <w:tab w:val="num" w:pos="1988"/>
        </w:tabs>
        <w:ind w:left="1988" w:hanging="284"/>
      </w:pPr>
      <w:rPr>
        <w:rFonts w:ascii="Arial" w:hAnsi="Arial" w:cs="Arial" w:hint="default"/>
        <w:color w:val="000000"/>
      </w:rPr>
    </w:lvl>
    <w:lvl w:ilvl="7">
      <w:start w:val="1"/>
      <w:numFmt w:val="bullet"/>
      <w:lvlText w:val="·"/>
      <w:lvlJc w:val="left"/>
      <w:pPr>
        <w:tabs>
          <w:tab w:val="num" w:pos="2272"/>
        </w:tabs>
        <w:ind w:left="2272" w:hanging="284"/>
      </w:pPr>
      <w:rPr>
        <w:rFonts w:ascii="Arial" w:hAnsi="Arial" w:cs="Arial" w:hint="default"/>
        <w:color w:val="000000"/>
      </w:rPr>
    </w:lvl>
    <w:lvl w:ilvl="8">
      <w:start w:val="1"/>
      <w:numFmt w:val="bullet"/>
      <w:lvlText w:val="·"/>
      <w:lvlJc w:val="left"/>
      <w:pPr>
        <w:tabs>
          <w:tab w:val="num" w:pos="2556"/>
        </w:tabs>
        <w:ind w:left="2556" w:hanging="284"/>
      </w:pPr>
      <w:rPr>
        <w:rFonts w:ascii="Arial" w:hAnsi="Arial" w:cs="Arial" w:hint="default"/>
        <w:color w:val="000000"/>
      </w:rPr>
    </w:lvl>
  </w:abstractNum>
  <w:abstractNum w:abstractNumId="6" w15:restartNumberingAfterBreak="0">
    <w:nsid w:val="00000007"/>
    <w:multiLevelType w:val="multilevel"/>
    <w:tmpl w:val="00000007"/>
    <w:name w:val="WWNum7"/>
    <w:lvl w:ilvl="0">
      <w:start w:val="1"/>
      <w:numFmt w:val="decimal"/>
      <w:pStyle w:val="Listanumerowana-dugitekst"/>
      <w:lvlText w:val="%1."/>
      <w:lvlJc w:val="left"/>
      <w:pPr>
        <w:tabs>
          <w:tab w:val="num" w:pos="284"/>
        </w:tabs>
        <w:ind w:left="284" w:hanging="284"/>
      </w:pPr>
    </w:lvl>
    <w:lvl w:ilvl="1">
      <w:start w:val="1"/>
      <w:numFmt w:val="lowerLetter"/>
      <w:pStyle w:val="Listanumerowana2-dugitekst"/>
      <w:lvlText w:val="%2."/>
      <w:lvlJc w:val="left"/>
      <w:pPr>
        <w:tabs>
          <w:tab w:val="num" w:pos="567"/>
        </w:tabs>
        <w:ind w:left="568" w:hanging="284"/>
      </w:pPr>
    </w:lvl>
    <w:lvl w:ilvl="2">
      <w:start w:val="1"/>
      <w:numFmt w:val="lowerRoman"/>
      <w:pStyle w:val="Listanumerowana3-dugitekst"/>
      <w:lvlText w:val="%3."/>
      <w:lvlJc w:val="left"/>
      <w:pPr>
        <w:tabs>
          <w:tab w:val="num" w:pos="851"/>
        </w:tabs>
        <w:ind w:left="852" w:hanging="284"/>
      </w:pPr>
    </w:lvl>
    <w:lvl w:ilvl="3">
      <w:start w:val="1"/>
      <w:numFmt w:val="bullet"/>
      <w:pStyle w:val="Listanumerowana4-dugitekst"/>
      <w:lvlText w:val=""/>
      <w:lvlJc w:val="left"/>
      <w:pPr>
        <w:tabs>
          <w:tab w:val="num" w:pos="1134"/>
        </w:tabs>
        <w:ind w:left="1136" w:hanging="284"/>
      </w:pPr>
      <w:rPr>
        <w:rFonts w:ascii="Symbol" w:hAnsi="Symbol" w:cs="Symbol"/>
        <w:color w:val="000000"/>
      </w:rPr>
    </w:lvl>
    <w:lvl w:ilvl="4">
      <w:start w:val="1"/>
      <w:numFmt w:val="bullet"/>
      <w:pStyle w:val="Listanumerowana5-dugitekst"/>
      <w:lvlText w:val="o"/>
      <w:lvlJc w:val="left"/>
      <w:pPr>
        <w:tabs>
          <w:tab w:val="num" w:pos="1418"/>
        </w:tabs>
        <w:ind w:left="1420" w:hanging="284"/>
      </w:pPr>
      <w:rPr>
        <w:rFonts w:ascii="Courier New" w:hAnsi="Courier New" w:cs="Courier New"/>
      </w:rPr>
    </w:lvl>
    <w:lvl w:ilvl="5">
      <w:start w:val="1"/>
      <w:numFmt w:val="bullet"/>
      <w:lvlText w:val="-"/>
      <w:lvlJc w:val="left"/>
      <w:pPr>
        <w:tabs>
          <w:tab w:val="num" w:pos="1707"/>
        </w:tabs>
        <w:ind w:left="1704" w:hanging="284"/>
      </w:pPr>
      <w:rPr>
        <w:rFonts w:ascii="Arial" w:hAnsi="Arial" w:cs="Arial"/>
        <w:color w:val="000000"/>
      </w:rPr>
    </w:lvl>
    <w:lvl w:ilvl="6">
      <w:start w:val="1"/>
      <w:numFmt w:val="bullet"/>
      <w:lvlText w:val="-"/>
      <w:lvlJc w:val="left"/>
      <w:pPr>
        <w:tabs>
          <w:tab w:val="num" w:pos="1990"/>
        </w:tabs>
        <w:ind w:left="1988" w:hanging="284"/>
      </w:pPr>
      <w:rPr>
        <w:rFonts w:ascii="Arial" w:hAnsi="Arial" w:cs="Arial"/>
        <w:color w:val="000000"/>
      </w:rPr>
    </w:lvl>
    <w:lvl w:ilvl="7">
      <w:start w:val="1"/>
      <w:numFmt w:val="bullet"/>
      <w:lvlText w:val="-"/>
      <w:lvlJc w:val="left"/>
      <w:pPr>
        <w:tabs>
          <w:tab w:val="num" w:pos="2274"/>
        </w:tabs>
        <w:ind w:left="2272" w:hanging="284"/>
      </w:pPr>
      <w:rPr>
        <w:rFonts w:ascii="Arial" w:hAnsi="Arial" w:cs="Arial"/>
        <w:color w:val="000000"/>
      </w:rPr>
    </w:lvl>
    <w:lvl w:ilvl="8">
      <w:start w:val="1"/>
      <w:numFmt w:val="bullet"/>
      <w:lvlText w:val="-"/>
      <w:lvlJc w:val="left"/>
      <w:pPr>
        <w:tabs>
          <w:tab w:val="num" w:pos="2557"/>
        </w:tabs>
        <w:ind w:left="2556" w:hanging="284"/>
      </w:pPr>
      <w:rPr>
        <w:rFonts w:ascii="Arial" w:hAnsi="Arial" w:cs="Arial"/>
        <w:color w:val="000000"/>
      </w:rPr>
    </w:lvl>
  </w:abstractNum>
  <w:abstractNum w:abstractNumId="7" w15:restartNumberingAfterBreak="0">
    <w:nsid w:val="00000008"/>
    <w:multiLevelType w:val="multilevel"/>
    <w:tmpl w:val="00000008"/>
    <w:name w:val="WWNum8"/>
    <w:lvl w:ilvl="0">
      <w:start w:val="1"/>
      <w:numFmt w:val="bullet"/>
      <w:pStyle w:val="Listapunktowana1"/>
      <w:lvlText w:val=""/>
      <w:lvlJc w:val="left"/>
      <w:pPr>
        <w:tabs>
          <w:tab w:val="num" w:pos="567"/>
        </w:tabs>
        <w:ind w:left="567" w:hanging="283"/>
      </w:pPr>
      <w:rPr>
        <w:rFonts w:ascii="Symbol" w:hAnsi="Symbol" w:cs="Symbol"/>
        <w:color w:val="000000"/>
      </w:rPr>
    </w:lvl>
    <w:lvl w:ilvl="1">
      <w:start w:val="1"/>
      <w:numFmt w:val="bullet"/>
      <w:pStyle w:val="Listapunktowana21"/>
      <w:lvlText w:val="o"/>
      <w:lvlJc w:val="left"/>
      <w:pPr>
        <w:tabs>
          <w:tab w:val="num" w:pos="851"/>
        </w:tabs>
        <w:ind w:left="851" w:hanging="283"/>
      </w:pPr>
      <w:rPr>
        <w:rFonts w:ascii="Courier New" w:hAnsi="Courier New" w:cs="Courier New"/>
      </w:rPr>
    </w:lvl>
    <w:lvl w:ilvl="2">
      <w:start w:val="1"/>
      <w:numFmt w:val="none"/>
      <w:pStyle w:val="Listapunktowana31"/>
      <w:suff w:val="nothing"/>
      <w:lvlText w:val="-"/>
      <w:lvlJc w:val="left"/>
      <w:pPr>
        <w:tabs>
          <w:tab w:val="num" w:pos="0"/>
        </w:tabs>
        <w:ind w:left="1135" w:hanging="283"/>
      </w:pPr>
    </w:lvl>
    <w:lvl w:ilvl="3">
      <w:start w:val="1"/>
      <w:numFmt w:val="bullet"/>
      <w:pStyle w:val="Listapunktowana41"/>
      <w:lvlText w:val="·"/>
      <w:lvlJc w:val="left"/>
      <w:pPr>
        <w:tabs>
          <w:tab w:val="num" w:pos="1419"/>
        </w:tabs>
        <w:ind w:left="1419" w:hanging="283"/>
      </w:pPr>
      <w:rPr>
        <w:rFonts w:ascii="Arial" w:hAnsi="Arial" w:cs="Arial"/>
        <w:color w:val="000000"/>
      </w:rPr>
    </w:lvl>
    <w:lvl w:ilvl="4">
      <w:start w:val="1"/>
      <w:numFmt w:val="bullet"/>
      <w:pStyle w:val="Listapunktowana51"/>
      <w:lvlText w:val="·"/>
      <w:lvlJc w:val="left"/>
      <w:pPr>
        <w:tabs>
          <w:tab w:val="num" w:pos="1703"/>
        </w:tabs>
        <w:ind w:left="1703" w:hanging="283"/>
      </w:pPr>
      <w:rPr>
        <w:rFonts w:ascii="Arial" w:hAnsi="Arial" w:cs="Arial"/>
        <w:color w:val="000000"/>
      </w:rPr>
    </w:lvl>
    <w:lvl w:ilvl="5">
      <w:start w:val="1"/>
      <w:numFmt w:val="bullet"/>
      <w:lvlText w:val="-"/>
      <w:lvlJc w:val="left"/>
      <w:pPr>
        <w:tabs>
          <w:tab w:val="num" w:pos="1987"/>
        </w:tabs>
        <w:ind w:left="1987" w:hanging="283"/>
      </w:pPr>
      <w:rPr>
        <w:rFonts w:ascii="Arial" w:hAnsi="Arial" w:cs="Arial"/>
        <w:color w:val="000000"/>
      </w:rPr>
    </w:lvl>
    <w:lvl w:ilvl="6">
      <w:start w:val="1"/>
      <w:numFmt w:val="bullet"/>
      <w:lvlText w:val="-"/>
      <w:lvlJc w:val="left"/>
      <w:pPr>
        <w:tabs>
          <w:tab w:val="num" w:pos="2271"/>
        </w:tabs>
        <w:ind w:left="2271" w:hanging="283"/>
      </w:pPr>
      <w:rPr>
        <w:rFonts w:ascii="Arial" w:hAnsi="Arial" w:cs="Arial"/>
        <w:color w:val="000000"/>
      </w:rPr>
    </w:lvl>
    <w:lvl w:ilvl="7">
      <w:start w:val="1"/>
      <w:numFmt w:val="bullet"/>
      <w:lvlText w:val="-"/>
      <w:lvlJc w:val="left"/>
      <w:pPr>
        <w:tabs>
          <w:tab w:val="num" w:pos="2555"/>
        </w:tabs>
        <w:ind w:left="2555" w:hanging="283"/>
      </w:pPr>
      <w:rPr>
        <w:rFonts w:ascii="Arial" w:hAnsi="Arial" w:cs="Arial"/>
        <w:color w:val="000000"/>
      </w:rPr>
    </w:lvl>
    <w:lvl w:ilvl="8">
      <w:start w:val="1"/>
      <w:numFmt w:val="bullet"/>
      <w:lvlText w:val="-"/>
      <w:lvlJc w:val="left"/>
      <w:pPr>
        <w:tabs>
          <w:tab w:val="num" w:pos="2839"/>
        </w:tabs>
        <w:ind w:left="2839" w:hanging="283"/>
      </w:pPr>
      <w:rPr>
        <w:rFonts w:ascii="Arial" w:hAnsi="Arial" w:cs="Arial"/>
        <w:color w:val="000000"/>
      </w:rPr>
    </w:lvl>
  </w:abstractNum>
  <w:abstractNum w:abstractNumId="8" w15:restartNumberingAfterBreak="0">
    <w:nsid w:val="00000009"/>
    <w:multiLevelType w:val="multilevel"/>
    <w:tmpl w:val="00000009"/>
    <w:name w:val="WWNum9"/>
    <w:lvl w:ilvl="0">
      <w:start w:val="1"/>
      <w:numFmt w:val="bullet"/>
      <w:pStyle w:val="Listapunktowana-dlugitekst"/>
      <w:lvlText w:val=""/>
      <w:lvlJc w:val="left"/>
      <w:pPr>
        <w:tabs>
          <w:tab w:val="num" w:pos="284"/>
        </w:tabs>
        <w:ind w:left="284" w:hanging="284"/>
      </w:pPr>
      <w:rPr>
        <w:rFonts w:ascii="Symbol" w:hAnsi="Symbol" w:cs="Symbol"/>
        <w:color w:val="000000"/>
      </w:rPr>
    </w:lvl>
    <w:lvl w:ilvl="1">
      <w:start w:val="1"/>
      <w:numFmt w:val="bullet"/>
      <w:pStyle w:val="Listapunktowana2-dugitekst"/>
      <w:lvlText w:val="o"/>
      <w:lvlJc w:val="left"/>
      <w:pPr>
        <w:tabs>
          <w:tab w:val="num" w:pos="568"/>
        </w:tabs>
        <w:ind w:left="568" w:hanging="284"/>
      </w:pPr>
      <w:rPr>
        <w:rFonts w:ascii="Courier New" w:hAnsi="Courier New" w:cs="Courier New"/>
      </w:rPr>
    </w:lvl>
    <w:lvl w:ilvl="2">
      <w:start w:val="1"/>
      <w:numFmt w:val="bullet"/>
      <w:pStyle w:val="Listapunktowana3-dugitekst"/>
      <w:lvlText w:val="-"/>
      <w:lvlJc w:val="left"/>
      <w:pPr>
        <w:tabs>
          <w:tab w:val="num" w:pos="852"/>
        </w:tabs>
        <w:ind w:left="852" w:hanging="284"/>
      </w:pPr>
      <w:rPr>
        <w:rFonts w:ascii="Arial" w:hAnsi="Arial" w:cs="Arial"/>
        <w:color w:val="000000"/>
      </w:rPr>
    </w:lvl>
    <w:lvl w:ilvl="3">
      <w:start w:val="1"/>
      <w:numFmt w:val="bullet"/>
      <w:pStyle w:val="Listapunktowana4-dugitekst"/>
      <w:lvlText w:val="-"/>
      <w:lvlJc w:val="left"/>
      <w:pPr>
        <w:tabs>
          <w:tab w:val="num" w:pos="1136"/>
        </w:tabs>
        <w:ind w:left="1136" w:hanging="284"/>
      </w:pPr>
      <w:rPr>
        <w:rFonts w:ascii="Arial" w:hAnsi="Arial" w:cs="Arial"/>
        <w:color w:val="000000"/>
      </w:rPr>
    </w:lvl>
    <w:lvl w:ilvl="4">
      <w:start w:val="1"/>
      <w:numFmt w:val="bullet"/>
      <w:pStyle w:val="Listapunktowana5-dugitekst"/>
      <w:lvlText w:val="-"/>
      <w:lvlJc w:val="left"/>
      <w:pPr>
        <w:tabs>
          <w:tab w:val="num" w:pos="1420"/>
        </w:tabs>
        <w:ind w:left="1420" w:hanging="284"/>
      </w:pPr>
      <w:rPr>
        <w:rFonts w:ascii="Arial" w:hAnsi="Arial" w:cs="Arial"/>
        <w:color w:val="000000"/>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9" w15:restartNumberingAfterBreak="0">
    <w:nsid w:val="0000000A"/>
    <w:multiLevelType w:val="multilevel"/>
    <w:tmpl w:val="0000000A"/>
    <w:name w:val="WWNum10"/>
    <w:lvl w:ilvl="0">
      <w:start w:val="1"/>
      <w:numFmt w:val="upperLetter"/>
      <w:pStyle w:val="Nagwek1Aneks"/>
      <w:lvlText w:val="Aneks %1."/>
      <w:lvlJc w:val="left"/>
      <w:pPr>
        <w:tabs>
          <w:tab w:val="num" w:pos="2268"/>
        </w:tabs>
        <w:ind w:left="2268" w:hanging="2268"/>
      </w:pPr>
    </w:lvl>
    <w:lvl w:ilvl="1">
      <w:start w:val="1"/>
      <w:numFmt w:val="decimal"/>
      <w:pStyle w:val="Nagwek2Aneks"/>
      <w:lvlText w:val="%1.%2."/>
      <w:lvlJc w:val="left"/>
      <w:pPr>
        <w:tabs>
          <w:tab w:val="num" w:pos="851"/>
        </w:tabs>
        <w:ind w:left="851" w:hanging="851"/>
      </w:pPr>
    </w:lvl>
    <w:lvl w:ilvl="2">
      <w:start w:val="1"/>
      <w:numFmt w:val="decimal"/>
      <w:pStyle w:val="Nagwek3Aneks"/>
      <w:lvlText w:val="%1.%2.%3."/>
      <w:lvlJc w:val="left"/>
      <w:pPr>
        <w:tabs>
          <w:tab w:val="num" w:pos="851"/>
        </w:tabs>
        <w:ind w:left="851" w:hanging="851"/>
      </w:pPr>
    </w:lvl>
    <w:lvl w:ilvl="3">
      <w:start w:val="1"/>
      <w:numFmt w:val="decimal"/>
      <w:pStyle w:val="Nagwek4Aneks"/>
      <w:lvlText w:val="%1.%2.%3.%4"/>
      <w:lvlJc w:val="left"/>
      <w:pPr>
        <w:tabs>
          <w:tab w:val="num" w:pos="851"/>
        </w:tabs>
        <w:ind w:left="851" w:hanging="851"/>
      </w:pPr>
    </w:lvl>
    <w:lvl w:ilvl="4">
      <w:start w:val="1"/>
      <w:numFmt w:val="lowerLetter"/>
      <w:lvlText w:val="(%5)"/>
      <w:lvlJc w:val="left"/>
      <w:pPr>
        <w:tabs>
          <w:tab w:val="num" w:pos="851"/>
        </w:tabs>
        <w:ind w:left="851" w:hanging="851"/>
      </w:pPr>
    </w:lvl>
    <w:lvl w:ilvl="5">
      <w:start w:val="1"/>
      <w:numFmt w:val="lowerRoman"/>
      <w:lvlText w:val="(%6)"/>
      <w:lvlJc w:val="left"/>
      <w:pPr>
        <w:tabs>
          <w:tab w:val="num" w:pos="851"/>
        </w:tabs>
        <w:ind w:left="851" w:hanging="851"/>
      </w:pPr>
    </w:lvl>
    <w:lvl w:ilvl="6">
      <w:start w:val="1"/>
      <w:numFmt w:val="decimal"/>
      <w:lvlText w:val="%7."/>
      <w:lvlJc w:val="left"/>
      <w:pPr>
        <w:tabs>
          <w:tab w:val="num" w:pos="851"/>
        </w:tabs>
        <w:ind w:left="851" w:hanging="851"/>
      </w:pPr>
    </w:lvl>
    <w:lvl w:ilvl="7">
      <w:start w:val="1"/>
      <w:numFmt w:val="lowerLetter"/>
      <w:lvlText w:val="%8."/>
      <w:lvlJc w:val="left"/>
      <w:pPr>
        <w:tabs>
          <w:tab w:val="num" w:pos="851"/>
        </w:tabs>
        <w:ind w:left="851" w:hanging="851"/>
      </w:pPr>
    </w:lvl>
    <w:lvl w:ilvl="8">
      <w:start w:val="1"/>
      <w:numFmt w:val="lowerRoman"/>
      <w:lvlText w:val="%9."/>
      <w:lvlJc w:val="left"/>
      <w:pPr>
        <w:tabs>
          <w:tab w:val="num" w:pos="851"/>
        </w:tabs>
        <w:ind w:left="851" w:hanging="851"/>
      </w:pPr>
    </w:lvl>
  </w:abstractNum>
  <w:abstractNum w:abstractNumId="10" w15:restartNumberingAfterBreak="0">
    <w:nsid w:val="0000000B"/>
    <w:multiLevelType w:val="multilevel"/>
    <w:tmpl w:val="0000000B"/>
    <w:name w:val="WWNum11"/>
    <w:lvl w:ilvl="0">
      <w:start w:val="1"/>
      <w:numFmt w:val="decimal"/>
      <w:pStyle w:val="Nagwek1"/>
      <w:lvlText w:val="%1."/>
      <w:lvlJc w:val="left"/>
      <w:pPr>
        <w:tabs>
          <w:tab w:val="num" w:pos="0"/>
        </w:tabs>
        <w:ind w:left="0" w:hanging="737"/>
      </w:pPr>
      <w:rPr>
        <w:b w:val="0"/>
      </w:rPr>
    </w:lvl>
    <w:lvl w:ilvl="1">
      <w:start w:val="1"/>
      <w:numFmt w:val="decimal"/>
      <w:pStyle w:val="Nagwek2"/>
      <w:lvlText w:val="%1.%2."/>
      <w:lvlJc w:val="left"/>
      <w:pPr>
        <w:tabs>
          <w:tab w:val="num" w:pos="0"/>
        </w:tabs>
        <w:ind w:left="0" w:hanging="624"/>
      </w:pPr>
      <w:rPr>
        <w:b/>
      </w:rPr>
    </w:lvl>
    <w:lvl w:ilvl="2">
      <w:start w:val="1"/>
      <w:numFmt w:val="decimal"/>
      <w:pStyle w:val="Nagwek3"/>
      <w:lvlText w:val="%1.%2.%3."/>
      <w:lvlJc w:val="left"/>
      <w:pPr>
        <w:tabs>
          <w:tab w:val="num" w:pos="794"/>
        </w:tabs>
        <w:ind w:left="794" w:hanging="794"/>
      </w:pPr>
    </w:lvl>
    <w:lvl w:ilvl="3">
      <w:start w:val="1"/>
      <w:numFmt w:val="decimal"/>
      <w:pStyle w:val="Nagwek4"/>
      <w:lvlText w:val="%1.%2.%3.%4."/>
      <w:lvlJc w:val="left"/>
      <w:pPr>
        <w:tabs>
          <w:tab w:val="num" w:pos="851"/>
        </w:tabs>
        <w:ind w:left="851" w:hanging="851"/>
      </w:pPr>
    </w:lvl>
    <w:lvl w:ilvl="4">
      <w:start w:val="1"/>
      <w:numFmt w:val="decimal"/>
      <w:pStyle w:val="Nagwek5"/>
      <w:lvlText w:val="%1.%2.%3.%4.%5."/>
      <w:lvlJc w:val="left"/>
      <w:pPr>
        <w:tabs>
          <w:tab w:val="num" w:pos="964"/>
        </w:tabs>
        <w:ind w:left="964" w:hanging="964"/>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7"/>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9"/>
      <w:lvlJc w:val="left"/>
      <w:pPr>
        <w:tabs>
          <w:tab w:val="num" w:pos="0"/>
        </w:tabs>
        <w:ind w:left="0" w:firstLine="0"/>
      </w:pPr>
    </w:lvl>
  </w:abstractNum>
  <w:abstractNum w:abstractNumId="11" w15:restartNumberingAfterBreak="0">
    <w:nsid w:val="0000000C"/>
    <w:multiLevelType w:val="multilevel"/>
    <w:tmpl w:val="0000000C"/>
    <w:name w:val="WWNum12"/>
    <w:lvl w:ilvl="0">
      <w:start w:val="1"/>
      <w:numFmt w:val="bullet"/>
      <w:pStyle w:val="Tabela-Listapunktowa"/>
      <w:lvlText w:val=""/>
      <w:lvlJc w:val="left"/>
      <w:pPr>
        <w:tabs>
          <w:tab w:val="num" w:pos="113"/>
        </w:tabs>
        <w:ind w:left="113" w:hanging="113"/>
      </w:pPr>
      <w:rPr>
        <w:rFonts w:ascii="Symbol" w:hAnsi="Symbol" w:cs="Symbol"/>
        <w:color w:val="000000"/>
        <w:sz w:val="18"/>
      </w:rPr>
    </w:lvl>
    <w:lvl w:ilvl="1">
      <w:start w:val="1"/>
      <w:numFmt w:val="bullet"/>
      <w:lvlText w:val="o"/>
      <w:lvlJc w:val="left"/>
      <w:pPr>
        <w:tabs>
          <w:tab w:val="num" w:pos="226"/>
        </w:tabs>
        <w:ind w:left="226" w:hanging="113"/>
      </w:pPr>
      <w:rPr>
        <w:rFonts w:ascii="Courier New" w:hAnsi="Courier New" w:cs="Courier New"/>
      </w:rPr>
    </w:lvl>
    <w:lvl w:ilvl="2">
      <w:start w:val="1"/>
      <w:numFmt w:val="bullet"/>
      <w:lvlText w:val=""/>
      <w:lvlJc w:val="left"/>
      <w:pPr>
        <w:tabs>
          <w:tab w:val="num" w:pos="339"/>
        </w:tabs>
        <w:ind w:left="339" w:hanging="113"/>
      </w:pPr>
      <w:rPr>
        <w:rFonts w:ascii="Wingdings" w:hAnsi="Wingdings" w:cs="Wingdings"/>
        <w:color w:val="000000"/>
      </w:rPr>
    </w:lvl>
    <w:lvl w:ilvl="3">
      <w:start w:val="1"/>
      <w:numFmt w:val="bullet"/>
      <w:lvlText w:val="·"/>
      <w:lvlJc w:val="left"/>
      <w:pPr>
        <w:tabs>
          <w:tab w:val="num" w:pos="452"/>
        </w:tabs>
        <w:ind w:left="452" w:hanging="113"/>
      </w:pPr>
      <w:rPr>
        <w:rFonts w:ascii="Arial" w:hAnsi="Arial" w:cs="Arial"/>
        <w:color w:val="000000"/>
      </w:rPr>
    </w:lvl>
    <w:lvl w:ilvl="4">
      <w:start w:val="1"/>
      <w:numFmt w:val="bullet"/>
      <w:lvlText w:val="·"/>
      <w:lvlJc w:val="left"/>
      <w:pPr>
        <w:tabs>
          <w:tab w:val="num" w:pos="565"/>
        </w:tabs>
        <w:ind w:left="565" w:hanging="113"/>
      </w:pPr>
      <w:rPr>
        <w:rFonts w:ascii="Arial" w:hAnsi="Arial" w:cs="Arial"/>
        <w:color w:val="000000"/>
      </w:rPr>
    </w:lvl>
    <w:lvl w:ilvl="5">
      <w:start w:val="1"/>
      <w:numFmt w:val="bullet"/>
      <w:lvlText w:val="·"/>
      <w:lvlJc w:val="left"/>
      <w:pPr>
        <w:tabs>
          <w:tab w:val="num" w:pos="678"/>
        </w:tabs>
        <w:ind w:left="678" w:hanging="113"/>
      </w:pPr>
      <w:rPr>
        <w:rFonts w:ascii="Arial" w:hAnsi="Arial" w:cs="Arial"/>
        <w:color w:val="000000"/>
      </w:rPr>
    </w:lvl>
    <w:lvl w:ilvl="6">
      <w:start w:val="1"/>
      <w:numFmt w:val="bullet"/>
      <w:lvlText w:val="·"/>
      <w:lvlJc w:val="left"/>
      <w:pPr>
        <w:tabs>
          <w:tab w:val="num" w:pos="791"/>
        </w:tabs>
        <w:ind w:left="791" w:hanging="113"/>
      </w:pPr>
      <w:rPr>
        <w:rFonts w:ascii="Arial" w:hAnsi="Arial" w:cs="Arial"/>
        <w:color w:val="000000"/>
      </w:rPr>
    </w:lvl>
    <w:lvl w:ilvl="7">
      <w:start w:val="1"/>
      <w:numFmt w:val="bullet"/>
      <w:lvlText w:val="·"/>
      <w:lvlJc w:val="left"/>
      <w:pPr>
        <w:tabs>
          <w:tab w:val="num" w:pos="904"/>
        </w:tabs>
        <w:ind w:left="904" w:hanging="113"/>
      </w:pPr>
      <w:rPr>
        <w:rFonts w:ascii="Arial" w:hAnsi="Arial" w:cs="Arial"/>
        <w:color w:val="000000"/>
      </w:rPr>
    </w:lvl>
    <w:lvl w:ilvl="8">
      <w:start w:val="1"/>
      <w:numFmt w:val="bullet"/>
      <w:lvlText w:val="·"/>
      <w:lvlJc w:val="left"/>
      <w:pPr>
        <w:tabs>
          <w:tab w:val="num" w:pos="1017"/>
        </w:tabs>
        <w:ind w:left="1017" w:hanging="113"/>
      </w:pPr>
      <w:rPr>
        <w:rFonts w:ascii="Arial" w:hAnsi="Arial" w:cs="Arial"/>
        <w:color w:val="000000"/>
      </w:rPr>
    </w:lvl>
  </w:abstractNum>
  <w:abstractNum w:abstractNumId="12" w15:restartNumberingAfterBreak="0">
    <w:nsid w:val="0000000D"/>
    <w:multiLevelType w:val="multilevel"/>
    <w:tmpl w:val="0000000D"/>
    <w:name w:val="WWNum13"/>
    <w:lvl w:ilvl="0">
      <w:start w:val="1"/>
      <w:numFmt w:val="decimal"/>
      <w:pStyle w:val="Tabela-Listanumerowana"/>
      <w:lvlText w:val="%1."/>
      <w:lvlJc w:val="left"/>
      <w:pPr>
        <w:tabs>
          <w:tab w:val="num" w:pos="284"/>
        </w:tabs>
        <w:ind w:left="284" w:hanging="284"/>
      </w:pPr>
      <w:rPr>
        <w:rFonts w:ascii="Arial" w:hAnsi="Arial"/>
        <w:b w:val="0"/>
        <w:sz w:val="18"/>
      </w:rPr>
    </w:lvl>
    <w:lvl w:ilvl="1">
      <w:start w:val="1"/>
      <w:numFmt w:val="lowerLetter"/>
      <w:lvlText w:val="%2."/>
      <w:lvlJc w:val="left"/>
      <w:pPr>
        <w:tabs>
          <w:tab w:val="num" w:pos="397"/>
        </w:tabs>
        <w:ind w:left="397" w:hanging="284"/>
      </w:pPr>
    </w:lvl>
    <w:lvl w:ilvl="2">
      <w:start w:val="1"/>
      <w:numFmt w:val="lowerRoman"/>
      <w:lvlText w:val="%3."/>
      <w:lvlJc w:val="left"/>
      <w:pPr>
        <w:tabs>
          <w:tab w:val="num" w:pos="510"/>
        </w:tabs>
        <w:ind w:left="510" w:hanging="284"/>
      </w:pPr>
    </w:lvl>
    <w:lvl w:ilvl="3">
      <w:start w:val="1"/>
      <w:numFmt w:val="decimal"/>
      <w:lvlText w:val="(%4)"/>
      <w:lvlJc w:val="left"/>
      <w:pPr>
        <w:tabs>
          <w:tab w:val="num" w:pos="623"/>
        </w:tabs>
        <w:ind w:left="623" w:hanging="284"/>
      </w:pPr>
    </w:lvl>
    <w:lvl w:ilvl="4">
      <w:start w:val="1"/>
      <w:numFmt w:val="lowerLetter"/>
      <w:lvlText w:val="(%5)"/>
      <w:lvlJc w:val="left"/>
      <w:pPr>
        <w:tabs>
          <w:tab w:val="num" w:pos="736"/>
        </w:tabs>
        <w:ind w:left="736" w:hanging="284"/>
      </w:pPr>
    </w:lvl>
    <w:lvl w:ilvl="5">
      <w:start w:val="1"/>
      <w:numFmt w:val="lowerRoman"/>
      <w:lvlText w:val="(%6)"/>
      <w:lvlJc w:val="left"/>
      <w:pPr>
        <w:tabs>
          <w:tab w:val="num" w:pos="849"/>
        </w:tabs>
        <w:ind w:left="849" w:hanging="284"/>
      </w:pPr>
    </w:lvl>
    <w:lvl w:ilvl="6">
      <w:start w:val="1"/>
      <w:numFmt w:val="decimal"/>
      <w:lvlText w:val="%7."/>
      <w:lvlJc w:val="left"/>
      <w:pPr>
        <w:tabs>
          <w:tab w:val="num" w:pos="962"/>
        </w:tabs>
        <w:ind w:left="962" w:hanging="284"/>
      </w:pPr>
    </w:lvl>
    <w:lvl w:ilvl="7">
      <w:start w:val="1"/>
      <w:numFmt w:val="lowerLetter"/>
      <w:lvlText w:val="%8."/>
      <w:lvlJc w:val="left"/>
      <w:pPr>
        <w:tabs>
          <w:tab w:val="num" w:pos="1075"/>
        </w:tabs>
        <w:ind w:left="1075" w:hanging="284"/>
      </w:pPr>
    </w:lvl>
    <w:lvl w:ilvl="8">
      <w:start w:val="1"/>
      <w:numFmt w:val="lowerRoman"/>
      <w:lvlText w:val="%9."/>
      <w:lvlJc w:val="left"/>
      <w:pPr>
        <w:tabs>
          <w:tab w:val="num" w:pos="1188"/>
        </w:tabs>
        <w:ind w:left="1188" w:hanging="284"/>
      </w:pPr>
    </w:lvl>
  </w:abstractNum>
  <w:abstractNum w:abstractNumId="13" w15:restartNumberingAfterBreak="0">
    <w:nsid w:val="0000000E"/>
    <w:multiLevelType w:val="multilevel"/>
    <w:tmpl w:val="0000000E"/>
    <w:name w:val="WWNum14"/>
    <w:lvl w:ilvl="0">
      <w:start w:val="1"/>
      <w:numFmt w:val="lowerLetter"/>
      <w:pStyle w:val="Tekstopisupodelementem-lista"/>
      <w:lvlText w:val="%1)"/>
      <w:lvlJc w:val="left"/>
      <w:pPr>
        <w:tabs>
          <w:tab w:val="num" w:pos="170"/>
        </w:tabs>
        <w:ind w:left="170" w:hanging="170"/>
      </w:pPr>
    </w:lvl>
    <w:lvl w:ilvl="1">
      <w:start w:val="1"/>
      <w:numFmt w:val="lowerRoman"/>
      <w:lvlText w:val="%2)"/>
      <w:lvlJc w:val="left"/>
      <w:pPr>
        <w:tabs>
          <w:tab w:val="num" w:pos="340"/>
        </w:tabs>
        <w:ind w:left="340" w:hanging="170"/>
      </w:pPr>
    </w:lvl>
    <w:lvl w:ilvl="2">
      <w:start w:val="1"/>
      <w:numFmt w:val="bullet"/>
      <w:lvlText w:val=""/>
      <w:lvlJc w:val="left"/>
      <w:pPr>
        <w:tabs>
          <w:tab w:val="num" w:pos="510"/>
        </w:tabs>
        <w:ind w:left="510" w:hanging="170"/>
      </w:pPr>
      <w:rPr>
        <w:rFonts w:ascii="Symbol" w:hAnsi="Symbol" w:cs="Symbol"/>
      </w:rPr>
    </w:lvl>
    <w:lvl w:ilvl="3">
      <w:start w:val="1"/>
      <w:numFmt w:val="none"/>
      <w:suff w:val="nothing"/>
      <w:lvlText w:val=""/>
      <w:lvlJc w:val="left"/>
      <w:pPr>
        <w:tabs>
          <w:tab w:val="num" w:pos="0"/>
        </w:tabs>
        <w:ind w:left="680" w:hanging="170"/>
      </w:pPr>
    </w:lvl>
    <w:lvl w:ilvl="4">
      <w:start w:val="1"/>
      <w:numFmt w:val="none"/>
      <w:suff w:val="nothing"/>
      <w:lvlText w:val=""/>
      <w:lvlJc w:val="left"/>
      <w:pPr>
        <w:tabs>
          <w:tab w:val="num" w:pos="0"/>
        </w:tabs>
        <w:ind w:left="850" w:hanging="170"/>
      </w:pPr>
    </w:lvl>
    <w:lvl w:ilvl="5">
      <w:start w:val="1"/>
      <w:numFmt w:val="none"/>
      <w:suff w:val="nothing"/>
      <w:lvlText w:val=""/>
      <w:lvlJc w:val="left"/>
      <w:pPr>
        <w:tabs>
          <w:tab w:val="num" w:pos="0"/>
        </w:tabs>
        <w:ind w:left="1020" w:hanging="170"/>
      </w:pPr>
    </w:lvl>
    <w:lvl w:ilvl="6">
      <w:start w:val="1"/>
      <w:numFmt w:val="none"/>
      <w:suff w:val="nothing"/>
      <w:lvlText w:val=""/>
      <w:lvlJc w:val="left"/>
      <w:pPr>
        <w:tabs>
          <w:tab w:val="num" w:pos="0"/>
        </w:tabs>
        <w:ind w:left="1190" w:hanging="170"/>
      </w:pPr>
    </w:lvl>
    <w:lvl w:ilvl="7">
      <w:start w:val="1"/>
      <w:numFmt w:val="none"/>
      <w:suff w:val="nothing"/>
      <w:lvlText w:val=""/>
      <w:lvlJc w:val="left"/>
      <w:pPr>
        <w:tabs>
          <w:tab w:val="num" w:pos="0"/>
        </w:tabs>
        <w:ind w:left="1360" w:hanging="170"/>
      </w:pPr>
    </w:lvl>
    <w:lvl w:ilvl="8">
      <w:start w:val="1"/>
      <w:numFmt w:val="none"/>
      <w:suff w:val="nothing"/>
      <w:lvlText w:val=""/>
      <w:lvlJc w:val="left"/>
      <w:pPr>
        <w:tabs>
          <w:tab w:val="num" w:pos="0"/>
        </w:tabs>
        <w:ind w:left="1530" w:hanging="170"/>
      </w:pPr>
    </w:lvl>
  </w:abstractNum>
  <w:abstractNum w:abstractNumId="14" w15:restartNumberingAfterBreak="0">
    <w:nsid w:val="0000000F"/>
    <w:multiLevelType w:val="multilevel"/>
    <w:tmpl w:val="0000000F"/>
    <w:name w:val="WWNum30"/>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15" w15:restartNumberingAfterBreak="0">
    <w:nsid w:val="00000010"/>
    <w:multiLevelType w:val="multilevel"/>
    <w:tmpl w:val="00000010"/>
    <w:name w:val="WWNum31"/>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16" w15:restartNumberingAfterBreak="0">
    <w:nsid w:val="00000011"/>
    <w:multiLevelType w:val="multilevel"/>
    <w:tmpl w:val="00000011"/>
    <w:name w:val="WWNum32"/>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17" w15:restartNumberingAfterBreak="0">
    <w:nsid w:val="00000012"/>
    <w:multiLevelType w:val="multilevel"/>
    <w:tmpl w:val="00000012"/>
    <w:name w:val="WWNum33"/>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18" w15:restartNumberingAfterBreak="0">
    <w:nsid w:val="00000013"/>
    <w:multiLevelType w:val="multilevel"/>
    <w:tmpl w:val="00000013"/>
    <w:name w:val="WWNum34"/>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19" w15:restartNumberingAfterBreak="0">
    <w:nsid w:val="00000014"/>
    <w:multiLevelType w:val="multilevel"/>
    <w:tmpl w:val="00000014"/>
    <w:name w:val="WWNum35"/>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0" w15:restartNumberingAfterBreak="0">
    <w:nsid w:val="00000015"/>
    <w:multiLevelType w:val="multilevel"/>
    <w:tmpl w:val="00000015"/>
    <w:name w:val="WWNum36"/>
    <w:lvl w:ilvl="0">
      <w:start w:val="1"/>
      <w:numFmt w:val="decimal"/>
      <w:lvlText w:val="%1."/>
      <w:lvlJc w:val="left"/>
      <w:pPr>
        <w:tabs>
          <w:tab w:val="num" w:pos="284"/>
        </w:tabs>
        <w:ind w:left="284" w:hanging="284"/>
      </w:pPr>
      <w:rPr>
        <w:rFonts w:ascii="Arial" w:hAnsi="Arial"/>
        <w:sz w:val="18"/>
      </w:rPr>
    </w:lvl>
    <w:lvl w:ilvl="1">
      <w:start w:val="1"/>
      <w:numFmt w:val="lowerLetter"/>
      <w:lvlText w:val="%2."/>
      <w:lvlJc w:val="left"/>
      <w:pPr>
        <w:tabs>
          <w:tab w:val="num" w:pos="397"/>
        </w:tabs>
        <w:ind w:left="397" w:hanging="284"/>
      </w:pPr>
    </w:lvl>
    <w:lvl w:ilvl="2">
      <w:start w:val="1"/>
      <w:numFmt w:val="lowerRoman"/>
      <w:lvlText w:val="%3."/>
      <w:lvlJc w:val="left"/>
      <w:pPr>
        <w:tabs>
          <w:tab w:val="num" w:pos="510"/>
        </w:tabs>
        <w:ind w:left="510" w:hanging="284"/>
      </w:pPr>
    </w:lvl>
    <w:lvl w:ilvl="3">
      <w:start w:val="1"/>
      <w:numFmt w:val="decimal"/>
      <w:lvlText w:val="(%4)"/>
      <w:lvlJc w:val="left"/>
      <w:pPr>
        <w:tabs>
          <w:tab w:val="num" w:pos="623"/>
        </w:tabs>
        <w:ind w:left="623" w:hanging="284"/>
      </w:pPr>
    </w:lvl>
    <w:lvl w:ilvl="4">
      <w:start w:val="1"/>
      <w:numFmt w:val="lowerLetter"/>
      <w:lvlText w:val="(%5)"/>
      <w:lvlJc w:val="left"/>
      <w:pPr>
        <w:tabs>
          <w:tab w:val="num" w:pos="736"/>
        </w:tabs>
        <w:ind w:left="736" w:hanging="284"/>
      </w:pPr>
    </w:lvl>
    <w:lvl w:ilvl="5">
      <w:start w:val="1"/>
      <w:numFmt w:val="lowerRoman"/>
      <w:lvlText w:val="(%6)"/>
      <w:lvlJc w:val="left"/>
      <w:pPr>
        <w:tabs>
          <w:tab w:val="num" w:pos="849"/>
        </w:tabs>
        <w:ind w:left="849" w:hanging="284"/>
      </w:pPr>
    </w:lvl>
    <w:lvl w:ilvl="6">
      <w:start w:val="1"/>
      <w:numFmt w:val="decimal"/>
      <w:lvlText w:val="%7."/>
      <w:lvlJc w:val="left"/>
      <w:pPr>
        <w:tabs>
          <w:tab w:val="num" w:pos="962"/>
        </w:tabs>
        <w:ind w:left="962" w:hanging="284"/>
      </w:pPr>
    </w:lvl>
    <w:lvl w:ilvl="7">
      <w:start w:val="1"/>
      <w:numFmt w:val="lowerLetter"/>
      <w:lvlText w:val="%8."/>
      <w:lvlJc w:val="left"/>
      <w:pPr>
        <w:tabs>
          <w:tab w:val="num" w:pos="1075"/>
        </w:tabs>
        <w:ind w:left="1075" w:hanging="284"/>
      </w:pPr>
    </w:lvl>
    <w:lvl w:ilvl="8">
      <w:start w:val="1"/>
      <w:numFmt w:val="lowerRoman"/>
      <w:lvlText w:val="%9."/>
      <w:lvlJc w:val="left"/>
      <w:pPr>
        <w:tabs>
          <w:tab w:val="num" w:pos="1188"/>
        </w:tabs>
        <w:ind w:left="1188" w:hanging="284"/>
      </w:pPr>
    </w:lvl>
  </w:abstractNum>
  <w:abstractNum w:abstractNumId="21" w15:restartNumberingAfterBreak="0">
    <w:nsid w:val="00000016"/>
    <w:multiLevelType w:val="multilevel"/>
    <w:tmpl w:val="00000016"/>
    <w:name w:val="WWNum37"/>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2" w15:restartNumberingAfterBreak="0">
    <w:nsid w:val="00000017"/>
    <w:multiLevelType w:val="multilevel"/>
    <w:tmpl w:val="00000017"/>
    <w:name w:val="WWNum38"/>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3" w15:restartNumberingAfterBreak="0">
    <w:nsid w:val="00000018"/>
    <w:multiLevelType w:val="multilevel"/>
    <w:tmpl w:val="00000018"/>
    <w:name w:val="WWNum39"/>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4" w15:restartNumberingAfterBreak="0">
    <w:nsid w:val="00000019"/>
    <w:multiLevelType w:val="multilevel"/>
    <w:tmpl w:val="00000019"/>
    <w:name w:val="WWNum40"/>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5" w15:restartNumberingAfterBreak="0">
    <w:nsid w:val="0000001A"/>
    <w:multiLevelType w:val="multilevel"/>
    <w:tmpl w:val="0000001A"/>
    <w:name w:val="WWNum41"/>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6" w15:restartNumberingAfterBreak="0">
    <w:nsid w:val="0000001B"/>
    <w:multiLevelType w:val="multilevel"/>
    <w:tmpl w:val="0000001B"/>
    <w:name w:val="WWNum42"/>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7" w15:restartNumberingAfterBreak="0">
    <w:nsid w:val="0000001C"/>
    <w:multiLevelType w:val="multilevel"/>
    <w:tmpl w:val="0000001C"/>
    <w:name w:val="WWNum43"/>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8" w15:restartNumberingAfterBreak="0">
    <w:nsid w:val="0000001E"/>
    <w:multiLevelType w:val="multilevel"/>
    <w:tmpl w:val="0000001E"/>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9" w15:restartNumberingAfterBreak="0">
    <w:nsid w:val="0000001F"/>
    <w:multiLevelType w:val="multilevel"/>
    <w:tmpl w:val="0000001F"/>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0" w15:restartNumberingAfterBreak="0">
    <w:nsid w:val="00000020"/>
    <w:multiLevelType w:val="multilevel"/>
    <w:tmpl w:val="00000020"/>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1" w15:restartNumberingAfterBreak="0">
    <w:nsid w:val="00000021"/>
    <w:multiLevelType w:val="multilevel"/>
    <w:tmpl w:val="00000021"/>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2" w15:restartNumberingAfterBreak="0">
    <w:nsid w:val="00000022"/>
    <w:multiLevelType w:val="multilevel"/>
    <w:tmpl w:val="00000022"/>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3" w15:restartNumberingAfterBreak="0">
    <w:nsid w:val="00000023"/>
    <w:multiLevelType w:val="multilevel"/>
    <w:tmpl w:val="00000023"/>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4" w15:restartNumberingAfterBreak="0">
    <w:nsid w:val="00000025"/>
    <w:multiLevelType w:val="multilevel"/>
    <w:tmpl w:val="00000025"/>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5" w15:restartNumberingAfterBreak="0">
    <w:nsid w:val="00000026"/>
    <w:multiLevelType w:val="multilevel"/>
    <w:tmpl w:val="00000026"/>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6" w15:restartNumberingAfterBreak="0">
    <w:nsid w:val="00000027"/>
    <w:multiLevelType w:val="multilevel"/>
    <w:tmpl w:val="00000027"/>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7" w15:restartNumberingAfterBreak="0">
    <w:nsid w:val="00000028"/>
    <w:multiLevelType w:val="multilevel"/>
    <w:tmpl w:val="00000028"/>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8" w15:restartNumberingAfterBreak="0">
    <w:nsid w:val="00000029"/>
    <w:multiLevelType w:val="multilevel"/>
    <w:tmpl w:val="00000029"/>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9" w15:restartNumberingAfterBreak="0">
    <w:nsid w:val="0000002A"/>
    <w:multiLevelType w:val="multilevel"/>
    <w:tmpl w:val="0000002A"/>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40" w15:restartNumberingAfterBreak="0">
    <w:nsid w:val="0000002B"/>
    <w:multiLevelType w:val="multilevel"/>
    <w:tmpl w:val="0000002B"/>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41" w15:restartNumberingAfterBreak="0">
    <w:nsid w:val="2D40345F"/>
    <w:multiLevelType w:val="hybridMultilevel"/>
    <w:tmpl w:val="B50CF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1">
    <w:nsid w:val="3FB70741"/>
    <w:multiLevelType w:val="hybridMultilevel"/>
    <w:tmpl w:val="041881BA"/>
    <w:lvl w:ilvl="0" w:tplc="BFD4B41C">
      <w:start w:val="1"/>
      <w:numFmt w:val="decimal"/>
      <w:lvlText w:val="%1."/>
      <w:lvlJc w:val="left"/>
      <w:pPr>
        <w:tabs>
          <w:tab w:val="num" w:pos="720"/>
        </w:tabs>
        <w:ind w:left="720" w:hanging="360"/>
      </w:pPr>
      <w:rPr>
        <w:b w:val="0"/>
        <w:sz w:val="20"/>
        <w:szCs w:val="20"/>
      </w:rPr>
    </w:lvl>
    <w:lvl w:ilvl="1" w:tplc="DA2C698E">
      <w:start w:val="1"/>
      <w:numFmt w:val="decimal"/>
      <w:lvlText w:val="%2."/>
      <w:lvlJc w:val="left"/>
      <w:pPr>
        <w:tabs>
          <w:tab w:val="num" w:pos="1477"/>
        </w:tabs>
        <w:ind w:left="1477" w:hanging="397"/>
      </w:pPr>
      <w:rPr>
        <w:rFonts w:hint="default"/>
      </w:rPr>
    </w:lvl>
    <w:lvl w:ilvl="2" w:tplc="5B82102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6E464AF"/>
    <w:multiLevelType w:val="hybridMultilevel"/>
    <w:tmpl w:val="AFF60D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7511F06"/>
    <w:multiLevelType w:val="hybridMultilevel"/>
    <w:tmpl w:val="6D6A0C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8"/>
  </w:num>
  <w:num w:numId="16">
    <w:abstractNumId w:val="29"/>
  </w:num>
  <w:num w:numId="17">
    <w:abstractNumId w:val="30"/>
  </w:num>
  <w:num w:numId="18">
    <w:abstractNumId w:val="31"/>
  </w:num>
  <w:num w:numId="19">
    <w:abstractNumId w:val="32"/>
  </w:num>
  <w:num w:numId="20">
    <w:abstractNumId w:val="33"/>
  </w:num>
  <w:num w:numId="21">
    <w:abstractNumId w:val="34"/>
  </w:num>
  <w:num w:numId="22">
    <w:abstractNumId w:val="35"/>
  </w:num>
  <w:num w:numId="23">
    <w:abstractNumId w:val="36"/>
  </w:num>
  <w:num w:numId="24">
    <w:abstractNumId w:val="37"/>
  </w:num>
  <w:num w:numId="25">
    <w:abstractNumId w:val="38"/>
  </w:num>
  <w:num w:numId="26">
    <w:abstractNumId w:val="39"/>
  </w:num>
  <w:num w:numId="27">
    <w:abstractNumId w:val="40"/>
  </w:num>
  <w:num w:numId="28">
    <w:abstractNumId w:val="41"/>
  </w:num>
  <w:num w:numId="2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4"/>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5C"/>
    <w:rsid w:val="00002A13"/>
    <w:rsid w:val="00006ECE"/>
    <w:rsid w:val="00015982"/>
    <w:rsid w:val="000172FB"/>
    <w:rsid w:val="00027617"/>
    <w:rsid w:val="00063001"/>
    <w:rsid w:val="00066CFA"/>
    <w:rsid w:val="00092E80"/>
    <w:rsid w:val="000A4EB9"/>
    <w:rsid w:val="000A68E0"/>
    <w:rsid w:val="000B2BB8"/>
    <w:rsid w:val="000B640B"/>
    <w:rsid w:val="000E0DEE"/>
    <w:rsid w:val="000E36E8"/>
    <w:rsid w:val="001053AA"/>
    <w:rsid w:val="001503ED"/>
    <w:rsid w:val="00162F17"/>
    <w:rsid w:val="00190190"/>
    <w:rsid w:val="001D5E1A"/>
    <w:rsid w:val="001F1F50"/>
    <w:rsid w:val="002161D6"/>
    <w:rsid w:val="002440AC"/>
    <w:rsid w:val="0029543B"/>
    <w:rsid w:val="002B534A"/>
    <w:rsid w:val="002D6CB3"/>
    <w:rsid w:val="002E7919"/>
    <w:rsid w:val="003458AC"/>
    <w:rsid w:val="003536B6"/>
    <w:rsid w:val="0036607C"/>
    <w:rsid w:val="0037769B"/>
    <w:rsid w:val="00382D9D"/>
    <w:rsid w:val="00393B4B"/>
    <w:rsid w:val="00395636"/>
    <w:rsid w:val="003A4044"/>
    <w:rsid w:val="003E14BE"/>
    <w:rsid w:val="00415AD7"/>
    <w:rsid w:val="00433CBA"/>
    <w:rsid w:val="00441CD1"/>
    <w:rsid w:val="00457B10"/>
    <w:rsid w:val="00462504"/>
    <w:rsid w:val="004644C5"/>
    <w:rsid w:val="004747A4"/>
    <w:rsid w:val="004D554D"/>
    <w:rsid w:val="004E22F2"/>
    <w:rsid w:val="00521869"/>
    <w:rsid w:val="005272E7"/>
    <w:rsid w:val="005843F1"/>
    <w:rsid w:val="00590662"/>
    <w:rsid w:val="00675632"/>
    <w:rsid w:val="0070343E"/>
    <w:rsid w:val="00707ADD"/>
    <w:rsid w:val="00732AA2"/>
    <w:rsid w:val="007526D7"/>
    <w:rsid w:val="007528F8"/>
    <w:rsid w:val="007704F6"/>
    <w:rsid w:val="007941FC"/>
    <w:rsid w:val="007D3F9B"/>
    <w:rsid w:val="00805E74"/>
    <w:rsid w:val="0081140F"/>
    <w:rsid w:val="00815581"/>
    <w:rsid w:val="00856884"/>
    <w:rsid w:val="008634E2"/>
    <w:rsid w:val="008813D9"/>
    <w:rsid w:val="008F1403"/>
    <w:rsid w:val="009249A3"/>
    <w:rsid w:val="009671DE"/>
    <w:rsid w:val="00976E11"/>
    <w:rsid w:val="00985180"/>
    <w:rsid w:val="009C575C"/>
    <w:rsid w:val="009D4506"/>
    <w:rsid w:val="00A80621"/>
    <w:rsid w:val="00AA223A"/>
    <w:rsid w:val="00AD347C"/>
    <w:rsid w:val="00AE37C4"/>
    <w:rsid w:val="00AF1070"/>
    <w:rsid w:val="00B06D5E"/>
    <w:rsid w:val="00B10116"/>
    <w:rsid w:val="00B52EC0"/>
    <w:rsid w:val="00B82CFC"/>
    <w:rsid w:val="00BC10F2"/>
    <w:rsid w:val="00C22CE7"/>
    <w:rsid w:val="00C42C9D"/>
    <w:rsid w:val="00C64681"/>
    <w:rsid w:val="00C80DAD"/>
    <w:rsid w:val="00C90FEC"/>
    <w:rsid w:val="00CC2DC5"/>
    <w:rsid w:val="00CC3C73"/>
    <w:rsid w:val="00CD0494"/>
    <w:rsid w:val="00CD1CA4"/>
    <w:rsid w:val="00CF1102"/>
    <w:rsid w:val="00D3036A"/>
    <w:rsid w:val="00D76AE1"/>
    <w:rsid w:val="00D80990"/>
    <w:rsid w:val="00DC5CFC"/>
    <w:rsid w:val="00DF2A78"/>
    <w:rsid w:val="00E10754"/>
    <w:rsid w:val="00E12C07"/>
    <w:rsid w:val="00E31314"/>
    <w:rsid w:val="00E46AAE"/>
    <w:rsid w:val="00E6153F"/>
    <w:rsid w:val="00EE125C"/>
    <w:rsid w:val="00F15AB1"/>
    <w:rsid w:val="00F80B79"/>
    <w:rsid w:val="00F9766B"/>
    <w:rsid w:val="00FB38E6"/>
    <w:rsid w:val="00FB4CAF"/>
    <w:rsid w:val="00FD1D1E"/>
    <w:rsid w:val="00FD6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F546B30"/>
  <w15:chartTrackingRefBased/>
  <w15:docId w15:val="{9A914026-0D88-4BE6-A97F-EBC6BC25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Arial" w:hAnsi="Arial"/>
      <w:bCs/>
      <w:lang w:eastAsia="en-US" w:bidi="en-US"/>
    </w:rPr>
  </w:style>
  <w:style w:type="paragraph" w:styleId="Nagwek1">
    <w:name w:val="heading 1"/>
    <w:basedOn w:val="Base-Nagwek1"/>
    <w:next w:val="Tekstpodstawowy"/>
    <w:qFormat/>
    <w:pPr>
      <w:numPr>
        <w:numId w:val="11"/>
      </w:numPr>
      <w:jc w:val="left"/>
    </w:pPr>
    <w:rPr>
      <w:b/>
      <w:bCs w:val="0"/>
      <w:sz w:val="40"/>
      <w:szCs w:val="28"/>
    </w:rPr>
  </w:style>
  <w:style w:type="paragraph" w:styleId="Nagwek2">
    <w:name w:val="heading 2"/>
    <w:basedOn w:val="Base-Nagwek2"/>
    <w:next w:val="Tekstpodstawowy"/>
    <w:qFormat/>
    <w:pPr>
      <w:numPr>
        <w:ilvl w:val="1"/>
        <w:numId w:val="11"/>
      </w:numPr>
      <w:outlineLvl w:val="1"/>
    </w:pPr>
    <w:rPr>
      <w:bCs w:val="0"/>
      <w:szCs w:val="26"/>
    </w:rPr>
  </w:style>
  <w:style w:type="paragraph" w:styleId="Nagwek3">
    <w:name w:val="heading 3"/>
    <w:basedOn w:val="Base-Nagwek3"/>
    <w:next w:val="Tekstpodstawowy"/>
    <w:qFormat/>
    <w:pPr>
      <w:numPr>
        <w:ilvl w:val="2"/>
        <w:numId w:val="11"/>
      </w:numPr>
      <w:tabs>
        <w:tab w:val="clear" w:pos="794"/>
      </w:tabs>
      <w:outlineLvl w:val="2"/>
    </w:pPr>
    <w:rPr>
      <w:bCs w:val="0"/>
    </w:rPr>
  </w:style>
  <w:style w:type="paragraph" w:styleId="Nagwek4">
    <w:name w:val="heading 4"/>
    <w:basedOn w:val="Base-Nagwek4"/>
    <w:next w:val="Tekstpodstawowy"/>
    <w:qFormat/>
    <w:pPr>
      <w:numPr>
        <w:ilvl w:val="3"/>
        <w:numId w:val="11"/>
      </w:numPr>
      <w:tabs>
        <w:tab w:val="clear" w:pos="851"/>
      </w:tabs>
      <w:outlineLvl w:val="3"/>
    </w:pPr>
    <w:rPr>
      <w:bCs w:val="0"/>
      <w:iCs/>
    </w:rPr>
  </w:style>
  <w:style w:type="paragraph" w:styleId="Nagwek5">
    <w:name w:val="heading 5"/>
    <w:basedOn w:val="Base-Nagwek5"/>
    <w:next w:val="Tekstpodstawowy"/>
    <w:qFormat/>
    <w:pPr>
      <w:numPr>
        <w:ilvl w:val="4"/>
        <w:numId w:val="11"/>
      </w:numPr>
      <w:outlineLvl w:val="4"/>
    </w:pPr>
    <w:rPr>
      <w:bCs w:val="0"/>
    </w:rPr>
  </w:style>
  <w:style w:type="paragraph" w:styleId="Nagwek6">
    <w:name w:val="heading 6"/>
    <w:basedOn w:val="Base-Nagwki"/>
    <w:next w:val="Tekstpodstawowy"/>
    <w:qFormat/>
    <w:pPr>
      <w:numPr>
        <w:ilvl w:val="5"/>
        <w:numId w:val="11"/>
      </w:numPr>
      <w:outlineLvl w:val="5"/>
    </w:pPr>
    <w:rPr>
      <w:b/>
      <w:bCs w:val="0"/>
      <w:iCs/>
    </w:rPr>
  </w:style>
  <w:style w:type="paragraph" w:styleId="Nagwek7">
    <w:name w:val="heading 7"/>
    <w:basedOn w:val="Base-Nagwki"/>
    <w:next w:val="Tekstpodstawowy"/>
    <w:qFormat/>
    <w:pPr>
      <w:numPr>
        <w:ilvl w:val="6"/>
        <w:numId w:val="11"/>
      </w:numPr>
      <w:outlineLvl w:val="6"/>
    </w:pPr>
    <w:rPr>
      <w:i/>
      <w:iCs/>
    </w:rPr>
  </w:style>
  <w:style w:type="paragraph" w:styleId="Nagwek8">
    <w:name w:val="heading 8"/>
    <w:basedOn w:val="Base-Nagwki"/>
    <w:next w:val="Tekstpodstawowy"/>
    <w:qFormat/>
    <w:pPr>
      <w:numPr>
        <w:ilvl w:val="7"/>
        <w:numId w:val="11"/>
      </w:numPr>
      <w:outlineLvl w:val="7"/>
    </w:pPr>
  </w:style>
  <w:style w:type="paragraph" w:styleId="Nagwek9">
    <w:name w:val="heading 9"/>
    <w:basedOn w:val="Base-Nagwki"/>
    <w:next w:val="Tekstpodstawowy"/>
    <w:qFormat/>
    <w:pPr>
      <w:numPr>
        <w:ilvl w:val="8"/>
        <w:numId w:val="11"/>
      </w:numPr>
      <w:outlineLvl w:val="8"/>
    </w:pPr>
    <w:rPr>
      <w:i/>
      <w:iCs/>
      <w:spacing w:val="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styleId="Hipercze">
    <w:name w:val="Hyperlink"/>
    <w:uiPriority w:val="99"/>
    <w:rPr>
      <w:color w:val="auto"/>
      <w:u w:val="none"/>
    </w:rPr>
  </w:style>
  <w:style w:type="character" w:customStyle="1" w:styleId="Stopka2">
    <w:name w:val="Stopka (2)"/>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Stopka">
    <w:name w:val="Stopka_"/>
    <w:basedOn w:val="Domylnaczcionkaakapitu1"/>
    <w:rPr>
      <w:rFonts w:ascii="Times New Roman" w:eastAsia="Times New Roman" w:hAnsi="Times New Roman" w:cs="Times New Roman"/>
      <w:b w:val="0"/>
      <w:bCs w:val="0"/>
      <w:i w:val="0"/>
      <w:iCs w:val="0"/>
      <w:caps w:val="0"/>
      <w:smallCaps w:val="0"/>
      <w:strike w:val="0"/>
      <w:dstrike w:val="0"/>
      <w:sz w:val="15"/>
      <w:szCs w:val="15"/>
      <w:u w:val="none"/>
    </w:rPr>
  </w:style>
  <w:style w:type="character" w:customStyle="1" w:styleId="Stopka55pt">
    <w:name w:val="Stopka + 5;5 pt"/>
    <w:basedOn w:val="Stopka"/>
    <w:rPr>
      <w:rFonts w:ascii="Times New Roman" w:eastAsia="Times New Roman" w:hAnsi="Times New Roman" w:cs="Times New Roman"/>
      <w:b w:val="0"/>
      <w:bCs w:val="0"/>
      <w:i w:val="0"/>
      <w:iCs w:val="0"/>
      <w:caps w:val="0"/>
      <w:smallCaps w:val="0"/>
      <w:strike w:val="0"/>
      <w:dstrike w:val="0"/>
      <w:color w:val="000000"/>
      <w:spacing w:val="0"/>
      <w:w w:val="100"/>
      <w:sz w:val="11"/>
      <w:szCs w:val="11"/>
      <w:u w:val="none"/>
      <w:lang w:val="pl-PL" w:eastAsia="pl-PL" w:bidi="pl-PL"/>
    </w:rPr>
  </w:style>
  <w:style w:type="character" w:customStyle="1" w:styleId="Stopka3">
    <w:name w:val="Stopka (3)_"/>
    <w:basedOn w:val="Domylnaczcionkaakapitu1"/>
    <w:rPr>
      <w:rFonts w:ascii="Times New Roman" w:eastAsia="Times New Roman" w:hAnsi="Times New Roman" w:cs="Times New Roman"/>
      <w:b w:val="0"/>
      <w:bCs w:val="0"/>
      <w:i w:val="0"/>
      <w:iCs w:val="0"/>
      <w:caps w:val="0"/>
      <w:smallCaps w:val="0"/>
      <w:strike w:val="0"/>
      <w:dstrike w:val="0"/>
      <w:sz w:val="11"/>
      <w:szCs w:val="11"/>
      <w:u w:val="none"/>
    </w:rPr>
  </w:style>
  <w:style w:type="character" w:customStyle="1" w:styleId="Stopka4">
    <w:name w:val="Stopka (4)_"/>
    <w:basedOn w:val="Domylnaczcionkaakapitu1"/>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Stopka5">
    <w:name w:val="Stopka (5)_"/>
    <w:basedOn w:val="Domylnaczcionkaakapitu1"/>
    <w:rPr>
      <w:rFonts w:ascii="Times New Roman" w:eastAsia="Times New Roman" w:hAnsi="Times New Roman" w:cs="Times New Roman"/>
      <w:b w:val="0"/>
      <w:bCs w:val="0"/>
      <w:i w:val="0"/>
      <w:iCs w:val="0"/>
      <w:caps w:val="0"/>
      <w:smallCaps w:val="0"/>
      <w:strike w:val="0"/>
      <w:dstrike w:val="0"/>
      <w:sz w:val="11"/>
      <w:szCs w:val="11"/>
      <w:u w:val="none"/>
    </w:rPr>
  </w:style>
  <w:style w:type="character" w:customStyle="1" w:styleId="Stopka1">
    <w:name w:val="Stopka1"/>
    <w:basedOn w:val="Stopka"/>
    <w:rPr>
      <w:rFonts w:ascii="Times New Roman" w:eastAsia="Times New Roman" w:hAnsi="Times New Roman" w:cs="Times New Roman"/>
      <w:b w:val="0"/>
      <w:bCs w:val="0"/>
      <w:i w:val="0"/>
      <w:iCs w:val="0"/>
      <w:caps w:val="0"/>
      <w:smallCaps w:val="0"/>
      <w:strike w:val="0"/>
      <w:dstrike w:val="0"/>
      <w:color w:val="000000"/>
      <w:spacing w:val="0"/>
      <w:w w:val="100"/>
      <w:sz w:val="15"/>
      <w:szCs w:val="15"/>
      <w:u w:val="single"/>
      <w:lang w:val="pl-PL" w:eastAsia="pl-PL" w:bidi="pl-PL"/>
    </w:rPr>
  </w:style>
  <w:style w:type="character" w:customStyle="1" w:styleId="StopkaKursywa">
    <w:name w:val="Stopka + Kursywa"/>
    <w:basedOn w:val="Stopka"/>
    <w:rPr>
      <w:rFonts w:ascii="Times New Roman" w:eastAsia="Times New Roman" w:hAnsi="Times New Roman" w:cs="Times New Roman"/>
      <w:b w:val="0"/>
      <w:bCs w:val="0"/>
      <w:i/>
      <w:iCs/>
      <w:caps w:val="0"/>
      <w:smallCaps w:val="0"/>
      <w:strike w:val="0"/>
      <w:dstrike w:val="0"/>
      <w:color w:val="000000"/>
      <w:spacing w:val="0"/>
      <w:w w:val="100"/>
      <w:sz w:val="15"/>
      <w:szCs w:val="15"/>
      <w:u w:val="none"/>
      <w:lang w:val="pl-PL" w:eastAsia="pl-PL" w:bidi="pl-PL"/>
    </w:rPr>
  </w:style>
  <w:style w:type="character" w:customStyle="1" w:styleId="Teksttreci5">
    <w:name w:val="Tekst treści (5)"/>
    <w:basedOn w:val="Domylnaczcionkaakapitu1"/>
    <w:rPr>
      <w:rFonts w:ascii="Times New Roman" w:eastAsia="Times New Roman" w:hAnsi="Times New Roman" w:cs="Times New Roman"/>
      <w:b w:val="0"/>
      <w:bCs w:val="0"/>
      <w:i w:val="0"/>
      <w:iCs w:val="0"/>
      <w:caps w:val="0"/>
      <w:smallCaps w:val="0"/>
      <w:strike w:val="0"/>
      <w:dstrike w:val="0"/>
      <w:color w:val="FFFFFF"/>
      <w:sz w:val="20"/>
      <w:szCs w:val="20"/>
      <w:u w:val="none"/>
    </w:rPr>
  </w:style>
  <w:style w:type="character" w:customStyle="1" w:styleId="Teksttreci50">
    <w:name w:val="Tekst treści (5)0"/>
    <w:basedOn w:val="Domylnaczcionkaakapitu1"/>
    <w:rPr>
      <w:rFonts w:ascii="Times New Roman" w:eastAsia="Times New Roman" w:hAnsi="Times New Roman" w:cs="Times New Roman"/>
      <w:b w:val="0"/>
      <w:bCs w:val="0"/>
      <w:i w:val="0"/>
      <w:iCs w:val="0"/>
      <w:caps w:val="0"/>
      <w:smallCaps w:val="0"/>
      <w:strike w:val="0"/>
      <w:dstrike w:val="0"/>
      <w:color w:val="FFFFFF"/>
      <w:sz w:val="20"/>
      <w:szCs w:val="20"/>
      <w:u w:val="none"/>
    </w:rPr>
  </w:style>
  <w:style w:type="character" w:customStyle="1" w:styleId="Teksttreci3">
    <w:name w:val="Tekst treści (3)_"/>
    <w:basedOn w:val="Domylnaczcionkaakapitu1"/>
    <w:rPr>
      <w:rFonts w:ascii="Times New Roman" w:eastAsia="Times New Roman" w:hAnsi="Times New Roman" w:cs="Times New Roman"/>
      <w:b w:val="0"/>
      <w:bCs w:val="0"/>
      <w:i w:val="0"/>
      <w:iCs w:val="0"/>
      <w:caps w:val="0"/>
      <w:smallCaps w:val="0"/>
      <w:strike w:val="0"/>
      <w:dstrike w:val="0"/>
      <w:sz w:val="12"/>
      <w:szCs w:val="12"/>
      <w:u w:val="none"/>
    </w:rPr>
  </w:style>
  <w:style w:type="character" w:customStyle="1" w:styleId="cf01">
    <w:name w:val="cf01"/>
    <w:basedOn w:val="Domylnaczcionkaakapitu1"/>
    <w:rPr>
      <w:rFonts w:ascii="Segoe UI" w:hAnsi="Segoe UI" w:cs="Segoe UI"/>
      <w:sz w:val="18"/>
      <w:szCs w:val="18"/>
    </w:rPr>
  </w:style>
  <w:style w:type="character" w:customStyle="1" w:styleId="Nagwek10">
    <w:name w:val="Nagłówek #1"/>
    <w:basedOn w:val="Domylnaczcionkaakapitu1"/>
    <w:rPr>
      <w:rFonts w:ascii="Times New Roman" w:eastAsia="Times New Roman" w:hAnsi="Times New Roman" w:cs="Times New Roman"/>
      <w:b w:val="0"/>
      <w:bCs w:val="0"/>
      <w:i w:val="0"/>
      <w:iCs w:val="0"/>
      <w:caps w:val="0"/>
      <w:smallCaps w:val="0"/>
      <w:strike w:val="0"/>
      <w:dstrike w:val="0"/>
      <w:color w:val="000000"/>
      <w:spacing w:val="-20"/>
      <w:w w:val="100"/>
      <w:sz w:val="86"/>
      <w:szCs w:val="86"/>
      <w:u w:val="none"/>
      <w:lang w:val="pl-PL" w:eastAsia="pl-PL" w:bidi="pl-PL"/>
    </w:rPr>
  </w:style>
  <w:style w:type="character" w:customStyle="1" w:styleId="Nagwek20">
    <w:name w:val="Nagłówek #2"/>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50"/>
      <w:szCs w:val="50"/>
      <w:u w:val="none"/>
      <w:lang w:val="pl-PL" w:eastAsia="pl-PL" w:bidi="pl-PL"/>
    </w:rPr>
  </w:style>
  <w:style w:type="character" w:customStyle="1" w:styleId="AkapitzlistZnak">
    <w:name w:val="Akapit z listą Znak"/>
    <w:rPr>
      <w:rFonts w:ascii="Arial" w:eastAsia="Times New Roman" w:hAnsi="Arial" w:cs="Times New Roman"/>
      <w:bCs/>
      <w:sz w:val="20"/>
      <w:szCs w:val="20"/>
      <w:lang w:eastAsia="en-US" w:bidi="en-US"/>
    </w:rPr>
  </w:style>
  <w:style w:type="character" w:customStyle="1" w:styleId="Nagwek30">
    <w:name w:val="Nagłówek #3"/>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pl-PL" w:eastAsia="pl-PL" w:bidi="pl-PL"/>
    </w:rPr>
  </w:style>
  <w:style w:type="character" w:customStyle="1" w:styleId="Teksttreci4">
    <w:name w:val="Tekst treści (4)"/>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Teksttreci500">
    <w:name w:val="Tekst treści (5)00"/>
    <w:basedOn w:val="Domylnaczcionkaakapitu1"/>
    <w:rPr>
      <w:rFonts w:ascii="Times New Roman" w:eastAsia="Times New Roman" w:hAnsi="Times New Roman" w:cs="Times New Roman"/>
      <w:b w:val="0"/>
      <w:bCs w:val="0"/>
      <w:i w:val="0"/>
      <w:iCs w:val="0"/>
      <w:caps w:val="0"/>
      <w:smallCaps w:val="0"/>
      <w:strike w:val="0"/>
      <w:dstrike w:val="0"/>
      <w:color w:val="FFFFFF"/>
      <w:sz w:val="20"/>
      <w:szCs w:val="20"/>
      <w:u w:val="none"/>
    </w:rPr>
  </w:style>
  <w:style w:type="character" w:customStyle="1" w:styleId="Teksttreci51">
    <w:name w:val="Tekst treści (5)1"/>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Teksttreci5Pogrubienie">
    <w:name w:val="Tekst treści (5) + Pogrubienie"/>
    <w:basedOn w:val="Domylnaczcionkaakapitu1"/>
    <w:rPr>
      <w:rFonts w:ascii="Times New Roman" w:eastAsia="Times New Roman" w:hAnsi="Times New Roman" w:cs="Times New Roman"/>
      <w:b/>
      <w:bCs/>
      <w:i w:val="0"/>
      <w:iCs w:val="0"/>
      <w:caps w:val="0"/>
      <w:smallCaps w:val="0"/>
      <w:strike w:val="0"/>
      <w:dstrike w:val="0"/>
      <w:color w:val="000000"/>
      <w:spacing w:val="0"/>
      <w:w w:val="100"/>
      <w:sz w:val="20"/>
      <w:szCs w:val="20"/>
      <w:u w:val="none"/>
      <w:lang w:val="pl-PL" w:eastAsia="pl-PL" w:bidi="pl-PL"/>
    </w:rPr>
  </w:style>
  <w:style w:type="character" w:customStyle="1" w:styleId="Teksttreci5Kursywa">
    <w:name w:val="Tekst treści (5) + Kursywa"/>
    <w:basedOn w:val="Domylnaczcionkaakapitu1"/>
    <w:rPr>
      <w:rFonts w:ascii="Times New Roman" w:eastAsia="Times New Roman" w:hAnsi="Times New Roman" w:cs="Times New Roman"/>
      <w:b w:val="0"/>
      <w:bCs w:val="0"/>
      <w:i/>
      <w:iCs/>
      <w:caps w:val="0"/>
      <w:smallCaps w:val="0"/>
      <w:strike w:val="0"/>
      <w:dstrike w:val="0"/>
      <w:color w:val="000000"/>
      <w:spacing w:val="0"/>
      <w:w w:val="100"/>
      <w:sz w:val="20"/>
      <w:szCs w:val="20"/>
      <w:u w:val="none"/>
      <w:lang w:val="pl-PL" w:eastAsia="pl-PL" w:bidi="pl-PL"/>
    </w:rPr>
  </w:style>
  <w:style w:type="character" w:customStyle="1" w:styleId="Teksttreci9">
    <w:name w:val="Tekst treści (9)"/>
    <w:basedOn w:val="Domylnaczcionkaakapitu1"/>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Teksttreci6">
    <w:name w:val="Tekst treści (6)"/>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15"/>
      <w:szCs w:val="15"/>
      <w:u w:val="none"/>
      <w:lang w:val="pl-PL" w:eastAsia="pl-PL" w:bidi="pl-PL"/>
    </w:rPr>
  </w:style>
  <w:style w:type="character" w:customStyle="1" w:styleId="Teksttreci9BezpogrubieniaOdstpy0pt">
    <w:name w:val="Tekst treści (9) + Bez pogrubienia;Odstępy 0 pt"/>
    <w:basedOn w:val="Domylnaczcionkaakapitu1"/>
    <w:rPr>
      <w:rFonts w:ascii="Times New Roman" w:eastAsia="Times New Roman" w:hAnsi="Times New Roman" w:cs="Times New Roman"/>
      <w:b/>
      <w:bCs/>
      <w:i w:val="0"/>
      <w:iCs w:val="0"/>
      <w:caps w:val="0"/>
      <w:smallCaps w:val="0"/>
      <w:strike w:val="0"/>
      <w:dstrike w:val="0"/>
      <w:spacing w:val="-10"/>
      <w:sz w:val="20"/>
      <w:szCs w:val="20"/>
      <w:u w:val="none"/>
    </w:rPr>
  </w:style>
  <w:style w:type="character" w:customStyle="1" w:styleId="Teksttreci510">
    <w:name w:val="Tekst treści (5)10"/>
    <w:basedOn w:val="Domylnaczcionkaakapitu1"/>
    <w:rPr>
      <w:color w:val="000000"/>
      <w:spacing w:val="0"/>
      <w:w w:val="100"/>
      <w:lang w:val="pl-PL" w:eastAsia="pl-PL" w:bidi="pl-PL"/>
    </w:rPr>
  </w:style>
  <w:style w:type="character" w:customStyle="1" w:styleId="Teksttreci60">
    <w:name w:val="Tekst treści (6)0"/>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15"/>
      <w:szCs w:val="15"/>
      <w:u w:val="none"/>
      <w:lang w:val="pl-PL" w:eastAsia="pl-PL" w:bidi="pl-PL"/>
    </w:rPr>
  </w:style>
  <w:style w:type="character" w:customStyle="1" w:styleId="Teksttreci600">
    <w:name w:val="Tekst treści (6)00"/>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15"/>
      <w:szCs w:val="15"/>
      <w:u w:val="none"/>
      <w:lang w:val="pl-PL" w:eastAsia="pl-PL" w:bidi="pl-PL"/>
    </w:rPr>
  </w:style>
  <w:style w:type="character" w:customStyle="1" w:styleId="Nagweklubstopka">
    <w:name w:val="Nagłówek lub stopka"/>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Nagwek3Znak">
    <w:name w:val="Nagłówek 3 Znak"/>
    <w:rPr>
      <w:rFonts w:ascii="Arial" w:eastAsia="Times New Roman" w:hAnsi="Arial" w:cs="Times New Roman"/>
      <w:sz w:val="28"/>
      <w:szCs w:val="20"/>
      <w:lang w:eastAsia="en-US" w:bidi="en-US"/>
    </w:rPr>
  </w:style>
  <w:style w:type="character" w:customStyle="1" w:styleId="Teksttreci7">
    <w:name w:val="Tekst treści (7)"/>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Bodytext12ptExact7">
    <w:name w:val="Body text + 12 pt Exact7"/>
    <w:basedOn w:val="Domylnaczcionkaakapitu1"/>
    <w:rPr>
      <w:rFonts w:ascii="Times New Roman" w:hAnsi="Times New Roman" w:cs="Times New Roman"/>
      <w:color w:val="000000"/>
      <w:spacing w:val="0"/>
      <w:w w:val="100"/>
      <w:sz w:val="24"/>
      <w:szCs w:val="24"/>
      <w:shd w:val="clear" w:color="auto" w:fill="FFFFFF"/>
    </w:rPr>
  </w:style>
  <w:style w:type="character" w:customStyle="1" w:styleId="Teksttreci8">
    <w:name w:val="Tekst treści (8)"/>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Nagwek40">
    <w:name w:val="Nagłówek #4_"/>
    <w:basedOn w:val="Domylnaczcionkaakapitu1"/>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Nagweklubstopka65pt">
    <w:name w:val="Nagłówek lub stopka + 6;5 pt"/>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13"/>
      <w:szCs w:val="13"/>
      <w:u w:val="none"/>
      <w:lang w:val="pl-PL" w:eastAsia="pl-PL" w:bidi="pl-PL"/>
    </w:rPr>
  </w:style>
  <w:style w:type="character" w:customStyle="1" w:styleId="NagweklubstopkaImpact55pt">
    <w:name w:val="Nagłówek lub stopka + Impact;5;5 pt"/>
    <w:basedOn w:val="Domylnaczcionkaakapitu1"/>
    <w:rPr>
      <w:rFonts w:ascii="Impact" w:eastAsia="Impact" w:hAnsi="Impact" w:cs="Impact"/>
      <w:b w:val="0"/>
      <w:bCs w:val="0"/>
      <w:i w:val="0"/>
      <w:iCs w:val="0"/>
      <w:caps w:val="0"/>
      <w:smallCaps w:val="0"/>
      <w:strike w:val="0"/>
      <w:dstrike w:val="0"/>
      <w:color w:val="000000"/>
      <w:spacing w:val="0"/>
      <w:w w:val="100"/>
      <w:sz w:val="11"/>
      <w:szCs w:val="11"/>
      <w:u w:val="none"/>
      <w:lang w:val="pl-PL" w:eastAsia="pl-PL" w:bidi="pl-PL"/>
    </w:rPr>
  </w:style>
  <w:style w:type="character" w:customStyle="1" w:styleId="Teksttreci2">
    <w:name w:val="Tekst treści (2)_"/>
    <w:basedOn w:val="Domylnaczcionkaakapitu1"/>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2Kursywa">
    <w:name w:val="Tekst treści (2) + Kursywa"/>
    <w:basedOn w:val="Teksttreci2"/>
    <w:rPr>
      <w:rFonts w:ascii="Times New Roman" w:eastAsia="Times New Roman" w:hAnsi="Times New Roman" w:cs="Times New Roman"/>
      <w:b w:val="0"/>
      <w:bCs w:val="0"/>
      <w:i/>
      <w:iCs/>
      <w:caps w:val="0"/>
      <w:smallCaps w:val="0"/>
      <w:strike w:val="0"/>
      <w:dstrike w:val="0"/>
      <w:color w:val="000000"/>
      <w:spacing w:val="0"/>
      <w:w w:val="100"/>
      <w:sz w:val="22"/>
      <w:szCs w:val="22"/>
      <w:u w:val="none"/>
      <w:lang w:val="pl-PL" w:eastAsia="pl-PL" w:bidi="pl-PL"/>
    </w:rPr>
  </w:style>
  <w:style w:type="character" w:customStyle="1" w:styleId="Teksttreci2Impact45ptKursywa">
    <w:name w:val="Tekst treści (2) + Impact;4;5 pt;Kursywa"/>
    <w:basedOn w:val="Teksttreci2"/>
    <w:rPr>
      <w:rFonts w:ascii="Impact" w:eastAsia="Impact" w:hAnsi="Impact" w:cs="Impact"/>
      <w:b/>
      <w:bCs/>
      <w:i/>
      <w:iCs/>
      <w:caps w:val="0"/>
      <w:smallCaps w:val="0"/>
      <w:strike w:val="0"/>
      <w:dstrike w:val="0"/>
      <w:color w:val="000000"/>
      <w:spacing w:val="0"/>
      <w:w w:val="100"/>
      <w:sz w:val="9"/>
      <w:szCs w:val="9"/>
      <w:u w:val="none"/>
      <w:lang w:val="pl-PL" w:eastAsia="pl-PL" w:bidi="pl-PL"/>
    </w:rPr>
  </w:style>
  <w:style w:type="character" w:customStyle="1" w:styleId="Teksttreci29pt">
    <w:name w:val="Tekst treści (2) + 9 pt"/>
    <w:basedOn w:val="Teksttreci2"/>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Teksttreci275pt">
    <w:name w:val="Tekst treści (2) + 7;5 pt"/>
    <w:basedOn w:val="Teksttreci2"/>
    <w:rPr>
      <w:rFonts w:ascii="Times New Roman" w:eastAsia="Times New Roman" w:hAnsi="Times New Roman" w:cs="Times New Roman"/>
      <w:b w:val="0"/>
      <w:bCs w:val="0"/>
      <w:i w:val="0"/>
      <w:iCs w:val="0"/>
      <w:caps w:val="0"/>
      <w:smallCaps w:val="0"/>
      <w:strike w:val="0"/>
      <w:dstrike w:val="0"/>
      <w:color w:val="000000"/>
      <w:spacing w:val="0"/>
      <w:w w:val="100"/>
      <w:sz w:val="15"/>
      <w:szCs w:val="15"/>
      <w:u w:val="none"/>
      <w:lang w:val="pl-PL" w:eastAsia="pl-PL" w:bidi="pl-PL"/>
    </w:rPr>
  </w:style>
  <w:style w:type="character" w:customStyle="1" w:styleId="PogrubienieTeksttreci214pt">
    <w:name w:val="Pogrubienie;Tekst treści (2) + 14 pt"/>
    <w:basedOn w:val="Teksttreci2"/>
    <w:rPr>
      <w:rFonts w:ascii="Times New Roman" w:eastAsia="Times New Roman" w:hAnsi="Times New Roman" w:cs="Times New Roman"/>
      <w:b/>
      <w:bCs/>
      <w:i w:val="0"/>
      <w:iCs w:val="0"/>
      <w:caps w:val="0"/>
      <w:smallCaps w:val="0"/>
      <w:strike w:val="0"/>
      <w:dstrike w:val="0"/>
      <w:color w:val="000000"/>
      <w:spacing w:val="0"/>
      <w:w w:val="100"/>
      <w:sz w:val="28"/>
      <w:szCs w:val="28"/>
      <w:u w:val="none"/>
      <w:lang w:val="pl-PL" w:eastAsia="pl-PL" w:bidi="pl-PL"/>
    </w:rPr>
  </w:style>
  <w:style w:type="character" w:customStyle="1" w:styleId="Teksttreci25pt">
    <w:name w:val="Tekst treści (2) + 5 pt"/>
    <w:basedOn w:val="Teksttreci2"/>
    <w:rPr>
      <w:rFonts w:ascii="Times New Roman" w:eastAsia="Times New Roman" w:hAnsi="Times New Roman" w:cs="Times New Roman"/>
      <w:b w:val="0"/>
      <w:bCs w:val="0"/>
      <w:i w:val="0"/>
      <w:iCs w:val="0"/>
      <w:caps w:val="0"/>
      <w:smallCaps w:val="0"/>
      <w:strike w:val="0"/>
      <w:dstrike w:val="0"/>
      <w:color w:val="000000"/>
      <w:spacing w:val="0"/>
      <w:w w:val="100"/>
      <w:sz w:val="10"/>
      <w:szCs w:val="10"/>
      <w:u w:val="none"/>
      <w:lang w:val="pl-PL" w:eastAsia="pl-PL" w:bidi="pl-PL"/>
    </w:rPr>
  </w:style>
  <w:style w:type="character" w:customStyle="1" w:styleId="TekstpodstawowyZnak">
    <w:name w:val="Tekst podstawowy Znak"/>
    <w:rPr>
      <w:rFonts w:ascii="Arial" w:eastAsia="Times New Roman" w:hAnsi="Arial" w:cs="Times New Roman"/>
      <w:bCs/>
      <w:sz w:val="20"/>
      <w:szCs w:val="20"/>
      <w:lang w:eastAsia="en-US" w:bidi="en-US"/>
    </w:rPr>
  </w:style>
  <w:style w:type="character" w:customStyle="1" w:styleId="Tytuksiki1">
    <w:name w:val="Tytuł książki1"/>
    <w:rPr>
      <w:i/>
      <w:iCs/>
      <w:smallCaps/>
      <w:spacing w:val="5"/>
    </w:rPr>
  </w:style>
  <w:style w:type="character" w:customStyle="1" w:styleId="StopkaZnak">
    <w:name w:val="Stopka Znak"/>
    <w:rPr>
      <w:rFonts w:ascii="Arial" w:eastAsia="Times New Roman" w:hAnsi="Arial" w:cs="Times New Roman"/>
      <w:bCs/>
      <w:color w:val="2A194F"/>
      <w:sz w:val="12"/>
      <w:szCs w:val="20"/>
      <w:lang w:eastAsia="en-US" w:bidi="en-US"/>
    </w:rPr>
  </w:style>
  <w:style w:type="character" w:customStyle="1" w:styleId="NagwekZnak">
    <w:name w:val="Nagłówek Znak"/>
    <w:rPr>
      <w:rFonts w:ascii="Arial" w:eastAsia="Times New Roman" w:hAnsi="Arial" w:cs="Times New Roman"/>
      <w:bCs/>
      <w:color w:val="2A194F"/>
      <w:sz w:val="16"/>
      <w:szCs w:val="20"/>
      <w:lang w:eastAsia="en-US" w:bidi="en-US"/>
    </w:rPr>
  </w:style>
  <w:style w:type="character" w:styleId="Odwoanieprzypisudolnego">
    <w:name w:val="footnote reference"/>
    <w:rPr>
      <w:vertAlign w:val="superscript"/>
    </w:rPr>
  </w:style>
  <w:style w:type="character" w:customStyle="1" w:styleId="FootnoteCharacters">
    <w:name w:val="Footnote Characters"/>
    <w:basedOn w:val="Domylnaczcionkaakapitu1"/>
    <w:rPr>
      <w:vertAlign w:val="superscript"/>
    </w:rPr>
  </w:style>
  <w:style w:type="character" w:customStyle="1" w:styleId="TekstprzypisudolnegoZnak">
    <w:name w:val="Tekst przypisu dolnego Znak"/>
    <w:basedOn w:val="Domylnaczcionkaakapitu1"/>
    <w:rPr>
      <w:color w:val="000000"/>
      <w:sz w:val="20"/>
      <w:szCs w:val="20"/>
    </w:rPr>
  </w:style>
  <w:style w:type="character" w:customStyle="1" w:styleId="Nierozpoznanawzmianka1">
    <w:name w:val="Nierozpoznana wzmianka1"/>
    <w:basedOn w:val="Domylnaczcionkaakapitu1"/>
    <w:rPr>
      <w:color w:val="605E5C"/>
      <w:shd w:val="clear" w:color="auto" w:fill="E1DFDD"/>
    </w:rPr>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bCs/>
      <w:sz w:val="20"/>
      <w:szCs w:val="20"/>
      <w:lang w:eastAsia="en-US" w:bidi="en-US"/>
    </w:rPr>
  </w:style>
  <w:style w:type="character" w:customStyle="1" w:styleId="TematkomentarzaZnak">
    <w:name w:val="Temat komentarza Znak"/>
    <w:rPr>
      <w:rFonts w:ascii="Arial" w:eastAsia="Times New Roman" w:hAnsi="Arial" w:cs="Times New Roman"/>
      <w:b/>
      <w:bCs/>
      <w:sz w:val="20"/>
      <w:szCs w:val="20"/>
      <w:lang w:eastAsia="en-US" w:bidi="en-US"/>
    </w:rPr>
  </w:style>
  <w:style w:type="character" w:customStyle="1" w:styleId="Wzmianka1">
    <w:name w:val="Wzmianka1"/>
    <w:basedOn w:val="Domylnaczcionkaakapitu1"/>
    <w:rPr>
      <w:color w:val="2B579A"/>
      <w:shd w:val="clear" w:color="auto" w:fill="E1DFDD"/>
    </w:rPr>
  </w:style>
  <w:style w:type="character" w:customStyle="1" w:styleId="ui-provider">
    <w:name w:val="ui-provider"/>
    <w:basedOn w:val="Domylnaczcionkaakapitu1"/>
  </w:style>
  <w:style w:type="character" w:customStyle="1" w:styleId="markedcontent">
    <w:name w:val="markedcontent"/>
    <w:basedOn w:val="Domylnaczcionkaakapitu1"/>
  </w:style>
  <w:style w:type="character" w:customStyle="1" w:styleId="Nagwek1Znak">
    <w:name w:val="Nagłówek 1 Znak"/>
    <w:rPr>
      <w:rFonts w:ascii="Arial" w:eastAsia="Times New Roman" w:hAnsi="Arial" w:cs="Times New Roman"/>
      <w:b/>
      <w:color w:val="2A194F"/>
      <w:sz w:val="40"/>
      <w:szCs w:val="28"/>
      <w:lang w:eastAsia="en-US" w:bidi="en-US"/>
    </w:rPr>
  </w:style>
  <w:style w:type="character" w:customStyle="1" w:styleId="BezodstpwZnak">
    <w:name w:val="Bez odstępów Znak"/>
    <w:rPr>
      <w:rFonts w:ascii="Arial" w:eastAsia="Times New Roman" w:hAnsi="Arial" w:cs="Times New Roman"/>
      <w:bCs/>
      <w:sz w:val="20"/>
      <w:szCs w:val="20"/>
      <w:lang w:eastAsia="en-US" w:bidi="en-US"/>
    </w:rPr>
  </w:style>
  <w:style w:type="character" w:customStyle="1" w:styleId="Code-znak">
    <w:name w:val="Code - znak"/>
    <w:rPr>
      <w:rFonts w:ascii="Courier" w:hAnsi="Courier"/>
    </w:rPr>
  </w:style>
  <w:style w:type="character" w:customStyle="1" w:styleId="CytatZnak">
    <w:name w:val="Cytat Znak"/>
    <w:rPr>
      <w:rFonts w:ascii="Arial" w:eastAsia="Times New Roman" w:hAnsi="Arial" w:cs="Times New Roman"/>
      <w:bCs/>
      <w:i/>
      <w:iCs/>
      <w:sz w:val="20"/>
      <w:szCs w:val="20"/>
      <w:lang w:eastAsia="en-US" w:bidi="en-US"/>
    </w:rPr>
  </w:style>
  <w:style w:type="character" w:customStyle="1" w:styleId="CytatintensywnyZnak">
    <w:name w:val="Cytat intensywny Znak"/>
    <w:rPr>
      <w:rFonts w:ascii="Arial" w:eastAsia="Times New Roman" w:hAnsi="Arial" w:cs="Times New Roman"/>
      <w:b/>
      <w:i/>
      <w:iCs/>
      <w:sz w:val="20"/>
      <w:szCs w:val="20"/>
      <w:lang w:eastAsia="en-US" w:bidi="en-US"/>
    </w:rPr>
  </w:style>
  <w:style w:type="character" w:customStyle="1" w:styleId="DataZnak">
    <w:name w:val="Data Znak"/>
    <w:rPr>
      <w:rFonts w:ascii="Arial" w:eastAsia="Times New Roman" w:hAnsi="Arial" w:cs="Times New Roman"/>
      <w:bCs/>
      <w:sz w:val="20"/>
      <w:szCs w:val="20"/>
      <w:lang w:eastAsia="en-US" w:bidi="en-US"/>
    </w:rPr>
  </w:style>
  <w:style w:type="character" w:customStyle="1" w:styleId="HTML-adresZnak">
    <w:name w:val="HTML - adres Znak"/>
    <w:rPr>
      <w:rFonts w:ascii="Arial" w:eastAsia="Times New Roman" w:hAnsi="Arial" w:cs="Times New Roman"/>
      <w:bCs/>
      <w:i/>
      <w:iCs/>
      <w:sz w:val="20"/>
      <w:szCs w:val="20"/>
      <w:lang w:eastAsia="en-US" w:bidi="en-US"/>
    </w:rPr>
  </w:style>
  <w:style w:type="character" w:customStyle="1" w:styleId="MapadokumentuZnak">
    <w:name w:val="Mapa dokumentu Znak"/>
    <w:rPr>
      <w:rFonts w:ascii="Tahoma" w:eastAsia="Times New Roman" w:hAnsi="Tahoma" w:cs="Tahoma"/>
      <w:bCs/>
      <w:sz w:val="16"/>
      <w:szCs w:val="16"/>
      <w:lang w:eastAsia="en-US" w:bidi="en-US"/>
    </w:rPr>
  </w:style>
  <w:style w:type="character" w:customStyle="1" w:styleId="Nagwek2Znak">
    <w:name w:val="Nagłówek 2 Znak"/>
    <w:rPr>
      <w:rFonts w:ascii="Arial" w:eastAsia="Times New Roman" w:hAnsi="Arial" w:cs="Times New Roman"/>
      <w:color w:val="2A194F"/>
      <w:sz w:val="32"/>
      <w:szCs w:val="26"/>
      <w:lang w:eastAsia="en-US" w:bidi="en-US"/>
    </w:rPr>
  </w:style>
  <w:style w:type="character" w:customStyle="1" w:styleId="Nagwek4Znak">
    <w:name w:val="Nagłówek 4 Znak"/>
    <w:rPr>
      <w:rFonts w:ascii="Arial" w:eastAsia="Times New Roman" w:hAnsi="Arial" w:cs="Times New Roman"/>
      <w:b/>
      <w:iCs/>
      <w:caps/>
      <w:color w:val="2A194F"/>
      <w:spacing w:val="14"/>
      <w:sz w:val="18"/>
      <w:szCs w:val="20"/>
      <w:lang w:eastAsia="en-US" w:bidi="en-US"/>
    </w:rPr>
  </w:style>
  <w:style w:type="character" w:customStyle="1" w:styleId="Nagwek5Znak">
    <w:name w:val="Nagłówek 5 Znak"/>
    <w:rPr>
      <w:rFonts w:ascii="Arial" w:eastAsia="Times New Roman" w:hAnsi="Arial" w:cs="Times New Roman"/>
      <w:b/>
      <w:i/>
      <w:sz w:val="20"/>
      <w:szCs w:val="20"/>
      <w:lang w:eastAsia="en-US" w:bidi="en-US"/>
    </w:rPr>
  </w:style>
  <w:style w:type="character" w:customStyle="1" w:styleId="Nagwek6Znak">
    <w:name w:val="Nagłówek 6 Znak"/>
    <w:rPr>
      <w:rFonts w:ascii="Arial" w:eastAsia="Times New Roman" w:hAnsi="Arial" w:cs="Times New Roman"/>
      <w:b/>
      <w:iCs/>
      <w:sz w:val="20"/>
      <w:szCs w:val="20"/>
      <w:lang w:eastAsia="en-US" w:bidi="en-US"/>
    </w:rPr>
  </w:style>
  <w:style w:type="character" w:customStyle="1" w:styleId="Nagwek7Znak">
    <w:name w:val="Nagłówek 7 Znak"/>
    <w:rPr>
      <w:rFonts w:ascii="Arial" w:eastAsia="Times New Roman" w:hAnsi="Arial" w:cs="Times New Roman"/>
      <w:bCs/>
      <w:i/>
      <w:iCs/>
      <w:sz w:val="20"/>
      <w:szCs w:val="20"/>
      <w:lang w:eastAsia="en-US" w:bidi="en-US"/>
    </w:rPr>
  </w:style>
  <w:style w:type="character" w:customStyle="1" w:styleId="Nagwek8Znak">
    <w:name w:val="Nagłówek 8 Znak"/>
    <w:rPr>
      <w:rFonts w:ascii="Arial" w:eastAsia="Times New Roman" w:hAnsi="Arial" w:cs="Times New Roman"/>
      <w:bCs/>
      <w:sz w:val="20"/>
      <w:szCs w:val="20"/>
      <w:lang w:eastAsia="en-US" w:bidi="en-US"/>
    </w:rPr>
  </w:style>
  <w:style w:type="character" w:customStyle="1" w:styleId="Nagwek9Znak">
    <w:name w:val="Nagłówek 9 Znak"/>
    <w:rPr>
      <w:rFonts w:ascii="Arial" w:eastAsia="Times New Roman" w:hAnsi="Arial" w:cs="Times New Roman"/>
      <w:bCs/>
      <w:i/>
      <w:iCs/>
      <w:spacing w:val="5"/>
      <w:sz w:val="20"/>
      <w:szCs w:val="20"/>
      <w:lang w:eastAsia="en-US" w:bidi="en-US"/>
    </w:rPr>
  </w:style>
  <w:style w:type="character" w:customStyle="1" w:styleId="Odwoaniedelikatne1">
    <w:name w:val="Odwołanie delikatne1"/>
    <w:rPr>
      <w:smallCaps/>
    </w:rPr>
  </w:style>
  <w:style w:type="character" w:customStyle="1" w:styleId="Odwoanieintensywne1">
    <w:name w:val="Odwołanie intensywne1"/>
    <w:rPr>
      <w:smallCaps/>
      <w:spacing w:val="5"/>
      <w:u w:val="single"/>
    </w:rPr>
  </w:style>
  <w:style w:type="character" w:customStyle="1" w:styleId="PodtytuZnak">
    <w:name w:val="Podtytuł Znak"/>
    <w:rPr>
      <w:rFonts w:ascii="Cambria" w:eastAsia="Times New Roman" w:hAnsi="Cambria" w:cs="Times New Roman"/>
      <w:b/>
      <w:i/>
      <w:iCs/>
      <w:caps/>
      <w:spacing w:val="13"/>
      <w:lang w:bidi="ar-SA"/>
    </w:rPr>
  </w:style>
  <w:style w:type="character" w:customStyle="1" w:styleId="Stopka-numerstronycyfry">
    <w:name w:val="Stopka - numer strony (cyfry)"/>
    <w:basedOn w:val="Domylnaczcionkaakapitu1"/>
    <w:rPr>
      <w:b/>
      <w:bCs/>
      <w:color w:val="2A194F"/>
      <w:sz w:val="18"/>
      <w:lang w:eastAsia="en-US" w:bidi="en-US"/>
    </w:rPr>
  </w:style>
  <w:style w:type="character" w:customStyle="1" w:styleId="Stopka-numerstronytekst">
    <w:name w:val="Stopka - numer strony (tekst)"/>
    <w:basedOn w:val="StopkaZnak"/>
    <w:rPr>
      <w:rFonts w:ascii="Arial" w:eastAsia="Times New Roman" w:hAnsi="Arial" w:cs="Times New Roman"/>
      <w:bCs/>
      <w:color w:val="2A194F"/>
      <w:sz w:val="14"/>
      <w:szCs w:val="20"/>
      <w:lang w:eastAsia="en-US" w:bidi="en-US"/>
    </w:rPr>
  </w:style>
  <w:style w:type="character" w:customStyle="1" w:styleId="TekstdymkaZnak">
    <w:name w:val="Tekst dymka Znak"/>
    <w:rPr>
      <w:rFonts w:ascii="Tahoma" w:eastAsia="Times New Roman" w:hAnsi="Tahoma" w:cs="Tahoma"/>
      <w:bCs/>
      <w:sz w:val="16"/>
      <w:szCs w:val="16"/>
      <w:lang w:eastAsia="en-US" w:bidi="en-US"/>
    </w:rPr>
  </w:style>
  <w:style w:type="character" w:customStyle="1" w:styleId="Tekstpodstawowy2Znak">
    <w:name w:val="Tekst podstawowy 2 Znak"/>
    <w:rPr>
      <w:rFonts w:ascii="Arial" w:eastAsia="Times New Roman" w:hAnsi="Arial" w:cs="Times New Roman"/>
      <w:bCs/>
      <w:sz w:val="18"/>
      <w:szCs w:val="20"/>
      <w:lang w:eastAsia="en-US" w:bidi="en-US"/>
    </w:rPr>
  </w:style>
  <w:style w:type="character" w:customStyle="1" w:styleId="Tekstpodstawowy3Znak">
    <w:name w:val="Tekst podstawowy 3 Znak"/>
    <w:rPr>
      <w:rFonts w:ascii="Arial" w:eastAsia="Times New Roman" w:hAnsi="Arial" w:cs="Times New Roman"/>
      <w:bCs/>
      <w:sz w:val="16"/>
      <w:szCs w:val="16"/>
      <w:lang w:eastAsia="en-US" w:bidi="en-US"/>
    </w:rPr>
  </w:style>
  <w:style w:type="character" w:customStyle="1" w:styleId="TekstpodstawowywcityZnak">
    <w:name w:val="Tekst podstawowy wcięty Znak"/>
    <w:rPr>
      <w:rFonts w:ascii="Arial" w:eastAsia="Times New Roman" w:hAnsi="Arial" w:cs="Times New Roman"/>
      <w:bCs/>
      <w:sz w:val="20"/>
      <w:szCs w:val="20"/>
      <w:lang w:eastAsia="en-US" w:bidi="en-US"/>
    </w:rPr>
  </w:style>
  <w:style w:type="character" w:customStyle="1" w:styleId="Tekstpodstawowywcity2Znak">
    <w:name w:val="Tekst podstawowy wcięty 2 Znak"/>
    <w:rPr>
      <w:rFonts w:ascii="Arial" w:eastAsia="Times New Roman" w:hAnsi="Arial" w:cs="Times New Roman"/>
      <w:bCs/>
      <w:sz w:val="18"/>
      <w:szCs w:val="20"/>
      <w:lang w:eastAsia="en-US" w:bidi="en-US"/>
    </w:rPr>
  </w:style>
  <w:style w:type="character" w:customStyle="1" w:styleId="Tekstpodstawowywcity3Znak">
    <w:name w:val="Tekst podstawowy wcięty 3 Znak"/>
    <w:rPr>
      <w:rFonts w:ascii="Arial" w:eastAsia="Times New Roman" w:hAnsi="Arial" w:cs="Times New Roman"/>
      <w:bCs/>
      <w:sz w:val="16"/>
      <w:szCs w:val="16"/>
      <w:lang w:eastAsia="en-US" w:bidi="en-US"/>
    </w:rPr>
  </w:style>
  <w:style w:type="character" w:customStyle="1" w:styleId="TekstpodstawowyzwciciemZnak">
    <w:name w:val="Tekst podstawowy z wcięciem Znak"/>
    <w:rPr>
      <w:rFonts w:ascii="Arial" w:eastAsia="Times New Roman" w:hAnsi="Arial" w:cs="Times New Roman"/>
      <w:bCs/>
      <w:sz w:val="20"/>
      <w:szCs w:val="20"/>
      <w:lang w:eastAsia="en-US" w:bidi="en-US"/>
    </w:rPr>
  </w:style>
  <w:style w:type="character" w:customStyle="1" w:styleId="Tekstpodstawowyzwciciem2Znak">
    <w:name w:val="Tekst podstawowy z wcięciem 2 Znak"/>
    <w:rPr>
      <w:rFonts w:ascii="Arial" w:eastAsia="Times New Roman" w:hAnsi="Arial" w:cs="Times New Roman"/>
      <w:bCs/>
      <w:sz w:val="20"/>
      <w:szCs w:val="20"/>
      <w:lang w:eastAsia="en-US" w:bidi="en-US"/>
    </w:rPr>
  </w:style>
  <w:style w:type="character" w:customStyle="1" w:styleId="TytuZnak">
    <w:name w:val="Tytuł Znak"/>
    <w:rPr>
      <w:rFonts w:ascii="Arial" w:eastAsia="Times New Roman" w:hAnsi="Arial" w:cs="Times New Roman"/>
      <w:b/>
      <w:caps/>
      <w:color w:val="2A194F"/>
      <w:sz w:val="32"/>
      <w:szCs w:val="28"/>
      <w:lang w:bidi="ar-SA"/>
    </w:rPr>
  </w:style>
  <w:style w:type="character" w:styleId="Uwydatnienie">
    <w:name w:val="Emphasis"/>
    <w:qFormat/>
    <w:rPr>
      <w:b/>
      <w:bCs/>
      <w:i/>
      <w:iCs/>
      <w:spacing w:val="10"/>
      <w:shd w:val="clear" w:color="auto" w:fill="auto"/>
    </w:rPr>
  </w:style>
  <w:style w:type="character" w:customStyle="1" w:styleId="Wyrnienie-obcojzyczneswkawtekscie">
    <w:name w:val="Wyróżnienie - obcojęzyczne słówka w tekscie"/>
    <w:rPr>
      <w:i/>
      <w:lang w:val="en-GB"/>
    </w:rPr>
  </w:style>
  <w:style w:type="character" w:customStyle="1" w:styleId="Wyrnienie-zmiennerwna">
    <w:name w:val="Wyróżnienie - zmienne równań"/>
    <w:rPr>
      <w:rFonts w:ascii="Times New Roman" w:hAnsi="Times New Roman"/>
      <w:i/>
      <w:sz w:val="22"/>
    </w:rPr>
  </w:style>
  <w:style w:type="character" w:customStyle="1" w:styleId="Wyrnieniedelikatne1">
    <w:name w:val="Wyróżnienie delikatne1"/>
    <w:rPr>
      <w:i/>
      <w:iCs/>
    </w:rPr>
  </w:style>
  <w:style w:type="character" w:customStyle="1" w:styleId="Wyrnieniedelikatne-podkrelenie">
    <w:name w:val="Wyróżnienie delikatne - podkreślenie"/>
    <w:rPr>
      <w:u w:val="single"/>
    </w:rPr>
  </w:style>
  <w:style w:type="character" w:customStyle="1" w:styleId="Wyrnienieintensywne1">
    <w:name w:val="Wyróżnienie intensywne1"/>
    <w:rPr>
      <w:b/>
      <w:bCs/>
    </w:rPr>
  </w:style>
  <w:style w:type="character" w:customStyle="1" w:styleId="czeindeksu">
    <w:name w:val="Łącze indeksu"/>
  </w:style>
  <w:style w:type="character" w:customStyle="1" w:styleId="Znakiprzypiswdolnych">
    <w:name w:val="Znaki przypisów dolnych"/>
  </w:style>
  <w:style w:type="character" w:styleId="Numerwiersza">
    <w:name w:val="line number"/>
  </w:style>
  <w:style w:type="character" w:styleId="Odwoanieprzypisukocowego">
    <w:name w:val="endnote reference"/>
    <w:rPr>
      <w:vertAlign w:val="superscript"/>
    </w:rPr>
  </w:style>
  <w:style w:type="character" w:customStyle="1" w:styleId="Znakiprzypiswkocowych">
    <w:name w:val="Znaki przypisów końcowych"/>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cs="Symbol"/>
      <w:color w:val="auto"/>
      <w:sz w:val="22"/>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rPr>
      <w:rFonts w:cs="Symbol"/>
      <w:color w:val="000000"/>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Symbol"/>
      <w:color w:val="000000"/>
    </w:rPr>
  </w:style>
  <w:style w:type="character" w:customStyle="1" w:styleId="ListLabel38">
    <w:name w:val="ListLabel 38"/>
    <w:rPr>
      <w:rFonts w:cs="Courier New"/>
    </w:rPr>
  </w:style>
  <w:style w:type="character" w:customStyle="1" w:styleId="ListLabel39">
    <w:name w:val="ListLabel 39"/>
  </w:style>
  <w:style w:type="character" w:customStyle="1" w:styleId="ListLabel40">
    <w:name w:val="ListLabel 40"/>
    <w:rPr>
      <w:rFonts w:cs="Wingdings"/>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rPr>
      <w:rFonts w:cs="Symbol"/>
      <w:color w:val="000000"/>
    </w:rPr>
  </w:style>
  <w:style w:type="character" w:customStyle="1" w:styleId="ListLabel50">
    <w:name w:val="ListLabel 50"/>
    <w:rPr>
      <w:rFonts w:cs="Courier New"/>
    </w:rPr>
  </w:style>
  <w:style w:type="character" w:customStyle="1" w:styleId="ListLabel51">
    <w:name w:val="ListLabel 51"/>
    <w:rPr>
      <w:rFonts w:cs="Arial"/>
      <w:color w:val="000000"/>
    </w:rPr>
  </w:style>
  <w:style w:type="character" w:customStyle="1" w:styleId="ListLabel52">
    <w:name w:val="ListLabel 52"/>
    <w:rPr>
      <w:rFonts w:cs="Arial"/>
      <w:color w:val="000000"/>
    </w:rPr>
  </w:style>
  <w:style w:type="character" w:customStyle="1" w:styleId="ListLabel53">
    <w:name w:val="ListLabel 53"/>
    <w:rPr>
      <w:rFonts w:cs="Arial"/>
      <w:color w:val="000000"/>
    </w:rPr>
  </w:style>
  <w:style w:type="character" w:customStyle="1" w:styleId="ListLabel54">
    <w:name w:val="ListLabel 54"/>
    <w:rPr>
      <w:rFonts w:cs="Arial"/>
      <w:color w:val="000000"/>
    </w:rPr>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rPr>
      <w:rFonts w:cs="Symbol"/>
      <w:color w:val="000000"/>
    </w:rPr>
  </w:style>
  <w:style w:type="character" w:customStyle="1" w:styleId="ListLabel59">
    <w:name w:val="ListLabel 59"/>
    <w:rPr>
      <w:rFonts w:cs="Courier New"/>
    </w:rPr>
  </w:style>
  <w:style w:type="character" w:customStyle="1" w:styleId="ListLabel60">
    <w:name w:val="ListLabel 60"/>
    <w:rPr>
      <w:rFonts w:cs="Arial"/>
      <w:color w:val="000000"/>
    </w:rPr>
  </w:style>
  <w:style w:type="character" w:customStyle="1" w:styleId="ListLabel61">
    <w:name w:val="ListLabel 61"/>
    <w:rPr>
      <w:rFonts w:cs="Arial"/>
      <w:color w:val="000000"/>
    </w:rPr>
  </w:style>
  <w:style w:type="character" w:customStyle="1" w:styleId="ListLabel62">
    <w:name w:val="ListLabel 62"/>
    <w:rPr>
      <w:rFonts w:cs="Arial"/>
      <w:color w:val="000000"/>
    </w:rPr>
  </w:style>
  <w:style w:type="character" w:customStyle="1" w:styleId="ListLabel63">
    <w:name w:val="ListLabel 63"/>
    <w:rPr>
      <w:rFonts w:cs="Arial"/>
      <w:color w:val="000000"/>
    </w:rPr>
  </w:style>
  <w:style w:type="character" w:customStyle="1" w:styleId="ListLabel64">
    <w:name w:val="ListLabel 64"/>
    <w:rPr>
      <w:rFonts w:cs="Symbol"/>
      <w:color w:val="000000"/>
    </w:rPr>
  </w:style>
  <w:style w:type="character" w:customStyle="1" w:styleId="ListLabel65">
    <w:name w:val="ListLabel 65"/>
    <w:rPr>
      <w:rFonts w:cs="Courier New"/>
    </w:rPr>
  </w:style>
  <w:style w:type="character" w:customStyle="1" w:styleId="ListLabel66">
    <w:name w:val="ListLabel 66"/>
  </w:style>
  <w:style w:type="character" w:customStyle="1" w:styleId="ListLabel67">
    <w:name w:val="ListLabel 67"/>
    <w:rPr>
      <w:rFonts w:cs="Arial"/>
      <w:color w:val="000000"/>
    </w:rPr>
  </w:style>
  <w:style w:type="character" w:customStyle="1" w:styleId="ListLabel68">
    <w:name w:val="ListLabel 68"/>
    <w:rPr>
      <w:rFonts w:cs="Arial"/>
      <w:color w:val="000000"/>
    </w:rPr>
  </w:style>
  <w:style w:type="character" w:customStyle="1" w:styleId="ListLabel69">
    <w:name w:val="ListLabel 69"/>
    <w:rPr>
      <w:rFonts w:cs="Arial"/>
      <w:color w:val="000000"/>
    </w:rPr>
  </w:style>
  <w:style w:type="character" w:customStyle="1" w:styleId="ListLabel70">
    <w:name w:val="ListLabel 70"/>
    <w:rPr>
      <w:rFonts w:cs="Arial"/>
      <w:color w:val="000000"/>
    </w:rPr>
  </w:style>
  <w:style w:type="character" w:customStyle="1" w:styleId="ListLabel71">
    <w:name w:val="ListLabel 71"/>
    <w:rPr>
      <w:rFonts w:cs="Arial"/>
      <w:color w:val="000000"/>
    </w:rPr>
  </w:style>
  <w:style w:type="character" w:customStyle="1" w:styleId="ListLabel72">
    <w:name w:val="ListLabel 72"/>
    <w:rPr>
      <w:rFonts w:cs="Arial"/>
      <w:color w:val="000000"/>
    </w:rPr>
  </w:style>
  <w:style w:type="character" w:customStyle="1" w:styleId="ListLabel73">
    <w:name w:val="ListLabel 73"/>
    <w:rPr>
      <w:rFonts w:cs="Symbol"/>
      <w:color w:val="000000"/>
    </w:rPr>
  </w:style>
  <w:style w:type="character" w:customStyle="1" w:styleId="ListLabel74">
    <w:name w:val="ListLabel 74"/>
    <w:rPr>
      <w:rFonts w:cs="Courier New"/>
    </w:rPr>
  </w:style>
  <w:style w:type="character" w:customStyle="1" w:styleId="ListLabel75">
    <w:name w:val="ListLabel 75"/>
    <w:rPr>
      <w:rFonts w:cs="Arial"/>
      <w:color w:val="000000"/>
    </w:rPr>
  </w:style>
  <w:style w:type="character" w:customStyle="1" w:styleId="ListLabel76">
    <w:name w:val="ListLabel 76"/>
    <w:rPr>
      <w:rFonts w:cs="Arial"/>
      <w:color w:val="000000"/>
    </w:rPr>
  </w:style>
  <w:style w:type="character" w:customStyle="1" w:styleId="ListLabel77">
    <w:name w:val="ListLabel 77"/>
    <w:rPr>
      <w:rFonts w:cs="Arial"/>
      <w:color w:val="000000"/>
    </w:rPr>
  </w:style>
  <w:style w:type="character" w:customStyle="1" w:styleId="ListLabel78">
    <w:name w:val="ListLabel 78"/>
    <w:rPr>
      <w:rFonts w:cs="Arial"/>
      <w:color w:val="000000"/>
    </w:rPr>
  </w:style>
  <w:style w:type="character" w:customStyle="1" w:styleId="ListLabel79">
    <w:name w:val="ListLabel 79"/>
    <w:rPr>
      <w:rFonts w:cs="Arial"/>
      <w:color w:val="000000"/>
    </w:rPr>
  </w:style>
  <w:style w:type="character" w:customStyle="1" w:styleId="ListLabel80">
    <w:name w:val="ListLabel 80"/>
    <w:rPr>
      <w:rFonts w:cs="Arial"/>
      <w:color w:val="000000"/>
    </w:rPr>
  </w:style>
  <w:style w:type="character" w:customStyle="1" w:styleId="ListLabel81">
    <w:name w:val="ListLabel 81"/>
    <w:rPr>
      <w:rFonts w:cs="Arial"/>
      <w:color w:val="000000"/>
    </w:rPr>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rPr>
      <w:b w:val="0"/>
    </w:rPr>
  </w:style>
  <w:style w:type="character" w:customStyle="1" w:styleId="ListLabel92">
    <w:name w:val="ListLabel 92"/>
    <w:rPr>
      <w:b/>
    </w:rPr>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rFonts w:cs="Symbol"/>
      <w:color w:val="000000"/>
      <w:sz w:val="18"/>
    </w:rPr>
  </w:style>
  <w:style w:type="character" w:customStyle="1" w:styleId="ListLabel101">
    <w:name w:val="ListLabel 101"/>
    <w:rPr>
      <w:rFonts w:cs="Courier New"/>
    </w:rPr>
  </w:style>
  <w:style w:type="character" w:customStyle="1" w:styleId="ListLabel102">
    <w:name w:val="ListLabel 102"/>
    <w:rPr>
      <w:rFonts w:cs="Wingdings"/>
      <w:color w:val="000000"/>
    </w:rPr>
  </w:style>
  <w:style w:type="character" w:customStyle="1" w:styleId="ListLabel103">
    <w:name w:val="ListLabel 103"/>
    <w:rPr>
      <w:rFonts w:cs="Arial"/>
      <w:color w:val="000000"/>
    </w:rPr>
  </w:style>
  <w:style w:type="character" w:customStyle="1" w:styleId="ListLabel104">
    <w:name w:val="ListLabel 104"/>
    <w:rPr>
      <w:rFonts w:cs="Arial"/>
      <w:color w:val="000000"/>
    </w:rPr>
  </w:style>
  <w:style w:type="character" w:customStyle="1" w:styleId="ListLabel105">
    <w:name w:val="ListLabel 105"/>
    <w:rPr>
      <w:rFonts w:cs="Arial"/>
      <w:color w:val="000000"/>
    </w:rPr>
  </w:style>
  <w:style w:type="character" w:customStyle="1" w:styleId="ListLabel106">
    <w:name w:val="ListLabel 106"/>
    <w:rPr>
      <w:rFonts w:cs="Arial"/>
      <w:color w:val="000000"/>
    </w:rPr>
  </w:style>
  <w:style w:type="character" w:customStyle="1" w:styleId="ListLabel107">
    <w:name w:val="ListLabel 107"/>
    <w:rPr>
      <w:rFonts w:cs="Arial"/>
      <w:color w:val="000000"/>
    </w:rPr>
  </w:style>
  <w:style w:type="character" w:customStyle="1" w:styleId="ListLabel108">
    <w:name w:val="ListLabel 108"/>
    <w:rPr>
      <w:rFonts w:cs="Arial"/>
      <w:color w:val="000000"/>
    </w:rPr>
  </w:style>
  <w:style w:type="character" w:customStyle="1" w:styleId="ListLabel109">
    <w:name w:val="ListLabel 109"/>
    <w:rPr>
      <w:rFonts w:ascii="Arial" w:hAnsi="Arial"/>
      <w:b w:val="0"/>
      <w:sz w:val="18"/>
    </w:rPr>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rPr>
      <w:rFonts w:cs="Symbol"/>
      <w:color w:val="auto"/>
    </w:rPr>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rPr>
      <w:rFonts w:cs="Symbol"/>
      <w:color w:val="000000"/>
    </w:rPr>
  </w:style>
  <w:style w:type="character" w:customStyle="1" w:styleId="ListLabel131">
    <w:name w:val="ListLabel 131"/>
    <w:rPr>
      <w:rFonts w:cs="Courier New"/>
    </w:rPr>
  </w:style>
  <w:style w:type="character" w:customStyle="1" w:styleId="ListLabel132">
    <w:name w:val="ListLabel 132"/>
    <w:rPr>
      <w:rFonts w:cs="Arial"/>
      <w:color w:val="000000"/>
    </w:rPr>
  </w:style>
  <w:style w:type="character" w:customStyle="1" w:styleId="ListLabel133">
    <w:name w:val="ListLabel 133"/>
    <w:rPr>
      <w:rFonts w:cs="Arial"/>
      <w:color w:val="000000"/>
    </w:rPr>
  </w:style>
  <w:style w:type="character" w:customStyle="1" w:styleId="ListLabel134">
    <w:name w:val="ListLabel 134"/>
    <w:rPr>
      <w:rFonts w:cs="Arial"/>
      <w:color w:val="000000"/>
    </w:rPr>
  </w:style>
  <w:style w:type="character" w:customStyle="1" w:styleId="ListLabel135">
    <w:name w:val="ListLabel 135"/>
    <w:rPr>
      <w:rFonts w:cs="Arial"/>
      <w:color w:val="000000"/>
    </w:rPr>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rPr>
      <w:rFonts w:cs="Symbol"/>
      <w:color w:val="000000"/>
    </w:rPr>
  </w:style>
  <w:style w:type="character" w:customStyle="1" w:styleId="ListLabel140">
    <w:name w:val="ListLabel 140"/>
    <w:rPr>
      <w:rFonts w:cs="Courier New"/>
    </w:rPr>
  </w:style>
  <w:style w:type="character" w:customStyle="1" w:styleId="ListLabel141">
    <w:name w:val="ListLabel 141"/>
    <w:rPr>
      <w:rFonts w:cs="Arial"/>
      <w:color w:val="000000"/>
    </w:rPr>
  </w:style>
  <w:style w:type="character" w:customStyle="1" w:styleId="ListLabel142">
    <w:name w:val="ListLabel 142"/>
    <w:rPr>
      <w:rFonts w:cs="Arial"/>
      <w:color w:val="000000"/>
    </w:rPr>
  </w:style>
  <w:style w:type="character" w:customStyle="1" w:styleId="ListLabel143">
    <w:name w:val="ListLabel 143"/>
    <w:rPr>
      <w:rFonts w:cs="Arial"/>
      <w:color w:val="000000"/>
    </w:rPr>
  </w:style>
  <w:style w:type="character" w:customStyle="1" w:styleId="ListLabel144">
    <w:name w:val="ListLabel 144"/>
    <w:rPr>
      <w:rFonts w:cs="Arial"/>
      <w:color w:val="000000"/>
    </w:rPr>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rPr>
      <w:rFonts w:cs="Symbol"/>
      <w:color w:val="000000"/>
    </w:rPr>
  </w:style>
  <w:style w:type="character" w:customStyle="1" w:styleId="ListLabel149">
    <w:name w:val="ListLabel 149"/>
    <w:rPr>
      <w:rFonts w:cs="Courier New"/>
    </w:rPr>
  </w:style>
  <w:style w:type="character" w:customStyle="1" w:styleId="ListLabel150">
    <w:name w:val="ListLabel 150"/>
    <w:rPr>
      <w:rFonts w:cs="Arial"/>
      <w:color w:val="000000"/>
    </w:rPr>
  </w:style>
  <w:style w:type="character" w:customStyle="1" w:styleId="ListLabel151">
    <w:name w:val="ListLabel 151"/>
    <w:rPr>
      <w:rFonts w:cs="Arial"/>
      <w:color w:val="000000"/>
    </w:rPr>
  </w:style>
  <w:style w:type="character" w:customStyle="1" w:styleId="ListLabel152">
    <w:name w:val="ListLabel 152"/>
    <w:rPr>
      <w:rFonts w:cs="Arial"/>
      <w:color w:val="000000"/>
    </w:rPr>
  </w:style>
  <w:style w:type="character" w:customStyle="1" w:styleId="ListLabel153">
    <w:name w:val="ListLabel 153"/>
    <w:rPr>
      <w:rFonts w:cs="Arial"/>
      <w:color w:val="000000"/>
    </w:rPr>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rPr>
      <w:rFonts w:cs="Symbol"/>
      <w:color w:val="000000"/>
    </w:rPr>
  </w:style>
  <w:style w:type="character" w:customStyle="1" w:styleId="ListLabel158">
    <w:name w:val="ListLabel 158"/>
    <w:rPr>
      <w:rFonts w:cs="Courier New"/>
    </w:rPr>
  </w:style>
  <w:style w:type="character" w:customStyle="1" w:styleId="ListLabel159">
    <w:name w:val="ListLabel 159"/>
    <w:rPr>
      <w:rFonts w:cs="Arial"/>
      <w:color w:val="000000"/>
    </w:rPr>
  </w:style>
  <w:style w:type="character" w:customStyle="1" w:styleId="ListLabel160">
    <w:name w:val="ListLabel 160"/>
    <w:rPr>
      <w:rFonts w:cs="Arial"/>
      <w:color w:val="000000"/>
    </w:rPr>
  </w:style>
  <w:style w:type="character" w:customStyle="1" w:styleId="ListLabel161">
    <w:name w:val="ListLabel 161"/>
    <w:rPr>
      <w:rFonts w:cs="Arial"/>
      <w:color w:val="000000"/>
    </w:rPr>
  </w:style>
  <w:style w:type="character" w:customStyle="1" w:styleId="ListLabel162">
    <w:name w:val="ListLabel 162"/>
    <w:rPr>
      <w:rFonts w:cs="Arial"/>
      <w:color w:val="000000"/>
    </w:rPr>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rPr>
      <w:rFonts w:cs="Symbol"/>
      <w:color w:val="000000"/>
    </w:rPr>
  </w:style>
  <w:style w:type="character" w:customStyle="1" w:styleId="ListLabel167">
    <w:name w:val="ListLabel 167"/>
    <w:rPr>
      <w:rFonts w:cs="Courier New"/>
    </w:rPr>
  </w:style>
  <w:style w:type="character" w:customStyle="1" w:styleId="ListLabel168">
    <w:name w:val="ListLabel 168"/>
    <w:rPr>
      <w:rFonts w:cs="Arial"/>
      <w:color w:val="000000"/>
    </w:rPr>
  </w:style>
  <w:style w:type="character" w:customStyle="1" w:styleId="ListLabel169">
    <w:name w:val="ListLabel 169"/>
    <w:rPr>
      <w:rFonts w:cs="Arial"/>
      <w:color w:val="000000"/>
    </w:rPr>
  </w:style>
  <w:style w:type="character" w:customStyle="1" w:styleId="ListLabel170">
    <w:name w:val="ListLabel 170"/>
    <w:rPr>
      <w:rFonts w:cs="Arial"/>
      <w:color w:val="000000"/>
    </w:rPr>
  </w:style>
  <w:style w:type="character" w:customStyle="1" w:styleId="ListLabel171">
    <w:name w:val="ListLabel 171"/>
    <w:rPr>
      <w:rFonts w:cs="Arial"/>
      <w:color w:val="000000"/>
    </w:rPr>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rPr>
      <w:rFonts w:cs="Symbol"/>
      <w:color w:val="000000"/>
    </w:rPr>
  </w:style>
  <w:style w:type="character" w:customStyle="1" w:styleId="ListLabel176">
    <w:name w:val="ListLabel 176"/>
    <w:rPr>
      <w:rFonts w:cs="Courier New"/>
    </w:rPr>
  </w:style>
  <w:style w:type="character" w:customStyle="1" w:styleId="ListLabel177">
    <w:name w:val="ListLabel 177"/>
    <w:rPr>
      <w:rFonts w:cs="Arial"/>
      <w:color w:val="000000"/>
    </w:rPr>
  </w:style>
  <w:style w:type="character" w:customStyle="1" w:styleId="ListLabel178">
    <w:name w:val="ListLabel 178"/>
    <w:rPr>
      <w:rFonts w:cs="Arial"/>
      <w:color w:val="000000"/>
    </w:rPr>
  </w:style>
  <w:style w:type="character" w:customStyle="1" w:styleId="ListLabel179">
    <w:name w:val="ListLabel 179"/>
    <w:rPr>
      <w:rFonts w:cs="Arial"/>
      <w:color w:val="000000"/>
    </w:rPr>
  </w:style>
  <w:style w:type="character" w:customStyle="1" w:styleId="ListLabel180">
    <w:name w:val="ListLabel 180"/>
    <w:rPr>
      <w:rFonts w:cs="Arial"/>
      <w:color w:val="000000"/>
    </w:rPr>
  </w:style>
  <w:style w:type="character" w:customStyle="1" w:styleId="ListLabel181">
    <w:name w:val="ListLabel 181"/>
    <w:rPr>
      <w:rFonts w:ascii="Arial" w:hAnsi="Arial"/>
      <w:sz w:val="18"/>
    </w:rPr>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rPr>
      <w:rFonts w:cs="Symbol"/>
      <w:color w:val="000000"/>
    </w:rPr>
  </w:style>
  <w:style w:type="character" w:customStyle="1" w:styleId="ListLabel194">
    <w:name w:val="ListLabel 194"/>
    <w:rPr>
      <w:rFonts w:cs="Courier New"/>
    </w:rPr>
  </w:style>
  <w:style w:type="character" w:customStyle="1" w:styleId="ListLabel195">
    <w:name w:val="ListLabel 195"/>
    <w:rPr>
      <w:rFonts w:cs="Arial"/>
      <w:color w:val="000000"/>
    </w:rPr>
  </w:style>
  <w:style w:type="character" w:customStyle="1" w:styleId="ListLabel196">
    <w:name w:val="ListLabel 196"/>
    <w:rPr>
      <w:rFonts w:cs="Arial"/>
      <w:color w:val="000000"/>
    </w:rPr>
  </w:style>
  <w:style w:type="character" w:customStyle="1" w:styleId="ListLabel197">
    <w:name w:val="ListLabel 197"/>
    <w:rPr>
      <w:rFonts w:cs="Arial"/>
      <w:color w:val="000000"/>
    </w:rPr>
  </w:style>
  <w:style w:type="character" w:customStyle="1" w:styleId="ListLabel198">
    <w:name w:val="ListLabel 198"/>
    <w:rPr>
      <w:rFonts w:cs="Arial"/>
      <w:color w:val="000000"/>
    </w:rPr>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rPr>
      <w:rFonts w:cs="Symbol"/>
      <w:color w:val="000000"/>
    </w:rPr>
  </w:style>
  <w:style w:type="character" w:customStyle="1" w:styleId="ListLabel203">
    <w:name w:val="ListLabel 203"/>
    <w:rPr>
      <w:rFonts w:cs="Courier New"/>
    </w:rPr>
  </w:style>
  <w:style w:type="character" w:customStyle="1" w:styleId="ListLabel204">
    <w:name w:val="ListLabel 204"/>
    <w:rPr>
      <w:rFonts w:cs="Arial"/>
      <w:color w:val="000000"/>
    </w:rPr>
  </w:style>
  <w:style w:type="character" w:customStyle="1" w:styleId="ListLabel205">
    <w:name w:val="ListLabel 205"/>
    <w:rPr>
      <w:rFonts w:cs="Arial"/>
      <w:color w:val="000000"/>
    </w:rPr>
  </w:style>
  <w:style w:type="character" w:customStyle="1" w:styleId="ListLabel206">
    <w:name w:val="ListLabel 206"/>
    <w:rPr>
      <w:rFonts w:cs="Arial"/>
      <w:color w:val="000000"/>
    </w:rPr>
  </w:style>
  <w:style w:type="character" w:customStyle="1" w:styleId="ListLabel207">
    <w:name w:val="ListLabel 207"/>
    <w:rPr>
      <w:rFonts w:cs="Arial"/>
      <w:color w:val="000000"/>
    </w:rPr>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rPr>
      <w:rFonts w:cs="Symbol"/>
      <w:color w:val="000000"/>
    </w:rPr>
  </w:style>
  <w:style w:type="character" w:customStyle="1" w:styleId="ListLabel212">
    <w:name w:val="ListLabel 212"/>
    <w:rPr>
      <w:rFonts w:cs="Courier New"/>
    </w:rPr>
  </w:style>
  <w:style w:type="character" w:customStyle="1" w:styleId="ListLabel213">
    <w:name w:val="ListLabel 213"/>
    <w:rPr>
      <w:rFonts w:cs="Arial"/>
      <w:color w:val="000000"/>
    </w:rPr>
  </w:style>
  <w:style w:type="character" w:customStyle="1" w:styleId="ListLabel214">
    <w:name w:val="ListLabel 214"/>
    <w:rPr>
      <w:rFonts w:cs="Arial"/>
      <w:color w:val="000000"/>
    </w:rPr>
  </w:style>
  <w:style w:type="character" w:customStyle="1" w:styleId="ListLabel215">
    <w:name w:val="ListLabel 215"/>
    <w:rPr>
      <w:rFonts w:cs="Arial"/>
      <w:color w:val="000000"/>
    </w:rPr>
  </w:style>
  <w:style w:type="character" w:customStyle="1" w:styleId="ListLabel216">
    <w:name w:val="ListLabel 216"/>
    <w:rPr>
      <w:rFonts w:cs="Arial"/>
      <w:color w:val="000000"/>
    </w:rPr>
  </w:style>
  <w:style w:type="character" w:customStyle="1" w:styleId="ListLabel217">
    <w:name w:val="ListLabel 217"/>
  </w:style>
  <w:style w:type="character" w:customStyle="1" w:styleId="ListLabel218">
    <w:name w:val="ListLabel 218"/>
  </w:style>
  <w:style w:type="character" w:customStyle="1" w:styleId="ListLabel219">
    <w:name w:val="ListLabel 219"/>
  </w:style>
  <w:style w:type="character" w:customStyle="1" w:styleId="ListLabel220">
    <w:name w:val="ListLabel 220"/>
    <w:rPr>
      <w:rFonts w:cs="Symbol"/>
      <w:color w:val="000000"/>
    </w:rPr>
  </w:style>
  <w:style w:type="character" w:customStyle="1" w:styleId="ListLabel221">
    <w:name w:val="ListLabel 221"/>
    <w:rPr>
      <w:rFonts w:cs="Courier New"/>
    </w:rPr>
  </w:style>
  <w:style w:type="character" w:customStyle="1" w:styleId="ListLabel222">
    <w:name w:val="ListLabel 222"/>
    <w:rPr>
      <w:rFonts w:cs="Arial"/>
      <w:color w:val="000000"/>
    </w:rPr>
  </w:style>
  <w:style w:type="character" w:customStyle="1" w:styleId="ListLabel223">
    <w:name w:val="ListLabel 223"/>
    <w:rPr>
      <w:rFonts w:cs="Arial"/>
      <w:color w:val="000000"/>
    </w:rPr>
  </w:style>
  <w:style w:type="character" w:customStyle="1" w:styleId="ListLabel224">
    <w:name w:val="ListLabel 224"/>
    <w:rPr>
      <w:rFonts w:cs="Arial"/>
      <w:color w:val="000000"/>
    </w:rPr>
  </w:style>
  <w:style w:type="character" w:customStyle="1" w:styleId="ListLabel225">
    <w:name w:val="ListLabel 225"/>
    <w:rPr>
      <w:rFonts w:cs="Arial"/>
      <w:color w:val="000000"/>
    </w:rPr>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rPr>
      <w:rFonts w:cs="Symbol"/>
      <w:color w:val="000000"/>
    </w:rPr>
  </w:style>
  <w:style w:type="character" w:customStyle="1" w:styleId="ListLabel230">
    <w:name w:val="ListLabel 230"/>
    <w:rPr>
      <w:rFonts w:cs="Courier New"/>
    </w:rPr>
  </w:style>
  <w:style w:type="character" w:customStyle="1" w:styleId="ListLabel231">
    <w:name w:val="ListLabel 231"/>
    <w:rPr>
      <w:rFonts w:cs="Arial"/>
      <w:color w:val="000000"/>
    </w:rPr>
  </w:style>
  <w:style w:type="character" w:customStyle="1" w:styleId="ListLabel232">
    <w:name w:val="ListLabel 232"/>
    <w:rPr>
      <w:rFonts w:cs="Arial"/>
      <w:color w:val="000000"/>
    </w:rPr>
  </w:style>
  <w:style w:type="character" w:customStyle="1" w:styleId="ListLabel233">
    <w:name w:val="ListLabel 233"/>
    <w:rPr>
      <w:rFonts w:cs="Arial"/>
      <w:color w:val="000000"/>
    </w:rPr>
  </w:style>
  <w:style w:type="character" w:customStyle="1" w:styleId="ListLabel234">
    <w:name w:val="ListLabel 234"/>
    <w:rPr>
      <w:rFonts w:cs="Arial"/>
      <w:color w:val="000000"/>
    </w:rPr>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rPr>
      <w:rFonts w:cs="Symbol"/>
      <w:color w:val="000000"/>
    </w:rPr>
  </w:style>
  <w:style w:type="character" w:customStyle="1" w:styleId="ListLabel239">
    <w:name w:val="ListLabel 239"/>
    <w:rPr>
      <w:rFonts w:cs="Courier New"/>
    </w:rPr>
  </w:style>
  <w:style w:type="character" w:customStyle="1" w:styleId="ListLabel240">
    <w:name w:val="ListLabel 240"/>
    <w:rPr>
      <w:rFonts w:cs="Arial"/>
      <w:color w:val="000000"/>
    </w:rPr>
  </w:style>
  <w:style w:type="character" w:customStyle="1" w:styleId="ListLabel241">
    <w:name w:val="ListLabel 241"/>
    <w:rPr>
      <w:rFonts w:cs="Arial"/>
      <w:color w:val="000000"/>
    </w:rPr>
  </w:style>
  <w:style w:type="character" w:customStyle="1" w:styleId="ListLabel242">
    <w:name w:val="ListLabel 242"/>
    <w:rPr>
      <w:rFonts w:cs="Arial"/>
      <w:color w:val="000000"/>
    </w:rPr>
  </w:style>
  <w:style w:type="character" w:customStyle="1" w:styleId="ListLabel243">
    <w:name w:val="ListLabel 243"/>
    <w:rPr>
      <w:rFonts w:cs="Arial"/>
      <w:color w:val="000000"/>
    </w:rPr>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rPr>
      <w:rFonts w:cs="Symbol"/>
      <w:color w:val="000000"/>
    </w:rPr>
  </w:style>
  <w:style w:type="character" w:customStyle="1" w:styleId="ListLabel248">
    <w:name w:val="ListLabel 248"/>
    <w:rPr>
      <w:rFonts w:cs="Courier New"/>
    </w:rPr>
  </w:style>
  <w:style w:type="character" w:customStyle="1" w:styleId="ListLabel249">
    <w:name w:val="ListLabel 249"/>
    <w:rPr>
      <w:rFonts w:cs="Arial"/>
      <w:color w:val="000000"/>
    </w:rPr>
  </w:style>
  <w:style w:type="character" w:customStyle="1" w:styleId="ListLabel250">
    <w:name w:val="ListLabel 250"/>
    <w:rPr>
      <w:rFonts w:cs="Arial"/>
      <w:color w:val="000000"/>
    </w:rPr>
  </w:style>
  <w:style w:type="character" w:customStyle="1" w:styleId="ListLabel251">
    <w:name w:val="ListLabel 251"/>
    <w:rPr>
      <w:rFonts w:cs="Arial"/>
      <w:color w:val="000000"/>
    </w:rPr>
  </w:style>
  <w:style w:type="character" w:customStyle="1" w:styleId="ListLabel252">
    <w:name w:val="ListLabel 252"/>
    <w:rPr>
      <w:rFonts w:cs="Arial"/>
      <w:color w:val="000000"/>
    </w:rPr>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rPr>
      <w:rFonts w:cs="Symbol"/>
      <w:color w:val="000000"/>
    </w:rPr>
  </w:style>
  <w:style w:type="character" w:customStyle="1" w:styleId="ListLabel266">
    <w:name w:val="ListLabel 266"/>
    <w:rPr>
      <w:rFonts w:cs="Courier New"/>
    </w:rPr>
  </w:style>
  <w:style w:type="character" w:customStyle="1" w:styleId="ListLabel267">
    <w:name w:val="ListLabel 267"/>
    <w:rPr>
      <w:rFonts w:cs="Arial"/>
      <w:color w:val="000000"/>
    </w:rPr>
  </w:style>
  <w:style w:type="character" w:customStyle="1" w:styleId="ListLabel268">
    <w:name w:val="ListLabel 268"/>
    <w:rPr>
      <w:rFonts w:cs="Arial"/>
      <w:color w:val="000000"/>
    </w:rPr>
  </w:style>
  <w:style w:type="character" w:customStyle="1" w:styleId="ListLabel269">
    <w:name w:val="ListLabel 269"/>
    <w:rPr>
      <w:rFonts w:cs="Arial"/>
      <w:color w:val="000000"/>
    </w:rPr>
  </w:style>
  <w:style w:type="character" w:customStyle="1" w:styleId="ListLabel270">
    <w:name w:val="ListLabel 270"/>
    <w:rPr>
      <w:rFonts w:cs="Arial"/>
      <w:color w:val="000000"/>
    </w:rPr>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rPr>
      <w:rFonts w:cs="Symbol"/>
      <w:color w:val="000000"/>
    </w:rPr>
  </w:style>
  <w:style w:type="character" w:customStyle="1" w:styleId="ListLabel275">
    <w:name w:val="ListLabel 275"/>
    <w:rPr>
      <w:rFonts w:cs="Courier New"/>
    </w:rPr>
  </w:style>
  <w:style w:type="character" w:customStyle="1" w:styleId="ListLabel276">
    <w:name w:val="ListLabel 276"/>
    <w:rPr>
      <w:rFonts w:cs="Arial"/>
      <w:color w:val="000000"/>
    </w:rPr>
  </w:style>
  <w:style w:type="character" w:customStyle="1" w:styleId="ListLabel277">
    <w:name w:val="ListLabel 277"/>
    <w:rPr>
      <w:rFonts w:cs="Arial"/>
      <w:color w:val="000000"/>
    </w:rPr>
  </w:style>
  <w:style w:type="character" w:customStyle="1" w:styleId="ListLabel278">
    <w:name w:val="ListLabel 278"/>
    <w:rPr>
      <w:rFonts w:cs="Arial"/>
      <w:color w:val="000000"/>
    </w:rPr>
  </w:style>
  <w:style w:type="character" w:customStyle="1" w:styleId="ListLabel279">
    <w:name w:val="ListLabel 279"/>
    <w:rPr>
      <w:rFonts w:cs="Arial"/>
      <w:color w:val="000000"/>
    </w:rPr>
  </w:style>
  <w:style w:type="character" w:customStyle="1" w:styleId="ListLabel280">
    <w:name w:val="ListLabel 280"/>
  </w:style>
  <w:style w:type="character" w:customStyle="1" w:styleId="ListLabel281">
    <w:name w:val="ListLabel 281"/>
  </w:style>
  <w:style w:type="character" w:customStyle="1" w:styleId="ListLabel282">
    <w:name w:val="ListLabel 282"/>
  </w:style>
  <w:style w:type="character" w:customStyle="1" w:styleId="ListLabel283">
    <w:name w:val="ListLabel 283"/>
    <w:rPr>
      <w:rFonts w:cs="Symbol"/>
      <w:color w:val="000000"/>
    </w:rPr>
  </w:style>
  <w:style w:type="character" w:customStyle="1" w:styleId="ListLabel284">
    <w:name w:val="ListLabel 284"/>
    <w:rPr>
      <w:rFonts w:cs="Courier New"/>
    </w:rPr>
  </w:style>
  <w:style w:type="character" w:customStyle="1" w:styleId="ListLabel285">
    <w:name w:val="ListLabel 285"/>
    <w:rPr>
      <w:rFonts w:cs="Arial"/>
      <w:color w:val="000000"/>
    </w:rPr>
  </w:style>
  <w:style w:type="character" w:customStyle="1" w:styleId="ListLabel286">
    <w:name w:val="ListLabel 286"/>
    <w:rPr>
      <w:rFonts w:cs="Arial"/>
      <w:color w:val="000000"/>
    </w:rPr>
  </w:style>
  <w:style w:type="character" w:customStyle="1" w:styleId="ListLabel287">
    <w:name w:val="ListLabel 287"/>
    <w:rPr>
      <w:rFonts w:cs="Arial"/>
      <w:color w:val="000000"/>
    </w:rPr>
  </w:style>
  <w:style w:type="character" w:customStyle="1" w:styleId="ListLabel288">
    <w:name w:val="ListLabel 288"/>
    <w:rPr>
      <w:rFonts w:cs="Arial"/>
      <w:color w:val="000000"/>
    </w:rPr>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rPr>
      <w:rFonts w:cs="Symbol"/>
      <w:color w:val="000000"/>
    </w:rPr>
  </w:style>
  <w:style w:type="character" w:customStyle="1" w:styleId="ListLabel293">
    <w:name w:val="ListLabel 293"/>
    <w:rPr>
      <w:rFonts w:cs="Courier New"/>
    </w:rPr>
  </w:style>
  <w:style w:type="character" w:customStyle="1" w:styleId="ListLabel294">
    <w:name w:val="ListLabel 294"/>
    <w:rPr>
      <w:rFonts w:cs="Arial"/>
      <w:color w:val="000000"/>
    </w:rPr>
  </w:style>
  <w:style w:type="character" w:customStyle="1" w:styleId="ListLabel295">
    <w:name w:val="ListLabel 295"/>
    <w:rPr>
      <w:rFonts w:cs="Arial"/>
      <w:color w:val="000000"/>
    </w:rPr>
  </w:style>
  <w:style w:type="character" w:customStyle="1" w:styleId="ListLabel296">
    <w:name w:val="ListLabel 296"/>
    <w:rPr>
      <w:rFonts w:cs="Arial"/>
      <w:color w:val="000000"/>
    </w:rPr>
  </w:style>
  <w:style w:type="character" w:customStyle="1" w:styleId="ListLabel297">
    <w:name w:val="ListLabel 297"/>
    <w:rPr>
      <w:rFonts w:cs="Arial"/>
      <w:color w:val="000000"/>
    </w:rPr>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rPr>
      <w:rFonts w:cs="Symbol"/>
      <w:color w:val="000000"/>
    </w:rPr>
  </w:style>
  <w:style w:type="character" w:customStyle="1" w:styleId="ListLabel302">
    <w:name w:val="ListLabel 302"/>
    <w:rPr>
      <w:rFonts w:cs="Courier New"/>
    </w:rPr>
  </w:style>
  <w:style w:type="character" w:customStyle="1" w:styleId="ListLabel303">
    <w:name w:val="ListLabel 303"/>
    <w:rPr>
      <w:rFonts w:cs="Arial"/>
      <w:color w:val="000000"/>
    </w:rPr>
  </w:style>
  <w:style w:type="character" w:customStyle="1" w:styleId="ListLabel304">
    <w:name w:val="ListLabel 304"/>
    <w:rPr>
      <w:rFonts w:cs="Arial"/>
      <w:color w:val="000000"/>
    </w:rPr>
  </w:style>
  <w:style w:type="character" w:customStyle="1" w:styleId="ListLabel305">
    <w:name w:val="ListLabel 305"/>
    <w:rPr>
      <w:rFonts w:cs="Arial"/>
      <w:color w:val="000000"/>
    </w:rPr>
  </w:style>
  <w:style w:type="character" w:customStyle="1" w:styleId="ListLabel306">
    <w:name w:val="ListLabel 306"/>
    <w:rPr>
      <w:rFonts w:cs="Arial"/>
      <w:color w:val="000000"/>
    </w:rPr>
  </w:style>
  <w:style w:type="character" w:customStyle="1" w:styleId="ListLabel307">
    <w:name w:val="ListLabel 307"/>
  </w:style>
  <w:style w:type="character" w:customStyle="1" w:styleId="ListLabel308">
    <w:name w:val="ListLabel 308"/>
  </w:style>
  <w:style w:type="character" w:customStyle="1" w:styleId="ListLabel309">
    <w:name w:val="ListLabel 309"/>
  </w:style>
  <w:style w:type="character" w:customStyle="1" w:styleId="ListLabel310">
    <w:name w:val="ListLabel 310"/>
    <w:rPr>
      <w:rFonts w:cs="Symbol"/>
      <w:color w:val="000000"/>
    </w:rPr>
  </w:style>
  <w:style w:type="character" w:customStyle="1" w:styleId="ListLabel311">
    <w:name w:val="ListLabel 311"/>
    <w:rPr>
      <w:rFonts w:cs="Courier New"/>
    </w:rPr>
  </w:style>
  <w:style w:type="character" w:customStyle="1" w:styleId="ListLabel312">
    <w:name w:val="ListLabel 312"/>
    <w:rPr>
      <w:rFonts w:cs="Arial"/>
      <w:color w:val="000000"/>
    </w:rPr>
  </w:style>
  <w:style w:type="character" w:customStyle="1" w:styleId="ListLabel313">
    <w:name w:val="ListLabel 313"/>
    <w:rPr>
      <w:rFonts w:cs="Arial"/>
      <w:color w:val="000000"/>
    </w:rPr>
  </w:style>
  <w:style w:type="character" w:customStyle="1" w:styleId="ListLabel314">
    <w:name w:val="ListLabel 314"/>
    <w:rPr>
      <w:rFonts w:cs="Arial"/>
      <w:color w:val="000000"/>
    </w:rPr>
  </w:style>
  <w:style w:type="character" w:customStyle="1" w:styleId="ListLabel315">
    <w:name w:val="ListLabel 315"/>
    <w:rPr>
      <w:rFonts w:cs="Arial"/>
      <w:color w:val="000000"/>
    </w:rPr>
  </w:style>
  <w:style w:type="character" w:customStyle="1" w:styleId="ListLabel316">
    <w:name w:val="ListLabel 316"/>
    <w:rPr>
      <w:rFonts w:ascii="Arial" w:hAnsi="Arial"/>
      <w:sz w:val="18"/>
    </w:rPr>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style>
  <w:style w:type="character" w:customStyle="1" w:styleId="ListLabel327">
    <w:name w:val="ListLabel 327"/>
  </w:style>
  <w:style w:type="character" w:customStyle="1" w:styleId="ListLabel328">
    <w:name w:val="ListLabel 328"/>
    <w:rPr>
      <w:rFonts w:cs="Symbol"/>
      <w:color w:val="000000"/>
    </w:rPr>
  </w:style>
  <w:style w:type="character" w:customStyle="1" w:styleId="ListLabel329">
    <w:name w:val="ListLabel 329"/>
    <w:rPr>
      <w:rFonts w:cs="Courier New"/>
    </w:rPr>
  </w:style>
  <w:style w:type="character" w:customStyle="1" w:styleId="ListLabel330">
    <w:name w:val="ListLabel 330"/>
    <w:rPr>
      <w:rFonts w:cs="Arial"/>
      <w:color w:val="000000"/>
    </w:rPr>
  </w:style>
  <w:style w:type="character" w:customStyle="1" w:styleId="ListLabel331">
    <w:name w:val="ListLabel 331"/>
    <w:rPr>
      <w:rFonts w:cs="Arial"/>
      <w:color w:val="000000"/>
    </w:rPr>
  </w:style>
  <w:style w:type="character" w:customStyle="1" w:styleId="ListLabel332">
    <w:name w:val="ListLabel 332"/>
    <w:rPr>
      <w:rFonts w:cs="Arial"/>
      <w:color w:val="000000"/>
    </w:rPr>
  </w:style>
  <w:style w:type="character" w:customStyle="1" w:styleId="ListLabel333">
    <w:name w:val="ListLabel 333"/>
    <w:rPr>
      <w:rFonts w:cs="Arial"/>
      <w:color w:val="000000"/>
    </w:rPr>
  </w:style>
  <w:style w:type="character" w:customStyle="1" w:styleId="ListLabel334">
    <w:name w:val="ListLabel 334"/>
  </w:style>
  <w:style w:type="character" w:customStyle="1" w:styleId="ListLabel335">
    <w:name w:val="ListLabel 335"/>
  </w:style>
  <w:style w:type="character" w:customStyle="1" w:styleId="ListLabel336">
    <w:name w:val="ListLabel 336"/>
  </w:style>
  <w:style w:type="character" w:customStyle="1" w:styleId="ListLabel337">
    <w:name w:val="ListLabel 337"/>
    <w:rPr>
      <w:rFonts w:cs="Symbol"/>
      <w:color w:val="000000"/>
    </w:rPr>
  </w:style>
  <w:style w:type="character" w:customStyle="1" w:styleId="ListLabel338">
    <w:name w:val="ListLabel 338"/>
    <w:rPr>
      <w:rFonts w:cs="Courier New"/>
    </w:rPr>
  </w:style>
  <w:style w:type="character" w:customStyle="1" w:styleId="ListLabel339">
    <w:name w:val="ListLabel 339"/>
    <w:rPr>
      <w:rFonts w:cs="Arial"/>
      <w:color w:val="000000"/>
    </w:rPr>
  </w:style>
  <w:style w:type="character" w:customStyle="1" w:styleId="ListLabel340">
    <w:name w:val="ListLabel 340"/>
    <w:rPr>
      <w:rFonts w:cs="Arial"/>
      <w:color w:val="000000"/>
    </w:rPr>
  </w:style>
  <w:style w:type="character" w:customStyle="1" w:styleId="ListLabel341">
    <w:name w:val="ListLabel 341"/>
    <w:rPr>
      <w:rFonts w:cs="Arial"/>
      <w:color w:val="000000"/>
    </w:rPr>
  </w:style>
  <w:style w:type="character" w:customStyle="1" w:styleId="ListLabel342">
    <w:name w:val="ListLabel 342"/>
    <w:rPr>
      <w:rFonts w:cs="Arial"/>
      <w:color w:val="000000"/>
    </w:rPr>
  </w:style>
  <w:style w:type="character" w:customStyle="1" w:styleId="ListLabel343">
    <w:name w:val="ListLabel 343"/>
  </w:style>
  <w:style w:type="character" w:customStyle="1" w:styleId="ListLabel344">
    <w:name w:val="ListLabel 344"/>
  </w:style>
  <w:style w:type="character" w:customStyle="1" w:styleId="ListLabel345">
    <w:name w:val="ListLabel 345"/>
  </w:style>
  <w:style w:type="character" w:customStyle="1" w:styleId="ListLabel346">
    <w:name w:val="ListLabel 346"/>
    <w:rPr>
      <w:rFonts w:cs="Symbol"/>
      <w:color w:val="000000"/>
    </w:rPr>
  </w:style>
  <w:style w:type="character" w:customStyle="1" w:styleId="ListLabel347">
    <w:name w:val="ListLabel 347"/>
    <w:rPr>
      <w:rFonts w:cs="Courier New"/>
    </w:rPr>
  </w:style>
  <w:style w:type="character" w:customStyle="1" w:styleId="ListLabel348">
    <w:name w:val="ListLabel 348"/>
    <w:rPr>
      <w:rFonts w:cs="Arial"/>
      <w:color w:val="000000"/>
    </w:rPr>
  </w:style>
  <w:style w:type="character" w:customStyle="1" w:styleId="ListLabel349">
    <w:name w:val="ListLabel 349"/>
    <w:rPr>
      <w:rFonts w:cs="Arial"/>
      <w:color w:val="000000"/>
    </w:rPr>
  </w:style>
  <w:style w:type="character" w:customStyle="1" w:styleId="ListLabel350">
    <w:name w:val="ListLabel 350"/>
    <w:rPr>
      <w:rFonts w:cs="Arial"/>
      <w:color w:val="000000"/>
    </w:rPr>
  </w:style>
  <w:style w:type="character" w:customStyle="1" w:styleId="ListLabel351">
    <w:name w:val="ListLabel 351"/>
    <w:rPr>
      <w:rFonts w:cs="Arial"/>
      <w:color w:val="000000"/>
    </w:rPr>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rPr>
      <w:rFonts w:cs="Symbol"/>
      <w:color w:val="000000"/>
    </w:rPr>
  </w:style>
  <w:style w:type="character" w:customStyle="1" w:styleId="ListLabel356">
    <w:name w:val="ListLabel 356"/>
    <w:rPr>
      <w:rFonts w:cs="Courier New"/>
    </w:rPr>
  </w:style>
  <w:style w:type="character" w:customStyle="1" w:styleId="ListLabel357">
    <w:name w:val="ListLabel 357"/>
    <w:rPr>
      <w:rFonts w:cs="Arial"/>
      <w:color w:val="000000"/>
    </w:rPr>
  </w:style>
  <w:style w:type="character" w:customStyle="1" w:styleId="ListLabel358">
    <w:name w:val="ListLabel 358"/>
    <w:rPr>
      <w:rFonts w:cs="Arial"/>
      <w:color w:val="000000"/>
    </w:rPr>
  </w:style>
  <w:style w:type="character" w:customStyle="1" w:styleId="ListLabel359">
    <w:name w:val="ListLabel 359"/>
    <w:rPr>
      <w:rFonts w:cs="Arial"/>
      <w:color w:val="000000"/>
    </w:rPr>
  </w:style>
  <w:style w:type="character" w:customStyle="1" w:styleId="ListLabel360">
    <w:name w:val="ListLabel 360"/>
    <w:rPr>
      <w:rFonts w:cs="Arial"/>
      <w:color w:val="000000"/>
    </w:rPr>
  </w:style>
  <w:style w:type="character" w:customStyle="1" w:styleId="ListLabel361">
    <w:name w:val="ListLabel 361"/>
  </w:style>
  <w:style w:type="character" w:customStyle="1" w:styleId="ListLabel362">
    <w:name w:val="ListLabel 362"/>
  </w:style>
  <w:style w:type="character" w:customStyle="1" w:styleId="ListLabel363">
    <w:name w:val="ListLabel 363"/>
  </w:style>
  <w:style w:type="character" w:customStyle="1" w:styleId="ListLabel364">
    <w:name w:val="ListLabel 364"/>
    <w:rPr>
      <w:rFonts w:cs="Symbol"/>
      <w:color w:val="000000"/>
    </w:rPr>
  </w:style>
  <w:style w:type="character" w:customStyle="1" w:styleId="ListLabel365">
    <w:name w:val="ListLabel 365"/>
    <w:rPr>
      <w:rFonts w:cs="Courier New"/>
    </w:rPr>
  </w:style>
  <w:style w:type="character" w:customStyle="1" w:styleId="ListLabel366">
    <w:name w:val="ListLabel 366"/>
    <w:rPr>
      <w:rFonts w:cs="Arial"/>
      <w:color w:val="000000"/>
    </w:rPr>
  </w:style>
  <w:style w:type="character" w:customStyle="1" w:styleId="ListLabel367">
    <w:name w:val="ListLabel 367"/>
    <w:rPr>
      <w:rFonts w:cs="Arial"/>
      <w:color w:val="000000"/>
    </w:rPr>
  </w:style>
  <w:style w:type="character" w:customStyle="1" w:styleId="ListLabel368">
    <w:name w:val="ListLabel 368"/>
    <w:rPr>
      <w:rFonts w:cs="Arial"/>
      <w:color w:val="000000"/>
    </w:rPr>
  </w:style>
  <w:style w:type="character" w:customStyle="1" w:styleId="ListLabel369">
    <w:name w:val="ListLabel 369"/>
    <w:rPr>
      <w:rFonts w:cs="Arial"/>
      <w:color w:val="000000"/>
    </w:rPr>
  </w:style>
  <w:style w:type="character" w:customStyle="1" w:styleId="ListLabel370">
    <w:name w:val="ListLabel 370"/>
  </w:style>
  <w:style w:type="character" w:customStyle="1" w:styleId="ListLabel371">
    <w:name w:val="ListLabel 371"/>
  </w:style>
  <w:style w:type="character" w:customStyle="1" w:styleId="ListLabel372">
    <w:name w:val="ListLabel 372"/>
  </w:style>
  <w:style w:type="character" w:customStyle="1" w:styleId="ListLabel373">
    <w:name w:val="ListLabel 373"/>
    <w:rPr>
      <w:rFonts w:cs="Symbol"/>
      <w:color w:val="000000"/>
    </w:rPr>
  </w:style>
  <w:style w:type="character" w:customStyle="1" w:styleId="ListLabel374">
    <w:name w:val="ListLabel 374"/>
    <w:rPr>
      <w:rFonts w:cs="Courier New"/>
    </w:rPr>
  </w:style>
  <w:style w:type="character" w:customStyle="1" w:styleId="ListLabel375">
    <w:name w:val="ListLabel 375"/>
    <w:rPr>
      <w:rFonts w:cs="Arial"/>
      <w:color w:val="000000"/>
    </w:rPr>
  </w:style>
  <w:style w:type="character" w:customStyle="1" w:styleId="ListLabel376">
    <w:name w:val="ListLabel 376"/>
    <w:rPr>
      <w:rFonts w:cs="Arial"/>
      <w:color w:val="000000"/>
    </w:rPr>
  </w:style>
  <w:style w:type="character" w:customStyle="1" w:styleId="ListLabel377">
    <w:name w:val="ListLabel 377"/>
    <w:rPr>
      <w:rFonts w:cs="Arial"/>
      <w:color w:val="000000"/>
    </w:rPr>
  </w:style>
  <w:style w:type="character" w:customStyle="1" w:styleId="ListLabel378">
    <w:name w:val="ListLabel 378"/>
    <w:rPr>
      <w:rFonts w:cs="Arial"/>
      <w:color w:val="000000"/>
    </w:rPr>
  </w:style>
  <w:style w:type="character" w:customStyle="1" w:styleId="ListLabel379">
    <w:name w:val="ListLabel 379"/>
  </w:style>
  <w:style w:type="character" w:customStyle="1" w:styleId="ListLabel380">
    <w:name w:val="ListLabel 380"/>
  </w:style>
  <w:style w:type="character" w:customStyle="1" w:styleId="ListLabel381">
    <w:name w:val="ListLabel 381"/>
  </w:style>
  <w:style w:type="character" w:customStyle="1" w:styleId="ListLabel382">
    <w:name w:val="ListLabel 382"/>
    <w:rPr>
      <w:rFonts w:cs="Symbol"/>
      <w:color w:val="000000"/>
    </w:rPr>
  </w:style>
  <w:style w:type="character" w:customStyle="1" w:styleId="ListLabel383">
    <w:name w:val="ListLabel 383"/>
    <w:rPr>
      <w:rFonts w:cs="Courier New"/>
    </w:rPr>
  </w:style>
  <w:style w:type="character" w:customStyle="1" w:styleId="ListLabel384">
    <w:name w:val="ListLabel 384"/>
    <w:rPr>
      <w:rFonts w:cs="Arial"/>
      <w:color w:val="000000"/>
    </w:rPr>
  </w:style>
  <w:style w:type="character" w:customStyle="1" w:styleId="ListLabel385">
    <w:name w:val="ListLabel 385"/>
    <w:rPr>
      <w:rFonts w:cs="Arial"/>
      <w:color w:val="000000"/>
    </w:rPr>
  </w:style>
  <w:style w:type="character" w:customStyle="1" w:styleId="ListLabel386">
    <w:name w:val="ListLabel 386"/>
    <w:rPr>
      <w:rFonts w:cs="Arial"/>
      <w:color w:val="000000"/>
    </w:rPr>
  </w:style>
  <w:style w:type="character" w:customStyle="1" w:styleId="ListLabel387">
    <w:name w:val="ListLabel 387"/>
    <w:rPr>
      <w:rFonts w:cs="Arial"/>
      <w:color w:val="000000"/>
    </w:rPr>
  </w:style>
  <w:style w:type="paragraph" w:customStyle="1" w:styleId="Nagwek1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Base-Tekst"/>
  </w:style>
  <w:style w:type="paragraph" w:styleId="Lista">
    <w:name w:val="List"/>
    <w:basedOn w:val="Base-Tekstlist"/>
    <w:pPr>
      <w:ind w:left="283" w:hanging="283"/>
      <w:contextualSpacing/>
    </w:p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lang w:bidi="ar-SA"/>
    </w:rPr>
  </w:style>
  <w:style w:type="paragraph" w:customStyle="1" w:styleId="Legenda1">
    <w:name w:val="Legenda1"/>
    <w:basedOn w:val="Base-Tekst"/>
    <w:pPr>
      <w:keepNext/>
      <w:keepLines/>
      <w:spacing w:before="360" w:after="60" w:line="240" w:lineRule="auto"/>
    </w:pPr>
    <w:rPr>
      <w:b/>
      <w:bCs w:val="0"/>
      <w:color w:val="2A194F"/>
      <w:sz w:val="18"/>
      <w:szCs w:val="18"/>
    </w:rPr>
  </w:style>
  <w:style w:type="paragraph" w:customStyle="1" w:styleId="Standard">
    <w:name w:val="Standard"/>
    <w:pPr>
      <w:suppressAutoHyphens/>
      <w:spacing w:after="160" w:line="360" w:lineRule="auto"/>
      <w:jc w:val="both"/>
    </w:pPr>
    <w:rPr>
      <w:rFonts w:ascii="Arial" w:eastAsia="SimSun" w:hAnsi="Arial" w:cs="Tahoma"/>
      <w:kern w:val="2"/>
      <w:sz w:val="24"/>
      <w:szCs w:val="22"/>
      <w:lang w:eastAsia="en-US"/>
    </w:rPr>
  </w:style>
  <w:style w:type="paragraph" w:customStyle="1" w:styleId="Textbody">
    <w:name w:val="Text body"/>
    <w:basedOn w:val="Normalny"/>
    <w:pPr>
      <w:spacing w:after="120" w:line="360" w:lineRule="auto"/>
      <w:jc w:val="both"/>
    </w:pPr>
    <w:rPr>
      <w:rFonts w:eastAsia="SimSun" w:cs="Tahoma"/>
      <w:kern w:val="2"/>
      <w:szCs w:val="22"/>
      <w:lang w:bidi="ar-SA"/>
    </w:rPr>
  </w:style>
  <w:style w:type="paragraph" w:customStyle="1" w:styleId="Stopka20">
    <w:name w:val="Stopka2"/>
    <w:basedOn w:val="Normalny"/>
    <w:pPr>
      <w:shd w:val="clear" w:color="auto" w:fill="FFFFFF"/>
      <w:spacing w:line="0" w:lineRule="atLeast"/>
      <w:jc w:val="both"/>
    </w:pPr>
    <w:rPr>
      <w:rFonts w:ascii="Times New Roman" w:hAnsi="Times New Roman"/>
      <w:sz w:val="15"/>
      <w:szCs w:val="15"/>
    </w:rPr>
  </w:style>
  <w:style w:type="paragraph" w:customStyle="1" w:styleId="Stopka30">
    <w:name w:val="Stopka (3)"/>
    <w:basedOn w:val="Normalny"/>
    <w:pPr>
      <w:shd w:val="clear" w:color="auto" w:fill="FFFFFF"/>
      <w:spacing w:line="0" w:lineRule="atLeast"/>
    </w:pPr>
    <w:rPr>
      <w:rFonts w:ascii="Times New Roman" w:hAnsi="Times New Roman"/>
      <w:sz w:val="11"/>
      <w:szCs w:val="11"/>
    </w:rPr>
  </w:style>
  <w:style w:type="paragraph" w:customStyle="1" w:styleId="Stopka40">
    <w:name w:val="Stopka (4)"/>
    <w:basedOn w:val="Normalny"/>
    <w:pPr>
      <w:shd w:val="clear" w:color="auto" w:fill="FFFFFF"/>
      <w:spacing w:line="0" w:lineRule="atLeast"/>
    </w:pPr>
    <w:rPr>
      <w:rFonts w:ascii="Times New Roman" w:hAnsi="Times New Roman"/>
    </w:rPr>
  </w:style>
  <w:style w:type="paragraph" w:customStyle="1" w:styleId="Stopka50">
    <w:name w:val="Stopka (5)"/>
    <w:basedOn w:val="Normalny"/>
    <w:pPr>
      <w:shd w:val="clear" w:color="auto" w:fill="FFFFFF"/>
      <w:spacing w:line="0" w:lineRule="atLeast"/>
    </w:pPr>
    <w:rPr>
      <w:rFonts w:ascii="Times New Roman" w:hAnsi="Times New Roman"/>
      <w:sz w:val="11"/>
      <w:szCs w:val="11"/>
    </w:rPr>
  </w:style>
  <w:style w:type="paragraph" w:customStyle="1" w:styleId="Teksttreci30">
    <w:name w:val="Tekst treści (3)"/>
    <w:basedOn w:val="Normalny"/>
    <w:pPr>
      <w:shd w:val="clear" w:color="auto" w:fill="FFFFFF"/>
      <w:spacing w:line="125" w:lineRule="exact"/>
    </w:pPr>
    <w:rPr>
      <w:rFonts w:ascii="Times New Roman" w:hAnsi="Times New Roman"/>
      <w:sz w:val="12"/>
      <w:szCs w:val="12"/>
    </w:rPr>
  </w:style>
  <w:style w:type="paragraph" w:customStyle="1" w:styleId="Nagwek41">
    <w:name w:val="Nagłówek #4"/>
    <w:basedOn w:val="Normalny"/>
    <w:pPr>
      <w:shd w:val="clear" w:color="auto" w:fill="FFFFFF"/>
      <w:spacing w:line="0" w:lineRule="atLeast"/>
      <w:jc w:val="center"/>
      <w:outlineLvl w:val="3"/>
    </w:pPr>
    <w:rPr>
      <w:rFonts w:ascii="Times New Roman" w:hAnsi="Times New Roman"/>
      <w:b/>
      <w:bCs w:val="0"/>
    </w:rPr>
  </w:style>
  <w:style w:type="paragraph" w:customStyle="1" w:styleId="Teksttreci20">
    <w:name w:val="Tekst treści (2)"/>
    <w:basedOn w:val="Normalny"/>
    <w:pPr>
      <w:shd w:val="clear" w:color="auto" w:fill="FFFFFF"/>
      <w:spacing w:line="379" w:lineRule="exact"/>
      <w:ind w:hanging="420"/>
      <w:jc w:val="both"/>
    </w:pPr>
    <w:rPr>
      <w:rFonts w:ascii="Times New Roman" w:hAnsi="Times New Roman"/>
      <w:sz w:val="22"/>
      <w:szCs w:val="22"/>
    </w:rPr>
  </w:style>
  <w:style w:type="paragraph" w:customStyle="1" w:styleId="Gwkaistopka">
    <w:name w:val="Główka i stopka"/>
    <w:basedOn w:val="Normalny"/>
  </w:style>
  <w:style w:type="paragraph" w:styleId="Stopka0">
    <w:name w:val="footer"/>
    <w:basedOn w:val="Base-Tekst"/>
    <w:pPr>
      <w:pBdr>
        <w:top w:val="single" w:sz="4" w:space="1" w:color="365F91"/>
        <w:left w:val="none" w:sz="0" w:space="0" w:color="000000"/>
        <w:bottom w:val="none" w:sz="0" w:space="0" w:color="000000"/>
        <w:right w:val="none" w:sz="0" w:space="0" w:color="000000"/>
      </w:pBdr>
      <w:tabs>
        <w:tab w:val="center" w:pos="4536"/>
        <w:tab w:val="right" w:pos="9072"/>
        <w:tab w:val="right" w:pos="13999"/>
      </w:tabs>
      <w:jc w:val="center"/>
    </w:pPr>
    <w:rPr>
      <w:color w:val="2A194F"/>
      <w:sz w:val="12"/>
    </w:rPr>
  </w:style>
  <w:style w:type="paragraph" w:styleId="Nagwek">
    <w:name w:val="header"/>
    <w:basedOn w:val="Base-Tekst"/>
    <w:pPr>
      <w:tabs>
        <w:tab w:val="center" w:pos="4536"/>
        <w:tab w:val="right" w:pos="9072"/>
      </w:tabs>
      <w:jc w:val="right"/>
    </w:pPr>
    <w:rPr>
      <w:color w:val="2A194F"/>
      <w:sz w:val="16"/>
    </w:rPr>
  </w:style>
  <w:style w:type="paragraph" w:styleId="Tekstprzypisudolnego">
    <w:name w:val="footnote text"/>
    <w:basedOn w:val="Normalny"/>
  </w:style>
  <w:style w:type="paragraph" w:customStyle="1" w:styleId="Default">
    <w:name w:val="Default"/>
    <w:pPr>
      <w:suppressAutoHyphens/>
    </w:pPr>
    <w:rPr>
      <w:rFonts w:ascii="Arial" w:eastAsia="Microsoft Sans Serif" w:hAnsi="Arial" w:cs="Arial"/>
      <w:color w:val="000000"/>
      <w:sz w:val="24"/>
      <w:szCs w:val="24"/>
    </w:r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next w:val="Tekstkomentarza1"/>
    <w:rPr>
      <w:b/>
    </w:rPr>
  </w:style>
  <w:style w:type="paragraph" w:customStyle="1" w:styleId="Akapitzlist1">
    <w:name w:val="Akapit z listą1"/>
    <w:basedOn w:val="Base-Tekst"/>
    <w:pPr>
      <w:spacing w:before="0"/>
      <w:ind w:left="720"/>
      <w:contextualSpacing/>
    </w:pPr>
  </w:style>
  <w:style w:type="paragraph" w:customStyle="1" w:styleId="Poprawka1">
    <w:name w:val="Poprawka1"/>
    <w:pPr>
      <w:suppressAutoHyphens/>
    </w:pPr>
    <w:rPr>
      <w:rFonts w:ascii="Microsoft Sans Serif" w:eastAsia="Microsoft Sans Serif" w:hAnsi="Microsoft Sans Serif" w:cs="Microsoft Sans Serif"/>
      <w:color w:val="000000"/>
      <w:sz w:val="24"/>
      <w:szCs w:val="24"/>
      <w:lang w:bidi="pl-PL"/>
    </w:rPr>
  </w:style>
  <w:style w:type="paragraph" w:styleId="Nagwekindeksu">
    <w:name w:val="index heading"/>
    <w:basedOn w:val="Nagwek11"/>
  </w:style>
  <w:style w:type="paragraph" w:styleId="Nagwekwykazurde">
    <w:name w:val="toa heading"/>
    <w:basedOn w:val="Base-Nagwek1"/>
    <w:next w:val="Tekstpodstawowy"/>
    <w:pPr>
      <w:outlineLvl w:val="9"/>
    </w:pPr>
  </w:style>
  <w:style w:type="paragraph" w:customStyle="1" w:styleId="Base-Tekst">
    <w:name w:val="Base - Tekst"/>
    <w:basedOn w:val="Normalny"/>
    <w:pPr>
      <w:spacing w:before="240" w:after="0" w:line="360" w:lineRule="auto"/>
      <w:jc w:val="both"/>
    </w:pPr>
  </w:style>
  <w:style w:type="paragraph" w:customStyle="1" w:styleId="Base-Nagwki">
    <w:name w:val="Base - Nagłówki"/>
    <w:basedOn w:val="Normalny"/>
    <w:pPr>
      <w:keepNext/>
      <w:keepLines/>
      <w:spacing w:before="240" w:after="120" w:line="360" w:lineRule="auto"/>
      <w:jc w:val="both"/>
    </w:pPr>
  </w:style>
  <w:style w:type="paragraph" w:customStyle="1" w:styleId="Base-Nagwek1">
    <w:name w:val="Base - Nagłówek 1"/>
    <w:basedOn w:val="Base-Nagwki"/>
    <w:next w:val="Tekstpodstawowy"/>
    <w:pPr>
      <w:pageBreakBefore/>
      <w:spacing w:before="720" w:after="360"/>
      <w:outlineLvl w:val="0"/>
    </w:pPr>
    <w:rPr>
      <w:color w:val="2A194F"/>
      <w:sz w:val="44"/>
    </w:rPr>
  </w:style>
  <w:style w:type="paragraph" w:customStyle="1" w:styleId="Base-Nagwek2">
    <w:name w:val="Base - Nagłówek 2"/>
    <w:basedOn w:val="Base-Nagwki"/>
    <w:next w:val="Tekstpodstawowy"/>
    <w:pPr>
      <w:spacing w:before="480" w:after="240"/>
    </w:pPr>
    <w:rPr>
      <w:color w:val="2A194F"/>
      <w:sz w:val="32"/>
    </w:rPr>
  </w:style>
  <w:style w:type="paragraph" w:customStyle="1" w:styleId="Base-Nagwek3">
    <w:name w:val="Base - Nagłówek 3"/>
    <w:basedOn w:val="Base-Nagwki"/>
    <w:next w:val="Tekstpodstawowy"/>
    <w:pPr>
      <w:tabs>
        <w:tab w:val="left" w:pos="794"/>
      </w:tabs>
      <w:spacing w:before="480"/>
      <w:ind w:left="794" w:hanging="794"/>
    </w:pPr>
    <w:rPr>
      <w:sz w:val="28"/>
    </w:rPr>
  </w:style>
  <w:style w:type="paragraph" w:customStyle="1" w:styleId="Base-Nagwek4">
    <w:name w:val="Base - Nagłówek 4"/>
    <w:basedOn w:val="Base-Nagwki"/>
    <w:pPr>
      <w:tabs>
        <w:tab w:val="left" w:pos="851"/>
      </w:tabs>
      <w:spacing w:before="360"/>
      <w:ind w:left="851" w:hanging="851"/>
    </w:pPr>
    <w:rPr>
      <w:b/>
      <w:caps/>
      <w:color w:val="2A194F"/>
      <w:spacing w:val="14"/>
      <w:sz w:val="18"/>
    </w:rPr>
  </w:style>
  <w:style w:type="paragraph" w:customStyle="1" w:styleId="Base-Nagwek5">
    <w:name w:val="Base - Nagłówek 5"/>
    <w:basedOn w:val="Base-Nagwki"/>
    <w:next w:val="Tekstpodstawowy"/>
    <w:pPr>
      <w:spacing w:before="200" w:after="0"/>
      <w:ind w:left="397" w:hanging="397"/>
    </w:pPr>
    <w:rPr>
      <w:b/>
      <w:i/>
    </w:rPr>
  </w:style>
  <w:style w:type="paragraph" w:customStyle="1" w:styleId="Base-Spistresci">
    <w:name w:val="Base - Spis tresci"/>
    <w:basedOn w:val="Base-Tekst"/>
    <w:pPr>
      <w:tabs>
        <w:tab w:val="right" w:leader="dot" w:pos="9072"/>
      </w:tabs>
      <w:ind w:right="567"/>
    </w:pPr>
  </w:style>
  <w:style w:type="paragraph" w:customStyle="1" w:styleId="Base-Tabela-Tekst">
    <w:name w:val="Base - Tabela - Tekst"/>
    <w:basedOn w:val="Base-Tekst"/>
    <w:pPr>
      <w:spacing w:before="0" w:line="240" w:lineRule="auto"/>
    </w:pPr>
    <w:rPr>
      <w:sz w:val="16"/>
    </w:rPr>
  </w:style>
  <w:style w:type="paragraph" w:customStyle="1" w:styleId="Base-Tabela-Tekstlist">
    <w:name w:val="Base - Tabela - Tekst list"/>
    <w:basedOn w:val="Base-Tabela-Tekst"/>
    <w:next w:val="Base-Tabela-Tekst"/>
    <w:pPr>
      <w:numPr>
        <w:ilvl w:val="1"/>
        <w:numId w:val="2"/>
      </w:numPr>
    </w:pPr>
  </w:style>
  <w:style w:type="paragraph" w:customStyle="1" w:styleId="Base-Tekstlist">
    <w:name w:val="Base - Tekst list"/>
    <w:basedOn w:val="Base-Tekst"/>
    <w:pPr>
      <w:spacing w:before="0"/>
    </w:pPr>
  </w:style>
  <w:style w:type="paragraph" w:customStyle="1" w:styleId="Bezodstpw1">
    <w:name w:val="Bez odstępów1"/>
    <w:basedOn w:val="Tekstpodstawowy"/>
    <w:pPr>
      <w:spacing w:before="0" w:after="200" w:line="240" w:lineRule="auto"/>
    </w:pPr>
  </w:style>
  <w:style w:type="paragraph" w:customStyle="1" w:styleId="Bibliografia1">
    <w:name w:val="Bibliografia1"/>
    <w:basedOn w:val="Base-Tekst"/>
    <w:next w:val="Tekstpodstawowy"/>
    <w:pPr>
      <w:spacing w:before="60" w:line="240" w:lineRule="auto"/>
      <w:ind w:left="397" w:hanging="397"/>
    </w:pPr>
    <w:rPr>
      <w:sz w:val="18"/>
    </w:rPr>
  </w:style>
  <w:style w:type="paragraph" w:customStyle="1" w:styleId="Code-pole">
    <w:name w:val="Code - pole"/>
    <w:basedOn w:val="Tekstpodstawowy"/>
    <w:pPr>
      <w:spacing w:before="0" w:after="200"/>
    </w:pPr>
    <w:rPr>
      <w:rFonts w:ascii="Courier" w:hAnsi="Courier"/>
    </w:rPr>
  </w:style>
  <w:style w:type="paragraph" w:customStyle="1" w:styleId="Cytat1">
    <w:name w:val="Cytat1"/>
    <w:basedOn w:val="Normalny"/>
    <w:next w:val="Normalny"/>
    <w:pPr>
      <w:spacing w:before="200" w:after="0"/>
      <w:ind w:left="360" w:right="360"/>
    </w:pPr>
    <w:rPr>
      <w:i/>
      <w:iCs/>
    </w:rPr>
  </w:style>
  <w:style w:type="paragraph" w:customStyle="1" w:styleId="Cytatintensywny1">
    <w:name w:val="Cytat intensywny1"/>
    <w:basedOn w:val="Normalny"/>
    <w:next w:val="Normalny"/>
    <w:pPr>
      <w:pBdr>
        <w:top w:val="none" w:sz="0" w:space="0" w:color="000000"/>
        <w:left w:val="none" w:sz="0" w:space="0" w:color="000000"/>
        <w:bottom w:val="single" w:sz="4" w:space="1" w:color="000000"/>
        <w:right w:val="none" w:sz="0" w:space="0" w:color="000000"/>
      </w:pBdr>
      <w:spacing w:before="200" w:after="280"/>
      <w:ind w:left="1008" w:right="1152"/>
      <w:jc w:val="both"/>
    </w:pPr>
    <w:rPr>
      <w:b/>
      <w:bCs w:val="0"/>
      <w:i/>
      <w:iCs/>
    </w:rPr>
  </w:style>
  <w:style w:type="paragraph" w:customStyle="1" w:styleId="Data1">
    <w:name w:val="Data1"/>
    <w:basedOn w:val="Normalny"/>
    <w:next w:val="Normalny"/>
  </w:style>
  <w:style w:type="paragraph" w:customStyle="1" w:styleId="HTA-CP-Informacje2strony">
    <w:name w:val="HTA - CP - Informacje 2 strony"/>
    <w:basedOn w:val="Base-Tekst"/>
    <w:pPr>
      <w:spacing w:before="120" w:line="240" w:lineRule="auto"/>
    </w:pPr>
    <w:rPr>
      <w:bCs w:val="0"/>
      <w:szCs w:val="24"/>
      <w:lang w:eastAsia="pl-PL" w:bidi="ar-SA"/>
    </w:rPr>
  </w:style>
  <w:style w:type="paragraph" w:customStyle="1" w:styleId="HTA-CP-Informacje2strony-Adres-naglowek">
    <w:name w:val="HTA - CP - Informacje 2 strony - Adres - naglowek"/>
    <w:basedOn w:val="HTA-CP-Informacje2strony"/>
    <w:pPr>
      <w:spacing w:before="240"/>
    </w:pPr>
    <w:rPr>
      <w:b/>
    </w:rPr>
  </w:style>
  <w:style w:type="paragraph" w:customStyle="1" w:styleId="HTA-CP-Informacje2strony-Adreskorespondencyjny">
    <w:name w:val="HTA - CP - Informacje 2 strony - Adres korespondencyjny"/>
    <w:basedOn w:val="HTA-CP-Informacje2strony"/>
    <w:pPr>
      <w:contextualSpacing/>
    </w:pPr>
  </w:style>
  <w:style w:type="paragraph" w:customStyle="1" w:styleId="HTA-CP-Informacje2strony-Zestawienienazwiskiimionosb">
    <w:name w:val="HTA - CP - Informacje 2 strony - Zestawienie nazwisk i imion osób"/>
    <w:basedOn w:val="HTA-CP-Informacje2strony"/>
    <w:pPr>
      <w:ind w:left="2268" w:hanging="2268"/>
    </w:pPr>
    <w:rPr>
      <w:szCs w:val="20"/>
    </w:rPr>
  </w:style>
  <w:style w:type="paragraph" w:customStyle="1" w:styleId="HTA-INDSK-Opishasel">
    <w:name w:val="HTA - IND SK -  Opis hasel"/>
    <w:basedOn w:val="Base-Tekst"/>
    <w:next w:val="Normalny"/>
    <w:pPr>
      <w:spacing w:before="120" w:line="240" w:lineRule="auto"/>
      <w:ind w:left="57" w:right="113"/>
    </w:pPr>
    <w:rPr>
      <w:bCs w:val="0"/>
      <w:sz w:val="18"/>
      <w:szCs w:val="24"/>
      <w:lang w:eastAsia="pl-PL" w:bidi="ar-SA"/>
    </w:rPr>
  </w:style>
  <w:style w:type="paragraph" w:customStyle="1" w:styleId="HTA-INDSK-Hasa">
    <w:name w:val="HTA - IND SK - Hasła"/>
    <w:basedOn w:val="HTA-INDSK-Opishasel"/>
    <w:pPr>
      <w:ind w:right="57"/>
      <w:jc w:val="right"/>
    </w:pPr>
    <w:rPr>
      <w:rFonts w:cs="Arial"/>
      <w:b/>
      <w:szCs w:val="17"/>
    </w:rPr>
  </w:style>
  <w:style w:type="paragraph" w:customStyle="1" w:styleId="HTA-INDSK-Opishaseang">
    <w:name w:val="HTA - IND SK - Opis haseł (ang)"/>
    <w:basedOn w:val="HTA-INDSK-Opishasel"/>
    <w:pPr>
      <w:spacing w:before="0"/>
    </w:pPr>
    <w:rPr>
      <w:i/>
      <w:lang w:val="en-GB"/>
    </w:rPr>
  </w:style>
  <w:style w:type="paragraph" w:customStyle="1" w:styleId="HTA-P1-Autorzy">
    <w:name w:val="HTA - P1 - Autorzy"/>
    <w:basedOn w:val="Base-Tekst"/>
    <w:pPr>
      <w:spacing w:before="0"/>
      <w:ind w:left="142"/>
      <w:jc w:val="left"/>
    </w:pPr>
    <w:rPr>
      <w:lang w:eastAsia="pl-PL" w:bidi="ar-SA"/>
    </w:rPr>
  </w:style>
  <w:style w:type="paragraph" w:customStyle="1" w:styleId="HTA-P1-SubTytu">
    <w:name w:val="HTA - P1 - SubTytuł"/>
    <w:basedOn w:val="Base-Tekst"/>
    <w:pPr>
      <w:spacing w:before="2320" w:after="120"/>
      <w:ind w:left="142"/>
      <w:jc w:val="center"/>
    </w:pPr>
    <w:rPr>
      <w:b/>
      <w:bCs w:val="0"/>
      <w:caps/>
      <w:sz w:val="28"/>
      <w:szCs w:val="24"/>
      <w:lang w:eastAsia="pl-PL" w:bidi="ar-SA"/>
    </w:rPr>
  </w:style>
  <w:style w:type="paragraph" w:customStyle="1" w:styleId="HTA-P1-Tytu">
    <w:name w:val="HTA - P1 - Tytuł"/>
    <w:basedOn w:val="Base-Tekst"/>
    <w:pPr>
      <w:spacing w:before="4720" w:after="1720"/>
      <w:ind w:left="142"/>
      <w:jc w:val="center"/>
    </w:pPr>
    <w:rPr>
      <w:b/>
      <w:bCs w:val="0"/>
      <w:caps/>
      <w:color w:val="2A194F"/>
      <w:sz w:val="32"/>
      <w:szCs w:val="28"/>
      <w:lang w:eastAsia="pl-PL" w:bidi="ar-SA"/>
    </w:rPr>
  </w:style>
  <w:style w:type="paragraph" w:customStyle="1" w:styleId="HTA-P1-Wersjaikrakow09">
    <w:name w:val="HTA - P1 - Wersja i krakow09"/>
    <w:basedOn w:val="Base-Tekst"/>
    <w:pPr>
      <w:spacing w:before="60" w:after="2520"/>
      <w:jc w:val="center"/>
    </w:pPr>
    <w:rPr>
      <w:b/>
      <w:bCs w:val="0"/>
      <w:color w:val="2A194F"/>
      <w:sz w:val="18"/>
      <w:szCs w:val="24"/>
      <w:lang w:eastAsia="pl-PL" w:bidi="ar-SA"/>
    </w:rPr>
  </w:style>
  <w:style w:type="paragraph" w:customStyle="1" w:styleId="HTA-Str-Opishase">
    <w:name w:val="HTA - Str - Opis haseł"/>
    <w:basedOn w:val="Base-Tekst"/>
    <w:rPr>
      <w:sz w:val="18"/>
    </w:rPr>
  </w:style>
  <w:style w:type="paragraph" w:customStyle="1" w:styleId="HTA-Str-Hasa">
    <w:name w:val="HTA - Str - Hasła"/>
    <w:basedOn w:val="HTA-Str-Opishase"/>
    <w:next w:val="HTA-Str-Opishase"/>
    <w:pPr>
      <w:keepNext/>
      <w:keepLines/>
      <w:numPr>
        <w:numId w:val="3"/>
      </w:numPr>
      <w:jc w:val="left"/>
    </w:pPr>
    <w:rPr>
      <w:rFonts w:cs="Arial"/>
      <w:b/>
      <w:color w:val="2A194F"/>
      <w:lang w:eastAsia="pl-PL" w:bidi="ar-SA"/>
    </w:rPr>
  </w:style>
  <w:style w:type="paragraph" w:customStyle="1" w:styleId="HTA-Str-Listanumerowana">
    <w:name w:val="HTA - Str - Lista numerowana"/>
    <w:basedOn w:val="HTA-Str-Opishase"/>
    <w:pPr>
      <w:numPr>
        <w:numId w:val="4"/>
      </w:numPr>
      <w:spacing w:before="60" w:after="60"/>
    </w:pPr>
  </w:style>
  <w:style w:type="paragraph" w:customStyle="1" w:styleId="HTA-Str-Listanumerowana2">
    <w:name w:val="HTA - Str - Lista numerowana 2"/>
    <w:basedOn w:val="HTA-Str-Listanumerowana"/>
  </w:style>
  <w:style w:type="paragraph" w:customStyle="1" w:styleId="HTA-Str-Listanumerowana3">
    <w:name w:val="HTA - Str - Lista numerowana 3"/>
    <w:basedOn w:val="HTA-Str-Listanumerowana2"/>
  </w:style>
  <w:style w:type="paragraph" w:customStyle="1" w:styleId="HTA-Str-Listapunktowana">
    <w:name w:val="HTA - Str - Lista punktowana"/>
    <w:basedOn w:val="HTA-Str-Opishase"/>
    <w:pPr>
      <w:numPr>
        <w:numId w:val="5"/>
      </w:numPr>
      <w:spacing w:before="60" w:after="60"/>
      <w:contextualSpacing/>
    </w:pPr>
  </w:style>
  <w:style w:type="paragraph" w:customStyle="1" w:styleId="HTA-Str-Listapunktowana2">
    <w:name w:val="HTA - Str - Lista punktowana 2"/>
    <w:basedOn w:val="HTA-Str-Listapunktowana"/>
  </w:style>
  <w:style w:type="paragraph" w:customStyle="1" w:styleId="HTA-Str-Listapunktowana3">
    <w:name w:val="HTA - Str - Lista punktowana 3"/>
    <w:basedOn w:val="HTA-Str-Listapunktowana2"/>
  </w:style>
  <w:style w:type="paragraph" w:customStyle="1" w:styleId="HTA-Str-Podtytu">
    <w:name w:val="HTA - Str - Podtytuł"/>
    <w:basedOn w:val="HTA-Str-Opishase"/>
    <w:next w:val="HTA-Str-Opishase"/>
    <w:pPr>
      <w:keepNext/>
      <w:keepLines/>
    </w:pPr>
    <w:rPr>
      <w:b/>
      <w:i/>
      <w:color w:val="B51131"/>
      <w:sz w:val="16"/>
      <w:szCs w:val="16"/>
    </w:rPr>
  </w:style>
  <w:style w:type="paragraph" w:customStyle="1" w:styleId="HTML-adres1">
    <w:name w:val="HTML - adres1"/>
    <w:basedOn w:val="Base-Tekst"/>
    <w:rPr>
      <w:i/>
      <w:iCs/>
    </w:rPr>
  </w:style>
  <w:style w:type="paragraph" w:customStyle="1" w:styleId="Indeks11">
    <w:name w:val="Indeks 11"/>
    <w:basedOn w:val="Normalny"/>
    <w:next w:val="Normalny"/>
    <w:autoRedefine/>
    <w:pPr>
      <w:ind w:left="200" w:hanging="200"/>
    </w:pPr>
  </w:style>
  <w:style w:type="paragraph" w:customStyle="1" w:styleId="Lista-kontynuacja1">
    <w:name w:val="Lista - kontynuacja1"/>
    <w:basedOn w:val="Base-Tekstlist"/>
    <w:pPr>
      <w:spacing w:after="120"/>
      <w:ind w:left="283"/>
      <w:contextualSpacing/>
    </w:pPr>
  </w:style>
  <w:style w:type="paragraph" w:customStyle="1" w:styleId="Lista-kontynuacja21">
    <w:name w:val="Lista - kontynuacja 21"/>
    <w:basedOn w:val="Base-Tekstlist"/>
    <w:pPr>
      <w:spacing w:after="120"/>
      <w:ind w:left="566"/>
      <w:contextualSpacing/>
    </w:pPr>
  </w:style>
  <w:style w:type="paragraph" w:customStyle="1" w:styleId="Lista-kontynuacja31">
    <w:name w:val="Lista - kontynuacja 31"/>
    <w:basedOn w:val="Base-Tekstlist"/>
    <w:pPr>
      <w:spacing w:after="120"/>
      <w:ind w:left="849"/>
      <w:contextualSpacing/>
    </w:pPr>
  </w:style>
  <w:style w:type="paragraph" w:customStyle="1" w:styleId="Lista-kontynuacja41">
    <w:name w:val="Lista - kontynuacja 41"/>
    <w:basedOn w:val="Base-Tekstlist"/>
    <w:pPr>
      <w:spacing w:after="120"/>
      <w:ind w:left="1132"/>
      <w:contextualSpacing/>
    </w:pPr>
  </w:style>
  <w:style w:type="paragraph" w:customStyle="1" w:styleId="Lista-kontynuacja51">
    <w:name w:val="Lista - kontynuacja 51"/>
    <w:basedOn w:val="Base-Tekstlist"/>
    <w:pPr>
      <w:spacing w:after="120"/>
      <w:ind w:left="1415"/>
      <w:contextualSpacing/>
    </w:pPr>
  </w:style>
  <w:style w:type="paragraph" w:customStyle="1" w:styleId="Listapunktowana31">
    <w:name w:val="Lista punktowana 31"/>
    <w:basedOn w:val="Base-Tekstlist"/>
    <w:pPr>
      <w:numPr>
        <w:ilvl w:val="2"/>
        <w:numId w:val="8"/>
      </w:numPr>
      <w:contextualSpacing/>
    </w:pPr>
  </w:style>
  <w:style w:type="paragraph" w:customStyle="1" w:styleId="Listapunktowana41">
    <w:name w:val="Lista punktowana 41"/>
    <w:basedOn w:val="Base-Tekstlist"/>
    <w:pPr>
      <w:numPr>
        <w:ilvl w:val="3"/>
        <w:numId w:val="8"/>
      </w:numPr>
      <w:contextualSpacing/>
    </w:pPr>
  </w:style>
  <w:style w:type="paragraph" w:customStyle="1" w:styleId="Listapunktowana51">
    <w:name w:val="Lista punktowana 51"/>
    <w:basedOn w:val="Base-Tekstlist"/>
    <w:pPr>
      <w:numPr>
        <w:ilvl w:val="4"/>
        <w:numId w:val="8"/>
      </w:numPr>
      <w:contextualSpacing/>
    </w:pPr>
  </w:style>
  <w:style w:type="paragraph" w:customStyle="1" w:styleId="Listanumerowana1">
    <w:name w:val="Lista numerowana1"/>
    <w:basedOn w:val="Base-Tekstlist"/>
    <w:pPr>
      <w:numPr>
        <w:numId w:val="6"/>
      </w:numPr>
      <w:spacing w:before="120"/>
      <w:contextualSpacing/>
    </w:pPr>
  </w:style>
  <w:style w:type="paragraph" w:customStyle="1" w:styleId="Listanumerowana-dugitekst">
    <w:name w:val="Lista numerowana - długi tekst"/>
    <w:basedOn w:val="Base-Tekstlist"/>
    <w:pPr>
      <w:numPr>
        <w:numId w:val="7"/>
      </w:numPr>
      <w:spacing w:before="120"/>
    </w:pPr>
  </w:style>
  <w:style w:type="paragraph" w:customStyle="1" w:styleId="Listanumerowana21">
    <w:name w:val="Lista numerowana 21"/>
    <w:basedOn w:val="Base-Tekstlist"/>
    <w:pPr>
      <w:numPr>
        <w:ilvl w:val="1"/>
        <w:numId w:val="6"/>
      </w:numPr>
      <w:contextualSpacing/>
    </w:pPr>
  </w:style>
  <w:style w:type="paragraph" w:customStyle="1" w:styleId="Listanumerowana2-dugitekst">
    <w:name w:val="Lista numerowana 2 - długi tekst"/>
    <w:basedOn w:val="Base-Tekstlist"/>
    <w:pPr>
      <w:numPr>
        <w:ilvl w:val="1"/>
        <w:numId w:val="7"/>
      </w:numPr>
    </w:pPr>
  </w:style>
  <w:style w:type="paragraph" w:customStyle="1" w:styleId="Listanumerowana31">
    <w:name w:val="Lista numerowana 31"/>
    <w:basedOn w:val="Base-Tekstlist"/>
    <w:pPr>
      <w:numPr>
        <w:ilvl w:val="2"/>
        <w:numId w:val="6"/>
      </w:numPr>
      <w:contextualSpacing/>
    </w:pPr>
  </w:style>
  <w:style w:type="paragraph" w:customStyle="1" w:styleId="Listanumerowana3-dugitekst">
    <w:name w:val="Lista numerowana 3 - długi tekst"/>
    <w:basedOn w:val="Base-Tekstlist"/>
    <w:pPr>
      <w:numPr>
        <w:ilvl w:val="2"/>
        <w:numId w:val="7"/>
      </w:numPr>
    </w:pPr>
  </w:style>
  <w:style w:type="paragraph" w:customStyle="1" w:styleId="Listanumerowana41">
    <w:name w:val="Lista numerowana 41"/>
    <w:basedOn w:val="Base-Tekstlist"/>
    <w:pPr>
      <w:numPr>
        <w:ilvl w:val="3"/>
        <w:numId w:val="6"/>
      </w:numPr>
      <w:contextualSpacing/>
    </w:pPr>
  </w:style>
  <w:style w:type="paragraph" w:customStyle="1" w:styleId="Listanumerowana4-dugitekst">
    <w:name w:val="Lista numerowana 4 - długi tekst"/>
    <w:basedOn w:val="Base-Tekstlist"/>
    <w:pPr>
      <w:numPr>
        <w:ilvl w:val="3"/>
        <w:numId w:val="7"/>
      </w:numPr>
    </w:pPr>
  </w:style>
  <w:style w:type="paragraph" w:customStyle="1" w:styleId="Listanumerowana51">
    <w:name w:val="Lista numerowana 51"/>
    <w:basedOn w:val="Base-Tekstlist"/>
    <w:pPr>
      <w:numPr>
        <w:ilvl w:val="4"/>
        <w:numId w:val="6"/>
      </w:numPr>
      <w:contextualSpacing/>
    </w:pPr>
  </w:style>
  <w:style w:type="paragraph" w:customStyle="1" w:styleId="Listanumerowana5-dugitekst">
    <w:name w:val="Lista numerowana 5 - długi tekst"/>
    <w:basedOn w:val="Base-Tekstlist"/>
    <w:pPr>
      <w:numPr>
        <w:ilvl w:val="4"/>
        <w:numId w:val="7"/>
      </w:numPr>
    </w:pPr>
  </w:style>
  <w:style w:type="paragraph" w:customStyle="1" w:styleId="Listapunktowana1">
    <w:name w:val="Lista punktowana1"/>
    <w:basedOn w:val="Base-Tekstlist"/>
    <w:pPr>
      <w:numPr>
        <w:numId w:val="8"/>
      </w:numPr>
      <w:contextualSpacing/>
    </w:pPr>
  </w:style>
  <w:style w:type="paragraph" w:customStyle="1" w:styleId="Listapunktowana-dlugitekst">
    <w:name w:val="Lista punktowana - dlugi tekst"/>
    <w:basedOn w:val="Base-Tekstlist"/>
    <w:pPr>
      <w:numPr>
        <w:numId w:val="9"/>
      </w:numPr>
      <w:spacing w:before="120"/>
    </w:pPr>
  </w:style>
  <w:style w:type="paragraph" w:customStyle="1" w:styleId="Listapunktowana21">
    <w:name w:val="Lista punktowana 21"/>
    <w:basedOn w:val="Base-Tekstlist"/>
    <w:pPr>
      <w:numPr>
        <w:ilvl w:val="1"/>
        <w:numId w:val="8"/>
      </w:numPr>
      <w:contextualSpacing/>
    </w:pPr>
  </w:style>
  <w:style w:type="paragraph" w:customStyle="1" w:styleId="Listapunktowana2-dugitekst">
    <w:name w:val="Lista punktowana 2 - długi tekst"/>
    <w:basedOn w:val="Base-Tekstlist"/>
    <w:pPr>
      <w:numPr>
        <w:ilvl w:val="1"/>
        <w:numId w:val="9"/>
      </w:numPr>
    </w:pPr>
  </w:style>
  <w:style w:type="paragraph" w:customStyle="1" w:styleId="Listapunktowana3-dugitekst">
    <w:name w:val="Lista punktowana 3 - długi tekst"/>
    <w:basedOn w:val="Base-Tekstlist"/>
    <w:pPr>
      <w:numPr>
        <w:ilvl w:val="2"/>
        <w:numId w:val="9"/>
      </w:numPr>
    </w:pPr>
  </w:style>
  <w:style w:type="paragraph" w:customStyle="1" w:styleId="Listapunktowana4-dugitekst">
    <w:name w:val="Lista punktowana 4 - długi tekst"/>
    <w:basedOn w:val="Base-Tekstlist"/>
    <w:pPr>
      <w:numPr>
        <w:ilvl w:val="3"/>
        <w:numId w:val="9"/>
      </w:numPr>
    </w:pPr>
  </w:style>
  <w:style w:type="paragraph" w:customStyle="1" w:styleId="Listapunktowana5-dugitekst">
    <w:name w:val="Lista punktowana 5 - długi tekst"/>
    <w:basedOn w:val="Base-Tekstlist"/>
    <w:pPr>
      <w:numPr>
        <w:ilvl w:val="4"/>
        <w:numId w:val="9"/>
      </w:numPr>
    </w:pPr>
  </w:style>
  <w:style w:type="paragraph" w:customStyle="1" w:styleId="Mapadokumentu1">
    <w:name w:val="Mapa dokumentu1"/>
    <w:basedOn w:val="Normalny"/>
    <w:rPr>
      <w:rFonts w:ascii="Tahoma" w:hAnsi="Tahoma" w:cs="Tahoma"/>
      <w:sz w:val="16"/>
      <w:szCs w:val="16"/>
    </w:rPr>
  </w:style>
  <w:style w:type="paragraph" w:customStyle="1" w:styleId="Nagwek1beznumeracji">
    <w:name w:val="Nagłówek 1 (bez numeracji)"/>
    <w:basedOn w:val="Base-Nagwek1"/>
    <w:next w:val="Tekstpodstawowy"/>
  </w:style>
  <w:style w:type="paragraph" w:customStyle="1" w:styleId="Nagwek1Aneks">
    <w:name w:val="Nagłówek 1 (Aneks)"/>
    <w:basedOn w:val="Nagwek1beznumeracji"/>
    <w:next w:val="Tekstpodstawowy"/>
    <w:pPr>
      <w:numPr>
        <w:numId w:val="10"/>
      </w:numPr>
    </w:pPr>
  </w:style>
  <w:style w:type="paragraph" w:customStyle="1" w:styleId="Nagwek2beznumeracji">
    <w:name w:val="Nagłówek 2 (bez numeracji)"/>
    <w:basedOn w:val="Base-Nagwek2"/>
    <w:next w:val="Tekstpodstawowy"/>
  </w:style>
  <w:style w:type="paragraph" w:customStyle="1" w:styleId="Nagwek2Aneks">
    <w:name w:val="Nagłówek 2 (Aneks)"/>
    <w:basedOn w:val="Nagwek2beznumeracji"/>
    <w:next w:val="Tekstpodstawowy"/>
    <w:pPr>
      <w:numPr>
        <w:ilvl w:val="1"/>
        <w:numId w:val="10"/>
      </w:numPr>
      <w:outlineLvl w:val="1"/>
    </w:pPr>
    <w:rPr>
      <w:lang w:val="en-GB"/>
    </w:rPr>
  </w:style>
  <w:style w:type="paragraph" w:customStyle="1" w:styleId="Nagwek3beznumeracji">
    <w:name w:val="Nagłówek 3 (bez numeracji)"/>
    <w:basedOn w:val="Base-Nagwek3"/>
    <w:next w:val="Tekstpodstawowy"/>
    <w:pPr>
      <w:ind w:left="0" w:firstLine="0"/>
    </w:pPr>
  </w:style>
  <w:style w:type="paragraph" w:customStyle="1" w:styleId="Nagwek3Aneks">
    <w:name w:val="Nagłówek 3 (Aneks)"/>
    <w:basedOn w:val="Nagwek3beznumeracji"/>
    <w:next w:val="Tekstpodstawowy"/>
    <w:pPr>
      <w:numPr>
        <w:ilvl w:val="2"/>
        <w:numId w:val="10"/>
      </w:numPr>
      <w:outlineLvl w:val="2"/>
    </w:pPr>
  </w:style>
  <w:style w:type="paragraph" w:customStyle="1" w:styleId="Nagwek4beznumeracji">
    <w:name w:val="Nagłówek 4 (bez numeracji)"/>
    <w:basedOn w:val="Base-Nagwek4"/>
    <w:next w:val="Tekstpodstawowy"/>
    <w:pPr>
      <w:ind w:left="0" w:firstLine="0"/>
    </w:pPr>
    <w:rPr>
      <w:sz w:val="20"/>
    </w:rPr>
  </w:style>
  <w:style w:type="paragraph" w:customStyle="1" w:styleId="Nagwek4Aneks">
    <w:name w:val="Nagłówek 4 (Aneks)"/>
    <w:basedOn w:val="Nagwek4beznumeracji"/>
    <w:pPr>
      <w:numPr>
        <w:ilvl w:val="3"/>
        <w:numId w:val="10"/>
      </w:numPr>
      <w:tabs>
        <w:tab w:val="clear" w:pos="851"/>
      </w:tabs>
      <w:outlineLvl w:val="3"/>
    </w:pPr>
  </w:style>
  <w:style w:type="paragraph" w:customStyle="1" w:styleId="Nagwek5beznumeracji">
    <w:name w:val="Nagłówek 5 (bez numeracji)"/>
    <w:basedOn w:val="Base-Nagwek5"/>
    <w:pPr>
      <w:ind w:left="0" w:firstLine="0"/>
    </w:pPr>
  </w:style>
  <w:style w:type="paragraph" w:customStyle="1" w:styleId="Nagwekindeksu1">
    <w:name w:val="Nagłówek indeksu1"/>
    <w:basedOn w:val="Base-Nagwek1"/>
    <w:next w:val="Indeks11"/>
    <w:rPr>
      <w:bCs w:val="0"/>
    </w:rPr>
  </w:style>
  <w:style w:type="paragraph" w:customStyle="1" w:styleId="Nagwekwykazurde1">
    <w:name w:val="Nagłówek wykazu źródeł1"/>
    <w:basedOn w:val="Base-Nagwek1"/>
    <w:next w:val="Tekstpodstawowy"/>
    <w:pPr>
      <w:spacing w:before="120"/>
    </w:pPr>
    <w:rPr>
      <w:bCs w:val="0"/>
      <w:szCs w:val="24"/>
    </w:rPr>
  </w:style>
  <w:style w:type="paragraph" w:styleId="Podtytu">
    <w:name w:val="Subtitle"/>
    <w:basedOn w:val="HTA-P1-SubTytu"/>
    <w:next w:val="HTA-P1-SubTytu"/>
    <w:qFormat/>
    <w:pPr>
      <w:spacing w:after="600"/>
    </w:pPr>
    <w:rPr>
      <w:rFonts w:ascii="Cambria" w:hAnsi="Cambria"/>
      <w:i/>
      <w:iCs/>
      <w:spacing w:val="13"/>
      <w:sz w:val="24"/>
    </w:rPr>
  </w:style>
  <w:style w:type="paragraph" w:customStyle="1" w:styleId="Spisilustracji1">
    <w:name w:val="Spis ilustracji1"/>
    <w:basedOn w:val="Base-Tekst"/>
    <w:next w:val="Tekstpodstawowy"/>
    <w:pPr>
      <w:tabs>
        <w:tab w:val="left" w:pos="964"/>
        <w:tab w:val="right" w:leader="dot" w:pos="9072"/>
      </w:tabs>
      <w:spacing w:before="60" w:line="240" w:lineRule="auto"/>
      <w:ind w:left="1077" w:right="851" w:hanging="1077"/>
    </w:pPr>
    <w:rPr>
      <w:sz w:val="18"/>
    </w:rPr>
  </w:style>
  <w:style w:type="paragraph" w:styleId="Spistreci1">
    <w:name w:val="toc 1"/>
    <w:basedOn w:val="Base-Spistresci"/>
    <w:uiPriority w:val="39"/>
    <w:pPr>
      <w:tabs>
        <w:tab w:val="left" w:pos="397"/>
      </w:tabs>
      <w:spacing w:before="120"/>
      <w:ind w:left="397" w:hanging="397"/>
    </w:pPr>
    <w:rPr>
      <w:b/>
      <w:bCs w:val="0"/>
      <w:caps/>
      <w:color w:val="2A194F"/>
      <w:spacing w:val="12"/>
      <w:sz w:val="18"/>
      <w:szCs w:val="22"/>
      <w:lang w:bidi="ar-SA"/>
    </w:rPr>
  </w:style>
  <w:style w:type="paragraph" w:styleId="Spistreci2">
    <w:name w:val="toc 2"/>
    <w:basedOn w:val="Base-Spistresci"/>
    <w:uiPriority w:val="39"/>
    <w:pPr>
      <w:tabs>
        <w:tab w:val="clear" w:pos="9072"/>
        <w:tab w:val="left" w:pos="907"/>
        <w:tab w:val="right" w:leader="dot" w:pos="9062"/>
      </w:tabs>
      <w:spacing w:before="60"/>
      <w:ind w:left="907" w:hanging="510"/>
    </w:pPr>
    <w:rPr>
      <w:bCs w:val="0"/>
      <w:sz w:val="18"/>
      <w:szCs w:val="22"/>
      <w:lang w:bidi="ar-SA"/>
    </w:rPr>
  </w:style>
  <w:style w:type="paragraph" w:styleId="Spistreci3">
    <w:name w:val="toc 3"/>
    <w:basedOn w:val="Base-Spistresci"/>
    <w:pPr>
      <w:tabs>
        <w:tab w:val="left" w:pos="1588"/>
      </w:tabs>
      <w:spacing w:before="60"/>
      <w:ind w:left="1587" w:hanging="680"/>
    </w:pPr>
    <w:rPr>
      <w:bCs w:val="0"/>
      <w:sz w:val="18"/>
      <w:szCs w:val="22"/>
      <w:lang w:bidi="ar-SA"/>
    </w:rPr>
  </w:style>
  <w:style w:type="paragraph" w:styleId="Spistreci4">
    <w:name w:val="toc 4"/>
    <w:basedOn w:val="Base-Spistresci"/>
    <w:pPr>
      <w:tabs>
        <w:tab w:val="left" w:pos="1588"/>
      </w:tabs>
      <w:spacing w:before="60"/>
      <w:ind w:left="2382" w:hanging="794"/>
    </w:pPr>
    <w:rPr>
      <w:i/>
      <w:sz w:val="18"/>
    </w:rPr>
  </w:style>
  <w:style w:type="paragraph" w:styleId="Spistreci5">
    <w:name w:val="toc 5"/>
    <w:basedOn w:val="Base-Spistresci"/>
    <w:pPr>
      <w:tabs>
        <w:tab w:val="left" w:pos="1418"/>
      </w:tabs>
      <w:spacing w:before="60"/>
      <w:ind w:left="1418" w:hanging="1134"/>
    </w:pPr>
    <w:rPr>
      <w:sz w:val="16"/>
    </w:rPr>
  </w:style>
  <w:style w:type="paragraph" w:styleId="Spistreci6">
    <w:name w:val="toc 6"/>
    <w:basedOn w:val="Base-Spistresci"/>
    <w:next w:val="Nagwek6"/>
    <w:pPr>
      <w:spacing w:before="60"/>
      <w:ind w:left="1418"/>
    </w:pPr>
    <w:rPr>
      <w:sz w:val="16"/>
    </w:rPr>
  </w:style>
  <w:style w:type="paragraph" w:styleId="Spistreci7">
    <w:name w:val="toc 7"/>
    <w:basedOn w:val="Base-Spistresci"/>
    <w:pPr>
      <w:spacing w:before="60"/>
      <w:ind w:left="1418"/>
    </w:pPr>
    <w:rPr>
      <w:i/>
      <w:sz w:val="16"/>
    </w:rPr>
  </w:style>
  <w:style w:type="paragraph" w:styleId="Spistreci8">
    <w:name w:val="toc 8"/>
    <w:basedOn w:val="Base-Spistresci"/>
    <w:pPr>
      <w:spacing w:before="60"/>
      <w:ind w:left="1418"/>
    </w:pPr>
    <w:rPr>
      <w:i/>
      <w:sz w:val="16"/>
    </w:rPr>
  </w:style>
  <w:style w:type="paragraph" w:styleId="Spistreci9">
    <w:name w:val="toc 9"/>
    <w:basedOn w:val="Base-Spistresci"/>
    <w:pPr>
      <w:spacing w:before="60"/>
      <w:ind w:left="1418"/>
    </w:pPr>
    <w:rPr>
      <w:i/>
      <w:sz w:val="16"/>
    </w:rPr>
  </w:style>
  <w:style w:type="paragraph" w:customStyle="1" w:styleId="Stopka-stronapionowa">
    <w:name w:val="Stopka - strona pionowa"/>
    <w:basedOn w:val="Stopka0"/>
    <w:pPr>
      <w:pBdr>
        <w:top w:val="single" w:sz="4" w:space="1" w:color="2A194F"/>
      </w:pBdr>
      <w:spacing w:before="0" w:after="200" w:line="276" w:lineRule="auto"/>
    </w:pPr>
    <w:rPr>
      <w:lang w:val="en-US"/>
    </w:rPr>
  </w:style>
  <w:style w:type="paragraph" w:customStyle="1" w:styleId="Stopka-stronapozioma">
    <w:name w:val="Stopka - strona pozioma"/>
    <w:basedOn w:val="Stopka0"/>
    <w:pPr>
      <w:pBdr>
        <w:top w:val="single" w:sz="4" w:space="1" w:color="2A194F"/>
      </w:pBdr>
      <w:tabs>
        <w:tab w:val="clear" w:pos="4536"/>
        <w:tab w:val="clear" w:pos="9072"/>
        <w:tab w:val="center" w:pos="7706"/>
      </w:tabs>
      <w:spacing w:before="0" w:after="200" w:line="276" w:lineRule="auto"/>
    </w:pPr>
    <w:rPr>
      <w:lang w:val="en-US"/>
    </w:rPr>
  </w:style>
  <w:style w:type="paragraph" w:customStyle="1" w:styleId="Tabela-Listapunktowa">
    <w:name w:val="Tabela - Lista punktowa"/>
    <w:basedOn w:val="Base-Tabela-Tekstlist"/>
    <w:next w:val="Base-Tabela-Tekstlist"/>
    <w:pPr>
      <w:numPr>
        <w:ilvl w:val="0"/>
        <w:numId w:val="12"/>
      </w:numPr>
      <w:jc w:val="left"/>
    </w:pPr>
  </w:style>
  <w:style w:type="paragraph" w:customStyle="1" w:styleId="Tabela-Listanumerowana">
    <w:name w:val="Tabela - Lista numerowana"/>
    <w:basedOn w:val="Tabela-Listapunktowa"/>
    <w:next w:val="Base-Tabela-Tekstlist"/>
    <w:pPr>
      <w:numPr>
        <w:numId w:val="13"/>
      </w:numPr>
    </w:pPr>
    <w:rPr>
      <w:sz w:val="18"/>
    </w:rPr>
  </w:style>
  <w:style w:type="paragraph" w:customStyle="1" w:styleId="Tabela-TekstnagwekIrzdniebieskieto">
    <w:name w:val="Tabela - Tekst nagłówek I rząd (niebieskie tło)"/>
    <w:basedOn w:val="Base-Tabela-Tekst"/>
    <w:pPr>
      <w:keepNext/>
      <w:keepLines/>
      <w:jc w:val="center"/>
    </w:pPr>
    <w:rPr>
      <w:b/>
      <w:sz w:val="18"/>
    </w:rPr>
  </w:style>
  <w:style w:type="paragraph" w:customStyle="1" w:styleId="Tabela-TekstnagwekIIrzdszareto">
    <w:name w:val="Tabela - Tekst nagłówek II rząd (szare tło)"/>
    <w:basedOn w:val="Base-Tabela-Tekst"/>
    <w:pPr>
      <w:keepLines/>
      <w:jc w:val="left"/>
    </w:pPr>
    <w:rPr>
      <w:b/>
      <w:sz w:val="18"/>
    </w:rPr>
  </w:style>
  <w:style w:type="paragraph" w:customStyle="1" w:styleId="Tabela-TekstnagwekIIIrzdbiaeto">
    <w:name w:val="Tabela - Tekst nagłówek III rząd (białe tło)"/>
    <w:basedOn w:val="Base-Tabela-Tekst"/>
    <w:pPr>
      <w:keepLines/>
      <w:jc w:val="center"/>
    </w:pPr>
    <w:rPr>
      <w:b/>
    </w:rPr>
  </w:style>
  <w:style w:type="paragraph" w:customStyle="1" w:styleId="Tabela-TekstpodstawowyDolewej">
    <w:name w:val="Tabela - Tekst podstawowy Do lewej"/>
    <w:basedOn w:val="Base-Tabela-Tekst"/>
    <w:pPr>
      <w:jc w:val="left"/>
    </w:pPr>
    <w:rPr>
      <w:sz w:val="18"/>
    </w:rPr>
  </w:style>
  <w:style w:type="paragraph" w:customStyle="1" w:styleId="Tabela-TekstpodstawowyDoprawej">
    <w:name w:val="Tabela - Tekst podstawowy Do prawej"/>
    <w:basedOn w:val="Base-Tabela-Tekst"/>
    <w:pPr>
      <w:jc w:val="right"/>
    </w:pPr>
  </w:style>
  <w:style w:type="paragraph" w:customStyle="1" w:styleId="Tabela-TekstpodstawowyJustowany">
    <w:name w:val="Tabela - Tekst podstawowy Justowany"/>
    <w:basedOn w:val="Base-Tabela-Tekst"/>
  </w:style>
  <w:style w:type="paragraph" w:customStyle="1" w:styleId="Tabela-TekstpodstawowyWyrodkowany">
    <w:name w:val="Tabela - Tekst podstawowy Wyśrodkowany"/>
    <w:basedOn w:val="Base-Tabela-Tekst"/>
    <w:pPr>
      <w:jc w:val="center"/>
    </w:pPr>
    <w:rPr>
      <w:sz w:val="18"/>
    </w:rPr>
  </w:style>
  <w:style w:type="paragraph" w:customStyle="1" w:styleId="Tekstdymka1">
    <w:name w:val="Tekst dymka1"/>
    <w:basedOn w:val="Normalny"/>
    <w:pPr>
      <w:spacing w:after="0" w:line="240" w:lineRule="auto"/>
    </w:pPr>
    <w:rPr>
      <w:rFonts w:ascii="Tahoma" w:hAnsi="Tahoma" w:cs="Tahoma"/>
      <w:sz w:val="16"/>
      <w:szCs w:val="16"/>
    </w:rPr>
  </w:style>
  <w:style w:type="paragraph" w:customStyle="1" w:styleId="Tekstopisupodelementem">
    <w:name w:val="Tekst opisu pod elementem"/>
    <w:basedOn w:val="Base-Tekst"/>
    <w:pPr>
      <w:spacing w:before="60" w:after="360" w:line="240" w:lineRule="auto"/>
      <w:contextualSpacing/>
    </w:pPr>
    <w:rPr>
      <w:sz w:val="14"/>
    </w:rPr>
  </w:style>
  <w:style w:type="paragraph" w:customStyle="1" w:styleId="Tekstopisupodelementem-lista">
    <w:name w:val="Tekst opisu pod elementem - lista"/>
    <w:basedOn w:val="Tekstopisupodelementem"/>
    <w:pPr>
      <w:numPr>
        <w:numId w:val="14"/>
      </w:numPr>
    </w:pPr>
  </w:style>
  <w:style w:type="paragraph" w:customStyle="1" w:styleId="Tekstpodstawowy21">
    <w:name w:val="Tekst podstawowy 21"/>
    <w:basedOn w:val="Base-Tekst"/>
    <w:rPr>
      <w:sz w:val="18"/>
    </w:rPr>
  </w:style>
  <w:style w:type="paragraph" w:customStyle="1" w:styleId="Tekstpodstawowy31">
    <w:name w:val="Tekst podstawowy 31"/>
    <w:basedOn w:val="Base-Tekst"/>
    <w:rPr>
      <w:sz w:val="16"/>
      <w:szCs w:val="16"/>
    </w:rPr>
  </w:style>
  <w:style w:type="paragraph" w:styleId="Tekstpodstawowywcity">
    <w:name w:val="Body Text Indent"/>
    <w:basedOn w:val="Tekstpodstawowy"/>
    <w:pPr>
      <w:ind w:firstLine="210"/>
    </w:pPr>
  </w:style>
  <w:style w:type="paragraph" w:customStyle="1" w:styleId="Tekstpodstawowywcity21">
    <w:name w:val="Tekst podstawowy wcięty 21"/>
    <w:basedOn w:val="Tekstpodstawowy21"/>
    <w:pPr>
      <w:ind w:left="283"/>
    </w:pPr>
  </w:style>
  <w:style w:type="paragraph" w:customStyle="1" w:styleId="Tekstpodstawowywcity31">
    <w:name w:val="Tekst podstawowy wcięty 31"/>
    <w:basedOn w:val="Tekstpodstawowy31"/>
    <w:pPr>
      <w:spacing w:after="120"/>
      <w:ind w:left="283"/>
    </w:pPr>
  </w:style>
  <w:style w:type="paragraph" w:customStyle="1" w:styleId="Tekstpodstawowyzwciciem21">
    <w:name w:val="Tekst podstawowy z wcięciem 21"/>
    <w:basedOn w:val="Tekstpodstawowywcity"/>
    <w:pPr>
      <w:spacing w:before="0" w:after="120"/>
      <w:ind w:left="283"/>
    </w:pPr>
  </w:style>
  <w:style w:type="paragraph" w:customStyle="1" w:styleId="Tekstpodstawowyzwysuniciem">
    <w:name w:val="Tekst podstawowy z wysunięciem"/>
    <w:basedOn w:val="Tekstpodstawowy"/>
    <w:pPr>
      <w:tabs>
        <w:tab w:val="left" w:pos="1701"/>
      </w:tabs>
      <w:ind w:left="1701" w:hanging="1701"/>
    </w:pPr>
  </w:style>
  <w:style w:type="paragraph" w:styleId="Tytu">
    <w:name w:val="Title"/>
    <w:basedOn w:val="HTA-P1-Tytu"/>
    <w:next w:val="HTA-P1-Tytu"/>
    <w:qFormat/>
  </w:style>
  <w:style w:type="paragraph" w:styleId="Tekstdymka">
    <w:name w:val="Balloon Text"/>
    <w:basedOn w:val="Normalny"/>
    <w:link w:val="TekstdymkaZnak1"/>
    <w:uiPriority w:val="99"/>
    <w:semiHidden/>
    <w:unhideWhenUsed/>
    <w:rsid w:val="00393B4B"/>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393B4B"/>
    <w:rPr>
      <w:rFonts w:ascii="Segoe UI" w:hAnsi="Segoe UI" w:cs="Segoe UI"/>
      <w:bCs/>
      <w:sz w:val="18"/>
      <w:szCs w:val="18"/>
      <w:lang w:eastAsia="en-US" w:bidi="en-US"/>
    </w:rPr>
  </w:style>
  <w:style w:type="character" w:customStyle="1" w:styleId="Nierozpoznanawzmianka2">
    <w:name w:val="Nierozpoznana wzmianka2"/>
    <w:basedOn w:val="Domylnaczcionkaakapitu"/>
    <w:uiPriority w:val="99"/>
    <w:semiHidden/>
    <w:unhideWhenUsed/>
    <w:rsid w:val="00856884"/>
    <w:rPr>
      <w:color w:val="605E5C"/>
      <w:shd w:val="clear" w:color="auto" w:fill="E1DFDD"/>
    </w:rPr>
  </w:style>
  <w:style w:type="table" w:styleId="Tabela-Siatka">
    <w:name w:val="Table Grid"/>
    <w:basedOn w:val="Standardowy"/>
    <w:rsid w:val="00AE3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E37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37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63001"/>
    <w:pPr>
      <w:suppressAutoHyphens w:val="0"/>
      <w:spacing w:after="0" w:line="240" w:lineRule="auto"/>
      <w:ind w:left="720"/>
    </w:pPr>
    <w:rPr>
      <w:rFonts w:ascii="Calibri" w:eastAsiaTheme="minorHAnsi" w:hAnsi="Calibri" w:cs="Calibri"/>
      <w:bCs w:val="0"/>
      <w:sz w:val="22"/>
      <w:szCs w:val="22"/>
      <w:lang w:bidi="ar-SA"/>
      <w14:ligatures w14:val="standardContextual"/>
    </w:rPr>
  </w:style>
  <w:style w:type="paragraph" w:styleId="Poprawka">
    <w:name w:val="Revision"/>
    <w:hidden/>
    <w:uiPriority w:val="99"/>
    <w:semiHidden/>
    <w:rsid w:val="00063001"/>
    <w:rPr>
      <w:rFonts w:ascii="Arial" w:hAnsi="Arial"/>
      <w:bCs/>
      <w:lang w:eastAsia="en-US" w:bidi="en-US"/>
    </w:rPr>
  </w:style>
  <w:style w:type="table" w:customStyle="1" w:styleId="Tabela-Siatka3">
    <w:name w:val="Tabela - Siatka3"/>
    <w:basedOn w:val="Standardowy"/>
    <w:next w:val="Tabela-Siatka"/>
    <w:rsid w:val="00002A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uiPriority w:val="99"/>
    <w:rsid w:val="00002A13"/>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heffield.ac.uk/FRAX/tool.aspx?lang=po&amp;country=4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czesniejznaczylepiej.pl/programy-nigrir/program-profilaktyki-osteoporoz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tfarm.pl/PF/przeglad-numerow/-/2865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3C4wKISwW4" TargetMode="External"/><Relationship Id="rId5" Type="http://schemas.openxmlformats.org/officeDocument/2006/relationships/webSettings" Target="webSettings.xml"/><Relationship Id="rId15" Type="http://schemas.openxmlformats.org/officeDocument/2006/relationships/hyperlink" Target="http://www.mazovia.pl/" TargetMode="External"/><Relationship Id="rId23" Type="http://schemas.openxmlformats.org/officeDocument/2006/relationships/theme" Target="theme/theme1.xml"/><Relationship Id="rId10" Type="http://schemas.openxmlformats.org/officeDocument/2006/relationships/hyperlink" Target="https://pacjent.gov.pl/programy-profilaktyczne/profilaktyka-osteoporoz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acjent.gov.pl/programy-profilaktyczne/profilaktyka-osteoporozy" TargetMode="External"/><Relationship Id="rId14" Type="http://schemas.openxmlformats.org/officeDocument/2006/relationships/hyperlink" Target="https://um.warszawa.p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655DF-BEE6-42CF-904A-9E46DB76C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48</Pages>
  <Words>16090</Words>
  <Characters>96546</Characters>
  <Application>Microsoft Office Word</Application>
  <DocSecurity>0</DocSecurity>
  <Lines>804</Lines>
  <Paragraphs>224</Paragraphs>
  <ScaleCrop>false</ScaleCrop>
  <HeadingPairs>
    <vt:vector size="2" baseType="variant">
      <vt:variant>
        <vt:lpstr>Tytuł</vt:lpstr>
      </vt:variant>
      <vt:variant>
        <vt:i4>1</vt:i4>
      </vt:variant>
    </vt:vector>
  </HeadingPairs>
  <TitlesOfParts>
    <vt:vector size="1" baseType="lpstr">
      <vt:lpstr>druk nr 3236</vt:lpstr>
    </vt:vector>
  </TitlesOfParts>
  <Company>Urzad Miasta</Company>
  <LinksUpToDate>false</LinksUpToDate>
  <CharactersWithSpaces>112412</CharactersWithSpaces>
  <SharedDoc>false</SharedDoc>
  <HLinks>
    <vt:vector size="354" baseType="variant">
      <vt:variant>
        <vt:i4>5898249</vt:i4>
      </vt:variant>
      <vt:variant>
        <vt:i4>195</vt:i4>
      </vt:variant>
      <vt:variant>
        <vt:i4>0</vt:i4>
      </vt:variant>
      <vt:variant>
        <vt:i4>5</vt:i4>
      </vt:variant>
      <vt:variant>
        <vt:lpwstr>https://www.ptfarm.pl/PF/przeglad-numerow/-/28652</vt:lpwstr>
      </vt:variant>
      <vt:variant>
        <vt:lpwstr/>
      </vt:variant>
      <vt:variant>
        <vt:i4>7602293</vt:i4>
      </vt:variant>
      <vt:variant>
        <vt:i4>183</vt:i4>
      </vt:variant>
      <vt:variant>
        <vt:i4>0</vt:i4>
      </vt:variant>
      <vt:variant>
        <vt:i4>5</vt:i4>
      </vt:variant>
      <vt:variant>
        <vt:lpwstr>http://www.mazovia.pl/</vt:lpwstr>
      </vt:variant>
      <vt:variant>
        <vt:lpwstr/>
      </vt:variant>
      <vt:variant>
        <vt:i4>3539065</vt:i4>
      </vt:variant>
      <vt:variant>
        <vt:i4>180</vt:i4>
      </vt:variant>
      <vt:variant>
        <vt:i4>0</vt:i4>
      </vt:variant>
      <vt:variant>
        <vt:i4>5</vt:i4>
      </vt:variant>
      <vt:variant>
        <vt:lpwstr>https://um.warszawa.pl/</vt:lpwstr>
      </vt:variant>
      <vt:variant>
        <vt:lpwstr/>
      </vt:variant>
      <vt:variant>
        <vt:i4>2031630</vt:i4>
      </vt:variant>
      <vt:variant>
        <vt:i4>177</vt:i4>
      </vt:variant>
      <vt:variant>
        <vt:i4>0</vt:i4>
      </vt:variant>
      <vt:variant>
        <vt:i4>5</vt:i4>
      </vt:variant>
      <vt:variant>
        <vt:lpwstr>https://www.sheffield.ac.uk/FRAX/tool.aspx?lang=po&amp;country=40</vt:lpwstr>
      </vt:variant>
      <vt:variant>
        <vt:lpwstr/>
      </vt:variant>
      <vt:variant>
        <vt:i4>6553663</vt:i4>
      </vt:variant>
      <vt:variant>
        <vt:i4>174</vt:i4>
      </vt:variant>
      <vt:variant>
        <vt:i4>0</vt:i4>
      </vt:variant>
      <vt:variant>
        <vt:i4>5</vt:i4>
      </vt:variant>
      <vt:variant>
        <vt:lpwstr>https://pacjent.gov.pl/programy-profilaktyczne/profilaktyka-osteoporozy</vt:lpwstr>
      </vt:variant>
      <vt:variant>
        <vt:lpwstr/>
      </vt:variant>
      <vt:variant>
        <vt:i4>1769521</vt:i4>
      </vt:variant>
      <vt:variant>
        <vt:i4>161</vt:i4>
      </vt:variant>
      <vt:variant>
        <vt:i4>0</vt:i4>
      </vt:variant>
      <vt:variant>
        <vt:i4>5</vt:i4>
      </vt:variant>
      <vt:variant>
        <vt:lpwstr/>
      </vt:variant>
      <vt:variant>
        <vt:lpwstr>_Toc126841278</vt:lpwstr>
      </vt:variant>
      <vt:variant>
        <vt:i4>1769521</vt:i4>
      </vt:variant>
      <vt:variant>
        <vt:i4>158</vt:i4>
      </vt:variant>
      <vt:variant>
        <vt:i4>0</vt:i4>
      </vt:variant>
      <vt:variant>
        <vt:i4>5</vt:i4>
      </vt:variant>
      <vt:variant>
        <vt:lpwstr/>
      </vt:variant>
      <vt:variant>
        <vt:lpwstr>_Toc126841278</vt:lpwstr>
      </vt:variant>
      <vt:variant>
        <vt:i4>1769521</vt:i4>
      </vt:variant>
      <vt:variant>
        <vt:i4>155</vt:i4>
      </vt:variant>
      <vt:variant>
        <vt:i4>0</vt:i4>
      </vt:variant>
      <vt:variant>
        <vt:i4>5</vt:i4>
      </vt:variant>
      <vt:variant>
        <vt:lpwstr/>
      </vt:variant>
      <vt:variant>
        <vt:lpwstr>_Toc126841277</vt:lpwstr>
      </vt:variant>
      <vt:variant>
        <vt:i4>1769521</vt:i4>
      </vt:variant>
      <vt:variant>
        <vt:i4>152</vt:i4>
      </vt:variant>
      <vt:variant>
        <vt:i4>0</vt:i4>
      </vt:variant>
      <vt:variant>
        <vt:i4>5</vt:i4>
      </vt:variant>
      <vt:variant>
        <vt:lpwstr/>
      </vt:variant>
      <vt:variant>
        <vt:lpwstr>_Toc126841277</vt:lpwstr>
      </vt:variant>
      <vt:variant>
        <vt:i4>1769521</vt:i4>
      </vt:variant>
      <vt:variant>
        <vt:i4>149</vt:i4>
      </vt:variant>
      <vt:variant>
        <vt:i4>0</vt:i4>
      </vt:variant>
      <vt:variant>
        <vt:i4>5</vt:i4>
      </vt:variant>
      <vt:variant>
        <vt:lpwstr/>
      </vt:variant>
      <vt:variant>
        <vt:lpwstr>_Toc126841276</vt:lpwstr>
      </vt:variant>
      <vt:variant>
        <vt:i4>1769521</vt:i4>
      </vt:variant>
      <vt:variant>
        <vt:i4>146</vt:i4>
      </vt:variant>
      <vt:variant>
        <vt:i4>0</vt:i4>
      </vt:variant>
      <vt:variant>
        <vt:i4>5</vt:i4>
      </vt:variant>
      <vt:variant>
        <vt:lpwstr/>
      </vt:variant>
      <vt:variant>
        <vt:lpwstr>_Toc126841276</vt:lpwstr>
      </vt:variant>
      <vt:variant>
        <vt:i4>1769521</vt:i4>
      </vt:variant>
      <vt:variant>
        <vt:i4>143</vt:i4>
      </vt:variant>
      <vt:variant>
        <vt:i4>0</vt:i4>
      </vt:variant>
      <vt:variant>
        <vt:i4>5</vt:i4>
      </vt:variant>
      <vt:variant>
        <vt:lpwstr/>
      </vt:variant>
      <vt:variant>
        <vt:lpwstr>_Toc126841275</vt:lpwstr>
      </vt:variant>
      <vt:variant>
        <vt:i4>1769521</vt:i4>
      </vt:variant>
      <vt:variant>
        <vt:i4>140</vt:i4>
      </vt:variant>
      <vt:variant>
        <vt:i4>0</vt:i4>
      </vt:variant>
      <vt:variant>
        <vt:i4>5</vt:i4>
      </vt:variant>
      <vt:variant>
        <vt:lpwstr/>
      </vt:variant>
      <vt:variant>
        <vt:lpwstr>_Toc126841275</vt:lpwstr>
      </vt:variant>
      <vt:variant>
        <vt:i4>1769521</vt:i4>
      </vt:variant>
      <vt:variant>
        <vt:i4>137</vt:i4>
      </vt:variant>
      <vt:variant>
        <vt:i4>0</vt:i4>
      </vt:variant>
      <vt:variant>
        <vt:i4>5</vt:i4>
      </vt:variant>
      <vt:variant>
        <vt:lpwstr/>
      </vt:variant>
      <vt:variant>
        <vt:lpwstr>_Toc126841274</vt:lpwstr>
      </vt:variant>
      <vt:variant>
        <vt:i4>1769521</vt:i4>
      </vt:variant>
      <vt:variant>
        <vt:i4>134</vt:i4>
      </vt:variant>
      <vt:variant>
        <vt:i4>0</vt:i4>
      </vt:variant>
      <vt:variant>
        <vt:i4>5</vt:i4>
      </vt:variant>
      <vt:variant>
        <vt:lpwstr/>
      </vt:variant>
      <vt:variant>
        <vt:lpwstr>_Toc126841274</vt:lpwstr>
      </vt:variant>
      <vt:variant>
        <vt:i4>1769521</vt:i4>
      </vt:variant>
      <vt:variant>
        <vt:i4>131</vt:i4>
      </vt:variant>
      <vt:variant>
        <vt:i4>0</vt:i4>
      </vt:variant>
      <vt:variant>
        <vt:i4>5</vt:i4>
      </vt:variant>
      <vt:variant>
        <vt:lpwstr/>
      </vt:variant>
      <vt:variant>
        <vt:lpwstr>_Toc126841273</vt:lpwstr>
      </vt:variant>
      <vt:variant>
        <vt:i4>1769521</vt:i4>
      </vt:variant>
      <vt:variant>
        <vt:i4>128</vt:i4>
      </vt:variant>
      <vt:variant>
        <vt:i4>0</vt:i4>
      </vt:variant>
      <vt:variant>
        <vt:i4>5</vt:i4>
      </vt:variant>
      <vt:variant>
        <vt:lpwstr/>
      </vt:variant>
      <vt:variant>
        <vt:lpwstr>_Toc126841273</vt:lpwstr>
      </vt:variant>
      <vt:variant>
        <vt:i4>1769521</vt:i4>
      </vt:variant>
      <vt:variant>
        <vt:i4>125</vt:i4>
      </vt:variant>
      <vt:variant>
        <vt:i4>0</vt:i4>
      </vt:variant>
      <vt:variant>
        <vt:i4>5</vt:i4>
      </vt:variant>
      <vt:variant>
        <vt:lpwstr/>
      </vt:variant>
      <vt:variant>
        <vt:lpwstr>_Toc126841272</vt:lpwstr>
      </vt:variant>
      <vt:variant>
        <vt:i4>1769521</vt:i4>
      </vt:variant>
      <vt:variant>
        <vt:i4>122</vt:i4>
      </vt:variant>
      <vt:variant>
        <vt:i4>0</vt:i4>
      </vt:variant>
      <vt:variant>
        <vt:i4>5</vt:i4>
      </vt:variant>
      <vt:variant>
        <vt:lpwstr/>
      </vt:variant>
      <vt:variant>
        <vt:lpwstr>_Toc126841272</vt:lpwstr>
      </vt:variant>
      <vt:variant>
        <vt:i4>1769521</vt:i4>
      </vt:variant>
      <vt:variant>
        <vt:i4>119</vt:i4>
      </vt:variant>
      <vt:variant>
        <vt:i4>0</vt:i4>
      </vt:variant>
      <vt:variant>
        <vt:i4>5</vt:i4>
      </vt:variant>
      <vt:variant>
        <vt:lpwstr/>
      </vt:variant>
      <vt:variant>
        <vt:lpwstr>_Toc126841271</vt:lpwstr>
      </vt:variant>
      <vt:variant>
        <vt:i4>1769521</vt:i4>
      </vt:variant>
      <vt:variant>
        <vt:i4>116</vt:i4>
      </vt:variant>
      <vt:variant>
        <vt:i4>0</vt:i4>
      </vt:variant>
      <vt:variant>
        <vt:i4>5</vt:i4>
      </vt:variant>
      <vt:variant>
        <vt:lpwstr/>
      </vt:variant>
      <vt:variant>
        <vt:lpwstr>_Toc126841271</vt:lpwstr>
      </vt:variant>
      <vt:variant>
        <vt:i4>1769521</vt:i4>
      </vt:variant>
      <vt:variant>
        <vt:i4>113</vt:i4>
      </vt:variant>
      <vt:variant>
        <vt:i4>0</vt:i4>
      </vt:variant>
      <vt:variant>
        <vt:i4>5</vt:i4>
      </vt:variant>
      <vt:variant>
        <vt:lpwstr/>
      </vt:variant>
      <vt:variant>
        <vt:lpwstr>_Toc126841270</vt:lpwstr>
      </vt:variant>
      <vt:variant>
        <vt:i4>1769521</vt:i4>
      </vt:variant>
      <vt:variant>
        <vt:i4>110</vt:i4>
      </vt:variant>
      <vt:variant>
        <vt:i4>0</vt:i4>
      </vt:variant>
      <vt:variant>
        <vt:i4>5</vt:i4>
      </vt:variant>
      <vt:variant>
        <vt:lpwstr/>
      </vt:variant>
      <vt:variant>
        <vt:lpwstr>_Toc126841270</vt:lpwstr>
      </vt:variant>
      <vt:variant>
        <vt:i4>1703985</vt:i4>
      </vt:variant>
      <vt:variant>
        <vt:i4>107</vt:i4>
      </vt:variant>
      <vt:variant>
        <vt:i4>0</vt:i4>
      </vt:variant>
      <vt:variant>
        <vt:i4>5</vt:i4>
      </vt:variant>
      <vt:variant>
        <vt:lpwstr/>
      </vt:variant>
      <vt:variant>
        <vt:lpwstr>_Toc126841269</vt:lpwstr>
      </vt:variant>
      <vt:variant>
        <vt:i4>1703985</vt:i4>
      </vt:variant>
      <vt:variant>
        <vt:i4>104</vt:i4>
      </vt:variant>
      <vt:variant>
        <vt:i4>0</vt:i4>
      </vt:variant>
      <vt:variant>
        <vt:i4>5</vt:i4>
      </vt:variant>
      <vt:variant>
        <vt:lpwstr/>
      </vt:variant>
      <vt:variant>
        <vt:lpwstr>_Toc126841269</vt:lpwstr>
      </vt:variant>
      <vt:variant>
        <vt:i4>1703985</vt:i4>
      </vt:variant>
      <vt:variant>
        <vt:i4>101</vt:i4>
      </vt:variant>
      <vt:variant>
        <vt:i4>0</vt:i4>
      </vt:variant>
      <vt:variant>
        <vt:i4>5</vt:i4>
      </vt:variant>
      <vt:variant>
        <vt:lpwstr/>
      </vt:variant>
      <vt:variant>
        <vt:lpwstr>_Toc126841268</vt:lpwstr>
      </vt:variant>
      <vt:variant>
        <vt:i4>1703985</vt:i4>
      </vt:variant>
      <vt:variant>
        <vt:i4>98</vt:i4>
      </vt:variant>
      <vt:variant>
        <vt:i4>0</vt:i4>
      </vt:variant>
      <vt:variant>
        <vt:i4>5</vt:i4>
      </vt:variant>
      <vt:variant>
        <vt:lpwstr/>
      </vt:variant>
      <vt:variant>
        <vt:lpwstr>_Toc126841268</vt:lpwstr>
      </vt:variant>
      <vt:variant>
        <vt:i4>1703985</vt:i4>
      </vt:variant>
      <vt:variant>
        <vt:i4>95</vt:i4>
      </vt:variant>
      <vt:variant>
        <vt:i4>0</vt:i4>
      </vt:variant>
      <vt:variant>
        <vt:i4>5</vt:i4>
      </vt:variant>
      <vt:variant>
        <vt:lpwstr/>
      </vt:variant>
      <vt:variant>
        <vt:lpwstr>_Toc126841267</vt:lpwstr>
      </vt:variant>
      <vt:variant>
        <vt:i4>1703985</vt:i4>
      </vt:variant>
      <vt:variant>
        <vt:i4>92</vt:i4>
      </vt:variant>
      <vt:variant>
        <vt:i4>0</vt:i4>
      </vt:variant>
      <vt:variant>
        <vt:i4>5</vt:i4>
      </vt:variant>
      <vt:variant>
        <vt:lpwstr/>
      </vt:variant>
      <vt:variant>
        <vt:lpwstr>_Toc126841267</vt:lpwstr>
      </vt:variant>
      <vt:variant>
        <vt:i4>1703985</vt:i4>
      </vt:variant>
      <vt:variant>
        <vt:i4>89</vt:i4>
      </vt:variant>
      <vt:variant>
        <vt:i4>0</vt:i4>
      </vt:variant>
      <vt:variant>
        <vt:i4>5</vt:i4>
      </vt:variant>
      <vt:variant>
        <vt:lpwstr/>
      </vt:variant>
      <vt:variant>
        <vt:lpwstr>_Toc126841266</vt:lpwstr>
      </vt:variant>
      <vt:variant>
        <vt:i4>1703985</vt:i4>
      </vt:variant>
      <vt:variant>
        <vt:i4>86</vt:i4>
      </vt:variant>
      <vt:variant>
        <vt:i4>0</vt:i4>
      </vt:variant>
      <vt:variant>
        <vt:i4>5</vt:i4>
      </vt:variant>
      <vt:variant>
        <vt:lpwstr/>
      </vt:variant>
      <vt:variant>
        <vt:lpwstr>_Toc126841266</vt:lpwstr>
      </vt:variant>
      <vt:variant>
        <vt:i4>1703985</vt:i4>
      </vt:variant>
      <vt:variant>
        <vt:i4>83</vt:i4>
      </vt:variant>
      <vt:variant>
        <vt:i4>0</vt:i4>
      </vt:variant>
      <vt:variant>
        <vt:i4>5</vt:i4>
      </vt:variant>
      <vt:variant>
        <vt:lpwstr/>
      </vt:variant>
      <vt:variant>
        <vt:lpwstr>_Toc126841265</vt:lpwstr>
      </vt:variant>
      <vt:variant>
        <vt:i4>1703985</vt:i4>
      </vt:variant>
      <vt:variant>
        <vt:i4>80</vt:i4>
      </vt:variant>
      <vt:variant>
        <vt:i4>0</vt:i4>
      </vt:variant>
      <vt:variant>
        <vt:i4>5</vt:i4>
      </vt:variant>
      <vt:variant>
        <vt:lpwstr/>
      </vt:variant>
      <vt:variant>
        <vt:lpwstr>_Toc126841265</vt:lpwstr>
      </vt:variant>
      <vt:variant>
        <vt:i4>1703985</vt:i4>
      </vt:variant>
      <vt:variant>
        <vt:i4>77</vt:i4>
      </vt:variant>
      <vt:variant>
        <vt:i4>0</vt:i4>
      </vt:variant>
      <vt:variant>
        <vt:i4>5</vt:i4>
      </vt:variant>
      <vt:variant>
        <vt:lpwstr/>
      </vt:variant>
      <vt:variant>
        <vt:lpwstr>_Toc126841264</vt:lpwstr>
      </vt:variant>
      <vt:variant>
        <vt:i4>1703985</vt:i4>
      </vt:variant>
      <vt:variant>
        <vt:i4>74</vt:i4>
      </vt:variant>
      <vt:variant>
        <vt:i4>0</vt:i4>
      </vt:variant>
      <vt:variant>
        <vt:i4>5</vt:i4>
      </vt:variant>
      <vt:variant>
        <vt:lpwstr/>
      </vt:variant>
      <vt:variant>
        <vt:lpwstr>_Toc126841264</vt:lpwstr>
      </vt:variant>
      <vt:variant>
        <vt:i4>1703985</vt:i4>
      </vt:variant>
      <vt:variant>
        <vt:i4>71</vt:i4>
      </vt:variant>
      <vt:variant>
        <vt:i4>0</vt:i4>
      </vt:variant>
      <vt:variant>
        <vt:i4>5</vt:i4>
      </vt:variant>
      <vt:variant>
        <vt:lpwstr/>
      </vt:variant>
      <vt:variant>
        <vt:lpwstr>_Toc126841263</vt:lpwstr>
      </vt:variant>
      <vt:variant>
        <vt:i4>1703985</vt:i4>
      </vt:variant>
      <vt:variant>
        <vt:i4>68</vt:i4>
      </vt:variant>
      <vt:variant>
        <vt:i4>0</vt:i4>
      </vt:variant>
      <vt:variant>
        <vt:i4>5</vt:i4>
      </vt:variant>
      <vt:variant>
        <vt:lpwstr/>
      </vt:variant>
      <vt:variant>
        <vt:lpwstr>_Toc126841263</vt:lpwstr>
      </vt:variant>
      <vt:variant>
        <vt:i4>1703985</vt:i4>
      </vt:variant>
      <vt:variant>
        <vt:i4>65</vt:i4>
      </vt:variant>
      <vt:variant>
        <vt:i4>0</vt:i4>
      </vt:variant>
      <vt:variant>
        <vt:i4>5</vt:i4>
      </vt:variant>
      <vt:variant>
        <vt:lpwstr/>
      </vt:variant>
      <vt:variant>
        <vt:lpwstr>_Toc126841262</vt:lpwstr>
      </vt:variant>
      <vt:variant>
        <vt:i4>1703985</vt:i4>
      </vt:variant>
      <vt:variant>
        <vt:i4>62</vt:i4>
      </vt:variant>
      <vt:variant>
        <vt:i4>0</vt:i4>
      </vt:variant>
      <vt:variant>
        <vt:i4>5</vt:i4>
      </vt:variant>
      <vt:variant>
        <vt:lpwstr/>
      </vt:variant>
      <vt:variant>
        <vt:lpwstr>_Toc126841262</vt:lpwstr>
      </vt:variant>
      <vt:variant>
        <vt:i4>1703985</vt:i4>
      </vt:variant>
      <vt:variant>
        <vt:i4>59</vt:i4>
      </vt:variant>
      <vt:variant>
        <vt:i4>0</vt:i4>
      </vt:variant>
      <vt:variant>
        <vt:i4>5</vt:i4>
      </vt:variant>
      <vt:variant>
        <vt:lpwstr/>
      </vt:variant>
      <vt:variant>
        <vt:lpwstr>_Toc126841261</vt:lpwstr>
      </vt:variant>
      <vt:variant>
        <vt:i4>1703985</vt:i4>
      </vt:variant>
      <vt:variant>
        <vt:i4>56</vt:i4>
      </vt:variant>
      <vt:variant>
        <vt:i4>0</vt:i4>
      </vt:variant>
      <vt:variant>
        <vt:i4>5</vt:i4>
      </vt:variant>
      <vt:variant>
        <vt:lpwstr/>
      </vt:variant>
      <vt:variant>
        <vt:lpwstr>_Toc126841261</vt:lpwstr>
      </vt:variant>
      <vt:variant>
        <vt:i4>1703985</vt:i4>
      </vt:variant>
      <vt:variant>
        <vt:i4>53</vt:i4>
      </vt:variant>
      <vt:variant>
        <vt:i4>0</vt:i4>
      </vt:variant>
      <vt:variant>
        <vt:i4>5</vt:i4>
      </vt:variant>
      <vt:variant>
        <vt:lpwstr/>
      </vt:variant>
      <vt:variant>
        <vt:lpwstr>_Toc126841260</vt:lpwstr>
      </vt:variant>
      <vt:variant>
        <vt:i4>1703985</vt:i4>
      </vt:variant>
      <vt:variant>
        <vt:i4>50</vt:i4>
      </vt:variant>
      <vt:variant>
        <vt:i4>0</vt:i4>
      </vt:variant>
      <vt:variant>
        <vt:i4>5</vt:i4>
      </vt:variant>
      <vt:variant>
        <vt:lpwstr/>
      </vt:variant>
      <vt:variant>
        <vt:lpwstr>_Toc126841260</vt:lpwstr>
      </vt:variant>
      <vt:variant>
        <vt:i4>1638449</vt:i4>
      </vt:variant>
      <vt:variant>
        <vt:i4>47</vt:i4>
      </vt:variant>
      <vt:variant>
        <vt:i4>0</vt:i4>
      </vt:variant>
      <vt:variant>
        <vt:i4>5</vt:i4>
      </vt:variant>
      <vt:variant>
        <vt:lpwstr/>
      </vt:variant>
      <vt:variant>
        <vt:lpwstr>_Toc126841259</vt:lpwstr>
      </vt:variant>
      <vt:variant>
        <vt:i4>1638449</vt:i4>
      </vt:variant>
      <vt:variant>
        <vt:i4>44</vt:i4>
      </vt:variant>
      <vt:variant>
        <vt:i4>0</vt:i4>
      </vt:variant>
      <vt:variant>
        <vt:i4>5</vt:i4>
      </vt:variant>
      <vt:variant>
        <vt:lpwstr/>
      </vt:variant>
      <vt:variant>
        <vt:lpwstr>_Toc126841259</vt:lpwstr>
      </vt:variant>
      <vt:variant>
        <vt:i4>1638449</vt:i4>
      </vt:variant>
      <vt:variant>
        <vt:i4>41</vt:i4>
      </vt:variant>
      <vt:variant>
        <vt:i4>0</vt:i4>
      </vt:variant>
      <vt:variant>
        <vt:i4>5</vt:i4>
      </vt:variant>
      <vt:variant>
        <vt:lpwstr/>
      </vt:variant>
      <vt:variant>
        <vt:lpwstr>_Toc126841258</vt:lpwstr>
      </vt:variant>
      <vt:variant>
        <vt:i4>1638449</vt:i4>
      </vt:variant>
      <vt:variant>
        <vt:i4>38</vt:i4>
      </vt:variant>
      <vt:variant>
        <vt:i4>0</vt:i4>
      </vt:variant>
      <vt:variant>
        <vt:i4>5</vt:i4>
      </vt:variant>
      <vt:variant>
        <vt:lpwstr/>
      </vt:variant>
      <vt:variant>
        <vt:lpwstr>_Toc126841258</vt:lpwstr>
      </vt:variant>
      <vt:variant>
        <vt:i4>1638449</vt:i4>
      </vt:variant>
      <vt:variant>
        <vt:i4>35</vt:i4>
      </vt:variant>
      <vt:variant>
        <vt:i4>0</vt:i4>
      </vt:variant>
      <vt:variant>
        <vt:i4>5</vt:i4>
      </vt:variant>
      <vt:variant>
        <vt:lpwstr/>
      </vt:variant>
      <vt:variant>
        <vt:lpwstr>_Toc126841257</vt:lpwstr>
      </vt:variant>
      <vt:variant>
        <vt:i4>1638449</vt:i4>
      </vt:variant>
      <vt:variant>
        <vt:i4>32</vt:i4>
      </vt:variant>
      <vt:variant>
        <vt:i4>0</vt:i4>
      </vt:variant>
      <vt:variant>
        <vt:i4>5</vt:i4>
      </vt:variant>
      <vt:variant>
        <vt:lpwstr/>
      </vt:variant>
      <vt:variant>
        <vt:lpwstr>_Toc126841257</vt:lpwstr>
      </vt:variant>
      <vt:variant>
        <vt:i4>1638449</vt:i4>
      </vt:variant>
      <vt:variant>
        <vt:i4>29</vt:i4>
      </vt:variant>
      <vt:variant>
        <vt:i4>0</vt:i4>
      </vt:variant>
      <vt:variant>
        <vt:i4>5</vt:i4>
      </vt:variant>
      <vt:variant>
        <vt:lpwstr/>
      </vt:variant>
      <vt:variant>
        <vt:lpwstr>_Toc126841256</vt:lpwstr>
      </vt:variant>
      <vt:variant>
        <vt:i4>1638449</vt:i4>
      </vt:variant>
      <vt:variant>
        <vt:i4>26</vt:i4>
      </vt:variant>
      <vt:variant>
        <vt:i4>0</vt:i4>
      </vt:variant>
      <vt:variant>
        <vt:i4>5</vt:i4>
      </vt:variant>
      <vt:variant>
        <vt:lpwstr/>
      </vt:variant>
      <vt:variant>
        <vt:lpwstr>_Toc126841256</vt:lpwstr>
      </vt:variant>
      <vt:variant>
        <vt:i4>1638449</vt:i4>
      </vt:variant>
      <vt:variant>
        <vt:i4>23</vt:i4>
      </vt:variant>
      <vt:variant>
        <vt:i4>0</vt:i4>
      </vt:variant>
      <vt:variant>
        <vt:i4>5</vt:i4>
      </vt:variant>
      <vt:variant>
        <vt:lpwstr/>
      </vt:variant>
      <vt:variant>
        <vt:lpwstr>_Toc126841255</vt:lpwstr>
      </vt:variant>
      <vt:variant>
        <vt:i4>1638449</vt:i4>
      </vt:variant>
      <vt:variant>
        <vt:i4>20</vt:i4>
      </vt:variant>
      <vt:variant>
        <vt:i4>0</vt:i4>
      </vt:variant>
      <vt:variant>
        <vt:i4>5</vt:i4>
      </vt:variant>
      <vt:variant>
        <vt:lpwstr/>
      </vt:variant>
      <vt:variant>
        <vt:lpwstr>_Toc126841255</vt:lpwstr>
      </vt:variant>
      <vt:variant>
        <vt:i4>1638449</vt:i4>
      </vt:variant>
      <vt:variant>
        <vt:i4>17</vt:i4>
      </vt:variant>
      <vt:variant>
        <vt:i4>0</vt:i4>
      </vt:variant>
      <vt:variant>
        <vt:i4>5</vt:i4>
      </vt:variant>
      <vt:variant>
        <vt:lpwstr/>
      </vt:variant>
      <vt:variant>
        <vt:lpwstr>_Toc126841254</vt:lpwstr>
      </vt:variant>
      <vt:variant>
        <vt:i4>1638449</vt:i4>
      </vt:variant>
      <vt:variant>
        <vt:i4>14</vt:i4>
      </vt:variant>
      <vt:variant>
        <vt:i4>0</vt:i4>
      </vt:variant>
      <vt:variant>
        <vt:i4>5</vt:i4>
      </vt:variant>
      <vt:variant>
        <vt:lpwstr/>
      </vt:variant>
      <vt:variant>
        <vt:lpwstr>_Toc126841254</vt:lpwstr>
      </vt:variant>
      <vt:variant>
        <vt:i4>1638449</vt:i4>
      </vt:variant>
      <vt:variant>
        <vt:i4>11</vt:i4>
      </vt:variant>
      <vt:variant>
        <vt:i4>0</vt:i4>
      </vt:variant>
      <vt:variant>
        <vt:i4>5</vt:i4>
      </vt:variant>
      <vt:variant>
        <vt:lpwstr/>
      </vt:variant>
      <vt:variant>
        <vt:lpwstr>_Toc126841253</vt:lpwstr>
      </vt:variant>
      <vt:variant>
        <vt:i4>1638449</vt:i4>
      </vt:variant>
      <vt:variant>
        <vt:i4>8</vt:i4>
      </vt:variant>
      <vt:variant>
        <vt:i4>0</vt:i4>
      </vt:variant>
      <vt:variant>
        <vt:i4>5</vt:i4>
      </vt:variant>
      <vt:variant>
        <vt:lpwstr/>
      </vt:variant>
      <vt:variant>
        <vt:lpwstr>_Toc126841253</vt:lpwstr>
      </vt:variant>
      <vt:variant>
        <vt:i4>1638449</vt:i4>
      </vt:variant>
      <vt:variant>
        <vt:i4>5</vt:i4>
      </vt:variant>
      <vt:variant>
        <vt:i4>0</vt:i4>
      </vt:variant>
      <vt:variant>
        <vt:i4>5</vt:i4>
      </vt:variant>
      <vt:variant>
        <vt:lpwstr/>
      </vt:variant>
      <vt:variant>
        <vt:lpwstr>_Toc126841252</vt:lpwstr>
      </vt:variant>
      <vt:variant>
        <vt:i4>1638449</vt:i4>
      </vt:variant>
      <vt:variant>
        <vt:i4>2</vt:i4>
      </vt:variant>
      <vt:variant>
        <vt:i4>0</vt:i4>
      </vt:variant>
      <vt:variant>
        <vt:i4>5</vt:i4>
      </vt:variant>
      <vt:variant>
        <vt:lpwstr/>
      </vt:variant>
      <vt:variant>
        <vt:lpwstr>_Toc126841252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nr 3236</dc:title>
  <dc:subject/>
  <dc:creator>Admin</dc:creator>
  <cp:keywords/>
  <cp:lastModifiedBy>Polkowska Teresa (RW)</cp:lastModifiedBy>
  <cp:revision>10</cp:revision>
  <cp:lastPrinted>2023-09-22T07:35:00Z</cp:lastPrinted>
  <dcterms:created xsi:type="dcterms:W3CDTF">2023-09-21T13:39:00Z</dcterms:created>
  <dcterms:modified xsi:type="dcterms:W3CDTF">2023-09-28T14:28:00Z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0x010100C8B7B15C3BC36645AF80CAC7EF0E491B</vt:lpwstr>
  </property>
</Properties>
</file>