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6EC1C" w14:textId="77777777" w:rsidR="00DE1D20" w:rsidRDefault="00DE1D20" w:rsidP="00DE1D20">
      <w:pPr>
        <w:pStyle w:val="Tytu"/>
        <w:jc w:val="right"/>
      </w:pPr>
      <w:r>
        <w:t>PROJEKT</w:t>
      </w:r>
    </w:p>
    <w:p w14:paraId="7CFCD57F" w14:textId="5F2ADE41" w:rsidR="00DE1D20" w:rsidRPr="00DE1D20" w:rsidRDefault="007709BB" w:rsidP="007709BB">
      <w:pPr>
        <w:jc w:val="right"/>
      </w:pPr>
      <w:r>
        <w:t>DRUK NR 2391</w:t>
      </w:r>
    </w:p>
    <w:p w14:paraId="0A975590" w14:textId="77777777" w:rsidR="00E13025" w:rsidRPr="00AA49F7" w:rsidRDefault="00E13025" w:rsidP="00E13025">
      <w:pPr>
        <w:pStyle w:val="Tytu"/>
        <w:rPr>
          <w:b w:val="0"/>
        </w:rPr>
      </w:pPr>
      <w:r w:rsidRPr="00AA49F7">
        <w:t>UCHWAŁA NR …/20…</w:t>
      </w:r>
    </w:p>
    <w:p w14:paraId="6ABA227E" w14:textId="77777777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>
        <w:t>……............</w:t>
      </w:r>
      <w:r w:rsidRPr="00AA49F7">
        <w:t xml:space="preserve"> 20… r.</w:t>
      </w:r>
    </w:p>
    <w:p w14:paraId="01CA29EC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43B6F6A9" w14:textId="77777777" w:rsidR="00E13025" w:rsidRPr="00CF2704" w:rsidRDefault="00E13025" w:rsidP="00857E5A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 xml:space="preserve">art. 18 ust. 2 pkt 15 ustawy z dnia 8 marca 1990 r. o samorządzie gminnym </w:t>
      </w:r>
      <w:r w:rsidR="00EF0A84">
        <w:t>(Dz. U. z 2022 r. poz. 559</w:t>
      </w:r>
      <w:r w:rsidR="00463905">
        <w:t>,</w:t>
      </w:r>
      <w:r w:rsidR="00BF3063">
        <w:t xml:space="preserve"> </w:t>
      </w:r>
      <w:r w:rsidR="00EF0A84">
        <w:t>583</w:t>
      </w:r>
      <w:r w:rsidR="00463905">
        <w:t>, 1005 i 1079</w:t>
      </w:r>
      <w:r w:rsidR="00EF0A84">
        <w:t xml:space="preserve">) </w:t>
      </w:r>
      <w:r>
        <w:t>oraz art. 35 pkt 15 ustawy z dnia 19 listopada 2009 r. o grach hazardowych (Dz. U. z 202</w:t>
      </w:r>
      <w:r w:rsidR="00910B35">
        <w:t>2</w:t>
      </w:r>
      <w:r>
        <w:t xml:space="preserve"> r. poz. </w:t>
      </w:r>
      <w:r w:rsidR="00910B35">
        <w:t>888</w:t>
      </w:r>
      <w:r>
        <w:t>)</w:t>
      </w:r>
      <w:r w:rsidRPr="00CF2704">
        <w:rPr>
          <w:rFonts w:asciiTheme="minorHAnsi" w:hAnsiTheme="minorHAnsi"/>
        </w:rPr>
        <w:t xml:space="preserve"> uchwala się, co następuje:</w:t>
      </w:r>
    </w:p>
    <w:p w14:paraId="5D218684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9C23D9">
        <w:t xml:space="preserve"> H</w:t>
      </w:r>
      <w:r w:rsidR="00C26685">
        <w:t xml:space="preserve">otelu </w:t>
      </w:r>
      <w:proofErr w:type="spellStart"/>
      <w:r w:rsidR="007C3020">
        <w:t>Sofitel</w:t>
      </w:r>
      <w:proofErr w:type="spellEnd"/>
      <w:r w:rsidR="007C3020">
        <w:t xml:space="preserve"> Victoria</w:t>
      </w:r>
      <w:r w:rsidR="00625754">
        <w:t xml:space="preserve"> przy </w:t>
      </w:r>
      <w:r w:rsidR="00C078C4">
        <w:t>ul. </w:t>
      </w:r>
      <w:r w:rsidR="007C3020">
        <w:t>Królewskiej 11</w:t>
      </w:r>
      <w:r w:rsidR="00625754">
        <w:t xml:space="preserve"> </w:t>
      </w:r>
      <w:r w:rsidR="00D4488D">
        <w:t xml:space="preserve">w Warszawie wskazaną przez </w:t>
      </w:r>
      <w:r w:rsidR="007C3020">
        <w:t>Casino sp. z o.o</w:t>
      </w:r>
      <w:r w:rsidR="00B26651">
        <w:t>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>Warszawie przy ul.</w:t>
      </w:r>
      <w:r w:rsidR="00C078C4">
        <w:t> </w:t>
      </w:r>
      <w:r w:rsidR="007C3020">
        <w:t>Dęblińskiej 5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B26651">
        <w:t>-</w:t>
      </w:r>
      <w:r w:rsidR="0018732C">
        <w:t xml:space="preserve"> X</w:t>
      </w:r>
      <w:r w:rsidR="00B26651">
        <w:t>IV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C078C4">
        <w:t>135406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6A324D9E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26D8942C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5DB9136E" w14:textId="77777777" w:rsidR="00A10B0F" w:rsidRDefault="00D25E6C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202B4CB0" w14:textId="77777777" w:rsidR="00102046" w:rsidRPr="00977926" w:rsidRDefault="00102046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bookmarkStart w:id="0" w:name="_GoBack"/>
      <w:bookmarkEnd w:id="0"/>
    </w:p>
    <w:p w14:paraId="41E889B1" w14:textId="77777777" w:rsidR="00EF1567" w:rsidRDefault="00EF1567">
      <w:pPr>
        <w:spacing w:after="0" w:line="240" w:lineRule="auto"/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i/>
          <w:szCs w:val="22"/>
        </w:rPr>
        <w:br w:type="page"/>
      </w:r>
    </w:p>
    <w:p w14:paraId="419535F5" w14:textId="3DC822B7" w:rsidR="00135CC4" w:rsidRPr="00135CC4" w:rsidRDefault="00135CC4" w:rsidP="00135CC4">
      <w:pPr>
        <w:contextualSpacing/>
        <w:jc w:val="center"/>
        <w:rPr>
          <w:kern w:val="28"/>
          <w:szCs w:val="56"/>
          <w:lang w:val="x-none" w:eastAsia="x-none"/>
        </w:rPr>
      </w:pPr>
      <w:r w:rsidRPr="00135CC4">
        <w:rPr>
          <w:b/>
          <w:kern w:val="28"/>
          <w:szCs w:val="56"/>
          <w:lang w:val="x-none" w:eastAsia="x-none"/>
        </w:rPr>
        <w:lastRenderedPageBreak/>
        <w:t>UZASADNIENIE</w:t>
      </w:r>
    </w:p>
    <w:p w14:paraId="1443E10E" w14:textId="77777777" w:rsidR="00135CC4" w:rsidRPr="00135CC4" w:rsidRDefault="00135CC4" w:rsidP="00135CC4">
      <w:pPr>
        <w:contextualSpacing/>
        <w:jc w:val="center"/>
        <w:rPr>
          <w:kern w:val="28"/>
          <w:szCs w:val="56"/>
          <w:lang w:val="x-none" w:eastAsia="x-none"/>
        </w:rPr>
      </w:pPr>
      <w:r w:rsidRPr="00135CC4">
        <w:rPr>
          <w:b/>
          <w:kern w:val="28"/>
          <w:szCs w:val="56"/>
          <w:lang w:val="x-none" w:eastAsia="x-none"/>
        </w:rPr>
        <w:t>projektu uchwały Rady Miasta Stołecznego Warszawy</w:t>
      </w:r>
    </w:p>
    <w:p w14:paraId="0B1DA2E4" w14:textId="77777777" w:rsidR="00135CC4" w:rsidRPr="00135CC4" w:rsidRDefault="00135CC4" w:rsidP="00135CC4">
      <w:pPr>
        <w:contextualSpacing/>
        <w:jc w:val="center"/>
        <w:rPr>
          <w:b/>
          <w:kern w:val="28"/>
          <w:szCs w:val="56"/>
          <w:lang w:val="x-none" w:eastAsia="x-none"/>
        </w:rPr>
      </w:pPr>
      <w:r w:rsidRPr="00135CC4">
        <w:rPr>
          <w:b/>
          <w:kern w:val="28"/>
          <w:szCs w:val="56"/>
          <w:lang w:val="x-none" w:eastAsia="x-none"/>
        </w:rPr>
        <w:t>w sprawie wyrażenia opinii o lokalizacji kasyna gry</w:t>
      </w:r>
    </w:p>
    <w:p w14:paraId="0AFEBF47" w14:textId="77777777" w:rsidR="00135CC4" w:rsidRPr="00135CC4" w:rsidRDefault="00135CC4" w:rsidP="00135CC4">
      <w:pPr>
        <w:widowControl w:val="0"/>
        <w:ind w:left="40" w:right="20"/>
        <w:rPr>
          <w:rFonts w:eastAsia="Arial"/>
          <w:color w:val="FF0000"/>
          <w:szCs w:val="22"/>
        </w:rPr>
      </w:pPr>
      <w:r w:rsidRPr="00135CC4">
        <w:rPr>
          <w:rFonts w:eastAsia="Arial"/>
          <w:szCs w:val="22"/>
        </w:rPr>
        <w:t xml:space="preserve">Casino sp. z o.o. z siedzibą w Warszawie przy ul. Dęblińskiej 5, złożyła wniosek o wydanie opinii przez Radę m.st. Warszawy w sprawie lokalizacji kasyna gry w budynku Hotelu </w:t>
      </w:r>
      <w:proofErr w:type="spellStart"/>
      <w:r w:rsidRPr="00135CC4">
        <w:rPr>
          <w:rFonts w:eastAsia="Arial"/>
          <w:szCs w:val="22"/>
        </w:rPr>
        <w:t>Sofitel</w:t>
      </w:r>
      <w:proofErr w:type="spellEnd"/>
      <w:r w:rsidRPr="00135CC4">
        <w:rPr>
          <w:rFonts w:eastAsia="Arial"/>
          <w:szCs w:val="22"/>
        </w:rPr>
        <w:t xml:space="preserve"> Victoria przy ul. Królewskiej 11</w:t>
      </w:r>
      <w:r w:rsidRPr="00135CC4">
        <w:rPr>
          <w:rFonts w:eastAsia="Arial"/>
          <w:color w:val="FF0000"/>
          <w:szCs w:val="22"/>
        </w:rPr>
        <w:t xml:space="preserve"> </w:t>
      </w:r>
      <w:r w:rsidRPr="00135CC4">
        <w:rPr>
          <w:rFonts w:eastAsia="Arial"/>
          <w:szCs w:val="22"/>
        </w:rPr>
        <w:t>w</w:t>
      </w:r>
      <w:r w:rsidRPr="00135CC4">
        <w:rPr>
          <w:rFonts w:eastAsia="Arial"/>
          <w:color w:val="FF0000"/>
          <w:szCs w:val="22"/>
        </w:rPr>
        <w:t xml:space="preserve"> </w:t>
      </w:r>
      <w:r w:rsidRPr="00135CC4">
        <w:rPr>
          <w:rFonts w:eastAsia="Arial"/>
          <w:szCs w:val="22"/>
        </w:rPr>
        <w:t xml:space="preserve">Warszawie. </w:t>
      </w:r>
      <w:r w:rsidRPr="00135CC4">
        <w:rPr>
          <w:szCs w:val="22"/>
        </w:rPr>
        <w:t xml:space="preserve">Obecnie w hotelu działa kasyno na podstawie koncesji wydanej spółce Zjednoczone Przedsiębiorstwa Rozrywkowe S.A., ważnej </w:t>
      </w:r>
      <w:r w:rsidRPr="00135CC4">
        <w:rPr>
          <w:rFonts w:eastAsia="Arial"/>
          <w:szCs w:val="22"/>
        </w:rPr>
        <w:t>do 27 września 2022 r.</w:t>
      </w:r>
    </w:p>
    <w:p w14:paraId="69FCADFA" w14:textId="77777777" w:rsidR="00135CC4" w:rsidRPr="00135CC4" w:rsidRDefault="00135CC4" w:rsidP="00135CC4">
      <w:pPr>
        <w:widowControl w:val="0"/>
        <w:spacing w:after="200"/>
        <w:ind w:left="40" w:right="23"/>
        <w:rPr>
          <w:rFonts w:eastAsia="Arial" w:cs="Calibri"/>
          <w:szCs w:val="22"/>
        </w:rPr>
      </w:pPr>
      <w:r w:rsidRPr="00135CC4">
        <w:rPr>
          <w:rFonts w:eastAsia="Arial" w:cs="Calibri"/>
          <w:szCs w:val="22"/>
        </w:rPr>
        <w:t xml:space="preserve">Zgodnie z art. 35 pkt. 15 ustawy z dnia 19 listopada 2009 r. o grach hazardowych wniosek o udzielenie koncesji na prowadzenie kasyna gry składany do ministra właściwego do spraw finansów publicznych powinien zawierać pozytywną opinię rady gminy o lokalizacji kasyna gry. Na podstawie tego przepisu, uprawnienie gminy sprowadza się do wydania opinii w sprawie lokalizacji kasyna gry, a więc do dokonania oceny proponowanego miejsca prowadzenia tego typu działalności. </w:t>
      </w:r>
    </w:p>
    <w:p w14:paraId="1DAB4FF3" w14:textId="77777777" w:rsidR="00135CC4" w:rsidRPr="00135CC4" w:rsidRDefault="00135CC4" w:rsidP="00135CC4">
      <w:pPr>
        <w:widowControl w:val="0"/>
        <w:ind w:left="40" w:right="20"/>
        <w:rPr>
          <w:rFonts w:eastAsia="Arial"/>
          <w:color w:val="FF0000"/>
          <w:szCs w:val="22"/>
        </w:rPr>
      </w:pPr>
      <w:r w:rsidRPr="00135CC4">
        <w:rPr>
          <w:rFonts w:eastAsia="Arial"/>
          <w:szCs w:val="22"/>
        </w:rPr>
        <w:t>Kasyno gry przy ul. Królewskiej 11</w:t>
      </w:r>
      <w:r w:rsidRPr="00135CC4">
        <w:rPr>
          <w:rFonts w:eastAsia="Arial"/>
          <w:color w:val="FF0000"/>
          <w:szCs w:val="22"/>
        </w:rPr>
        <w:t xml:space="preserve"> </w:t>
      </w:r>
      <w:r w:rsidRPr="00135CC4">
        <w:rPr>
          <w:rFonts w:eastAsia="Arial"/>
          <w:szCs w:val="22"/>
        </w:rPr>
        <w:t xml:space="preserve">w Warszawie zlokalizowane jest w budynku pięciogwiazdkowego </w:t>
      </w:r>
      <w:r w:rsidRPr="00135CC4">
        <w:rPr>
          <w:rFonts w:eastAsia="Arial" w:cs="Calibri"/>
          <w:szCs w:val="22"/>
        </w:rPr>
        <w:t xml:space="preserve">Hotelu </w:t>
      </w:r>
      <w:proofErr w:type="spellStart"/>
      <w:r w:rsidRPr="00135CC4">
        <w:rPr>
          <w:rFonts w:eastAsia="Arial"/>
          <w:szCs w:val="22"/>
        </w:rPr>
        <w:t>Sofitel</w:t>
      </w:r>
      <w:proofErr w:type="spellEnd"/>
      <w:r w:rsidRPr="00135CC4">
        <w:rPr>
          <w:rFonts w:eastAsia="Arial"/>
          <w:szCs w:val="22"/>
        </w:rPr>
        <w:t xml:space="preserve"> Victoria. Teren, na którym usytuowany jest budynek, nie jest objęty miejscowym planem zagospodarowania przestrzennego. Prace planistyczne są na etapie przystąpienia do sporządzania miejscowego planu zagospodarowania przestrzennego okolic tzw. Ściany Wschodniej. </w:t>
      </w:r>
      <w:r w:rsidRPr="00135CC4">
        <w:rPr>
          <w:rFonts w:eastAsia="MS Mincho" w:cs="Arial"/>
          <w:szCs w:val="22"/>
        </w:rPr>
        <w:t>Projekt planu dla tego terenu określa przeznaczenie podstawowe: zabudowa usług turystyki - hotel z dopuszczeniem usług. Kasyna gry pełnią funkcję rozrywkową i są usługą towarzyszącą między innymi w hotelach.</w:t>
      </w:r>
      <w:r w:rsidRPr="00135CC4">
        <w:rPr>
          <w:rFonts w:eastAsia="Arial"/>
          <w:szCs w:val="22"/>
        </w:rPr>
        <w:t xml:space="preserve"> Lokalizacja kasyna gry w budynku Hotelu </w:t>
      </w:r>
      <w:proofErr w:type="spellStart"/>
      <w:r w:rsidRPr="00135CC4">
        <w:rPr>
          <w:rFonts w:eastAsia="Arial"/>
          <w:szCs w:val="22"/>
        </w:rPr>
        <w:t>Sofitel</w:t>
      </w:r>
      <w:proofErr w:type="spellEnd"/>
      <w:r w:rsidRPr="00135CC4">
        <w:rPr>
          <w:rFonts w:eastAsia="Arial"/>
          <w:szCs w:val="22"/>
        </w:rPr>
        <w:t xml:space="preserve"> Victoria przy ul. Królewskiej 11</w:t>
      </w:r>
      <w:r w:rsidRPr="00135CC4">
        <w:rPr>
          <w:rFonts w:eastAsia="Arial"/>
          <w:color w:val="FF0000"/>
          <w:szCs w:val="22"/>
        </w:rPr>
        <w:t xml:space="preserve"> </w:t>
      </w:r>
      <w:r w:rsidRPr="00135CC4">
        <w:rPr>
          <w:rFonts w:eastAsia="Arial"/>
          <w:szCs w:val="22"/>
        </w:rPr>
        <w:t>będzie zgodna z projektem planu zagospodarowania przestrzennego. Studium uwarunkowań i kierunków zagospodarowania przestrzennego miasta stołecznego Warszawy wskazuje, że przedmiotowa nieruchomość znajduje się na terenach wielofunkcyjnych. W związku z brakiem bezpośredniego odniesienia ustaleń studium do lokalizacji kasyna gry należy uznać, że lokalizacja tego kasyna nie jest sprzeczna z zapisami studium.</w:t>
      </w:r>
    </w:p>
    <w:p w14:paraId="5026E7FB" w14:textId="77777777" w:rsidR="00135CC4" w:rsidRPr="00135CC4" w:rsidRDefault="00135CC4" w:rsidP="00135CC4">
      <w:pPr>
        <w:widowControl w:val="0"/>
        <w:ind w:left="40" w:right="20"/>
        <w:rPr>
          <w:rFonts w:eastAsia="Arial"/>
          <w:color w:val="FF0000"/>
          <w:szCs w:val="22"/>
        </w:rPr>
      </w:pPr>
      <w:r w:rsidRPr="00135CC4">
        <w:rPr>
          <w:rFonts w:eastAsia="Arial"/>
          <w:szCs w:val="22"/>
        </w:rPr>
        <w:t xml:space="preserve">Stosownie do zaleceń Komisji Bezpieczeństwa i Porządku Publicznego Rady m.st. Warszawy Urząd Dzielnicy Śródmieście m.st. Warszawy przeprowadził postępowanie wyjaśniające dotyczące stanu bezpieczeństwa i porządku publicznego, w związku z prowadzoną działalnością kasyna. </w:t>
      </w:r>
      <w:r w:rsidRPr="00135CC4">
        <w:rPr>
          <w:rFonts w:eastAsia="Arial"/>
          <w:szCs w:val="22"/>
        </w:rPr>
        <w:br/>
        <w:t xml:space="preserve">Z uzyskanych informacji od Straży Miejskiej wynika, że w okresie od 20 września 2021 r. do 22 marca 2022 r. w systemie informatycznym Straży Miejskiej odnotowano 5 zdarzeń, które nie miały związku z funkcjonowaniem tego lokalu. Nie wpłynęły żadne skargi w sprawie zakłócania porządku publicznego przez gości kasyna gry. Działalność kasyna nie miała negatywnego wpływu na stan porządku publicznego w otoczeniu jego lokalizacji. Policja pismem z 20 kwietnia 2022 r. poinformowała, że w okresie ostatnich 6 miesięcy nie odnotowano interwencji związanych z działalnością kasyna mających znaczący wpływ na całokształt prowadzonej działalności gospodarczej lub obniżenie poziomu bezpieczeństwa w rejonie przyległym. Komenda Rejonowa Policji Warszawa I nie jest w posiadaniu informacji dotyczących skarg na funkcjonowanie wymienionej placówki. </w:t>
      </w:r>
    </w:p>
    <w:p w14:paraId="7F9E65B1" w14:textId="77777777" w:rsidR="00135CC4" w:rsidRPr="00135CC4" w:rsidRDefault="00135CC4" w:rsidP="00135CC4">
      <w:pPr>
        <w:widowControl w:val="0"/>
        <w:rPr>
          <w:rFonts w:eastAsia="Arial"/>
          <w:color w:val="FF0000"/>
          <w:szCs w:val="22"/>
        </w:rPr>
      </w:pPr>
      <w:r w:rsidRPr="00135CC4">
        <w:rPr>
          <w:rFonts w:eastAsia="Courier New"/>
          <w:color w:val="000000"/>
          <w:szCs w:val="22"/>
        </w:rPr>
        <w:t xml:space="preserve">Wniosek </w:t>
      </w:r>
      <w:r w:rsidRPr="00135CC4">
        <w:rPr>
          <w:rFonts w:eastAsia="Arial"/>
          <w:szCs w:val="22"/>
        </w:rPr>
        <w:t xml:space="preserve">Casino sp. z o.o. został pozytywnie rozpatrzony przez Radę Dzielnicy Śródmieście m.st. Warszawy (Uchwała Rady Dzielnicy Śródmieście m.st. Warszawy Nr 288/42/2022 z dnia 10 maja </w:t>
      </w:r>
      <w:r w:rsidRPr="00135CC4">
        <w:rPr>
          <w:rFonts w:eastAsia="Arial"/>
          <w:szCs w:val="22"/>
        </w:rPr>
        <w:lastRenderedPageBreak/>
        <w:t>2022 r.).</w:t>
      </w:r>
    </w:p>
    <w:p w14:paraId="7AB02B83" w14:textId="77777777" w:rsidR="00135CC4" w:rsidRPr="00135CC4" w:rsidRDefault="00135CC4" w:rsidP="00135CC4">
      <w:pPr>
        <w:widowControl w:val="0"/>
        <w:spacing w:after="200"/>
        <w:rPr>
          <w:rFonts w:eastAsia="Arial" w:cs="Calibri"/>
          <w:szCs w:val="22"/>
        </w:rPr>
      </w:pPr>
      <w:r w:rsidRPr="00135CC4">
        <w:rPr>
          <w:rFonts w:eastAsia="Arial" w:cs="Calibri"/>
          <w:szCs w:val="22"/>
        </w:rPr>
        <w:t xml:space="preserve">Ponadto, sprawa wydania pozytywnej opinii dla </w:t>
      </w:r>
      <w:proofErr w:type="spellStart"/>
      <w:r w:rsidRPr="00135CC4">
        <w:rPr>
          <w:rFonts w:eastAsia="Arial" w:cs="Calibri"/>
          <w:szCs w:val="22"/>
        </w:rPr>
        <w:t>wakazanej</w:t>
      </w:r>
      <w:proofErr w:type="spellEnd"/>
      <w:r w:rsidRPr="00135CC4">
        <w:rPr>
          <w:rFonts w:eastAsia="Arial" w:cs="Calibri"/>
          <w:szCs w:val="22"/>
        </w:rPr>
        <w:t xml:space="preserve"> lokalizacji była rozpatrywana przez Radę m.st. Warszawy:</w:t>
      </w:r>
    </w:p>
    <w:p w14:paraId="5382364D" w14:textId="77777777" w:rsidR="00135CC4" w:rsidRPr="00135CC4" w:rsidRDefault="00135CC4" w:rsidP="00135CC4">
      <w:pPr>
        <w:widowControl w:val="0"/>
        <w:numPr>
          <w:ilvl w:val="0"/>
          <w:numId w:val="17"/>
        </w:numPr>
        <w:spacing w:after="200" w:line="240" w:lineRule="auto"/>
        <w:rPr>
          <w:rFonts w:eastAsia="Arial" w:cs="Calibri"/>
          <w:szCs w:val="22"/>
        </w:rPr>
      </w:pPr>
      <w:r w:rsidRPr="00135CC4">
        <w:rPr>
          <w:rFonts w:eastAsia="Arial" w:cs="Calibri"/>
          <w:szCs w:val="22"/>
        </w:rPr>
        <w:t>w kadencji 2010/2014, podjęto trzy uchwały pozytywnie opiniujące lokalizację kasyna gry oraz jedną negatywnie opiniującą lokalizację kasyna;</w:t>
      </w:r>
    </w:p>
    <w:p w14:paraId="456A0F99" w14:textId="77777777" w:rsidR="00135CC4" w:rsidRPr="00135CC4" w:rsidRDefault="00135CC4" w:rsidP="00135CC4">
      <w:pPr>
        <w:widowControl w:val="0"/>
        <w:numPr>
          <w:ilvl w:val="0"/>
          <w:numId w:val="17"/>
        </w:numPr>
        <w:spacing w:after="200" w:line="240" w:lineRule="auto"/>
        <w:jc w:val="both"/>
        <w:rPr>
          <w:rFonts w:eastAsia="Arial" w:cs="Calibri"/>
          <w:szCs w:val="22"/>
        </w:rPr>
      </w:pPr>
      <w:r w:rsidRPr="00135CC4">
        <w:rPr>
          <w:rFonts w:eastAsia="Arial" w:cs="Calibri"/>
          <w:szCs w:val="22"/>
        </w:rPr>
        <w:t xml:space="preserve">w kadencji 2014/2018, podjęto pięć uchwał pozytywnie opiniujących lokalizację kasyna gry; </w:t>
      </w:r>
    </w:p>
    <w:p w14:paraId="10E54271" w14:textId="77777777" w:rsidR="00135CC4" w:rsidRPr="00135CC4" w:rsidRDefault="00135CC4" w:rsidP="00135CC4">
      <w:pPr>
        <w:widowControl w:val="0"/>
        <w:numPr>
          <w:ilvl w:val="0"/>
          <w:numId w:val="17"/>
        </w:numPr>
        <w:spacing w:after="200" w:line="240" w:lineRule="auto"/>
        <w:jc w:val="both"/>
        <w:rPr>
          <w:rFonts w:eastAsia="Arial" w:cs="Calibri"/>
          <w:szCs w:val="22"/>
        </w:rPr>
      </w:pPr>
      <w:r w:rsidRPr="00135CC4">
        <w:rPr>
          <w:rFonts w:eastAsia="Arial" w:cs="Calibri"/>
          <w:szCs w:val="22"/>
        </w:rPr>
        <w:t>w kadencji 2018/2023 podjęto jedną uchwałę pozytywnie opiniującą lokalizację kasyna gry, w trzech przypadkach uchwały nie zostały podjęte.</w:t>
      </w:r>
    </w:p>
    <w:p w14:paraId="4632A511" w14:textId="77777777" w:rsidR="00135CC4" w:rsidRPr="00135CC4" w:rsidRDefault="00135CC4" w:rsidP="00135CC4">
      <w:pPr>
        <w:widowControl w:val="0"/>
        <w:rPr>
          <w:rFonts w:eastAsia="Courier New"/>
          <w:color w:val="000000"/>
          <w:szCs w:val="22"/>
        </w:rPr>
      </w:pPr>
      <w:r w:rsidRPr="00135CC4">
        <w:rPr>
          <w:rFonts w:eastAsia="Courier New"/>
          <w:color w:val="000000"/>
          <w:szCs w:val="22"/>
        </w:rPr>
        <w:t>Uchwała nie wywołuje skutków finansowych.</w:t>
      </w:r>
    </w:p>
    <w:p w14:paraId="1FF369F9" w14:textId="77777777" w:rsidR="00135CC4" w:rsidRPr="00135CC4" w:rsidRDefault="00135CC4" w:rsidP="00135CC4">
      <w:pPr>
        <w:widowControl w:val="0"/>
        <w:rPr>
          <w:bCs/>
          <w:szCs w:val="22"/>
        </w:rPr>
      </w:pPr>
      <w:r w:rsidRPr="00135CC4">
        <w:rPr>
          <w:rFonts w:eastAsia="Courier New"/>
          <w:color w:val="000000"/>
          <w:szCs w:val="22"/>
        </w:rPr>
        <w:t>Proponuje się wyrażenie pozytywnej opinii o lokalizacji kasyna gry.</w:t>
      </w:r>
    </w:p>
    <w:p w14:paraId="58354568" w14:textId="77777777" w:rsidR="00102046" w:rsidRDefault="00102046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0EB4795B" w14:textId="77777777" w:rsidR="00102046" w:rsidRDefault="00102046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3CA051FB" w14:textId="77777777" w:rsidR="00102046" w:rsidRDefault="00102046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6D75CD51" w14:textId="77777777" w:rsidR="00B965E1" w:rsidRDefault="00B965E1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5B529309" w14:textId="77777777" w:rsidR="00102046" w:rsidRDefault="00102046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09DFAECB" w14:textId="77777777" w:rsidR="003A2F74" w:rsidRDefault="003A2F74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65415226" w14:textId="77777777" w:rsidR="003A2F74" w:rsidRDefault="003A2F74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15F962AF" w14:textId="77777777" w:rsidR="003A2F74" w:rsidRDefault="003A2F74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1B4B961D" w14:textId="77777777" w:rsidR="003A2F74" w:rsidRDefault="003A2F74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3DCA9567" w14:textId="77777777" w:rsidR="003A2F74" w:rsidRDefault="003A2F74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1FD2531B" w14:textId="77777777" w:rsidR="003A2F74" w:rsidRDefault="003A2F74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62CAFF9C" w14:textId="77777777" w:rsidR="003A2F74" w:rsidRDefault="003A2F74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20BCE47B" w14:textId="77777777" w:rsidR="003A2F74" w:rsidRDefault="003A2F74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0996103D" w14:textId="77777777" w:rsidR="003A2F74" w:rsidRDefault="003A2F74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5CF9A78F" w14:textId="77777777" w:rsidR="003A2F74" w:rsidRDefault="003A2F74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709E0A03" w14:textId="77777777" w:rsidR="003A2F74" w:rsidRDefault="003A2F74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79F318F6" w14:textId="77777777" w:rsidR="003A2F74" w:rsidRDefault="003A2F74" w:rsidP="003A2F74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p w14:paraId="7E118994" w14:textId="31F1CE69" w:rsidR="003A2F74" w:rsidRPr="00EA5ED6" w:rsidRDefault="003A2F74" w:rsidP="003A2F74">
      <w:pPr>
        <w:spacing w:line="360" w:lineRule="auto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 xml:space="preserve">Opinia Skarbnika m.st. Warszawy z dnia </w:t>
      </w:r>
      <w:r w:rsidR="001A784F">
        <w:rPr>
          <w:rFonts w:cs="Calibri"/>
          <w:b/>
          <w:szCs w:val="22"/>
        </w:rPr>
        <w:t>0</w:t>
      </w:r>
      <w:r>
        <w:rPr>
          <w:rFonts w:cs="Calibri"/>
          <w:b/>
          <w:szCs w:val="22"/>
        </w:rPr>
        <w:t>7 czerwca 2022</w:t>
      </w:r>
      <w:r w:rsidRPr="00EA5ED6">
        <w:rPr>
          <w:rFonts w:cs="Calibri"/>
          <w:b/>
          <w:szCs w:val="22"/>
        </w:rPr>
        <w:t xml:space="preserve"> r.</w:t>
      </w:r>
    </w:p>
    <w:p w14:paraId="01D7E87B" w14:textId="77777777" w:rsidR="003A2F74" w:rsidRPr="00EA5ED6" w:rsidRDefault="003A2F74" w:rsidP="003A2F74">
      <w:pPr>
        <w:spacing w:line="360" w:lineRule="auto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>do projektu uchwały Rady m.st. Warszawy</w:t>
      </w:r>
    </w:p>
    <w:p w14:paraId="52FE77F2" w14:textId="77777777" w:rsidR="003A2F74" w:rsidRPr="00EA5ED6" w:rsidRDefault="003A2F74" w:rsidP="003A2F74">
      <w:pPr>
        <w:jc w:val="both"/>
        <w:rPr>
          <w:rFonts w:cs="Calibri"/>
          <w:b/>
          <w:szCs w:val="22"/>
        </w:rPr>
      </w:pPr>
    </w:p>
    <w:p w14:paraId="074C60C7" w14:textId="77777777" w:rsidR="003A2F74" w:rsidRDefault="003A2F74" w:rsidP="003A2F74">
      <w:pPr>
        <w:rPr>
          <w:rFonts w:cs="Calibri"/>
          <w:b/>
          <w:szCs w:val="22"/>
        </w:rPr>
      </w:pPr>
      <w:r w:rsidRPr="00EA5ED6">
        <w:rPr>
          <w:rFonts w:cs="Calibri"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EA5ED6">
        <w:rPr>
          <w:rFonts w:cs="Calibri"/>
          <w:szCs w:val="22"/>
        </w:rPr>
        <w:t>Maz</w:t>
      </w:r>
      <w:proofErr w:type="spellEnd"/>
      <w:r w:rsidRPr="00EA5ED6">
        <w:rPr>
          <w:rFonts w:cs="Calibri"/>
          <w:szCs w:val="22"/>
        </w:rPr>
        <w:t xml:space="preserve">. z 2019 r. poz. 14465 z </w:t>
      </w:r>
      <w:proofErr w:type="spellStart"/>
      <w:r w:rsidRPr="00EA5ED6">
        <w:rPr>
          <w:rFonts w:cs="Calibri"/>
          <w:szCs w:val="22"/>
        </w:rPr>
        <w:t>późn</w:t>
      </w:r>
      <w:proofErr w:type="spellEnd"/>
      <w:r w:rsidRPr="00EA5ED6">
        <w:rPr>
          <w:rFonts w:cs="Calibri"/>
          <w:szCs w:val="22"/>
        </w:rPr>
        <w:t xml:space="preserve">. zm.) projekt uchwały Rady m.st. Warszawy </w:t>
      </w:r>
      <w:r w:rsidRPr="00EC01A8">
        <w:rPr>
          <w:rFonts w:cs="Calibri"/>
          <w:b/>
          <w:szCs w:val="22"/>
        </w:rPr>
        <w:t xml:space="preserve">w sprawie </w:t>
      </w:r>
      <w:r>
        <w:rPr>
          <w:rFonts w:cs="Calibri"/>
          <w:b/>
          <w:szCs w:val="22"/>
        </w:rPr>
        <w:t>wyrażenia opinii o lokalizacji kasyna gry</w:t>
      </w:r>
    </w:p>
    <w:p w14:paraId="18295EF4" w14:textId="77777777" w:rsidR="003A2F74" w:rsidRPr="00EC01A8" w:rsidRDefault="003A2F74" w:rsidP="003A2F74">
      <w:pPr>
        <w:rPr>
          <w:rFonts w:cs="Calibri"/>
          <w:b/>
          <w:szCs w:val="22"/>
        </w:rPr>
      </w:pPr>
    </w:p>
    <w:p w14:paraId="062C7403" w14:textId="77777777" w:rsidR="003A2F74" w:rsidRPr="00EA5ED6" w:rsidRDefault="003A2F74" w:rsidP="003A2F74">
      <w:pPr>
        <w:rPr>
          <w:rFonts w:cs="Calibri"/>
          <w:szCs w:val="22"/>
        </w:rPr>
      </w:pPr>
      <w:r w:rsidRPr="00EA5ED6">
        <w:rPr>
          <w:rFonts w:cs="Calibri"/>
          <w:b/>
          <w:bCs/>
          <w:szCs w:val="22"/>
        </w:rPr>
        <w:t xml:space="preserve">opiniuję pozytywnie </w:t>
      </w:r>
    </w:p>
    <w:p w14:paraId="726B417F" w14:textId="77777777" w:rsidR="003A2F74" w:rsidRPr="00EA5ED6" w:rsidRDefault="003A2F74" w:rsidP="003A2F74">
      <w:pPr>
        <w:rPr>
          <w:rFonts w:cs="Calibri"/>
          <w:b/>
          <w:szCs w:val="22"/>
        </w:rPr>
      </w:pPr>
    </w:p>
    <w:p w14:paraId="17BC9E00" w14:textId="77777777" w:rsidR="003A2F74" w:rsidRPr="00EA5ED6" w:rsidRDefault="003A2F74" w:rsidP="003A2F74">
      <w:pPr>
        <w:rPr>
          <w:rFonts w:cs="Calibri"/>
          <w:b/>
          <w:szCs w:val="22"/>
        </w:rPr>
      </w:pPr>
    </w:p>
    <w:p w14:paraId="3A061907" w14:textId="77777777" w:rsidR="003A2F74" w:rsidRPr="00EA5ED6" w:rsidRDefault="003A2F74" w:rsidP="003A2F74">
      <w:pPr>
        <w:rPr>
          <w:rFonts w:cs="Calibri"/>
          <w:b/>
          <w:szCs w:val="22"/>
        </w:rPr>
      </w:pPr>
    </w:p>
    <w:p w14:paraId="16FAEFC5" w14:textId="77777777" w:rsidR="003A2F74" w:rsidRPr="00EA5ED6" w:rsidRDefault="003A2F74" w:rsidP="003A2F74">
      <w:pPr>
        <w:ind w:left="3540"/>
        <w:rPr>
          <w:rFonts w:cs="Calibri"/>
          <w:b/>
          <w:szCs w:val="22"/>
        </w:rPr>
      </w:pPr>
    </w:p>
    <w:p w14:paraId="33CD2452" w14:textId="77777777" w:rsidR="003A2F74" w:rsidRPr="00EA5ED6" w:rsidRDefault="003A2F74" w:rsidP="003A2F74">
      <w:pPr>
        <w:spacing w:after="0"/>
        <w:ind w:left="2829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>Z upoważnienia Skarbnika</w:t>
      </w:r>
      <w:r>
        <w:rPr>
          <w:rFonts w:cs="Calibri"/>
          <w:b/>
          <w:szCs w:val="22"/>
        </w:rPr>
        <w:t xml:space="preserve"> </w:t>
      </w:r>
      <w:r w:rsidRPr="00EA5ED6">
        <w:rPr>
          <w:rFonts w:cs="Calibri"/>
          <w:b/>
          <w:szCs w:val="22"/>
        </w:rPr>
        <w:t>m.st. Warszawy</w:t>
      </w:r>
    </w:p>
    <w:p w14:paraId="5FF729C4" w14:textId="77777777" w:rsidR="003A2F74" w:rsidRPr="00EA5ED6" w:rsidRDefault="003A2F74" w:rsidP="003A2F74">
      <w:pPr>
        <w:spacing w:after="0"/>
        <w:ind w:left="2832"/>
        <w:jc w:val="center"/>
        <w:rPr>
          <w:rFonts w:cs="Calibri"/>
          <w:szCs w:val="22"/>
        </w:rPr>
      </w:pPr>
    </w:p>
    <w:p w14:paraId="280A2516" w14:textId="77777777" w:rsidR="003A2F74" w:rsidRPr="00EA5ED6" w:rsidRDefault="003A2F74" w:rsidP="003A2F74">
      <w:pPr>
        <w:spacing w:after="0"/>
        <w:ind w:left="2832"/>
        <w:jc w:val="center"/>
        <w:rPr>
          <w:rFonts w:cs="Calibri"/>
          <w:szCs w:val="22"/>
        </w:rPr>
      </w:pPr>
    </w:p>
    <w:p w14:paraId="283D9183" w14:textId="77777777" w:rsidR="003A2F74" w:rsidRPr="00EA5ED6" w:rsidRDefault="003A2F74" w:rsidP="003A2F74">
      <w:pPr>
        <w:spacing w:after="0"/>
        <w:ind w:left="2832"/>
        <w:jc w:val="center"/>
        <w:rPr>
          <w:rFonts w:cs="Calibri"/>
          <w:szCs w:val="22"/>
        </w:rPr>
      </w:pPr>
    </w:p>
    <w:p w14:paraId="5D04243B" w14:textId="77777777" w:rsidR="003A2F74" w:rsidRDefault="003A2F74" w:rsidP="003A2F74">
      <w:pPr>
        <w:spacing w:after="0"/>
        <w:ind w:left="2829"/>
        <w:jc w:val="center"/>
        <w:rPr>
          <w:rFonts w:cs="Calibri"/>
          <w:szCs w:val="22"/>
        </w:rPr>
      </w:pPr>
      <w:r w:rsidRPr="00EA5ED6">
        <w:rPr>
          <w:rFonts w:cs="Calibri"/>
          <w:szCs w:val="22"/>
        </w:rPr>
        <w:t xml:space="preserve">Zastępca </w:t>
      </w:r>
      <w:r>
        <w:rPr>
          <w:rFonts w:cs="Calibri"/>
          <w:szCs w:val="22"/>
        </w:rPr>
        <w:t>Skarbnika m.st. Warszawy</w:t>
      </w:r>
    </w:p>
    <w:p w14:paraId="02EEDCE1" w14:textId="77777777" w:rsidR="003A2F74" w:rsidRPr="00EA5ED6" w:rsidRDefault="003A2F74" w:rsidP="003A2F74">
      <w:pPr>
        <w:spacing w:after="0"/>
        <w:ind w:left="2829"/>
        <w:jc w:val="center"/>
        <w:rPr>
          <w:rFonts w:cs="Calibri"/>
          <w:szCs w:val="22"/>
        </w:rPr>
      </w:pPr>
      <w:r>
        <w:rPr>
          <w:rFonts w:cs="Calibri"/>
          <w:szCs w:val="22"/>
        </w:rPr>
        <w:t>Dyrektor</w:t>
      </w:r>
    </w:p>
    <w:p w14:paraId="209C575E" w14:textId="77777777" w:rsidR="003A2F74" w:rsidRPr="00EA5ED6" w:rsidRDefault="003A2F74" w:rsidP="003A2F74">
      <w:pPr>
        <w:spacing w:after="0"/>
        <w:ind w:left="2829"/>
        <w:jc w:val="center"/>
        <w:rPr>
          <w:rFonts w:cs="Calibri"/>
          <w:szCs w:val="22"/>
        </w:rPr>
      </w:pPr>
      <w:r w:rsidRPr="00EA5ED6">
        <w:rPr>
          <w:rFonts w:cs="Calibri"/>
          <w:szCs w:val="22"/>
        </w:rPr>
        <w:t>Biura Planowania Budżetowego</w:t>
      </w:r>
    </w:p>
    <w:p w14:paraId="28D06A66" w14:textId="77777777" w:rsidR="003A2F74" w:rsidRPr="00F11E91" w:rsidRDefault="003A2F74" w:rsidP="003A2F74">
      <w:pPr>
        <w:spacing w:after="0"/>
        <w:ind w:left="2829"/>
        <w:jc w:val="center"/>
        <w:rPr>
          <w:rFonts w:cs="Calibri"/>
          <w:bCs/>
          <w:szCs w:val="22"/>
        </w:rPr>
      </w:pPr>
      <w:r w:rsidRPr="00F11E91">
        <w:rPr>
          <w:rFonts w:cs="Calibri"/>
          <w:bCs/>
          <w:szCs w:val="22"/>
        </w:rPr>
        <w:t>Marzena Krajewska</w:t>
      </w:r>
    </w:p>
    <w:p w14:paraId="5E8E8CD7" w14:textId="77777777" w:rsidR="003A2F74" w:rsidRPr="00CF2704" w:rsidRDefault="003A2F74" w:rsidP="003A2F74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1DBE0061" w14:textId="77777777" w:rsidR="003A2F74" w:rsidRPr="00CF2704" w:rsidRDefault="003A2F74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sectPr w:rsidR="003A2F74" w:rsidRPr="00CF2704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F411B" w14:textId="77777777" w:rsidR="002D1ADA" w:rsidRDefault="002D1ADA">
      <w:r>
        <w:separator/>
      </w:r>
    </w:p>
  </w:endnote>
  <w:endnote w:type="continuationSeparator" w:id="0">
    <w:p w14:paraId="3148F53C" w14:textId="77777777" w:rsidR="002D1ADA" w:rsidRDefault="002D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0882A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D46384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2392F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14EC6" w14:textId="77777777" w:rsidR="002D1ADA" w:rsidRDefault="002D1ADA">
      <w:r>
        <w:separator/>
      </w:r>
    </w:p>
  </w:footnote>
  <w:footnote w:type="continuationSeparator" w:id="0">
    <w:p w14:paraId="6E930334" w14:textId="77777777" w:rsidR="002D1ADA" w:rsidRDefault="002D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5EF0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27CEE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B0FB8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02046"/>
    <w:rsid w:val="001144F1"/>
    <w:rsid w:val="001167F4"/>
    <w:rsid w:val="001175DD"/>
    <w:rsid w:val="00117C22"/>
    <w:rsid w:val="00122D51"/>
    <w:rsid w:val="0012593A"/>
    <w:rsid w:val="00125D59"/>
    <w:rsid w:val="00131B30"/>
    <w:rsid w:val="00135CC4"/>
    <w:rsid w:val="00136946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62B5"/>
    <w:rsid w:val="001A784F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1443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1ADA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0157"/>
    <w:rsid w:val="00381714"/>
    <w:rsid w:val="00383D82"/>
    <w:rsid w:val="003969EA"/>
    <w:rsid w:val="0039782B"/>
    <w:rsid w:val="003A0041"/>
    <w:rsid w:val="003A2F74"/>
    <w:rsid w:val="003A42DF"/>
    <w:rsid w:val="003C0A97"/>
    <w:rsid w:val="003C1FEC"/>
    <w:rsid w:val="003D2A34"/>
    <w:rsid w:val="003D67B3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36412"/>
    <w:rsid w:val="00441281"/>
    <w:rsid w:val="004422CE"/>
    <w:rsid w:val="00447006"/>
    <w:rsid w:val="00450E47"/>
    <w:rsid w:val="00463905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2DCF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754"/>
    <w:rsid w:val="00631383"/>
    <w:rsid w:val="00632372"/>
    <w:rsid w:val="00642AD0"/>
    <w:rsid w:val="00654CDA"/>
    <w:rsid w:val="00672AAD"/>
    <w:rsid w:val="00675BB5"/>
    <w:rsid w:val="006804A4"/>
    <w:rsid w:val="0068140E"/>
    <w:rsid w:val="00692E25"/>
    <w:rsid w:val="0069411D"/>
    <w:rsid w:val="00694144"/>
    <w:rsid w:val="006A338D"/>
    <w:rsid w:val="006A7BCA"/>
    <w:rsid w:val="006B4E6C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334D"/>
    <w:rsid w:val="00744AFC"/>
    <w:rsid w:val="0075106A"/>
    <w:rsid w:val="00756E1D"/>
    <w:rsid w:val="007573D2"/>
    <w:rsid w:val="00763388"/>
    <w:rsid w:val="007663CE"/>
    <w:rsid w:val="007663DD"/>
    <w:rsid w:val="00767ADD"/>
    <w:rsid w:val="007709BB"/>
    <w:rsid w:val="007825F6"/>
    <w:rsid w:val="007835DA"/>
    <w:rsid w:val="00792808"/>
    <w:rsid w:val="00792C78"/>
    <w:rsid w:val="00795254"/>
    <w:rsid w:val="007A3ABB"/>
    <w:rsid w:val="007A6FE7"/>
    <w:rsid w:val="007A7EDE"/>
    <w:rsid w:val="007C3020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57E5A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0B35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46D6F"/>
    <w:rsid w:val="00950943"/>
    <w:rsid w:val="009512EB"/>
    <w:rsid w:val="00951829"/>
    <w:rsid w:val="00953D0B"/>
    <w:rsid w:val="0095667E"/>
    <w:rsid w:val="00977926"/>
    <w:rsid w:val="0098014E"/>
    <w:rsid w:val="009839FC"/>
    <w:rsid w:val="0098656A"/>
    <w:rsid w:val="00990D48"/>
    <w:rsid w:val="009937A6"/>
    <w:rsid w:val="00993FAB"/>
    <w:rsid w:val="009A04FC"/>
    <w:rsid w:val="009B35FF"/>
    <w:rsid w:val="009C0FF5"/>
    <w:rsid w:val="009C23D9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0E20"/>
    <w:rsid w:val="00A71608"/>
    <w:rsid w:val="00A80370"/>
    <w:rsid w:val="00A82BD7"/>
    <w:rsid w:val="00A83406"/>
    <w:rsid w:val="00A94DAA"/>
    <w:rsid w:val="00A95F52"/>
    <w:rsid w:val="00A97542"/>
    <w:rsid w:val="00AA3627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65E1"/>
    <w:rsid w:val="00BA2E53"/>
    <w:rsid w:val="00BB7252"/>
    <w:rsid w:val="00BB7E3A"/>
    <w:rsid w:val="00BC2E8D"/>
    <w:rsid w:val="00BD2073"/>
    <w:rsid w:val="00BD41CC"/>
    <w:rsid w:val="00BD49D0"/>
    <w:rsid w:val="00BF3063"/>
    <w:rsid w:val="00BF452A"/>
    <w:rsid w:val="00C005F5"/>
    <w:rsid w:val="00C03201"/>
    <w:rsid w:val="00C078C4"/>
    <w:rsid w:val="00C1236F"/>
    <w:rsid w:val="00C26685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65E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A666A"/>
    <w:rsid w:val="00DB2162"/>
    <w:rsid w:val="00DB32E3"/>
    <w:rsid w:val="00DB587F"/>
    <w:rsid w:val="00DC250C"/>
    <w:rsid w:val="00DC5921"/>
    <w:rsid w:val="00DC797A"/>
    <w:rsid w:val="00DE08BB"/>
    <w:rsid w:val="00DE15BC"/>
    <w:rsid w:val="00DE1D20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394A"/>
    <w:rsid w:val="00EC460B"/>
    <w:rsid w:val="00EC4F2C"/>
    <w:rsid w:val="00EC754A"/>
    <w:rsid w:val="00ED1C81"/>
    <w:rsid w:val="00ED47EE"/>
    <w:rsid w:val="00EE10A4"/>
    <w:rsid w:val="00EE6B8A"/>
    <w:rsid w:val="00EF0A84"/>
    <w:rsid w:val="00EF1567"/>
    <w:rsid w:val="00EF274E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775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E7FF3DA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0C32-399A-434F-BB61-A1AFEAFD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777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Gubis Małgorzata</cp:lastModifiedBy>
  <cp:revision>18</cp:revision>
  <cp:lastPrinted>2022-05-17T07:51:00Z</cp:lastPrinted>
  <dcterms:created xsi:type="dcterms:W3CDTF">2021-10-20T09:11:00Z</dcterms:created>
  <dcterms:modified xsi:type="dcterms:W3CDTF">2022-06-17T07:59:00Z</dcterms:modified>
</cp:coreProperties>
</file>