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77" w:rsidRPr="00535013" w:rsidRDefault="00AA1977" w:rsidP="00AA1977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535013">
        <w:rPr>
          <w:rFonts w:asciiTheme="minorHAnsi" w:hAnsiTheme="minorHAnsi" w:cstheme="minorHAnsi"/>
          <w:sz w:val="22"/>
          <w:szCs w:val="22"/>
        </w:rPr>
        <w:t xml:space="preserve">Warszawa, dnia </w:t>
      </w:r>
      <w:r>
        <w:rPr>
          <w:rFonts w:asciiTheme="minorHAnsi" w:hAnsiTheme="minorHAnsi" w:cstheme="minorHAnsi"/>
          <w:sz w:val="22"/>
          <w:szCs w:val="22"/>
        </w:rPr>
        <w:t xml:space="preserve">4 marca 2022 </w:t>
      </w:r>
      <w:r w:rsidRPr="00535013">
        <w:rPr>
          <w:rFonts w:asciiTheme="minorHAnsi" w:hAnsiTheme="minorHAnsi" w:cstheme="minorHAnsi"/>
          <w:sz w:val="22"/>
          <w:szCs w:val="22"/>
        </w:rPr>
        <w:t>r.</w:t>
      </w:r>
    </w:p>
    <w:p w:rsidR="00AA1977" w:rsidRPr="00535013" w:rsidRDefault="00AA1977" w:rsidP="00AA1977">
      <w:pPr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OPINIA PRAWNA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>
        <w:rPr>
          <w:rFonts w:asciiTheme="minorHAnsi" w:hAnsiTheme="minorHAnsi" w:cstheme="minorHAnsi"/>
          <w:sz w:val="22"/>
          <w:szCs w:val="22"/>
        </w:rPr>
        <w:t>w sprawie nadania nazwy obiektowi miejskiemu w Dzielnicy Mokotów m.st. Warszawy – Plac Jaśminowy Zakątek</w:t>
      </w:r>
      <w:r w:rsidRPr="00535013">
        <w:rPr>
          <w:rFonts w:asciiTheme="minorHAnsi" w:hAnsiTheme="minorHAnsi" w:cstheme="minorHAnsi"/>
          <w:sz w:val="22"/>
          <w:szCs w:val="22"/>
        </w:rPr>
        <w:t xml:space="preserve"> (dalej jako „Projekt Uchwały”), przekazanym za pismem Pan</w:t>
      </w:r>
      <w:r>
        <w:rPr>
          <w:rFonts w:asciiTheme="minorHAnsi" w:hAnsiTheme="minorHAnsi" w:cstheme="minorHAnsi"/>
          <w:sz w:val="22"/>
          <w:szCs w:val="22"/>
        </w:rPr>
        <w:t xml:space="preserve">a Pawła Piechny – Zastępcy Dyrektora Biura Geodezji i Katastru Urzędu m.st. Warszawy </w:t>
      </w:r>
      <w:r w:rsidRPr="00535013">
        <w:rPr>
          <w:rFonts w:asciiTheme="minorHAnsi" w:hAnsiTheme="minorHAnsi" w:cstheme="minorHAnsi"/>
          <w:sz w:val="22"/>
          <w:szCs w:val="22"/>
        </w:rPr>
        <w:t xml:space="preserve">z dnia </w:t>
      </w:r>
      <w:r>
        <w:rPr>
          <w:rFonts w:asciiTheme="minorHAnsi" w:hAnsiTheme="minorHAnsi" w:cstheme="minorHAnsi"/>
          <w:sz w:val="22"/>
          <w:szCs w:val="22"/>
        </w:rPr>
        <w:t>22 lutego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(znak: </w:t>
      </w:r>
      <w:r>
        <w:rPr>
          <w:rFonts w:asciiTheme="minorHAnsi" w:hAnsiTheme="minorHAnsi" w:cstheme="minorHAnsi"/>
          <w:sz w:val="22"/>
          <w:szCs w:val="22"/>
        </w:rPr>
        <w:t>BG-N-NM.6625.144.2021.AKO, 9.AKO), doręczonym w dniu 24 lutego 2022 r.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zawiera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zastrzeżenie</w:t>
      </w:r>
      <w:r w:rsidRPr="00535013">
        <w:rPr>
          <w:rFonts w:asciiTheme="minorHAnsi" w:hAnsiTheme="minorHAnsi" w:cstheme="minorHAnsi"/>
          <w:sz w:val="22"/>
          <w:szCs w:val="22"/>
        </w:rPr>
        <w:t xml:space="preserve"> do dokonanej w dniu </w:t>
      </w:r>
      <w:r>
        <w:rPr>
          <w:rFonts w:asciiTheme="minorHAnsi" w:hAnsiTheme="minorHAnsi" w:cstheme="minorHAnsi"/>
          <w:sz w:val="22"/>
          <w:szCs w:val="22"/>
        </w:rPr>
        <w:t>4 marca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pozytywnej opinii i parafy pod względem formalnoprawnym co do Projektu Uchwały.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C05">
        <w:rPr>
          <w:rFonts w:asciiTheme="minorHAnsi" w:hAnsiTheme="minorHAnsi" w:cstheme="minorHAnsi"/>
          <w:sz w:val="22"/>
          <w:szCs w:val="22"/>
        </w:rPr>
        <w:t xml:space="preserve">Wraz z </w:t>
      </w:r>
      <w:r>
        <w:rPr>
          <w:rFonts w:asciiTheme="minorHAnsi" w:hAnsiTheme="minorHAnsi" w:cstheme="minorHAnsi"/>
          <w:sz w:val="22"/>
          <w:szCs w:val="22"/>
        </w:rPr>
        <w:t xml:space="preserve">ww. pismem, </w:t>
      </w:r>
      <w:r w:rsidRPr="00535013">
        <w:rPr>
          <w:rFonts w:asciiTheme="minorHAnsi" w:hAnsiTheme="minorHAnsi" w:cstheme="minorHAnsi"/>
          <w:sz w:val="22"/>
          <w:szCs w:val="22"/>
        </w:rPr>
        <w:t>oprócz Projektu Uchwały, przedłożono załącznik graficzny i uzasadnienie, a także – w toku rozpatrywania sprawy – dalsz</w:t>
      </w:r>
      <w:r>
        <w:rPr>
          <w:rFonts w:asciiTheme="minorHAnsi" w:hAnsiTheme="minorHAnsi" w:cstheme="minorHAnsi"/>
          <w:sz w:val="22"/>
          <w:szCs w:val="22"/>
        </w:rPr>
        <w:t>e informacje</w:t>
      </w:r>
      <w:r w:rsidRPr="00535013">
        <w:rPr>
          <w:rFonts w:asciiTheme="minorHAnsi" w:hAnsiTheme="minorHAnsi" w:cstheme="minorHAnsi"/>
          <w:sz w:val="22"/>
          <w:szCs w:val="22"/>
        </w:rPr>
        <w:t xml:space="preserve"> i wyjaśnienia</w:t>
      </w:r>
      <w:r w:rsidRPr="00030C05">
        <w:rPr>
          <w:rFonts w:asciiTheme="minorHAnsi" w:hAnsiTheme="minorHAnsi" w:cstheme="minorHAnsi"/>
          <w:sz w:val="22"/>
          <w:szCs w:val="22"/>
        </w:rPr>
        <w:t>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W Projekcie Uchwały proponuje się, by </w:t>
      </w:r>
      <w:r>
        <w:rPr>
          <w:rFonts w:asciiTheme="minorHAnsi" w:hAnsiTheme="minorHAnsi" w:cstheme="minorHAnsi"/>
          <w:sz w:val="22"/>
          <w:szCs w:val="22"/>
        </w:rPr>
        <w:t xml:space="preserve">opisanemu w nim obiektowi miejskiemu nadać nazwę Plac Jaśminowy Zakątek. Jak wynika z uzasadnienia Projektu Uchwały proponowana nazwa </w:t>
      </w:r>
      <w:r>
        <w:rPr>
          <w:rFonts w:asciiTheme="minorHAnsi" w:hAnsiTheme="minorHAnsi" w:cstheme="minorHAnsi"/>
          <w:i/>
          <w:sz w:val="22"/>
          <w:szCs w:val="22"/>
        </w:rPr>
        <w:t xml:space="preserve">„ma nawiązywać do historii tego terenu, niegdyś wiejskiego, i </w:t>
      </w:r>
      <w:r w:rsidRPr="00AA1977">
        <w:rPr>
          <w:rFonts w:asciiTheme="minorHAnsi" w:hAnsiTheme="minorHAnsi" w:cstheme="minorHAnsi"/>
          <w:sz w:val="22"/>
          <w:szCs w:val="22"/>
        </w:rPr>
        <w:t>„roślinnych”</w:t>
      </w:r>
      <w:r>
        <w:rPr>
          <w:rFonts w:asciiTheme="minorHAnsi" w:hAnsiTheme="minorHAnsi" w:cstheme="minorHAnsi"/>
          <w:i/>
          <w:sz w:val="22"/>
          <w:szCs w:val="22"/>
        </w:rPr>
        <w:t xml:space="preserve"> nazw okolicznych ulic, z których pierwszą była ulica Jaśminowa”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dodatkowych informacji uzyskanych w sprawie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wynika, że proponowany do nazwania obiekt stanowi </w:t>
      </w:r>
      <w:r w:rsidR="00681E19">
        <w:rPr>
          <w:rFonts w:asciiTheme="minorHAnsi" w:hAnsiTheme="minorHAnsi" w:cstheme="minorHAnsi"/>
          <w:sz w:val="22"/>
          <w:szCs w:val="22"/>
        </w:rPr>
        <w:t xml:space="preserve">plac </w:t>
      </w:r>
      <w:r w:rsidR="000B010A">
        <w:rPr>
          <w:rFonts w:asciiTheme="minorHAnsi" w:hAnsiTheme="minorHAnsi" w:cstheme="minorHAnsi"/>
          <w:sz w:val="22"/>
          <w:szCs w:val="22"/>
        </w:rPr>
        <w:t>w znaczeniu innego obiektu</w:t>
      </w:r>
      <w:r w:rsidR="00681E19">
        <w:rPr>
          <w:rFonts w:asciiTheme="minorHAnsi" w:hAnsiTheme="minorHAnsi" w:cstheme="minorHAnsi"/>
          <w:sz w:val="22"/>
          <w:szCs w:val="22"/>
        </w:rPr>
        <w:t xml:space="preserve"> </w:t>
      </w:r>
      <w:r w:rsidR="000B010A">
        <w:rPr>
          <w:rFonts w:asciiTheme="minorHAnsi" w:hAnsiTheme="minorHAnsi" w:cstheme="minorHAnsi"/>
          <w:sz w:val="22"/>
          <w:szCs w:val="22"/>
        </w:rPr>
        <w:t>(</w:t>
      </w:r>
      <w:r w:rsidR="00681E19">
        <w:rPr>
          <w:rFonts w:asciiTheme="minorHAnsi" w:hAnsiTheme="minorHAnsi" w:cstheme="minorHAnsi"/>
          <w:sz w:val="22"/>
          <w:szCs w:val="22"/>
        </w:rPr>
        <w:t>w rozumieniu § 2 ust. 1 pkt 3 lit. a Uchwały Nazewniczej</w:t>
      </w:r>
      <w:r w:rsidR="00681E1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0B010A">
        <w:rPr>
          <w:rFonts w:asciiTheme="minorHAnsi" w:hAnsiTheme="minorHAnsi" w:cstheme="minorHAnsi"/>
          <w:sz w:val="22"/>
          <w:szCs w:val="22"/>
        </w:rPr>
        <w:t>)</w:t>
      </w:r>
      <w:r w:rsidR="00681E19">
        <w:rPr>
          <w:rFonts w:asciiTheme="minorHAnsi" w:hAnsiTheme="minorHAnsi" w:cstheme="minorHAnsi"/>
          <w:sz w:val="22"/>
          <w:szCs w:val="22"/>
        </w:rPr>
        <w:t>, a nie plac jako drogę wewnętrzną w rozumieniu art. 8 ust. 1 ustawy z dnia 21 marca 1985 r. o drogach publicznych</w:t>
      </w:r>
      <w:r w:rsidR="00681E1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681E19">
        <w:rPr>
          <w:rFonts w:asciiTheme="minorHAnsi" w:hAnsiTheme="minorHAnsi" w:cstheme="minorHAnsi"/>
          <w:sz w:val="22"/>
          <w:szCs w:val="22"/>
        </w:rPr>
        <w:t>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Zastrzeżenie o charakterze ogólnym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A1977" w:rsidRPr="005F5F9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>Przedmiotem oceny formalnoprawnej Projektu Uchwały i niniejszej opinii prawnej nie jest, co oczywiste, kwestia celowości nadania obiektowi miejskiemu, o którym mowa w Projekcie Uchw</w:t>
      </w:r>
      <w:r w:rsidR="00681E19">
        <w:rPr>
          <w:rFonts w:asciiTheme="minorHAnsi" w:hAnsiTheme="minorHAnsi" w:cstheme="minorHAnsi"/>
          <w:sz w:val="22"/>
          <w:szCs w:val="22"/>
        </w:rPr>
        <w:t xml:space="preserve">ały, zaproponowanej w nim nazwy oraz </w:t>
      </w:r>
      <w:r w:rsidR="00681E19" w:rsidRPr="005F5F97">
        <w:rPr>
          <w:rFonts w:asciiTheme="minorHAnsi" w:hAnsiTheme="minorHAnsi" w:cstheme="minorHAnsi"/>
          <w:sz w:val="22"/>
          <w:szCs w:val="22"/>
        </w:rPr>
        <w:t xml:space="preserve">ocena tego, czy zaproponowany do nazwania obiekt miejski rzeczywiście stanowi </w:t>
      </w:r>
      <w:r w:rsidR="00681E19">
        <w:rPr>
          <w:rFonts w:asciiTheme="minorHAnsi" w:hAnsiTheme="minorHAnsi" w:cstheme="minorHAnsi"/>
          <w:sz w:val="22"/>
          <w:szCs w:val="22"/>
        </w:rPr>
        <w:t>plac jako inny obiekt w rozumieniu § 2 ust. 1 pkt 3 lit. a Uchwały Nazewniczej.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57" w:hanging="357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Analiza prawna – uwagi ogólne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lastRenderedPageBreak/>
        <w:t xml:space="preserve">Ze względu na fakt, iż Projekt Uchwały uzyskał pozytywną opinię i parafę pod względem formalnoprawnym, a zasadniczą treścią niniejszej opinii jest zastrzeżenie o charakterze formalnoprawnym, w tej części zawarto jedynie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najważniejsze</w:t>
      </w:r>
      <w:r w:rsidRPr="00535013">
        <w:rPr>
          <w:rFonts w:asciiTheme="minorHAnsi" w:hAnsiTheme="minorHAnsi" w:cstheme="minorHAnsi"/>
          <w:sz w:val="22"/>
          <w:szCs w:val="22"/>
        </w:rPr>
        <w:t xml:space="preserve"> kwestie, które o tej pozytywnej ocenie zadecydowały.</w:t>
      </w:r>
    </w:p>
    <w:p w:rsidR="00AA1977" w:rsidRPr="00535013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Przede wszystkim, należy wskazać na istnienie w przepisach prawa powszechnie obowiązującego </w:t>
      </w:r>
      <w:r w:rsidRPr="00AC2044">
        <w:rPr>
          <w:rFonts w:asciiTheme="minorHAnsi" w:hAnsiTheme="minorHAnsi" w:cstheme="minorHAnsi"/>
          <w:sz w:val="22"/>
          <w:szCs w:val="22"/>
          <w:u w:val="single"/>
        </w:rPr>
        <w:t>podstawy prawnej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dla podjęcia przez Radę m.st. Warszawy uchwały w kształcie takim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C2044">
        <w:rPr>
          <w:rFonts w:asciiTheme="minorHAnsi" w:hAnsiTheme="minorHAnsi" w:cstheme="minorHAnsi"/>
          <w:sz w:val="22"/>
          <w:szCs w:val="22"/>
        </w:rPr>
        <w:t xml:space="preserve"> jaki postuluje się w Projekcie Uchwały. Stanowiąca akt prawa miejscowego na terenie m.st. Warszawy Uchwała Nazewnicza, przewiduje iż w szczególności obiektami miejskimi są znajdujące się na obszarze m.st. Warszawy i stanowiące własność lub będące w użytkowaniu wieczystym m.st. Warszawy tzw. inne obiekty, w tym m.in. </w:t>
      </w:r>
      <w:r w:rsidR="00681E19">
        <w:rPr>
          <w:rFonts w:asciiTheme="minorHAnsi" w:hAnsiTheme="minorHAnsi" w:cstheme="minorHAnsi"/>
          <w:sz w:val="22"/>
          <w:szCs w:val="22"/>
        </w:rPr>
        <w:t>place, jak również powszechnie dostępne obiekty innych osób o tej kategorii</w:t>
      </w:r>
      <w:r>
        <w:rPr>
          <w:rFonts w:asciiTheme="minorHAnsi" w:hAnsiTheme="minorHAnsi" w:cstheme="minorHAnsi"/>
          <w:sz w:val="22"/>
          <w:szCs w:val="22"/>
        </w:rPr>
        <w:t xml:space="preserve"> (§ 2 ust. 1 pkt 3 lit. a</w:t>
      </w:r>
      <w:r w:rsidRPr="00AC2044">
        <w:rPr>
          <w:rFonts w:asciiTheme="minorHAnsi" w:hAnsiTheme="minorHAnsi" w:cstheme="minorHAnsi"/>
          <w:sz w:val="22"/>
          <w:szCs w:val="22"/>
        </w:rPr>
        <w:t xml:space="preserve">). Jak natomiast wynika z uzasadnienia Projektu Uchwały, teren, na którym znajduje się obiekt proponowany do nazwania, </w:t>
      </w:r>
      <w:r w:rsidR="00681E19">
        <w:rPr>
          <w:rFonts w:asciiTheme="minorHAnsi" w:hAnsiTheme="minorHAnsi" w:cstheme="minorHAnsi"/>
          <w:sz w:val="22"/>
          <w:szCs w:val="22"/>
        </w:rPr>
        <w:t xml:space="preserve">w części stanowi </w:t>
      </w:r>
      <w:r w:rsidRPr="00AC2044">
        <w:rPr>
          <w:rFonts w:asciiTheme="minorHAnsi" w:hAnsiTheme="minorHAnsi" w:cstheme="minorHAnsi"/>
          <w:sz w:val="22"/>
          <w:szCs w:val="22"/>
        </w:rPr>
        <w:t>własność m.st. Warszawy</w:t>
      </w:r>
      <w:r w:rsidR="00681E19">
        <w:rPr>
          <w:rFonts w:asciiTheme="minorHAnsi" w:hAnsiTheme="minorHAnsi" w:cstheme="minorHAnsi"/>
          <w:sz w:val="22"/>
          <w:szCs w:val="22"/>
        </w:rPr>
        <w:t xml:space="preserve">, a w pozostałej, opisanej w nim (oraz uzasadnieniu Projektu Uchwały) części </w:t>
      </w:r>
      <w:r w:rsidR="000B010A">
        <w:rPr>
          <w:rFonts w:asciiTheme="minorHAnsi" w:hAnsiTheme="minorHAnsi" w:cstheme="minorHAnsi"/>
          <w:sz w:val="22"/>
          <w:szCs w:val="22"/>
        </w:rPr>
        <w:t xml:space="preserve">– </w:t>
      </w:r>
      <w:r w:rsidR="00681E19">
        <w:rPr>
          <w:rFonts w:asciiTheme="minorHAnsi" w:hAnsiTheme="minorHAnsi" w:cstheme="minorHAnsi"/>
          <w:sz w:val="22"/>
          <w:szCs w:val="22"/>
        </w:rPr>
        <w:t>własność innego podmiotu. Podmiot ten złożył oświadczenie, iż proponowany do nazwania obiekt miejski jest udostępniony do użytku powszechnego oraz wyraził zgodę na nadanie mu proponowanej nazwy</w:t>
      </w:r>
      <w:r w:rsidRPr="00AC2044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>Jako podstawę prawną do nadawania nazw takim obiektom przyjęło się uznawać</w:t>
      </w:r>
      <w:r w:rsidR="000B010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FC6FE6">
        <w:rPr>
          <w:rFonts w:asciiTheme="minorHAnsi" w:hAnsiTheme="minorHAnsi" w:cstheme="minorHAnsi"/>
          <w:sz w:val="22"/>
          <w:szCs w:val="22"/>
        </w:rPr>
        <w:t xml:space="preserve"> przepis art. 18 ust. 1 </w:t>
      </w:r>
      <w:r>
        <w:rPr>
          <w:rFonts w:asciiTheme="minorHAnsi" w:hAnsiTheme="minorHAnsi" w:cstheme="minorHAnsi"/>
          <w:sz w:val="22"/>
          <w:szCs w:val="22"/>
        </w:rPr>
        <w:t>ustawy z dnia 8 marca 1990 r. o samorządzie gminnym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FC6FE6">
        <w:rPr>
          <w:rFonts w:asciiTheme="minorHAnsi" w:hAnsiTheme="minorHAnsi" w:cstheme="minorHAnsi"/>
          <w:sz w:val="22"/>
          <w:szCs w:val="22"/>
        </w:rPr>
        <w:t xml:space="preserve"> i przepis ten prawidłowo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>powołano w podstawie prawnej Projektu Uchwały.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 xml:space="preserve">Poza tym, spełniono w sprawie </w:t>
      </w:r>
      <w:r w:rsidRPr="00FB452D">
        <w:rPr>
          <w:rFonts w:asciiTheme="minorHAnsi" w:hAnsiTheme="minorHAnsi" w:cstheme="minorHAnsi"/>
          <w:sz w:val="22"/>
          <w:szCs w:val="22"/>
          <w:u w:val="single"/>
        </w:rPr>
        <w:t xml:space="preserve">wymogi </w:t>
      </w:r>
      <w:r w:rsidRPr="00EB54EB">
        <w:rPr>
          <w:rFonts w:asciiTheme="minorHAnsi" w:hAnsiTheme="minorHAnsi" w:cstheme="minorHAnsi"/>
          <w:sz w:val="22"/>
          <w:szCs w:val="22"/>
          <w:u w:val="single"/>
        </w:rPr>
        <w:t>formalne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B54EB">
        <w:rPr>
          <w:rFonts w:asciiTheme="minorHAnsi" w:hAnsiTheme="minorHAnsi" w:cstheme="minorHAnsi"/>
          <w:sz w:val="22"/>
          <w:szCs w:val="22"/>
        </w:rPr>
        <w:t xml:space="preserve"> Projekt Uchwały i jego uzasadnienie zawierają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B54EB">
        <w:rPr>
          <w:rFonts w:asciiTheme="minorHAnsi" w:hAnsiTheme="minorHAnsi" w:cstheme="minorHAnsi"/>
          <w:sz w:val="22"/>
          <w:szCs w:val="22"/>
        </w:rPr>
        <w:t>wymagane elementy, przewidziane w § 29 ust. 4 i 5 Statutu m.st. Warszawy</w:t>
      </w:r>
      <w:r w:rsidRPr="00EB54E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EB54EB">
        <w:rPr>
          <w:rFonts w:asciiTheme="minorHAnsi" w:hAnsiTheme="minorHAnsi" w:cstheme="minorHAnsi"/>
          <w:sz w:val="22"/>
          <w:szCs w:val="22"/>
        </w:rPr>
        <w:t xml:space="preserve"> oraz w § 13 </w:t>
      </w:r>
      <w:r>
        <w:rPr>
          <w:rFonts w:asciiTheme="minorHAnsi" w:hAnsiTheme="minorHAnsi" w:cstheme="minorHAnsi"/>
          <w:sz w:val="22"/>
          <w:szCs w:val="22"/>
        </w:rPr>
        <w:t>ust. 1</w:t>
      </w:r>
      <w:r w:rsidR="00681E19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2 </w:t>
      </w:r>
      <w:r w:rsidR="00681E19">
        <w:rPr>
          <w:rFonts w:asciiTheme="minorHAnsi" w:hAnsiTheme="minorHAnsi" w:cstheme="minorHAnsi"/>
          <w:sz w:val="22"/>
          <w:szCs w:val="22"/>
        </w:rPr>
        <w:t xml:space="preserve">i 4 </w:t>
      </w:r>
      <w:r>
        <w:rPr>
          <w:rFonts w:asciiTheme="minorHAnsi" w:hAnsiTheme="minorHAnsi" w:cstheme="minorHAnsi"/>
          <w:sz w:val="22"/>
          <w:szCs w:val="22"/>
        </w:rPr>
        <w:t>Uchwały Nazewniczej.</w:t>
      </w:r>
      <w:r w:rsidR="00681E19">
        <w:rPr>
          <w:rFonts w:asciiTheme="minorHAnsi" w:hAnsiTheme="minorHAnsi" w:cstheme="minorHAnsi"/>
          <w:sz w:val="22"/>
          <w:szCs w:val="22"/>
        </w:rPr>
        <w:t xml:space="preserve"> W szczególności, jak wskazano wyżej, przedłożono </w:t>
      </w:r>
      <w:r w:rsidR="00C4368B">
        <w:rPr>
          <w:rFonts w:asciiTheme="minorHAnsi" w:hAnsiTheme="minorHAnsi" w:cstheme="minorHAnsi"/>
          <w:sz w:val="22"/>
          <w:szCs w:val="22"/>
        </w:rPr>
        <w:t xml:space="preserve">stosowne </w:t>
      </w:r>
      <w:r w:rsidR="00681E19">
        <w:rPr>
          <w:rFonts w:asciiTheme="minorHAnsi" w:hAnsiTheme="minorHAnsi" w:cstheme="minorHAnsi"/>
          <w:sz w:val="22"/>
          <w:szCs w:val="22"/>
        </w:rPr>
        <w:t>oświadczenie właściciela</w:t>
      </w:r>
      <w:r w:rsidR="00C4368B">
        <w:rPr>
          <w:rFonts w:asciiTheme="minorHAnsi" w:hAnsiTheme="minorHAnsi" w:cstheme="minorHAnsi"/>
          <w:sz w:val="22"/>
          <w:szCs w:val="22"/>
        </w:rPr>
        <w:t xml:space="preserve"> gruntu (stanowiącego część proponowanego do nazwania obiektu miejskiego)</w:t>
      </w:r>
      <w:r w:rsidR="000B010A">
        <w:rPr>
          <w:rFonts w:asciiTheme="minorHAnsi" w:hAnsiTheme="minorHAnsi" w:cstheme="minorHAnsi"/>
          <w:sz w:val="22"/>
          <w:szCs w:val="22"/>
        </w:rPr>
        <w:t xml:space="preserve">, co czyni zadość obowiązkom przewidzianym w </w:t>
      </w:r>
      <w:r w:rsidR="00C4368B">
        <w:rPr>
          <w:rFonts w:asciiTheme="minorHAnsi" w:hAnsiTheme="minorHAnsi" w:cstheme="minorHAnsi"/>
          <w:sz w:val="22"/>
          <w:szCs w:val="22"/>
        </w:rPr>
        <w:t>§ 2 ust. 2 i § 13 ust. 4 Uchwały Nazewniczej.</w:t>
      </w:r>
    </w:p>
    <w:p w:rsidR="00C4368B" w:rsidRDefault="00923B21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</w:t>
      </w:r>
      <w:r w:rsidR="00C4368B" w:rsidRPr="00FB452D">
        <w:rPr>
          <w:rFonts w:asciiTheme="minorHAnsi" w:hAnsiTheme="minorHAnsi" w:cstheme="minorHAnsi"/>
          <w:sz w:val="22"/>
          <w:szCs w:val="22"/>
        </w:rPr>
        <w:t>magane opinie w przedmiocie nadania nazwy obiektowi miejskiemu</w:t>
      </w:r>
      <w:r w:rsidR="00C4368B">
        <w:rPr>
          <w:rFonts w:asciiTheme="minorHAnsi" w:hAnsiTheme="minorHAnsi" w:cstheme="minorHAnsi"/>
          <w:sz w:val="22"/>
          <w:szCs w:val="22"/>
        </w:rPr>
        <w:t xml:space="preserve"> wyraziły</w:t>
      </w:r>
      <w:r>
        <w:rPr>
          <w:rFonts w:asciiTheme="minorHAnsi" w:hAnsiTheme="minorHAnsi" w:cstheme="minorHAnsi"/>
          <w:sz w:val="22"/>
          <w:szCs w:val="22"/>
        </w:rPr>
        <w:t xml:space="preserve"> również</w:t>
      </w:r>
      <w:r w:rsidR="00C4368B">
        <w:rPr>
          <w:rFonts w:asciiTheme="minorHAnsi" w:hAnsiTheme="minorHAnsi" w:cstheme="minorHAnsi"/>
          <w:sz w:val="22"/>
          <w:szCs w:val="22"/>
        </w:rPr>
        <w:t>: Zespół</w:t>
      </w:r>
      <w:r w:rsidR="00C4368B" w:rsidRPr="00FB452D">
        <w:rPr>
          <w:rFonts w:asciiTheme="minorHAnsi" w:hAnsiTheme="minorHAnsi" w:cstheme="minorHAnsi"/>
          <w:sz w:val="22"/>
          <w:szCs w:val="22"/>
        </w:rPr>
        <w:t xml:space="preserve"> Nazewnictwa M</w:t>
      </w:r>
      <w:r w:rsidR="00C4368B">
        <w:rPr>
          <w:rFonts w:asciiTheme="minorHAnsi" w:hAnsiTheme="minorHAnsi" w:cstheme="minorHAnsi"/>
          <w:sz w:val="22"/>
          <w:szCs w:val="22"/>
        </w:rPr>
        <w:t>iejskiego, Komisja</w:t>
      </w:r>
      <w:r w:rsidR="00C4368B" w:rsidRPr="00FB452D">
        <w:rPr>
          <w:rFonts w:asciiTheme="minorHAnsi" w:hAnsiTheme="minorHAnsi" w:cstheme="minorHAnsi"/>
          <w:sz w:val="22"/>
          <w:szCs w:val="22"/>
        </w:rPr>
        <w:t xml:space="preserve"> ds. Nazewnictwa Miejskiego Rady m.st. Warszawy</w:t>
      </w:r>
      <w:r w:rsidR="00C4368B">
        <w:rPr>
          <w:rFonts w:asciiTheme="minorHAnsi" w:hAnsiTheme="minorHAnsi" w:cstheme="minorHAnsi"/>
          <w:sz w:val="22"/>
          <w:szCs w:val="22"/>
        </w:rPr>
        <w:t xml:space="preserve"> oraz Rada Dzielnicy Mokotów m.st. Warszawy</w:t>
      </w:r>
      <w:r w:rsidR="00C4368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C4368B" w:rsidRPr="00FB452D">
        <w:rPr>
          <w:rFonts w:asciiTheme="minorHAnsi" w:hAnsiTheme="minorHAnsi" w:cstheme="minorHAnsi"/>
          <w:sz w:val="22"/>
          <w:szCs w:val="22"/>
        </w:rPr>
        <w:t>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onadto, p</w:t>
      </w:r>
      <w:r w:rsidRPr="00FB452D">
        <w:rPr>
          <w:rFonts w:asciiTheme="minorHAnsi" w:hAnsiTheme="minorHAnsi" w:cstheme="minorHAnsi"/>
          <w:sz w:val="22"/>
          <w:szCs w:val="22"/>
        </w:rPr>
        <w:t>roponowana nazwa została zapisana zgodnie z § 10 Uchwały Nazewniczej oraz przepisami zarządzenia nr 583/2020 Prezydenta m.st. Warszawy z dnia 11 maja 2020 r. w sprawie określenia szczegółowych zasad zapisu nazw obiektów miejskich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A1977" w:rsidRPr="00AC2044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A1977" w:rsidRPr="00535013" w:rsidRDefault="00AA1977" w:rsidP="00AA1977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013">
        <w:rPr>
          <w:rFonts w:asciiTheme="minorHAnsi" w:hAnsiTheme="minorHAnsi" w:cstheme="minorHAnsi"/>
          <w:b/>
          <w:sz w:val="22"/>
          <w:szCs w:val="22"/>
          <w:u w:val="single"/>
        </w:rPr>
        <w:t>Zastrzeżenie o charakterze formalnoprawnym</w:t>
      </w:r>
    </w:p>
    <w:p w:rsidR="00AA1977" w:rsidRPr="00535013" w:rsidRDefault="00AA1977" w:rsidP="00923B21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923B21" w:rsidRDefault="00C4368B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lastRenderedPageBreak/>
        <w:t xml:space="preserve">Możliwość </w:t>
      </w:r>
      <w:r w:rsidRPr="00923B21">
        <w:rPr>
          <w:rFonts w:asciiTheme="minorHAnsi" w:hAnsiTheme="minorHAnsi" w:cstheme="minorHAnsi"/>
          <w:sz w:val="22"/>
          <w:szCs w:val="22"/>
        </w:rPr>
        <w:t>skutecznego i niewadliwego</w:t>
      </w:r>
      <w:r w:rsidRPr="00542DE4">
        <w:rPr>
          <w:rFonts w:asciiTheme="minorHAnsi" w:hAnsiTheme="minorHAnsi" w:cstheme="minorHAnsi"/>
          <w:sz w:val="22"/>
          <w:szCs w:val="22"/>
        </w:rPr>
        <w:t xml:space="preserve"> podjęcia przez Radę m.st. Warszawy uchwały w sprawie nadania nazwy obiektowi miejskiemu zależy </w:t>
      </w:r>
      <w:r>
        <w:rPr>
          <w:rFonts w:asciiTheme="minorHAnsi" w:hAnsiTheme="minorHAnsi" w:cstheme="minorHAnsi"/>
          <w:sz w:val="22"/>
          <w:szCs w:val="22"/>
        </w:rPr>
        <w:t xml:space="preserve">nie tylko </w:t>
      </w:r>
      <w:r w:rsidRPr="00542DE4">
        <w:rPr>
          <w:rFonts w:asciiTheme="minorHAnsi" w:hAnsiTheme="minorHAnsi" w:cstheme="minorHAnsi"/>
          <w:sz w:val="22"/>
          <w:szCs w:val="22"/>
        </w:rPr>
        <w:t>od spełnienia w danej sprawie określonych przesłanek (pozytywnych)</w:t>
      </w:r>
      <w:r>
        <w:rPr>
          <w:rFonts w:asciiTheme="minorHAnsi" w:hAnsiTheme="minorHAnsi" w:cstheme="minorHAnsi"/>
          <w:sz w:val="22"/>
          <w:szCs w:val="22"/>
        </w:rPr>
        <w:t xml:space="preserve">, o czym wyżej mowa, ale także </w:t>
      </w:r>
      <w:r w:rsidR="00923B21">
        <w:rPr>
          <w:rFonts w:asciiTheme="minorHAnsi" w:hAnsiTheme="minorHAnsi" w:cstheme="minorHAnsi"/>
          <w:sz w:val="22"/>
          <w:szCs w:val="22"/>
        </w:rPr>
        <w:t>w braku przesłanek negatywnych</w:t>
      </w:r>
      <w:r w:rsidRPr="00542DE4">
        <w:rPr>
          <w:rFonts w:asciiTheme="minorHAnsi" w:hAnsiTheme="minorHAnsi" w:cstheme="minorHAnsi"/>
          <w:sz w:val="22"/>
          <w:szCs w:val="22"/>
        </w:rPr>
        <w:t>.</w:t>
      </w:r>
      <w:r w:rsidR="00923B21">
        <w:rPr>
          <w:rFonts w:asciiTheme="minorHAnsi" w:hAnsiTheme="minorHAnsi" w:cstheme="minorHAnsi"/>
          <w:sz w:val="22"/>
          <w:szCs w:val="22"/>
        </w:rPr>
        <w:t xml:space="preserve"> </w:t>
      </w:r>
      <w:r w:rsidR="00923B21" w:rsidRPr="00FB452D">
        <w:rPr>
          <w:rFonts w:asciiTheme="minorHAnsi" w:hAnsiTheme="minorHAnsi" w:cstheme="minorHAnsi"/>
          <w:sz w:val="22"/>
          <w:szCs w:val="22"/>
        </w:rPr>
        <w:t>Zajście chociażby jednej przesłanki negatywnej uniemożliwia tak naprawdę podjęcie uchwały przez Radę m.st. Warszawy w sposób całkowicie skuteczny i niewadliwy oraz naraża przez to na ryzyko wzruszenia uchwały podjętej w takich okolicznościach, w szczególności w toku nadzoru sprawowanego przez Wojewodę Mazowieckiego.</w:t>
      </w:r>
    </w:p>
    <w:p w:rsidR="00923B21" w:rsidRDefault="00923B21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143837" w:rsidRPr="00143837" w:rsidRDefault="00923B21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43837">
        <w:rPr>
          <w:rFonts w:asciiTheme="minorHAnsi" w:hAnsiTheme="minorHAnsi" w:cstheme="minorHAnsi"/>
          <w:sz w:val="22"/>
          <w:szCs w:val="22"/>
        </w:rPr>
        <w:t xml:space="preserve">Stwierdziwszy powyższe, należy wskazać iż – stosownie do § 6 ust. 1 Uchwały Nazewniczej – nazwa nie może powtarzać istniejących nazw nadanych we właściwym trybie obiektom miejskim. </w:t>
      </w:r>
    </w:p>
    <w:p w:rsidR="00923B21" w:rsidRDefault="00923B21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43837">
        <w:rPr>
          <w:rFonts w:asciiTheme="minorHAnsi" w:hAnsiTheme="minorHAnsi" w:cstheme="minorHAnsi"/>
          <w:sz w:val="22"/>
          <w:szCs w:val="22"/>
        </w:rPr>
        <w:t>Jak zwracałem na to uwagę w opinii prawnej z dnia 22 czerwca 2021 r., dotyczącej projektu uchwały Rady m.st. Warszawy w sprawie Placu Służewskiego, dla nazwy w znaczeniu, jakim posłużono się nią w § 6 Uchwały Nazewniczej, prawnie irrelewantne jest brzmienie członu podstawowego (określanego</w:t>
      </w:r>
      <w:r w:rsidR="00630F6D">
        <w:rPr>
          <w:rFonts w:asciiTheme="minorHAnsi" w:hAnsiTheme="minorHAnsi" w:cstheme="minorHAnsi"/>
          <w:sz w:val="22"/>
          <w:szCs w:val="22"/>
        </w:rPr>
        <w:t xml:space="preserve">, typu: </w:t>
      </w:r>
      <w:r w:rsidR="00266836">
        <w:rPr>
          <w:rFonts w:asciiTheme="minorHAnsi" w:hAnsiTheme="minorHAnsi" w:cstheme="minorHAnsi"/>
          <w:sz w:val="22"/>
          <w:szCs w:val="22"/>
        </w:rPr>
        <w:t>„</w:t>
      </w:r>
      <w:r w:rsidR="00630F6D">
        <w:rPr>
          <w:rFonts w:asciiTheme="minorHAnsi" w:hAnsiTheme="minorHAnsi" w:cstheme="minorHAnsi"/>
          <w:sz w:val="22"/>
          <w:szCs w:val="22"/>
        </w:rPr>
        <w:t>ulica</w:t>
      </w:r>
      <w:r w:rsidR="00266836">
        <w:rPr>
          <w:rFonts w:asciiTheme="minorHAnsi" w:hAnsiTheme="minorHAnsi" w:cstheme="minorHAnsi"/>
          <w:sz w:val="22"/>
          <w:szCs w:val="22"/>
        </w:rPr>
        <w:t>”</w:t>
      </w:r>
      <w:r w:rsidR="00630F6D">
        <w:rPr>
          <w:rFonts w:asciiTheme="minorHAnsi" w:hAnsiTheme="minorHAnsi" w:cstheme="minorHAnsi"/>
          <w:sz w:val="22"/>
          <w:szCs w:val="22"/>
        </w:rPr>
        <w:t xml:space="preserve">, </w:t>
      </w:r>
      <w:r w:rsidR="00266836">
        <w:rPr>
          <w:rFonts w:asciiTheme="minorHAnsi" w:hAnsiTheme="minorHAnsi" w:cstheme="minorHAnsi"/>
          <w:sz w:val="22"/>
          <w:szCs w:val="22"/>
        </w:rPr>
        <w:t>„</w:t>
      </w:r>
      <w:r w:rsidR="00630F6D">
        <w:rPr>
          <w:rFonts w:asciiTheme="minorHAnsi" w:hAnsiTheme="minorHAnsi" w:cstheme="minorHAnsi"/>
          <w:sz w:val="22"/>
          <w:szCs w:val="22"/>
        </w:rPr>
        <w:t>rondo</w:t>
      </w:r>
      <w:r w:rsidR="00266836">
        <w:rPr>
          <w:rFonts w:asciiTheme="minorHAnsi" w:hAnsiTheme="minorHAnsi" w:cstheme="minorHAnsi"/>
          <w:sz w:val="22"/>
          <w:szCs w:val="22"/>
        </w:rPr>
        <w:t>”</w:t>
      </w:r>
      <w:r w:rsidR="00630F6D">
        <w:rPr>
          <w:rFonts w:asciiTheme="minorHAnsi" w:hAnsiTheme="minorHAnsi" w:cstheme="minorHAnsi"/>
          <w:sz w:val="22"/>
          <w:szCs w:val="22"/>
        </w:rPr>
        <w:t xml:space="preserve">, </w:t>
      </w:r>
      <w:r w:rsidR="00266836">
        <w:rPr>
          <w:rFonts w:asciiTheme="minorHAnsi" w:hAnsiTheme="minorHAnsi" w:cstheme="minorHAnsi"/>
          <w:sz w:val="22"/>
          <w:szCs w:val="22"/>
        </w:rPr>
        <w:t>„</w:t>
      </w:r>
      <w:r w:rsidR="00630F6D">
        <w:rPr>
          <w:rFonts w:asciiTheme="minorHAnsi" w:hAnsiTheme="minorHAnsi" w:cstheme="minorHAnsi"/>
          <w:sz w:val="22"/>
          <w:szCs w:val="22"/>
        </w:rPr>
        <w:t>aleja</w:t>
      </w:r>
      <w:r w:rsidR="00266836">
        <w:rPr>
          <w:rFonts w:asciiTheme="minorHAnsi" w:hAnsiTheme="minorHAnsi" w:cstheme="minorHAnsi"/>
          <w:sz w:val="22"/>
          <w:szCs w:val="22"/>
        </w:rPr>
        <w:t>”</w:t>
      </w:r>
      <w:r w:rsidR="00630F6D">
        <w:rPr>
          <w:rFonts w:asciiTheme="minorHAnsi" w:hAnsiTheme="minorHAnsi" w:cstheme="minorHAnsi"/>
          <w:sz w:val="22"/>
          <w:szCs w:val="22"/>
        </w:rPr>
        <w:t xml:space="preserve"> itp.</w:t>
      </w:r>
      <w:r w:rsidRPr="00143837">
        <w:rPr>
          <w:rFonts w:asciiTheme="minorHAnsi" w:hAnsiTheme="minorHAnsi" w:cstheme="minorHAnsi"/>
          <w:sz w:val="22"/>
          <w:szCs w:val="22"/>
        </w:rPr>
        <w:t>): istotna jest tu bowiem treść wyłącznie tzw. członu określającego</w:t>
      </w:r>
      <w:r w:rsidRPr="001438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1438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143837">
        <w:rPr>
          <w:rFonts w:asciiTheme="minorHAnsi" w:hAnsiTheme="minorHAnsi" w:cstheme="minorHAnsi"/>
          <w:sz w:val="22"/>
          <w:szCs w:val="22"/>
        </w:rPr>
        <w:t>.</w:t>
      </w:r>
    </w:p>
    <w:p w:rsidR="00143837" w:rsidRDefault="00143837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266836" w:rsidRDefault="00143837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Człon określający nazwy postulowanej w Projekcie Uchwały („Jaśminowy Zakątek”) </w:t>
      </w:r>
      <w:r w:rsidRPr="00630F6D">
        <w:rPr>
          <w:rFonts w:asciiTheme="minorHAnsi" w:hAnsiTheme="minorHAnsi" w:cstheme="minorHAnsi"/>
          <w:b/>
          <w:sz w:val="22"/>
          <w:szCs w:val="22"/>
        </w:rPr>
        <w:t xml:space="preserve">z pewnością </w:t>
      </w:r>
      <w:r w:rsidRPr="00630F6D">
        <w:rPr>
          <w:rFonts w:asciiTheme="minorHAnsi" w:hAnsiTheme="minorHAnsi" w:cstheme="minorHAnsi"/>
          <w:b/>
          <w:sz w:val="22"/>
          <w:szCs w:val="22"/>
          <w:u w:val="single"/>
        </w:rPr>
        <w:t>nie powtarza</w:t>
      </w:r>
      <w:r w:rsidRPr="00630F6D">
        <w:rPr>
          <w:rFonts w:asciiTheme="minorHAnsi" w:hAnsiTheme="minorHAnsi" w:cstheme="minorHAnsi"/>
          <w:b/>
          <w:sz w:val="22"/>
          <w:szCs w:val="22"/>
        </w:rPr>
        <w:t xml:space="preserve"> żadnej z istniejących nazw nadanych obiektom miejskim na terenie m.st. Warszawy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>
        <w:rPr>
          <w:rFonts w:asciiTheme="minorHAnsi" w:hAnsiTheme="minorHAnsi" w:cstheme="minorHAnsi"/>
          <w:sz w:val="22"/>
          <w:szCs w:val="22"/>
        </w:rPr>
        <w:t xml:space="preserve"> (z tej też przyczyny Projekt Uchwały został zaparafowany pod względem formalnoprawnym). </w:t>
      </w:r>
      <w:r w:rsidR="00630F6D">
        <w:rPr>
          <w:rFonts w:asciiTheme="minorHAnsi" w:hAnsiTheme="minorHAnsi" w:cstheme="minorHAnsi"/>
          <w:sz w:val="22"/>
          <w:szCs w:val="22"/>
        </w:rPr>
        <w:t>Zatem, wedle mojej oceny,</w:t>
      </w:r>
      <w:r w:rsidR="005B7C2C">
        <w:rPr>
          <w:rFonts w:asciiTheme="minorHAnsi" w:hAnsiTheme="minorHAnsi" w:cstheme="minorHAnsi"/>
          <w:sz w:val="22"/>
          <w:szCs w:val="22"/>
        </w:rPr>
        <w:t xml:space="preserve"> pod względem literalnym</w:t>
      </w:r>
      <w:r w:rsidR="00630F6D">
        <w:rPr>
          <w:rFonts w:asciiTheme="minorHAnsi" w:hAnsiTheme="minorHAnsi" w:cstheme="minorHAnsi"/>
          <w:sz w:val="22"/>
          <w:szCs w:val="22"/>
        </w:rPr>
        <w:t xml:space="preserve"> </w:t>
      </w:r>
      <w:r w:rsidR="00630F6D" w:rsidRPr="00630F6D">
        <w:rPr>
          <w:rFonts w:asciiTheme="minorHAnsi" w:hAnsiTheme="minorHAnsi" w:cstheme="minorHAnsi"/>
          <w:sz w:val="22"/>
          <w:szCs w:val="22"/>
          <w:u w:val="single"/>
        </w:rPr>
        <w:t>zakaz przewidziany w § 6 ust. 1 Uchwały Nazewniczej nie został naruszony</w:t>
      </w:r>
      <w:r w:rsidR="00630F6D" w:rsidRPr="00630F6D">
        <w:rPr>
          <w:rFonts w:asciiTheme="minorHAnsi" w:hAnsiTheme="minorHAnsi" w:cstheme="minorHAnsi"/>
          <w:sz w:val="22"/>
          <w:szCs w:val="22"/>
        </w:rPr>
        <w:t xml:space="preserve"> w</w:t>
      </w:r>
      <w:r w:rsidR="00630F6D">
        <w:rPr>
          <w:rFonts w:asciiTheme="minorHAnsi" w:hAnsiTheme="minorHAnsi" w:cstheme="minorHAnsi"/>
          <w:sz w:val="22"/>
          <w:szCs w:val="22"/>
        </w:rPr>
        <w:t xml:space="preserve"> rozpatrywanej</w:t>
      </w:r>
      <w:r w:rsidR="00630F6D" w:rsidRPr="00630F6D">
        <w:rPr>
          <w:rFonts w:asciiTheme="minorHAnsi" w:hAnsiTheme="minorHAnsi" w:cstheme="minorHAnsi"/>
          <w:sz w:val="22"/>
          <w:szCs w:val="22"/>
        </w:rPr>
        <w:t xml:space="preserve"> sprawie</w:t>
      </w:r>
      <w:r w:rsidR="00630F6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43837" w:rsidRDefault="00143837" w:rsidP="00923B21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Zważywszy jednak na znaczenie wyrazów wchodzących w skład </w:t>
      </w:r>
      <w:r w:rsidR="00266836">
        <w:rPr>
          <w:rFonts w:asciiTheme="minorHAnsi" w:hAnsiTheme="minorHAnsi" w:cstheme="minorHAnsi"/>
          <w:sz w:val="22"/>
          <w:szCs w:val="22"/>
        </w:rPr>
        <w:t xml:space="preserve">członu określającego </w:t>
      </w:r>
      <w:r>
        <w:rPr>
          <w:rFonts w:asciiTheme="minorHAnsi" w:hAnsiTheme="minorHAnsi" w:cstheme="minorHAnsi"/>
          <w:sz w:val="22"/>
          <w:szCs w:val="22"/>
        </w:rPr>
        <w:t xml:space="preserve">oraz mając na uwadze wskazaną w uzasadnieniu Projektu Uchwały okoliczność uzasadniającą wybór proponowanej nazwy, zgodnie z którą nazwa ta ma </w:t>
      </w:r>
      <w:r w:rsidRPr="00143837">
        <w:rPr>
          <w:rFonts w:asciiTheme="minorHAnsi" w:hAnsiTheme="minorHAnsi" w:cstheme="minorHAnsi"/>
          <w:i/>
          <w:sz w:val="22"/>
          <w:szCs w:val="22"/>
        </w:rPr>
        <w:t>„nawiązywać do nazw okolicznych ulic, z których pierwszą była ulica Jaśminowa”</w:t>
      </w:r>
      <w:r w:rsidRPr="001438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>
        <w:rPr>
          <w:rFonts w:asciiTheme="minorHAnsi" w:hAnsiTheme="minorHAnsi" w:cstheme="minorHAnsi"/>
          <w:sz w:val="22"/>
          <w:szCs w:val="22"/>
        </w:rPr>
        <w:t xml:space="preserve">, nie </w:t>
      </w:r>
      <w:r w:rsidR="00630F6D">
        <w:rPr>
          <w:rFonts w:asciiTheme="minorHAnsi" w:hAnsiTheme="minorHAnsi" w:cstheme="minorHAnsi"/>
          <w:sz w:val="22"/>
          <w:szCs w:val="22"/>
        </w:rPr>
        <w:t xml:space="preserve">da się całkowicie wyeliminować ryzyka </w:t>
      </w:r>
      <w:r w:rsidR="005B7C2C">
        <w:rPr>
          <w:rFonts w:asciiTheme="minorHAnsi" w:hAnsiTheme="minorHAnsi" w:cstheme="minorHAnsi"/>
          <w:sz w:val="22"/>
          <w:szCs w:val="22"/>
        </w:rPr>
        <w:t>zajęcia</w:t>
      </w:r>
      <w:r w:rsidR="00630F6D">
        <w:rPr>
          <w:rFonts w:asciiTheme="minorHAnsi" w:hAnsiTheme="minorHAnsi" w:cstheme="minorHAnsi"/>
          <w:sz w:val="22"/>
          <w:szCs w:val="22"/>
        </w:rPr>
        <w:t xml:space="preserve"> i takiego stanowiska, zgodnie z którym </w:t>
      </w:r>
      <w:r>
        <w:rPr>
          <w:rFonts w:asciiTheme="minorHAnsi" w:hAnsiTheme="minorHAnsi" w:cstheme="minorHAnsi"/>
          <w:sz w:val="22"/>
          <w:szCs w:val="22"/>
        </w:rPr>
        <w:t>wyraz „Zaułek” dodany do czł</w:t>
      </w:r>
      <w:r w:rsidR="005B7C2C">
        <w:rPr>
          <w:rFonts w:asciiTheme="minorHAnsi" w:hAnsiTheme="minorHAnsi" w:cstheme="minorHAnsi"/>
          <w:sz w:val="22"/>
          <w:szCs w:val="22"/>
        </w:rPr>
        <w:t>on</w:t>
      </w:r>
      <w:r>
        <w:rPr>
          <w:rFonts w:asciiTheme="minorHAnsi" w:hAnsiTheme="minorHAnsi" w:cstheme="minorHAnsi"/>
          <w:sz w:val="22"/>
          <w:szCs w:val="22"/>
        </w:rPr>
        <w:t>u określającego zaproponowanej nazwy wcale nie zmienia istoty tej nazwy</w:t>
      </w:r>
      <w:r w:rsidR="00630F6D">
        <w:rPr>
          <w:rFonts w:asciiTheme="minorHAnsi" w:hAnsiTheme="minorHAnsi" w:cstheme="minorHAnsi"/>
          <w:sz w:val="22"/>
          <w:szCs w:val="22"/>
        </w:rPr>
        <w:t xml:space="preserve"> („Jaśminowy”)</w:t>
      </w:r>
      <w:r>
        <w:rPr>
          <w:rFonts w:asciiTheme="minorHAnsi" w:hAnsiTheme="minorHAnsi" w:cstheme="minorHAnsi"/>
          <w:sz w:val="22"/>
          <w:szCs w:val="22"/>
        </w:rPr>
        <w:t xml:space="preserve"> oraz </w:t>
      </w:r>
      <w:r w:rsidR="00630F6D">
        <w:rPr>
          <w:rFonts w:asciiTheme="minorHAnsi" w:hAnsiTheme="minorHAnsi" w:cstheme="minorHAnsi"/>
          <w:sz w:val="22"/>
          <w:szCs w:val="22"/>
        </w:rPr>
        <w:t xml:space="preserve">że w związku z tym </w:t>
      </w:r>
      <w:r>
        <w:rPr>
          <w:rFonts w:asciiTheme="minorHAnsi" w:hAnsiTheme="minorHAnsi" w:cstheme="minorHAnsi"/>
          <w:sz w:val="22"/>
          <w:szCs w:val="22"/>
        </w:rPr>
        <w:t xml:space="preserve">nie wyklucza </w:t>
      </w:r>
      <w:r w:rsidR="005B7C2C">
        <w:rPr>
          <w:rFonts w:asciiTheme="minorHAnsi" w:hAnsiTheme="minorHAnsi" w:cstheme="minorHAnsi"/>
          <w:sz w:val="22"/>
          <w:szCs w:val="22"/>
        </w:rPr>
        <w:t xml:space="preserve">to </w:t>
      </w:r>
      <w:r>
        <w:rPr>
          <w:rFonts w:asciiTheme="minorHAnsi" w:hAnsiTheme="minorHAnsi" w:cstheme="minorHAnsi"/>
          <w:sz w:val="22"/>
          <w:szCs w:val="22"/>
        </w:rPr>
        <w:t xml:space="preserve">faktycznej tożsamością </w:t>
      </w:r>
      <w:r w:rsidR="00630F6D">
        <w:rPr>
          <w:rFonts w:asciiTheme="minorHAnsi" w:hAnsiTheme="minorHAnsi" w:cstheme="minorHAnsi"/>
          <w:sz w:val="22"/>
          <w:szCs w:val="22"/>
        </w:rPr>
        <w:t xml:space="preserve">takiej nazwy </w:t>
      </w:r>
      <w:r>
        <w:rPr>
          <w:rFonts w:asciiTheme="minorHAnsi" w:hAnsiTheme="minorHAnsi" w:cstheme="minorHAnsi"/>
          <w:sz w:val="22"/>
          <w:szCs w:val="22"/>
        </w:rPr>
        <w:t>z już istniejącą nazwą</w:t>
      </w:r>
      <w:r w:rsidR="00630F6D">
        <w:rPr>
          <w:rFonts w:asciiTheme="minorHAnsi" w:hAnsiTheme="minorHAnsi" w:cstheme="minorHAnsi"/>
          <w:sz w:val="22"/>
          <w:szCs w:val="22"/>
        </w:rPr>
        <w:t xml:space="preserve"> (a ściślej: istniejącymi nazwami) na terenie m.st. Warszawy.</w:t>
      </w:r>
    </w:p>
    <w:p w:rsidR="00AA1977" w:rsidRDefault="00AA1977" w:rsidP="00AA1977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E4510" w:rsidRDefault="00AA1977" w:rsidP="00630F6D">
      <w:pPr>
        <w:spacing w:after="240" w:line="300" w:lineRule="auto"/>
        <w:contextualSpacing/>
      </w:pPr>
      <w:r>
        <w:rPr>
          <w:rFonts w:asciiTheme="minorHAnsi" w:hAnsiTheme="minorHAnsi" w:cstheme="minorHAnsi"/>
          <w:sz w:val="22"/>
          <w:szCs w:val="22"/>
        </w:rPr>
        <w:lastRenderedPageBreak/>
        <w:t>W konsekwencji powyższego, w razie przyjęcia takiego jak powołany punktu widzenia przez organ nadzorczy, mogłoby dojść do interwencji nadzorczej Wojewody Mazowieckiego. Z przyczyn obiektywnych nie da się jednak określić prawdopodobieństwa ani skali takiego ryzyka.</w:t>
      </w:r>
    </w:p>
    <w:sectPr w:rsidR="00EE4510" w:rsidSect="009C7035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E41" w:rsidRDefault="005F3E41" w:rsidP="00AA1977">
      <w:r>
        <w:separator/>
      </w:r>
    </w:p>
  </w:endnote>
  <w:endnote w:type="continuationSeparator" w:id="0">
    <w:p w:rsidR="005F3E41" w:rsidRDefault="005F3E41" w:rsidP="00AA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035" w:rsidRDefault="005F3E41" w:rsidP="009C70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35" w:rsidRDefault="00143930" w:rsidP="009C70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035" w:rsidRPr="00AC73D7" w:rsidRDefault="005F3E41" w:rsidP="009C703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143930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AC73D7">
      <w:rPr>
        <w:rStyle w:val="Numerstrony"/>
        <w:rFonts w:asciiTheme="minorHAnsi" w:hAnsiTheme="minorHAnsi" w:cstheme="minorHAnsi"/>
        <w:sz w:val="22"/>
        <w:szCs w:val="22"/>
      </w:rPr>
      <w:t>/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143930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9C7035" w:rsidRDefault="00143930" w:rsidP="009C70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E41" w:rsidRDefault="005F3E41" w:rsidP="00AA1977">
      <w:r>
        <w:separator/>
      </w:r>
    </w:p>
  </w:footnote>
  <w:footnote w:type="continuationSeparator" w:id="0">
    <w:p w:rsidR="005F3E41" w:rsidRDefault="005F3E41" w:rsidP="00AA1977">
      <w:r>
        <w:continuationSeparator/>
      </w:r>
    </w:p>
  </w:footnote>
  <w:footnote w:id="1">
    <w:p w:rsidR="00AA1977" w:rsidRPr="000B010A" w:rsidRDefault="00AA197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Wiadomość elektroniczna z Biura Geodezji i Katastru Urzędu m.st. Warszawy z dnia 3 marca 2022 r.</w:t>
      </w:r>
    </w:p>
  </w:footnote>
  <w:footnote w:id="2">
    <w:p w:rsidR="00681E19" w:rsidRPr="000B010A" w:rsidRDefault="00681E19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Uchwała Nr LV/1383/2017 Rady m.st. Warszawy z dnia 21 września 2017 r. w sprawie nazewnictwa obiektów miejskich (Dz. Urz. Woj. </w:t>
      </w:r>
      <w:proofErr w:type="spellStart"/>
      <w:r w:rsidRPr="000B010A">
        <w:rPr>
          <w:rFonts w:asciiTheme="minorHAnsi" w:hAnsiTheme="minorHAnsi" w:cstheme="minorHAnsi"/>
        </w:rPr>
        <w:t>Maz</w:t>
      </w:r>
      <w:proofErr w:type="spellEnd"/>
      <w:r w:rsidRPr="000B010A">
        <w:rPr>
          <w:rFonts w:asciiTheme="minorHAnsi" w:hAnsiTheme="minorHAnsi" w:cstheme="minorHAnsi"/>
        </w:rPr>
        <w:t>. poz. 8402).</w:t>
      </w:r>
    </w:p>
  </w:footnote>
  <w:footnote w:id="3">
    <w:p w:rsidR="00681E19" w:rsidRPr="000B010A" w:rsidRDefault="00681E19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Dz. U. z 2021 r. poz. 1376, z </w:t>
      </w:r>
      <w:proofErr w:type="spellStart"/>
      <w:r w:rsidRPr="000B010A">
        <w:rPr>
          <w:rFonts w:asciiTheme="minorHAnsi" w:hAnsiTheme="minorHAnsi" w:cstheme="minorHAnsi"/>
        </w:rPr>
        <w:t>późn</w:t>
      </w:r>
      <w:proofErr w:type="spellEnd"/>
      <w:r w:rsidRPr="000B010A">
        <w:rPr>
          <w:rFonts w:asciiTheme="minorHAnsi" w:hAnsiTheme="minorHAnsi" w:cstheme="minorHAnsi"/>
        </w:rPr>
        <w:t>. zm.</w:t>
      </w:r>
    </w:p>
  </w:footnote>
  <w:footnote w:id="4">
    <w:p w:rsidR="000B010A" w:rsidRPr="000B010A" w:rsidRDefault="000B010A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Por. m.in. uchwała nr X/212/2019 Rady m.st. Warszawy z dnia 28 marca 2019 r. w sprawie nadania nazwy obiektowi miejskiemu w Dzielnicy Śródmieście m.st. Warszawy (Dz. Urz. Woj. </w:t>
      </w:r>
      <w:proofErr w:type="spellStart"/>
      <w:r w:rsidRPr="000B010A">
        <w:rPr>
          <w:rFonts w:asciiTheme="minorHAnsi" w:hAnsiTheme="minorHAnsi" w:cstheme="minorHAnsi"/>
        </w:rPr>
        <w:t>Maz</w:t>
      </w:r>
      <w:proofErr w:type="spellEnd"/>
      <w:r w:rsidRPr="000B010A">
        <w:rPr>
          <w:rFonts w:asciiTheme="minorHAnsi" w:hAnsiTheme="minorHAnsi" w:cstheme="minorHAnsi"/>
        </w:rPr>
        <w:t>. poz. 4926).</w:t>
      </w:r>
    </w:p>
  </w:footnote>
  <w:footnote w:id="5">
    <w:p w:rsidR="00AA1977" w:rsidRPr="000B010A" w:rsidRDefault="00AA197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Dz. U. z 2021 r. poz. 1372, z </w:t>
      </w:r>
      <w:proofErr w:type="spellStart"/>
      <w:r w:rsidRPr="000B010A">
        <w:rPr>
          <w:rFonts w:asciiTheme="minorHAnsi" w:hAnsiTheme="minorHAnsi" w:cstheme="minorHAnsi"/>
        </w:rPr>
        <w:t>późn</w:t>
      </w:r>
      <w:proofErr w:type="spellEnd"/>
      <w:r w:rsidRPr="000B010A">
        <w:rPr>
          <w:rFonts w:asciiTheme="minorHAnsi" w:hAnsiTheme="minorHAnsi" w:cstheme="minorHAnsi"/>
        </w:rPr>
        <w:t>. zm.</w:t>
      </w:r>
    </w:p>
  </w:footnote>
  <w:footnote w:id="6">
    <w:p w:rsidR="00AA1977" w:rsidRPr="000B010A" w:rsidRDefault="00AA197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Załącznik do uchwały Nr XXII/743/2008 Rady m.st. Warszawy z dnia 10 stycznia 2008 r. w sprawie uchwalenia Statutu miasta stołecznego Warszawy (Dz. Urz. Woj. </w:t>
      </w:r>
      <w:proofErr w:type="spellStart"/>
      <w:r w:rsidRPr="000B010A">
        <w:rPr>
          <w:rFonts w:asciiTheme="minorHAnsi" w:hAnsiTheme="minorHAnsi" w:cstheme="minorHAnsi"/>
        </w:rPr>
        <w:t>Maz</w:t>
      </w:r>
      <w:proofErr w:type="spellEnd"/>
      <w:r w:rsidRPr="000B010A">
        <w:rPr>
          <w:rFonts w:asciiTheme="minorHAnsi" w:hAnsiTheme="minorHAnsi" w:cstheme="minorHAnsi"/>
        </w:rPr>
        <w:t xml:space="preserve">. z 2019 r. poz. 14465, z </w:t>
      </w:r>
      <w:proofErr w:type="spellStart"/>
      <w:r w:rsidRPr="000B010A">
        <w:rPr>
          <w:rFonts w:asciiTheme="minorHAnsi" w:hAnsiTheme="minorHAnsi" w:cstheme="minorHAnsi"/>
        </w:rPr>
        <w:t>późn</w:t>
      </w:r>
      <w:proofErr w:type="spellEnd"/>
      <w:r w:rsidRPr="000B010A">
        <w:rPr>
          <w:rFonts w:asciiTheme="minorHAnsi" w:hAnsiTheme="minorHAnsi" w:cstheme="minorHAnsi"/>
        </w:rPr>
        <w:t>. zm.).</w:t>
      </w:r>
    </w:p>
  </w:footnote>
  <w:footnote w:id="7">
    <w:p w:rsidR="00C4368B" w:rsidRPr="000B010A" w:rsidRDefault="00C4368B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Por. § 14 ust. 1 Uchwały Nazewniczej.</w:t>
      </w:r>
    </w:p>
  </w:footnote>
  <w:footnote w:id="8">
    <w:p w:rsidR="00AA1977" w:rsidRPr="000B010A" w:rsidRDefault="00AA197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Por. zwłaszcza § 3 i 4 tego zarządzenia.</w:t>
      </w:r>
    </w:p>
  </w:footnote>
  <w:footnote w:id="9">
    <w:p w:rsidR="00923B21" w:rsidRPr="000B010A" w:rsidRDefault="00923B21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Co do członu podstawowego (określanego) i określają</w:t>
      </w:r>
      <w:r w:rsidR="00266836">
        <w:rPr>
          <w:rFonts w:asciiTheme="minorHAnsi" w:hAnsiTheme="minorHAnsi" w:cstheme="minorHAnsi"/>
        </w:rPr>
        <w:t>cego nazw</w:t>
      </w:r>
      <w:r w:rsidRPr="000B010A">
        <w:rPr>
          <w:rFonts w:asciiTheme="minorHAnsi" w:hAnsiTheme="minorHAnsi" w:cstheme="minorHAnsi"/>
        </w:rPr>
        <w:t xml:space="preserve"> o</w:t>
      </w:r>
      <w:r w:rsidR="00266836">
        <w:rPr>
          <w:rFonts w:asciiTheme="minorHAnsi" w:hAnsiTheme="minorHAnsi" w:cstheme="minorHAnsi"/>
        </w:rPr>
        <w:t>biektów miejskich</w:t>
      </w:r>
      <w:r w:rsidRPr="000B010A">
        <w:rPr>
          <w:rFonts w:asciiTheme="minorHAnsi" w:hAnsiTheme="minorHAnsi" w:cstheme="minorHAnsi"/>
        </w:rPr>
        <w:t xml:space="preserve"> por. przepisy powoływanego wyżej zarządzenia nr 583/2020 Prezydenta m.st. Warszawy z dnia 11 maja 2020 r. w sprawie określenia szczegółowych zasad zapisu nazw obiektów miejskich, w tym zwłaszcza § 3 i 4.</w:t>
      </w:r>
    </w:p>
  </w:footnote>
  <w:footnote w:id="10">
    <w:p w:rsidR="00923B21" w:rsidRPr="000B010A" w:rsidRDefault="00923B21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Przy każdym innym bowiem rozumieniu tego pojęcia zakaz przewidziany w § 6 Uchwały Nazewniczej pozostałby pustą normą, albowiem obchodzony byłby np. nadawaniem różnego rodzaju nazw (w znaczeniu technicznym) np. z danymi tego samego patrona, a różniącymi się wyłącznie członem podstawowym (określanym). W tej sytuacji możliwe byłoby np. upamiętnianie tej samej osoby każdym z następujących typów obiektów miejskich: ulicy, placu, mostu, alei, alej, rynku, pasażu, przejścia, zaułku, bulwarów, grobli, kładki, skweru, parku, ogrodu, zieleńca czy stacji metra. Rozwiązanie takie kłóciłoby się z założeniem racjonalnego prawodawcy, również na szczeblu lokalnym. </w:t>
      </w:r>
    </w:p>
  </w:footnote>
  <w:footnote w:id="11">
    <w:p w:rsidR="00143837" w:rsidRPr="000B010A" w:rsidRDefault="0014383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Por. Katalog nazw obiektów miejskich, stanowiący załącznik do zarządzenia nr 139/2022 Prezydenta m.st. Warszawy z dnia 4 lutego 2022 r. w sprawie Katalogu nazw obiektów miejskich.</w:t>
      </w:r>
    </w:p>
  </w:footnote>
  <w:footnote w:id="12">
    <w:p w:rsidR="00143837" w:rsidRPr="000B010A" w:rsidRDefault="00143837" w:rsidP="000B010A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0B010A">
        <w:rPr>
          <w:rStyle w:val="Odwoanieprzypisudolnego"/>
          <w:rFonts w:asciiTheme="minorHAnsi" w:hAnsiTheme="minorHAnsi" w:cstheme="minorHAnsi"/>
        </w:rPr>
        <w:footnoteRef/>
      </w:r>
      <w:r w:rsidRPr="000B010A">
        <w:rPr>
          <w:rFonts w:asciiTheme="minorHAnsi" w:hAnsiTheme="minorHAnsi" w:cstheme="minorHAnsi"/>
        </w:rPr>
        <w:t xml:space="preserve"> Por. poz. Lp. nr 1662 Katalogu nazw obiektów miejskich. Należy zwrócić uwagę, że pod poz. Lp. nr 1663 Katalog ten wymienia również ulicę Jaśminową na terenie Dzielnicy Wesoła m.st. Warszawy.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77"/>
    <w:rsid w:val="000B010A"/>
    <w:rsid w:val="00143837"/>
    <w:rsid w:val="00143930"/>
    <w:rsid w:val="00266836"/>
    <w:rsid w:val="005B7C2C"/>
    <w:rsid w:val="005F3E41"/>
    <w:rsid w:val="00630F6D"/>
    <w:rsid w:val="00681E19"/>
    <w:rsid w:val="00923B21"/>
    <w:rsid w:val="00A75683"/>
    <w:rsid w:val="00AA1977"/>
    <w:rsid w:val="00C4368B"/>
    <w:rsid w:val="00EE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91119-BB3E-4314-A883-FBA027B3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A1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19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AA1977"/>
  </w:style>
  <w:style w:type="paragraph" w:styleId="Tekstprzypisudolnego">
    <w:name w:val="footnote text"/>
    <w:basedOn w:val="Normalny"/>
    <w:link w:val="TekstprzypisudolnegoZnak"/>
    <w:unhideWhenUsed/>
    <w:rsid w:val="00AA1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19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A19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C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C2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F81372-0913-4FCC-B1A9-843EE076AB9A}"/>
</file>

<file path=customXml/itemProps2.xml><?xml version="1.0" encoding="utf-8"?>
<ds:datastoreItem xmlns:ds="http://schemas.openxmlformats.org/officeDocument/2006/customXml" ds:itemID="{7DE631E5-889A-4FBF-A38D-CFE43A1387E1}"/>
</file>

<file path=customXml/itemProps3.xml><?xml version="1.0" encoding="utf-8"?>
<ds:datastoreItem xmlns:ds="http://schemas.openxmlformats.org/officeDocument/2006/customXml" ds:itemID="{485D5747-1201-44DF-B827-9A25E6435D0A}"/>
</file>

<file path=customXml/itemProps4.xml><?xml version="1.0" encoding="utf-8"?>
<ds:datastoreItem xmlns:ds="http://schemas.openxmlformats.org/officeDocument/2006/customXml" ds:itemID="{A9FB6216-5C0D-4828-B8D0-F8273BDC8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Zień Paweł</cp:lastModifiedBy>
  <cp:revision>5</cp:revision>
  <cp:lastPrinted>2022-03-04T12:46:00Z</cp:lastPrinted>
  <dcterms:created xsi:type="dcterms:W3CDTF">2022-03-04T11:19:00Z</dcterms:created>
  <dcterms:modified xsi:type="dcterms:W3CDTF">2022-03-04T14:12:00Z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0x0101002DFCAFAF85FD5746BA99F772F894376E</vt:lpwstr>
  </property>
</Properties>
</file>