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8E074" w14:textId="77777777" w:rsidR="00DE1D20" w:rsidRDefault="00DE1D20" w:rsidP="00BA521B">
      <w:pPr>
        <w:pStyle w:val="Tytu"/>
        <w:spacing w:after="0"/>
        <w:contextualSpacing w:val="0"/>
        <w:jc w:val="right"/>
      </w:pPr>
      <w:r>
        <w:t>PROJEKT</w:t>
      </w:r>
    </w:p>
    <w:p w14:paraId="3357831B" w14:textId="09666FD5" w:rsidR="00DE1D20" w:rsidRPr="00BA521B" w:rsidRDefault="00BA521B" w:rsidP="00BA521B">
      <w:pPr>
        <w:jc w:val="right"/>
        <w:rPr>
          <w:b/>
          <w:bCs/>
        </w:rPr>
      </w:pPr>
      <w:r w:rsidRPr="00BA521B">
        <w:rPr>
          <w:b/>
          <w:bCs/>
        </w:rPr>
        <w:t>Druk nr 1892</w:t>
      </w:r>
    </w:p>
    <w:p w14:paraId="3F4D68CB" w14:textId="77777777" w:rsidR="00E13025" w:rsidRPr="00AA49F7" w:rsidRDefault="00E13025" w:rsidP="00E13025">
      <w:pPr>
        <w:pStyle w:val="Tytu"/>
        <w:rPr>
          <w:b w:val="0"/>
        </w:rPr>
      </w:pPr>
      <w:r w:rsidRPr="00AA49F7">
        <w:t>UCHWAŁA NR …/20…</w:t>
      </w:r>
    </w:p>
    <w:p w14:paraId="17BA0040" w14:textId="7777777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……............</w:t>
      </w:r>
      <w:r w:rsidRPr="00AA49F7">
        <w:t xml:space="preserve"> 20… r.</w:t>
      </w:r>
    </w:p>
    <w:p w14:paraId="55A85C2F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36E5551C" w14:textId="77777777" w:rsidR="009A484B" w:rsidRPr="00CF2704" w:rsidRDefault="009A484B" w:rsidP="00146B78">
      <w:pPr>
        <w:pStyle w:val="Bezodstpw"/>
        <w:ind w:firstLine="567"/>
        <w:contextualSpacing w:val="0"/>
        <w:rPr>
          <w:rFonts w:asciiTheme="minorHAnsi" w:hAnsiTheme="minorHAnsi"/>
        </w:rPr>
      </w:pPr>
      <w:bookmarkStart w:id="0" w:name="_GoBack"/>
      <w:bookmarkEnd w:id="0"/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 2021 r. poz. 1372) oraz art. 35 pkt 15 ustawy z dnia 19 listopada 2009 r. o grach hazardowych (Dz. U. z 2020 r. poz. 2094 oraz z 2021 r. poz. 802 i 815 )</w:t>
      </w:r>
      <w:r w:rsidRPr="00CF2704">
        <w:rPr>
          <w:rFonts w:asciiTheme="minorHAnsi" w:hAnsiTheme="minorHAnsi"/>
        </w:rPr>
        <w:t xml:space="preserve"> uchwala się, co następuje:</w:t>
      </w:r>
    </w:p>
    <w:p w14:paraId="16FEEB71" w14:textId="5E38D2C4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027CEE">
        <w:t>w h</w:t>
      </w:r>
      <w:r w:rsidR="00C26685">
        <w:t xml:space="preserve">otelu </w:t>
      </w:r>
      <w:r w:rsidR="00027CEE">
        <w:t>Hilton Warsaw Hotel &amp; Convention Centre</w:t>
      </w:r>
      <w:r w:rsidR="00625754">
        <w:t xml:space="preserve"> przy </w:t>
      </w:r>
      <w:r w:rsidR="00027CEE">
        <w:t>ul. Grzybowskiej 63</w:t>
      </w:r>
      <w:r w:rsidR="00625754">
        <w:t xml:space="preserve">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</w:p>
    <w:p w14:paraId="4C9B007A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716E2B86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A88A067" w14:textId="6155887C" w:rsidR="00BA521B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2961E619" w14:textId="77777777" w:rsidR="00BA521B" w:rsidRDefault="00BA521B">
      <w:pPr>
        <w:spacing w:after="0" w:line="240" w:lineRule="auto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br w:type="page"/>
      </w:r>
    </w:p>
    <w:p w14:paraId="34AB1B67" w14:textId="77777777" w:rsidR="00CA61FB" w:rsidRPr="00CA61FB" w:rsidRDefault="00CA61FB" w:rsidP="00CA61FB">
      <w:pPr>
        <w:spacing w:after="0" w:line="240" w:lineRule="auto"/>
        <w:jc w:val="center"/>
        <w:rPr>
          <w:rFonts w:cs="Calibri"/>
          <w:b/>
          <w:bCs/>
          <w:szCs w:val="22"/>
        </w:rPr>
      </w:pPr>
      <w:r w:rsidRPr="00CA61FB">
        <w:rPr>
          <w:rFonts w:cs="Calibri"/>
          <w:b/>
          <w:bCs/>
          <w:szCs w:val="22"/>
        </w:rPr>
        <w:lastRenderedPageBreak/>
        <w:t>UZASADNIENIE</w:t>
      </w:r>
    </w:p>
    <w:p w14:paraId="234712B7" w14:textId="77777777" w:rsidR="00CA61FB" w:rsidRPr="00CA61FB" w:rsidRDefault="00CA61FB" w:rsidP="00CA61FB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CA61FB">
        <w:rPr>
          <w:rFonts w:cs="Calibri"/>
          <w:b/>
          <w:bCs/>
          <w:szCs w:val="22"/>
        </w:rPr>
        <w:t>PROJEKTU UCHWAŁY RADY MIASTA STOŁECZNEGO WARSZAWY</w:t>
      </w:r>
    </w:p>
    <w:p w14:paraId="78A5B737" w14:textId="77777777" w:rsidR="00CA61FB" w:rsidRPr="00CA61FB" w:rsidRDefault="00CA61FB" w:rsidP="00BA521B">
      <w:pPr>
        <w:jc w:val="center"/>
        <w:rPr>
          <w:rFonts w:cs="Calibri"/>
          <w:bCs/>
          <w:i/>
          <w:szCs w:val="22"/>
        </w:rPr>
      </w:pPr>
      <w:r w:rsidRPr="00CA61FB">
        <w:rPr>
          <w:rFonts w:cs="Calibri"/>
          <w:b/>
          <w:bCs/>
          <w:szCs w:val="22"/>
        </w:rPr>
        <w:t>w sprawie wyrażenia opinii o lokalizacji kasyna gry</w:t>
      </w:r>
    </w:p>
    <w:p w14:paraId="33DB15F6" w14:textId="77777777" w:rsidR="00CA61FB" w:rsidRPr="00CA61FB" w:rsidRDefault="00CA61FB" w:rsidP="00CA61FB">
      <w:pPr>
        <w:widowControl w:val="0"/>
        <w:spacing w:after="200"/>
        <w:rPr>
          <w:rFonts w:eastAsia="Arial" w:cs="Calibri"/>
          <w:szCs w:val="22"/>
        </w:rPr>
      </w:pPr>
      <w:r w:rsidRPr="00CA61FB">
        <w:rPr>
          <w:rFonts w:eastAsia="Arial" w:cs="Calibri"/>
          <w:color w:val="000000"/>
          <w:szCs w:val="22"/>
        </w:rPr>
        <w:t>Casinos Poland sp. z o.o. z siedzibą w Warszawie przy ul. Wolność 3A w Warszawie złożyła wniosek</w:t>
      </w:r>
      <w:r w:rsidRPr="00CA61FB">
        <w:rPr>
          <w:rFonts w:eastAsia="Arial" w:cs="Calibri"/>
          <w:szCs w:val="22"/>
        </w:rPr>
        <w:t xml:space="preserve"> </w:t>
      </w:r>
      <w:r w:rsidRPr="00CA61FB">
        <w:rPr>
          <w:rFonts w:eastAsia="Arial" w:cs="Calibri"/>
          <w:color w:val="000000"/>
          <w:szCs w:val="22"/>
        </w:rPr>
        <w:t>o wydanie opinii przez Radę m.st. Warszawy w sprawie lokalizacji kasyna gry w budynku hotelu Hilton Warsaw Hotel &amp; Convention Centre przy ul. Grzybowskiej 63 w Warszawie.</w:t>
      </w:r>
      <w:r w:rsidRPr="00CA61FB">
        <w:rPr>
          <w:rFonts w:eastAsia="Arial" w:cs="Calibri"/>
          <w:szCs w:val="22"/>
        </w:rPr>
        <w:t xml:space="preserve"> Przedmiotowy wniosek został złożony jako kontynuacja działalności dla której koncesja obowiązuje do 1 września 2022 r.</w:t>
      </w:r>
    </w:p>
    <w:p w14:paraId="76E64925" w14:textId="77777777" w:rsidR="00CA61FB" w:rsidRPr="00CA61FB" w:rsidRDefault="00CA61FB" w:rsidP="00BA521B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CA61FB">
        <w:rPr>
          <w:rFonts w:eastAsia="Arial" w:cs="Calibri"/>
          <w:szCs w:val="22"/>
        </w:rPr>
        <w:t xml:space="preserve">Pozytywna opinia rady gminy jest niezbędna przy składaniu wniosków do ministra właściwego do spraw finansów publicznych o udzielenie koncesji na prowadzenie kasyna gry zgodnie z art. 35 pkt. 15 ustawy z dnia 19 listopada 2009 r. o grach hazardowych. Na podstawie wyżej wymienionego przepisu, uprawnienie gminy sprowadza się do wydania opinii w sprawie lokalizacji kasyna gry, </w:t>
      </w:r>
      <w:r w:rsidRPr="00CA61FB">
        <w:rPr>
          <w:rFonts w:eastAsia="Arial" w:cs="Calibri"/>
          <w:szCs w:val="22"/>
        </w:rPr>
        <w:br/>
        <w:t xml:space="preserve">a więc do dokonania oceny proponowanego miejsca prowadzenia tego typu działalności. </w:t>
      </w:r>
    </w:p>
    <w:p w14:paraId="7B90F4EB" w14:textId="77777777" w:rsidR="00CA61FB" w:rsidRPr="00CA61FB" w:rsidRDefault="00CA61FB" w:rsidP="00CA61FB">
      <w:pPr>
        <w:widowControl w:val="0"/>
        <w:ind w:left="40" w:right="20"/>
        <w:rPr>
          <w:rFonts w:eastAsia="Arial"/>
          <w:szCs w:val="22"/>
        </w:rPr>
      </w:pPr>
      <w:r w:rsidRPr="00CA61FB">
        <w:rPr>
          <w:rFonts w:eastAsia="Arial"/>
          <w:szCs w:val="22"/>
        </w:rPr>
        <w:t>Kasyno gry przy ul. Grzybowskiej 63</w:t>
      </w:r>
      <w:r w:rsidRPr="00CA61FB">
        <w:rPr>
          <w:rFonts w:eastAsia="Arial"/>
          <w:color w:val="FF0000"/>
          <w:szCs w:val="22"/>
        </w:rPr>
        <w:t xml:space="preserve"> </w:t>
      </w:r>
      <w:r w:rsidRPr="00CA61FB">
        <w:rPr>
          <w:rFonts w:eastAsia="Arial"/>
          <w:szCs w:val="22"/>
        </w:rPr>
        <w:t>w Warszawie zlokalizowane jest w budynku czterogwiazdkowego hotelu Hilton. Lokalizacja kasyna nie jest sprzeczna z zapisami miejscowego planu zagospodarowania przestrzennego rejonu ulicy Żelaznej – część północna A. Jednostka terenowa, w której usytuowany jest budynek oznaczona jest na rysunku planu symbolem 14A UMW. Przeznaczenie terenu: obszar usług i zabudowy mieszkaniowej wielorodzinnej. W związku z brakiem bezpośredniego odniesienia ustaleń planu zagospodarowania przestrzennego do lokalizacji kasyna gry należy uznać, że lokalizacja kasyna nie jest sprzeczna z zapisami tego planu.</w:t>
      </w:r>
    </w:p>
    <w:p w14:paraId="0310CB8B" w14:textId="77777777" w:rsidR="00CA61FB" w:rsidRPr="00CA61FB" w:rsidRDefault="00CA61FB" w:rsidP="00CA61FB">
      <w:pPr>
        <w:widowControl w:val="0"/>
        <w:spacing w:after="200"/>
        <w:ind w:right="23"/>
        <w:rPr>
          <w:rFonts w:cs="Calibri"/>
          <w:color w:val="000000"/>
          <w:szCs w:val="22"/>
        </w:rPr>
      </w:pPr>
      <w:r w:rsidRPr="00CA61FB">
        <w:rPr>
          <w:rFonts w:cs="Calibri"/>
          <w:szCs w:val="22"/>
        </w:rPr>
        <w:t xml:space="preserve">Stosownie do zaleceń Komisji Bezpieczeństwa i Porządku Publicznego Rady m.st. Warszawy Urząd Dzielnicy Wola m.st. Warszawy przeprowadził postępowanie wyjaśniające dotyczące stanu bezpieczeństwa i porządku publicznego, w związku z prowadzoną działalnością kasyna. </w:t>
      </w:r>
      <w:r w:rsidRPr="00CA61FB">
        <w:rPr>
          <w:rFonts w:cs="Calibri"/>
          <w:szCs w:val="22"/>
        </w:rPr>
        <w:br/>
      </w:r>
      <w:r w:rsidRPr="00CA61FB">
        <w:rPr>
          <w:rFonts w:cs="Calibri"/>
          <w:color w:val="000000"/>
          <w:szCs w:val="22"/>
        </w:rPr>
        <w:t xml:space="preserve">Z informacji uzyskanych od Straży Miejskiej wynika, że w okresie </w:t>
      </w:r>
      <w:r w:rsidRPr="00CA61FB">
        <w:rPr>
          <w:rFonts w:cs="Calibri"/>
          <w:szCs w:val="22"/>
        </w:rPr>
        <w:t xml:space="preserve">od 1 stycznia 2021 r. do 31 maja 2021 r. nie odnotowano żadnych zdarzeń, które miałyby związek z funkcjonowaniem kasyna. </w:t>
      </w:r>
      <w:r w:rsidRPr="00CA61FB">
        <w:rPr>
          <w:rFonts w:cs="Calibri"/>
          <w:color w:val="000000"/>
          <w:szCs w:val="22"/>
        </w:rPr>
        <w:t>Policja poinformowała, że w 2021 r. nie odnotowano interwencji mogących mieć negatywny wpływ na opinię działalności kasyna. Nie wpłynęły również skargi na jego funkcjonowanie.</w:t>
      </w:r>
    </w:p>
    <w:p w14:paraId="365D43D3" w14:textId="77777777" w:rsidR="00CA61FB" w:rsidRPr="00CA61FB" w:rsidRDefault="00CA61FB" w:rsidP="00CA61FB">
      <w:pPr>
        <w:widowControl w:val="0"/>
        <w:spacing w:after="200"/>
        <w:rPr>
          <w:rFonts w:eastAsia="Arial" w:cs="Calibri"/>
          <w:color w:val="FF0000"/>
          <w:szCs w:val="22"/>
        </w:rPr>
      </w:pPr>
      <w:r w:rsidRPr="00CA61FB">
        <w:rPr>
          <w:rFonts w:eastAsia="Courier New" w:cs="Calibri"/>
          <w:color w:val="000000"/>
          <w:szCs w:val="22"/>
        </w:rPr>
        <w:t xml:space="preserve">Wniosek </w:t>
      </w:r>
      <w:r w:rsidRPr="00CA61FB">
        <w:rPr>
          <w:rFonts w:eastAsia="Arial" w:cs="Calibri"/>
          <w:szCs w:val="22"/>
        </w:rPr>
        <w:t>Casinos Poland sp. z o.o. został pozytywnie rozpatrzony przez Radę Dzielnicy Wola m.st. Warszawy (Uchwała Rady Dzielnicy Wola m.st. Warszawy Nr XXXI/114/2021 z dnia 1 lipca 2021 r.).</w:t>
      </w:r>
    </w:p>
    <w:p w14:paraId="32FFD590" w14:textId="77777777" w:rsidR="00CA61FB" w:rsidRPr="00CA61FB" w:rsidRDefault="00CA61FB" w:rsidP="00CA61FB">
      <w:pPr>
        <w:widowControl w:val="0"/>
        <w:spacing w:after="200"/>
        <w:rPr>
          <w:rFonts w:eastAsia="Arial" w:cs="Calibri"/>
          <w:szCs w:val="22"/>
        </w:rPr>
      </w:pPr>
      <w:r w:rsidRPr="00CA61FB">
        <w:rPr>
          <w:rFonts w:eastAsia="Arial" w:cs="Calibri"/>
          <w:szCs w:val="22"/>
        </w:rPr>
        <w:t>Ponadto, sprawa wydania pozytywnej opinii dla przedmiotowej lokalizacji była rozpatrywana przez Radę m.st. Warszawy w kadencji 2014/2018. Podjęto cztery uchwały pozytywnie opiniujące lokalizację kasyna gry, w dziewięciu przypadkach uchwały nie zostały podjęte.</w:t>
      </w:r>
    </w:p>
    <w:p w14:paraId="1BB0D2FA" w14:textId="77777777" w:rsidR="00CA61FB" w:rsidRPr="00CA61FB" w:rsidRDefault="00CA61FB" w:rsidP="00CA61FB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CA61FB">
        <w:rPr>
          <w:rFonts w:eastAsia="Courier New" w:cs="Calibri"/>
          <w:color w:val="000000"/>
          <w:szCs w:val="22"/>
        </w:rPr>
        <w:t>Uchwała nie wywołuje skutków finansowych.</w:t>
      </w:r>
    </w:p>
    <w:p w14:paraId="699A763E" w14:textId="6C4A3C43" w:rsidR="00BA521B" w:rsidRDefault="00CA61FB" w:rsidP="00CA61FB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CA61FB">
        <w:rPr>
          <w:rFonts w:eastAsia="Courier New" w:cs="Calibri"/>
          <w:color w:val="000000"/>
          <w:szCs w:val="22"/>
        </w:rPr>
        <w:t>Proponuje się wyrażenie pozytywnej opinii o lokalizacji kasyna gry.</w:t>
      </w:r>
    </w:p>
    <w:p w14:paraId="76F6B5A5" w14:textId="77777777" w:rsidR="00BA521B" w:rsidRDefault="00BA521B">
      <w:pPr>
        <w:spacing w:after="0" w:line="240" w:lineRule="auto"/>
        <w:rPr>
          <w:rFonts w:eastAsia="Courier New" w:cs="Calibri"/>
          <w:color w:val="000000"/>
          <w:szCs w:val="22"/>
        </w:rPr>
      </w:pPr>
      <w:r>
        <w:rPr>
          <w:rFonts w:eastAsia="Courier New" w:cs="Calibri"/>
          <w:color w:val="000000"/>
          <w:szCs w:val="22"/>
        </w:rPr>
        <w:br w:type="page"/>
      </w:r>
    </w:p>
    <w:p w14:paraId="4DB7D3B7" w14:textId="77777777" w:rsidR="00BA521B" w:rsidRDefault="00BA521B" w:rsidP="00BA521B">
      <w:pPr>
        <w:spacing w:after="0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Opinia Skarbnika m.st. Warszawy z dnia 27 września 2021 r.</w:t>
      </w:r>
    </w:p>
    <w:p w14:paraId="20420201" w14:textId="77777777" w:rsidR="00BA521B" w:rsidRDefault="00BA521B" w:rsidP="00BA521B">
      <w:pPr>
        <w:spacing w:after="840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do projektu uchwały Rady m.st. Warszawy </w:t>
      </w:r>
    </w:p>
    <w:p w14:paraId="1F5390C5" w14:textId="77777777" w:rsidR="00BA521B" w:rsidRDefault="00BA521B" w:rsidP="00BA521B">
      <w:pPr>
        <w:spacing w:after="1080"/>
        <w:rPr>
          <w:rFonts w:cs="Calibri"/>
          <w:b/>
          <w:szCs w:val="22"/>
        </w:rPr>
      </w:pPr>
      <w:r>
        <w:rPr>
          <w:rFonts w:cs="Calibri"/>
          <w:szCs w:val="22"/>
        </w:rPr>
        <w:t xml:space="preserve">Na podstawie § 29 ust. 6 Statutu miasta stołecznego Warszawy, stanowiącego załącznik do uchwały </w:t>
      </w:r>
      <w:r>
        <w:rPr>
          <w:rFonts w:cs="Calibri"/>
          <w:szCs w:val="22"/>
        </w:rPr>
        <w:br/>
        <w:t>Nr XXII/743/2008 Rady miasta stołecznego Warszawy z dnia 10 stycznia 2008 roku (Dz. Urz. Woj. Maz. z 2019 r. poz. 14465 z późn. zm.) projekt uchwały Rady m.st. Warszawy</w:t>
      </w:r>
      <w:r>
        <w:rPr>
          <w:rFonts w:cs="Calibri"/>
          <w:b/>
          <w:szCs w:val="22"/>
        </w:rPr>
        <w:t xml:space="preserve"> w sprawie </w:t>
      </w:r>
      <w:r>
        <w:rPr>
          <w:b/>
          <w:bCs/>
        </w:rPr>
        <w:t>wyrażenia opinii o lokalizacji kasyna gry</w:t>
      </w:r>
    </w:p>
    <w:p w14:paraId="63E59614" w14:textId="77777777" w:rsidR="00BA521B" w:rsidRDefault="00BA521B" w:rsidP="00BA521B">
      <w:pPr>
        <w:spacing w:after="228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opiniuję pozytywnie</w:t>
      </w:r>
    </w:p>
    <w:p w14:paraId="79BB6629" w14:textId="77777777" w:rsidR="00BA521B" w:rsidRDefault="00BA521B" w:rsidP="00BA521B">
      <w:pPr>
        <w:spacing w:after="840"/>
        <w:ind w:left="4111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 upoważnienia Skarbnika m.st. Warszawy</w:t>
      </w:r>
    </w:p>
    <w:p w14:paraId="254B3E7D" w14:textId="77777777" w:rsidR="00BA521B" w:rsidRPr="00C76F05" w:rsidRDefault="00BA521B" w:rsidP="00BA521B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Zastępca Skarbnika m.st. Warszawy</w:t>
      </w:r>
    </w:p>
    <w:p w14:paraId="52A9042C" w14:textId="77777777" w:rsidR="00BA521B" w:rsidRPr="00C76F05" w:rsidRDefault="00BA521B" w:rsidP="00BA521B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Dyrektor</w:t>
      </w:r>
    </w:p>
    <w:p w14:paraId="3911DFC1" w14:textId="77777777" w:rsidR="00BA521B" w:rsidRPr="00C76F05" w:rsidRDefault="00BA521B" w:rsidP="00BA521B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Biura Planowania Budżetowego</w:t>
      </w:r>
    </w:p>
    <w:p w14:paraId="5171065B" w14:textId="07E249AE" w:rsidR="00CA61FB" w:rsidRPr="00BA521B" w:rsidRDefault="00BA521B" w:rsidP="00BA521B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Marzanna Krajewska</w:t>
      </w:r>
    </w:p>
    <w:sectPr w:rsidR="00CA61FB" w:rsidRPr="00BA521B" w:rsidSect="004132F2">
      <w:foot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4FFF4" w14:textId="77777777" w:rsidR="00CD6EEC" w:rsidRDefault="00CD6EEC">
      <w:r>
        <w:separator/>
      </w:r>
    </w:p>
  </w:endnote>
  <w:endnote w:type="continuationSeparator" w:id="0">
    <w:p w14:paraId="45C61857" w14:textId="77777777" w:rsidR="00CD6EEC" w:rsidRDefault="00CD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87C8E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FF14DA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DA7AE" w14:textId="77777777" w:rsidR="00CD6EEC" w:rsidRDefault="00CD6EEC">
      <w:r>
        <w:separator/>
      </w:r>
    </w:p>
  </w:footnote>
  <w:footnote w:type="continuationSeparator" w:id="0">
    <w:p w14:paraId="46295F1D" w14:textId="77777777" w:rsidR="00CD6EEC" w:rsidRDefault="00CD6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6B78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A484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55AA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521B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61FB"/>
    <w:rsid w:val="00CB1AAA"/>
    <w:rsid w:val="00CB2631"/>
    <w:rsid w:val="00CB395A"/>
    <w:rsid w:val="00CB5B43"/>
    <w:rsid w:val="00CD6EEC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B2162"/>
    <w:rsid w:val="00DB32E3"/>
    <w:rsid w:val="00DB587F"/>
    <w:rsid w:val="00DC250C"/>
    <w:rsid w:val="00DC5921"/>
    <w:rsid w:val="00DC66AC"/>
    <w:rsid w:val="00DC797A"/>
    <w:rsid w:val="00DE15BC"/>
    <w:rsid w:val="00DE1D20"/>
    <w:rsid w:val="00DF57CB"/>
    <w:rsid w:val="00E0484C"/>
    <w:rsid w:val="00E054BC"/>
    <w:rsid w:val="00E07131"/>
    <w:rsid w:val="00E078D0"/>
    <w:rsid w:val="00E07B1B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78C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EED2F0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E4CD-08F0-4655-8A8E-25829B88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3</cp:revision>
  <cp:lastPrinted>2021-09-03T09:44:00Z</cp:lastPrinted>
  <dcterms:created xsi:type="dcterms:W3CDTF">2021-09-30T09:46:00Z</dcterms:created>
  <dcterms:modified xsi:type="dcterms:W3CDTF">2021-09-30T10:35:00Z</dcterms:modified>
</cp:coreProperties>
</file>