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D01F63" w:rsidRPr="00C759C5" w:rsidRDefault="00C551D0" w:rsidP="00D01F63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D01F63" w:rsidRPr="00C759C5">
        <w:rPr>
          <w:rFonts w:eastAsia="Times New Roman" w:cstheme="minorHAnsi"/>
          <w:b/>
          <w:bCs/>
          <w:color w:val="000000"/>
          <w:lang w:eastAsia="pl-PL"/>
        </w:rPr>
        <w:t>Uchwała Nr XI/370/2024 Rady m.st. Warszawy w sprawie zniesienia i nadania nazwy obiektom miejskim w Dzielnicy Praga-Południe m.st. Warszawy – druk nr 339</w:t>
      </w:r>
      <w:r w:rsidR="00D01F63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D01F63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D01F63" w:rsidRPr="00C759C5">
        <w:rPr>
          <w:rFonts w:eastAsia="Times New Roman" w:cstheme="minorHAnsi"/>
          <w:color w:val="000000"/>
          <w:lang w:eastAsia="pl-PL"/>
        </w:rPr>
        <w:br/>
        <w:t>Za: 58</w:t>
      </w:r>
      <w:r w:rsidR="00D01F63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D01F63"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="00D01F63" w:rsidRPr="00C759C5">
        <w:rPr>
          <w:rFonts w:eastAsia="Times New Roman" w:cstheme="minorHAnsi"/>
          <w:color w:val="000000"/>
          <w:lang w:eastAsia="pl-PL"/>
        </w:rPr>
        <w:br/>
      </w:r>
      <w:r w:rsidR="00D01F63" w:rsidRPr="00C759C5">
        <w:rPr>
          <w:rFonts w:eastAsia="Times New Roman" w:cstheme="minorHAnsi"/>
          <w:color w:val="000000"/>
          <w:lang w:eastAsia="pl-PL"/>
        </w:rPr>
        <w:br/>
      </w:r>
      <w:r w:rsidR="00D01F63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D01F6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F63" w:rsidRPr="00C759C5" w:rsidRDefault="00D01F6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213AE0" w:rsidP="00D01F63">
      <w:pPr>
        <w:spacing w:after="0" w:line="300" w:lineRule="auto"/>
      </w:pPr>
      <w:bookmarkStart w:id="0" w:name="_GoBack"/>
      <w:bookmarkEnd w:id="0"/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71219C"/>
    <w:rsid w:val="00934537"/>
    <w:rsid w:val="009C4F55"/>
    <w:rsid w:val="00A22698"/>
    <w:rsid w:val="00A24658"/>
    <w:rsid w:val="00A446A3"/>
    <w:rsid w:val="00A56720"/>
    <w:rsid w:val="00A674E6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2024-10-21T11:24:00Z</dcterms:created>
  <dcterms:modified xsi:type="dcterms:W3CDTF">2024-10-21T11:24:00Z</dcterms:modified>
</cp:coreProperties>
</file>