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3C25B6" w:rsidRPr="00C759C5" w:rsidRDefault="00C551D0" w:rsidP="003C25B6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3C25B6" w:rsidRPr="00C759C5">
        <w:rPr>
          <w:rFonts w:eastAsia="Times New Roman" w:cstheme="minorHAnsi"/>
          <w:b/>
          <w:bCs/>
          <w:color w:val="000000"/>
          <w:lang w:eastAsia="pl-PL"/>
        </w:rPr>
        <w:t>Uchwała Nr XI/360/2024 Rady m.st. Warszawy zmieniającej uchwałę w sprawie ustalenia stawek jednostkowych dotacji przedmiotowej dla Ursynowskiego Centrum Sportu i Rekreacji na rok 2024 – druk nr 343</w:t>
      </w:r>
      <w:r w:rsidR="003C25B6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3C25B6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3C25B6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3C25B6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3C25B6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3C25B6" w:rsidRPr="00C759C5">
        <w:rPr>
          <w:rFonts w:eastAsia="Times New Roman" w:cstheme="minorHAnsi"/>
          <w:color w:val="000000"/>
          <w:lang w:eastAsia="pl-PL"/>
        </w:rPr>
        <w:br/>
      </w:r>
      <w:r w:rsidR="003C25B6" w:rsidRPr="00C759C5">
        <w:rPr>
          <w:rFonts w:eastAsia="Times New Roman" w:cstheme="minorHAnsi"/>
          <w:color w:val="000000"/>
          <w:lang w:eastAsia="pl-PL"/>
        </w:rPr>
        <w:br/>
      </w:r>
      <w:r w:rsidR="003C25B6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3C25B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5B6" w:rsidRPr="00C759C5" w:rsidRDefault="003C25B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C25B6" w:rsidP="003C25B6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  <w:r w:rsidR="00A446A3" w:rsidRPr="00C759C5">
        <w:rPr>
          <w:rFonts w:eastAsia="Times New Roman" w:cstheme="minorHAnsi"/>
          <w:color w:val="000000"/>
          <w:lang w:eastAsia="pl-PL"/>
        </w:rPr>
        <w:br/>
      </w:r>
      <w:r w:rsidR="0071219C" w:rsidRPr="00C759C5">
        <w:rPr>
          <w:rFonts w:eastAsia="Times New Roman" w:cstheme="minorHAnsi"/>
          <w:color w:val="000000"/>
          <w:lang w:eastAsia="pl-PL"/>
        </w:rPr>
        <w:br/>
      </w:r>
      <w:r w:rsidR="00CA5584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502D78"/>
    <w:rsid w:val="0071219C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2024-10-21T11:15:00Z</dcterms:created>
  <dcterms:modified xsi:type="dcterms:W3CDTF">2024-10-21T11:15:00Z</dcterms:modified>
</cp:coreProperties>
</file>