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1A11A" w14:textId="77777777" w:rsidR="005D732D" w:rsidRPr="00112412" w:rsidRDefault="000738A2" w:rsidP="00AB031F">
      <w:pPr>
        <w:widowControl w:val="0"/>
        <w:shd w:val="clear" w:color="auto" w:fill="FFFFFF"/>
        <w:spacing w:before="240" w:after="240" w:line="300" w:lineRule="auto"/>
        <w:jc w:val="center"/>
        <w:rPr>
          <w:rFonts w:eastAsia="Times New Roman" w:cstheme="minorHAnsi"/>
          <w:b/>
          <w:bCs/>
          <w:lang w:eastAsia="pl-PL"/>
        </w:rPr>
      </w:pPr>
      <w:r w:rsidRPr="00112412">
        <w:rPr>
          <w:rFonts w:eastAsia="Times New Roman" w:cstheme="minorHAnsi"/>
          <w:b/>
          <w:bCs/>
          <w:lang w:eastAsia="pl-PL"/>
        </w:rPr>
        <w:t xml:space="preserve"> </w:t>
      </w:r>
      <w:r w:rsidR="00C13265" w:rsidRPr="00112412">
        <w:rPr>
          <w:rFonts w:eastAsia="Times New Roman" w:cstheme="minorHAnsi"/>
          <w:b/>
          <w:bCs/>
          <w:lang w:eastAsia="pl-PL"/>
        </w:rPr>
        <w:t>UZASADNIENIE</w:t>
      </w:r>
      <w:r w:rsidR="002212E3" w:rsidRPr="00112412">
        <w:rPr>
          <w:rFonts w:eastAsia="Times New Roman" w:cstheme="minorHAnsi"/>
          <w:b/>
          <w:bCs/>
          <w:lang w:eastAsia="pl-PL"/>
        </w:rPr>
        <w:t xml:space="preserve"> </w:t>
      </w:r>
    </w:p>
    <w:p w14:paraId="234E376B" w14:textId="77777777" w:rsidR="005D732D" w:rsidRPr="00112412" w:rsidRDefault="005D732D" w:rsidP="00D74B86">
      <w:pPr>
        <w:widowControl w:val="0"/>
        <w:shd w:val="clear" w:color="auto" w:fill="FFFFFF"/>
        <w:spacing w:after="240" w:line="300" w:lineRule="auto"/>
        <w:jc w:val="center"/>
        <w:rPr>
          <w:rFonts w:eastAsia="Times New Roman" w:cstheme="minorHAnsi"/>
          <w:b/>
          <w:bCs/>
          <w:lang w:eastAsia="pl-PL"/>
        </w:rPr>
      </w:pPr>
      <w:r w:rsidRPr="00112412">
        <w:rPr>
          <w:rFonts w:eastAsia="Times New Roman" w:cstheme="minorHAnsi"/>
          <w:b/>
          <w:bCs/>
          <w:lang w:eastAsia="pl-PL"/>
        </w:rPr>
        <w:t>PROJEKTU UCHWAŁY RADY MIASTA STOŁECZNEGO WARSZAWY</w:t>
      </w:r>
    </w:p>
    <w:p w14:paraId="0AB0B69A" w14:textId="77777777" w:rsidR="00E411FE" w:rsidRPr="00112412" w:rsidRDefault="002212E3" w:rsidP="0098587B">
      <w:pPr>
        <w:spacing w:after="240" w:line="300" w:lineRule="auto"/>
        <w:jc w:val="center"/>
        <w:rPr>
          <w:rFonts w:cstheme="minorHAnsi"/>
          <w:b/>
        </w:rPr>
      </w:pPr>
      <w:r w:rsidRPr="00112412">
        <w:rPr>
          <w:rFonts w:cstheme="minorHAnsi"/>
          <w:b/>
        </w:rPr>
        <w:t xml:space="preserve">zmieniającej uchwałę </w:t>
      </w:r>
      <w:r w:rsidR="00E411FE" w:rsidRPr="00112412">
        <w:rPr>
          <w:rFonts w:cstheme="minorHAnsi"/>
          <w:b/>
        </w:rPr>
        <w:t xml:space="preserve">w sprawie </w:t>
      </w:r>
      <w:r w:rsidR="00D67C54" w:rsidRPr="00112412">
        <w:rPr>
          <w:rFonts w:cstheme="minorHAnsi"/>
          <w:b/>
        </w:rPr>
        <w:t>wyboru metody ustalenia opłaty za gospodarowanie odpadami komunalnymi,</w:t>
      </w:r>
      <w:r w:rsidR="009237C3" w:rsidRPr="00112412">
        <w:rPr>
          <w:rFonts w:cstheme="minorHAnsi"/>
          <w:b/>
        </w:rPr>
        <w:t xml:space="preserve"> ustalenia stawki takiej opłaty</w:t>
      </w:r>
      <w:r w:rsidR="00D67C54" w:rsidRPr="00112412">
        <w:rPr>
          <w:rFonts w:cstheme="minorHAnsi"/>
          <w:b/>
        </w:rPr>
        <w:t xml:space="preserve"> oraz ustalenia stawki opłaty za pojemnik</w:t>
      </w:r>
      <w:r w:rsidR="00337BDA" w:rsidRPr="00112412">
        <w:rPr>
          <w:rFonts w:cstheme="minorHAnsi"/>
          <w:b/>
        </w:rPr>
        <w:t xml:space="preserve"> </w:t>
      </w:r>
      <w:r w:rsidR="00D67C54" w:rsidRPr="00112412">
        <w:rPr>
          <w:rFonts w:cstheme="minorHAnsi"/>
          <w:b/>
        </w:rPr>
        <w:t>o określonej pojemności</w:t>
      </w:r>
    </w:p>
    <w:p w14:paraId="3859E44C" w14:textId="77777777" w:rsidR="00184BC6" w:rsidRPr="00112412" w:rsidRDefault="00BD1CD3" w:rsidP="00D74B86">
      <w:pPr>
        <w:pStyle w:val="Akapitzlist"/>
        <w:numPr>
          <w:ilvl w:val="0"/>
          <w:numId w:val="2"/>
        </w:numPr>
        <w:spacing w:after="240" w:line="300" w:lineRule="auto"/>
        <w:ind w:left="714" w:hanging="357"/>
        <w:contextualSpacing w:val="0"/>
        <w:jc w:val="both"/>
        <w:rPr>
          <w:rFonts w:cstheme="minorHAnsi"/>
        </w:rPr>
      </w:pPr>
      <w:r w:rsidRPr="00112412">
        <w:rPr>
          <w:rFonts w:cstheme="minorHAnsi"/>
          <w:b/>
        </w:rPr>
        <w:t>Wyjaśnienie potrzeby i celu podjęcia uchwały</w:t>
      </w:r>
    </w:p>
    <w:p w14:paraId="6B9813D8" w14:textId="77777777" w:rsidR="00C76963" w:rsidRPr="00112412" w:rsidRDefault="00184BC6" w:rsidP="00774F7F">
      <w:pPr>
        <w:spacing w:after="240" w:line="300" w:lineRule="auto"/>
        <w:rPr>
          <w:rFonts w:cstheme="minorHAnsi"/>
        </w:rPr>
      </w:pPr>
      <w:r w:rsidRPr="00112412">
        <w:rPr>
          <w:rStyle w:val="Uwydatnienie"/>
          <w:rFonts w:cstheme="minorHAnsi"/>
          <w:i w:val="0"/>
        </w:rPr>
        <w:t>18 listopada 2021 r. Rada m.st. Warszawy podjęła uchwałę</w:t>
      </w:r>
      <w:r w:rsidRPr="00112412">
        <w:rPr>
          <w:rFonts w:cstheme="minorHAnsi"/>
          <w:iCs/>
        </w:rPr>
        <w:t xml:space="preserve"> Nr LVI/1749/2021 w sprawie wyboru metody ustalenia opłaty za gospodarowanie odpadami komunalnymi, ustalenia stawki takiej opłaty oraz ustalenia stawki opłaty za pojemnik o określonej pojemności</w:t>
      </w:r>
      <w:r w:rsidR="002D3452" w:rsidRPr="00112412">
        <w:rPr>
          <w:rFonts w:cstheme="minorHAnsi"/>
          <w:iCs/>
        </w:rPr>
        <w:t xml:space="preserve">, zmienioną następnie uchwałą nr </w:t>
      </w:r>
      <w:r w:rsidR="002D3452" w:rsidRPr="00112412">
        <w:rPr>
          <w:rFonts w:cstheme="minorHAnsi"/>
        </w:rPr>
        <w:t>LVIII/1854/2021 z</w:t>
      </w:r>
      <w:r w:rsidRPr="00112412">
        <w:rPr>
          <w:rFonts w:cstheme="minorHAnsi"/>
        </w:rPr>
        <w:t xml:space="preserve"> dnia 17 grudnia 2021 r.</w:t>
      </w:r>
      <w:r w:rsidR="002D3452" w:rsidRPr="00112412">
        <w:rPr>
          <w:rFonts w:cstheme="minorHAnsi"/>
        </w:rPr>
        <w:t>, na mocy których</w:t>
      </w:r>
      <w:r w:rsidR="00501D47" w:rsidRPr="00112412">
        <w:rPr>
          <w:rFonts w:cstheme="minorHAnsi"/>
          <w:iCs/>
        </w:rPr>
        <w:t xml:space="preserve"> </w:t>
      </w:r>
      <w:r w:rsidRPr="00112412">
        <w:rPr>
          <w:rFonts w:cstheme="minorHAnsi"/>
          <w:bCs/>
        </w:rPr>
        <w:t>przyjęto stawkę dla gospodarstwa domowego w zabudowie wielolokalowej w wysokości 85,00 zł,</w:t>
      </w:r>
      <w:r w:rsidRPr="00112412">
        <w:rPr>
          <w:rFonts w:cstheme="minorHAnsi"/>
        </w:rPr>
        <w:t xml:space="preserve"> </w:t>
      </w:r>
      <w:r w:rsidR="002D3452" w:rsidRPr="00112412">
        <w:rPr>
          <w:rFonts w:cstheme="minorHAnsi"/>
        </w:rPr>
        <w:t>a</w:t>
      </w:r>
      <w:r w:rsidRPr="00112412">
        <w:rPr>
          <w:rFonts w:cstheme="minorHAnsi"/>
        </w:rPr>
        <w:t xml:space="preserve"> w zabudowie jednorodzinnej </w:t>
      </w:r>
      <w:r w:rsidR="008C6910" w:rsidRPr="00112412">
        <w:rPr>
          <w:rFonts w:cstheme="minorHAnsi"/>
        </w:rPr>
        <w:t>w </w:t>
      </w:r>
      <w:r w:rsidR="002D3452" w:rsidRPr="00112412">
        <w:rPr>
          <w:rFonts w:cstheme="minorHAnsi"/>
        </w:rPr>
        <w:t xml:space="preserve">wysokości </w:t>
      </w:r>
      <w:r w:rsidRPr="00112412">
        <w:rPr>
          <w:rFonts w:cstheme="minorHAnsi"/>
        </w:rPr>
        <w:t>107,00 zł.</w:t>
      </w:r>
    </w:p>
    <w:p w14:paraId="443E3650" w14:textId="63114D37" w:rsidR="006E12F1" w:rsidRPr="00112412" w:rsidRDefault="006E12F1" w:rsidP="006E12F1">
      <w:pPr>
        <w:spacing w:after="120" w:line="300" w:lineRule="auto"/>
      </w:pPr>
      <w:r w:rsidRPr="00112412">
        <w:rPr>
          <w:rFonts w:cstheme="minorHAnsi"/>
        </w:rPr>
        <w:t>Uchwałą Nr V/101/2024</w:t>
      </w:r>
      <w:r w:rsidR="00DB1774" w:rsidRPr="00112412">
        <w:rPr>
          <w:rFonts w:cstheme="minorHAnsi"/>
        </w:rPr>
        <w:t xml:space="preserve"> z 6 czerwca 2024 r.</w:t>
      </w:r>
      <w:r w:rsidRPr="00112412">
        <w:rPr>
          <w:rFonts w:cstheme="minorHAnsi"/>
        </w:rPr>
        <w:t xml:space="preserve"> zmieniającą uchwałę w sprawie wyboru metody ustalenia opłaty za gospodarowanie odpadami komunalnymi, ustalenia stawki takiej opłaty oraz ustalenia stawki opłaty za pojemnik o określonej pojemności Rada m.st. Warszawy </w:t>
      </w:r>
      <w:r w:rsidR="004B189E" w:rsidRPr="00112412">
        <w:rPr>
          <w:rFonts w:cstheme="minorHAnsi"/>
        </w:rPr>
        <w:t xml:space="preserve">zdecydowała </w:t>
      </w:r>
      <w:r w:rsidR="00915298">
        <w:rPr>
          <w:rFonts w:cstheme="minorHAnsi"/>
        </w:rPr>
        <w:br/>
      </w:r>
      <w:r w:rsidR="004B189E" w:rsidRPr="00112412">
        <w:rPr>
          <w:rFonts w:cstheme="minorHAnsi"/>
        </w:rPr>
        <w:t xml:space="preserve">o obniżeniu stawek opłat dla gospodarstw domowych w nieruchomościach zabudowanych budynkiem wielolokalowym do kwoty 60 zł oraz </w:t>
      </w:r>
      <w:r w:rsidR="004B189E" w:rsidRPr="00112412">
        <w:t>w nieruchomościach zabudowanych budynkiem mieszkalnym jednorodzinnym do kwoty 91 zł. W uchwale zastrzeżono</w:t>
      </w:r>
      <w:r w:rsidR="00DB1774" w:rsidRPr="00112412">
        <w:t>, że obniżona stawka opłaty obowiązywać będzie w okresie od 1 października 2024 r. do 30 września 2025 r.</w:t>
      </w:r>
    </w:p>
    <w:p w14:paraId="4765CAB4" w14:textId="48C5BD71" w:rsidR="00693E84" w:rsidRPr="00112412" w:rsidRDefault="00470476" w:rsidP="0098587B">
      <w:pPr>
        <w:spacing w:after="120" w:line="300" w:lineRule="auto"/>
        <w:rPr>
          <w:rFonts w:cstheme="minorHAnsi"/>
        </w:rPr>
      </w:pPr>
      <w:r w:rsidRPr="00112412">
        <w:t xml:space="preserve">Analiza wykonania dochodów i kosztów </w:t>
      </w:r>
      <w:r w:rsidRPr="00112412">
        <w:rPr>
          <w:rFonts w:cstheme="minorHAnsi"/>
        </w:rPr>
        <w:t xml:space="preserve">funkcjonowania systemu gospodarowania odpadami komunalnymi na terenie m.st. Warszawy w 2024 r. </w:t>
      </w:r>
      <w:r w:rsidR="005A4FD1" w:rsidRPr="00112412">
        <w:rPr>
          <w:rFonts w:cstheme="minorHAnsi"/>
        </w:rPr>
        <w:t xml:space="preserve">i 2025 r. </w:t>
      </w:r>
      <w:r w:rsidR="00D91A81" w:rsidRPr="00112412">
        <w:rPr>
          <w:rFonts w:cstheme="minorHAnsi"/>
        </w:rPr>
        <w:t xml:space="preserve">wykazała </w:t>
      </w:r>
      <w:r w:rsidR="005A4FD1" w:rsidRPr="00112412">
        <w:rPr>
          <w:rFonts w:cstheme="minorHAnsi"/>
        </w:rPr>
        <w:t xml:space="preserve">zmniejszenie wysokości </w:t>
      </w:r>
      <w:r w:rsidR="00DE1CA9" w:rsidRPr="00112412">
        <w:rPr>
          <w:rFonts w:cstheme="minorHAnsi"/>
        </w:rPr>
        <w:t xml:space="preserve">wykonanych i prognozowanych w tych latach </w:t>
      </w:r>
      <w:r w:rsidR="005A4FD1" w:rsidRPr="00112412">
        <w:rPr>
          <w:rFonts w:cstheme="minorHAnsi"/>
        </w:rPr>
        <w:t xml:space="preserve">kosztów </w:t>
      </w:r>
      <w:r w:rsidR="00297FEB">
        <w:rPr>
          <w:rFonts w:cstheme="minorHAnsi"/>
        </w:rPr>
        <w:t>o ok. 298</w:t>
      </w:r>
      <w:bookmarkStart w:id="0" w:name="_GoBack"/>
      <w:bookmarkEnd w:id="0"/>
      <w:r w:rsidR="00DE1CA9" w:rsidRPr="00112412">
        <w:rPr>
          <w:rFonts w:cstheme="minorHAnsi"/>
        </w:rPr>
        <w:t xml:space="preserve"> mln zł. </w:t>
      </w:r>
    </w:p>
    <w:p w14:paraId="6F34B3F8" w14:textId="77777777" w:rsidR="00D42045" w:rsidRPr="00112412" w:rsidRDefault="00D42045" w:rsidP="00774F7F">
      <w:pPr>
        <w:spacing w:after="240" w:line="300" w:lineRule="auto"/>
        <w:rPr>
          <w:rFonts w:cstheme="minorHAnsi"/>
        </w:rPr>
      </w:pPr>
    </w:p>
    <w:p w14:paraId="3AA0A81D" w14:textId="77777777" w:rsidR="00D42045" w:rsidRPr="00112412" w:rsidRDefault="00D42045" w:rsidP="00774F7F">
      <w:pPr>
        <w:spacing w:after="240" w:line="300" w:lineRule="auto"/>
        <w:rPr>
          <w:rFonts w:cstheme="minorHAnsi"/>
        </w:rPr>
      </w:pPr>
    </w:p>
    <w:p w14:paraId="788459AC" w14:textId="77777777" w:rsidR="00D42045" w:rsidRPr="00112412" w:rsidRDefault="00D42045" w:rsidP="00774F7F">
      <w:pPr>
        <w:spacing w:after="240" w:line="300" w:lineRule="auto"/>
        <w:rPr>
          <w:rFonts w:cstheme="minorHAnsi"/>
        </w:rPr>
      </w:pPr>
    </w:p>
    <w:p w14:paraId="0FC3AC8E" w14:textId="77777777" w:rsidR="00D42045" w:rsidRPr="00112412" w:rsidRDefault="00D42045" w:rsidP="00774F7F">
      <w:pPr>
        <w:spacing w:after="240" w:line="300" w:lineRule="auto"/>
        <w:rPr>
          <w:rFonts w:cstheme="minorHAnsi"/>
        </w:rPr>
      </w:pPr>
    </w:p>
    <w:p w14:paraId="6CC526B1" w14:textId="77777777" w:rsidR="00D42045" w:rsidRPr="00112412" w:rsidRDefault="00D42045" w:rsidP="00774F7F">
      <w:pPr>
        <w:spacing w:after="240" w:line="300" w:lineRule="auto"/>
        <w:rPr>
          <w:rFonts w:cstheme="minorHAnsi"/>
        </w:rPr>
      </w:pPr>
    </w:p>
    <w:p w14:paraId="29CD91D0" w14:textId="77777777" w:rsidR="00D42045" w:rsidRPr="00112412" w:rsidRDefault="00D42045" w:rsidP="00774F7F">
      <w:pPr>
        <w:spacing w:after="240" w:line="300" w:lineRule="auto"/>
        <w:rPr>
          <w:rFonts w:cstheme="minorHAnsi"/>
        </w:rPr>
      </w:pPr>
    </w:p>
    <w:p w14:paraId="28F36C66" w14:textId="77777777" w:rsidR="00D42045" w:rsidRPr="00112412" w:rsidRDefault="00D42045" w:rsidP="00774F7F">
      <w:pPr>
        <w:spacing w:after="240" w:line="300" w:lineRule="auto"/>
        <w:rPr>
          <w:rFonts w:cstheme="minorHAnsi"/>
        </w:rPr>
      </w:pPr>
    </w:p>
    <w:p w14:paraId="744E1A38" w14:textId="77777777" w:rsidR="00D42045" w:rsidRPr="00112412" w:rsidRDefault="00D42045" w:rsidP="00774F7F">
      <w:pPr>
        <w:spacing w:after="240" w:line="300" w:lineRule="auto"/>
        <w:rPr>
          <w:rFonts w:cstheme="minorHAnsi"/>
        </w:rPr>
      </w:pPr>
    </w:p>
    <w:p w14:paraId="69B7B7D1" w14:textId="77777777" w:rsidR="00D42045" w:rsidRPr="00112412" w:rsidRDefault="00D42045" w:rsidP="00774F7F">
      <w:pPr>
        <w:spacing w:after="240" w:line="300" w:lineRule="auto"/>
        <w:rPr>
          <w:rFonts w:cstheme="minorHAnsi"/>
        </w:rPr>
      </w:pPr>
    </w:p>
    <w:p w14:paraId="271E353B" w14:textId="5C2DF25D" w:rsidR="006563D4" w:rsidRPr="00112412" w:rsidRDefault="000739B4" w:rsidP="00774F7F">
      <w:pPr>
        <w:spacing w:after="240" w:line="300" w:lineRule="auto"/>
        <w:rPr>
          <w:rFonts w:cstheme="minorHAnsi"/>
        </w:rPr>
      </w:pPr>
      <w:r w:rsidRPr="00112412">
        <w:rPr>
          <w:rFonts w:cstheme="minorHAnsi"/>
        </w:rPr>
        <w:lastRenderedPageBreak/>
        <w:t>Tabela 1</w:t>
      </w:r>
      <w:r w:rsidR="006563D4" w:rsidRPr="00112412">
        <w:rPr>
          <w:rFonts w:cstheme="minorHAnsi"/>
        </w:rPr>
        <w:t>. Dochody i koszty funkcjonowania systemu gospodarowania odpadami komunalnymi na terenie m.st. Warszawy w latach 2024-202</w:t>
      </w:r>
      <w:r w:rsidR="007070C1" w:rsidRPr="00112412">
        <w:rPr>
          <w:rFonts w:cstheme="minorHAnsi"/>
        </w:rPr>
        <w:t>6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7"/>
        <w:gridCol w:w="1227"/>
        <w:gridCol w:w="1156"/>
        <w:gridCol w:w="1115"/>
        <w:gridCol w:w="1256"/>
        <w:gridCol w:w="1031"/>
        <w:gridCol w:w="1280"/>
      </w:tblGrid>
      <w:tr w:rsidR="00545FD9" w:rsidRPr="00112412" w14:paraId="6C8490A0" w14:textId="77777777" w:rsidTr="0098587B">
        <w:trPr>
          <w:trHeight w:val="300"/>
          <w:tblHeader/>
        </w:trPr>
        <w:tc>
          <w:tcPr>
            <w:tcW w:w="19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CECEA1B" w14:textId="77777777" w:rsidR="000739B4" w:rsidRPr="00112412" w:rsidRDefault="000739B4" w:rsidP="005650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Dochody i koszty systemu m.st. Warszawy</w:t>
            </w:r>
          </w:p>
        </w:tc>
        <w:tc>
          <w:tcPr>
            <w:tcW w:w="238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7DDE733" w14:textId="77777777" w:rsidR="000739B4" w:rsidRPr="00112412" w:rsidRDefault="000739B4" w:rsidP="000234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37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56FB5DC0" w14:textId="77777777" w:rsidR="000739B4" w:rsidRPr="00112412" w:rsidRDefault="000739B4" w:rsidP="00623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231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A6A6A6"/>
          </w:tcPr>
          <w:p w14:paraId="044880DF" w14:textId="77777777" w:rsidR="000739B4" w:rsidRPr="00112412" w:rsidRDefault="000739B4" w:rsidP="00623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2026</w:t>
            </w:r>
          </w:p>
        </w:tc>
      </w:tr>
      <w:tr w:rsidR="00CC43C4" w:rsidRPr="00112412" w14:paraId="06DBABDD" w14:textId="77777777" w:rsidTr="0098587B">
        <w:trPr>
          <w:trHeight w:val="1157"/>
          <w:tblHeader/>
        </w:trPr>
        <w:tc>
          <w:tcPr>
            <w:tcW w:w="199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34AD2B02" w14:textId="77777777" w:rsidR="000739B4" w:rsidRPr="00112412" w:rsidRDefault="000739B4" w:rsidP="005650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7257C051" w14:textId="77777777" w:rsidR="000739B4" w:rsidRPr="00112412" w:rsidRDefault="000739B4" w:rsidP="009F1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plan</w:t>
            </w:r>
          </w:p>
          <w:p w14:paraId="2B79E667" w14:textId="77777777" w:rsidR="000739B4" w:rsidRPr="00112412" w:rsidRDefault="000739B4" w:rsidP="009F1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7E88C45F" w14:textId="77777777" w:rsidR="000739B4" w:rsidRPr="00112412" w:rsidRDefault="000739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wykonanie</w:t>
            </w:r>
            <w:r w:rsidRPr="00112412">
              <w:rPr>
                <w:rStyle w:val="Odwoanieprzypisudolnego"/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footnoteReference w:id="1"/>
            </w:r>
          </w:p>
          <w:p w14:paraId="5FE2713D" w14:textId="77777777" w:rsidR="000739B4" w:rsidRPr="00112412" w:rsidRDefault="000739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0D1F0D66" w14:textId="341AB932" w:rsidR="00B81022" w:rsidRPr="00112412" w:rsidRDefault="00B810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przed korektą kosztów </w:t>
            </w:r>
            <w:r w:rsidR="0091529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i zmianą stawki</w:t>
            </w:r>
          </w:p>
          <w:p w14:paraId="7B51CC88" w14:textId="77777777" w:rsidR="000739B4" w:rsidRPr="00112412" w:rsidRDefault="000739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0C206C61" w14:textId="347265D4" w:rsidR="00B81022" w:rsidRPr="00112412" w:rsidRDefault="00B810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po korekcie kosztów </w:t>
            </w:r>
            <w:r w:rsidR="0091529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i zmianie stawki</w:t>
            </w:r>
          </w:p>
          <w:p w14:paraId="52EA792A" w14:textId="77777777" w:rsidR="000739B4" w:rsidRPr="00112412" w:rsidRDefault="000739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08371561" w14:textId="4E0BC8B1" w:rsidR="000739B4" w:rsidRPr="00112412" w:rsidRDefault="000739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przed korektą kosztów </w:t>
            </w:r>
            <w:r w:rsidR="0091529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i zmianą stawki</w:t>
            </w:r>
          </w:p>
          <w:p w14:paraId="443BEAE7" w14:textId="77777777" w:rsidR="000739B4" w:rsidRPr="00112412" w:rsidRDefault="000739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A6A6A6"/>
            <w:vAlign w:val="center"/>
          </w:tcPr>
          <w:p w14:paraId="49AF7064" w14:textId="606BF4D7" w:rsidR="000739B4" w:rsidRPr="00112412" w:rsidRDefault="000739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po korekcie kosztów </w:t>
            </w:r>
            <w:r w:rsidR="0091529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i zmianie stawki</w:t>
            </w:r>
          </w:p>
          <w:p w14:paraId="6A778950" w14:textId="77777777" w:rsidR="000739B4" w:rsidRPr="00112412" w:rsidRDefault="000739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545FD9" w:rsidRPr="00112412" w14:paraId="01EDC303" w14:textId="77777777" w:rsidTr="006F3F92">
        <w:trPr>
          <w:trHeight w:val="600"/>
        </w:trPr>
        <w:tc>
          <w:tcPr>
            <w:tcW w:w="1997" w:type="dxa"/>
            <w:tcBorders>
              <w:top w:val="single" w:sz="12" w:space="0" w:color="auto"/>
              <w:left w:val="single" w:sz="12" w:space="0" w:color="auto"/>
              <w:bottom w:val="single" w:sz="4" w:space="0" w:color="7F7F7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030B" w14:textId="77777777" w:rsidR="000739B4" w:rsidRPr="00112412" w:rsidRDefault="000739B4" w:rsidP="00565010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Koszty funkcjonowania systemu gospodarowania odpadami komunalnymi na terenie m.st. Warszawy</w:t>
            </w:r>
          </w:p>
        </w:tc>
        <w:tc>
          <w:tcPr>
            <w:tcW w:w="12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A9AF4" w14:textId="77777777" w:rsidR="000739B4" w:rsidRPr="00112412" w:rsidRDefault="00EE395D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1 054 348 531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77A4E" w14:textId="77777777" w:rsidR="000739B4" w:rsidRPr="00112412" w:rsidRDefault="00EE395D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889 984 880,69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1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BB8F6" w14:textId="77777777" w:rsidR="000739B4" w:rsidRPr="00112412" w:rsidRDefault="00171BAF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1 261 </w:t>
            </w:r>
            <w:r w:rsidR="005723FF"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489</w:t>
            </w: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</w:t>
            </w:r>
            <w:r w:rsidR="005723FF"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605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2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78CD" w14:textId="77777777" w:rsidR="000739B4" w:rsidRPr="00112412" w:rsidRDefault="00494C8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1</w:t>
            </w:r>
            <w:r w:rsidR="00CF69F7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 127 684 093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3C98" w14:textId="77777777" w:rsidR="000739B4" w:rsidRPr="00112412" w:rsidRDefault="00494C8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1</w:t>
            </w:r>
            <w:r w:rsidR="005723FF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 320 760 749 zł</w:t>
            </w:r>
          </w:p>
        </w:tc>
        <w:tc>
          <w:tcPr>
            <w:tcW w:w="12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E7712E" w14:textId="77777777" w:rsidR="000739B4" w:rsidRPr="00112412" w:rsidRDefault="00494C8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1 2</w:t>
            </w:r>
            <w:r w:rsidR="00D0373E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48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 </w:t>
            </w:r>
            <w:r w:rsidR="00E06F6B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960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 </w:t>
            </w:r>
            <w:r w:rsidR="00E06F6B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749</w:t>
            </w:r>
            <w:r w:rsidR="005723FF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</w:tr>
      <w:tr w:rsidR="00545FD9" w:rsidRPr="00112412" w14:paraId="1F435EAB" w14:textId="77777777" w:rsidTr="006F3F92">
        <w:trPr>
          <w:trHeight w:val="600"/>
        </w:trPr>
        <w:tc>
          <w:tcPr>
            <w:tcW w:w="19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00A4" w14:textId="77777777" w:rsidR="000739B4" w:rsidRPr="00112412" w:rsidRDefault="000739B4" w:rsidP="00565010">
            <w:pPr>
              <w:spacing w:after="0" w:line="240" w:lineRule="auto"/>
              <w:ind w:left="209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I. Koszty odbierania, transportu, zbierania, odzysku i unieszkodliwiania odpadów komunalnych, w tym: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8500C" w14:textId="77777777" w:rsidR="000739B4" w:rsidRPr="00112412" w:rsidRDefault="00EE395D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1 005 157 450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BD3F" w14:textId="77777777" w:rsidR="000739B4" w:rsidRPr="00112412" w:rsidRDefault="00EE395D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848 822 912,6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0 zł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C81E" w14:textId="77777777" w:rsidR="000739B4" w:rsidRPr="00112412" w:rsidRDefault="000739B4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1</w:t>
            </w:r>
            <w:r w:rsidR="00545FD9"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 218</w:t>
            </w:r>
            <w:r w:rsidR="00171BAF"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  <w:r w:rsidR="00545FD9"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973</w:t>
            </w:r>
            <w:r w:rsidR="00171BAF" w:rsidRPr="00112412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840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0382" w14:textId="77777777" w:rsidR="000739B4" w:rsidRPr="00112412" w:rsidRDefault="00494C8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1</w:t>
            </w:r>
            <w:r w:rsidR="00CF69F7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 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0</w:t>
            </w:r>
            <w:r w:rsidR="00CF69F7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85 168 328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7F8C" w14:textId="77777777" w:rsidR="000739B4" w:rsidRPr="00112412" w:rsidRDefault="00494C8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1 27</w:t>
            </w:r>
            <w:r w:rsidR="00545FD9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6 790 000</w:t>
            </w:r>
            <w:r w:rsidR="005723FF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F5F84C" w14:textId="77777777" w:rsidR="000739B4" w:rsidRPr="00112412" w:rsidRDefault="00494C8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1 20</w:t>
            </w:r>
            <w:r w:rsidR="00D0373E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4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 990 000</w:t>
            </w:r>
            <w:r w:rsidR="005723FF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</w:tr>
      <w:tr w:rsidR="00545FD9" w:rsidRPr="00112412" w14:paraId="44B29349" w14:textId="77777777" w:rsidTr="006F3F92">
        <w:trPr>
          <w:trHeight w:val="300"/>
        </w:trPr>
        <w:tc>
          <w:tcPr>
            <w:tcW w:w="199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7E8A" w14:textId="77777777" w:rsidR="000739B4" w:rsidRPr="00112412" w:rsidRDefault="000739B4" w:rsidP="00565010">
            <w:pPr>
              <w:spacing w:after="0" w:line="240" w:lineRule="auto"/>
              <w:ind w:left="351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1.  Odbieranie i transport odpadów komunalnych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BB9" w14:textId="77777777" w:rsidR="000739B4" w:rsidRPr="00112412" w:rsidRDefault="000739B4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443 757 450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47C9" w14:textId="77777777" w:rsidR="000739B4" w:rsidRPr="00112412" w:rsidRDefault="00EE395D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293 073 658,48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D0F9" w14:textId="77777777" w:rsidR="000739B4" w:rsidRPr="00112412" w:rsidRDefault="00171BAF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47</w:t>
            </w:r>
            <w:r w:rsidR="00545FD9"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1</w:t>
            </w: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  <w:r w:rsidR="00545FD9"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573</w:t>
            </w: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840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AA1C" w14:textId="77777777" w:rsidR="000739B4" w:rsidRPr="00112412" w:rsidRDefault="00545FD9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47</w:t>
            </w:r>
            <w:r w:rsidR="00CF69F7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2 833 906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E338" w14:textId="77777777" w:rsidR="000739B4" w:rsidRPr="00112412" w:rsidRDefault="00545FD9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52</w:t>
            </w:r>
            <w:r w:rsidR="00D0373E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4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 390 000</w:t>
            </w:r>
            <w:r w:rsidR="005723FF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69962A" w14:textId="77777777" w:rsidR="000739B4" w:rsidRPr="00112412" w:rsidRDefault="00867B3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52</w:t>
            </w:r>
            <w:r w:rsidR="00D0373E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4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 390 000</w:t>
            </w:r>
            <w:r w:rsidR="005723FF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</w:tr>
      <w:tr w:rsidR="00545FD9" w:rsidRPr="00112412" w14:paraId="08C0DF2E" w14:textId="77777777" w:rsidTr="006F3F92">
        <w:trPr>
          <w:trHeight w:val="300"/>
        </w:trPr>
        <w:tc>
          <w:tcPr>
            <w:tcW w:w="199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430B" w14:textId="77777777" w:rsidR="000739B4" w:rsidRPr="00112412" w:rsidRDefault="000739B4" w:rsidP="00565010">
            <w:pPr>
              <w:spacing w:after="0" w:line="240" w:lineRule="auto"/>
              <w:ind w:left="351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2.  Zagospodarowanie odpadów komunalnych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1DC992" w14:textId="77777777" w:rsidR="000739B4" w:rsidRPr="00112412" w:rsidRDefault="00EE395D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561 400</w:t>
            </w:r>
            <w:r w:rsidR="000739B4" w:rsidRPr="00112412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000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D84F" w14:textId="77777777" w:rsidR="000739B4" w:rsidRPr="00112412" w:rsidRDefault="000739B4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5</w:t>
            </w:r>
            <w:r w:rsidR="00EE395D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55 749 254,12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0253" w14:textId="77777777" w:rsidR="000739B4" w:rsidRPr="00112412" w:rsidRDefault="000739B4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747 400 000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09C3" w14:textId="77777777" w:rsidR="000739B4" w:rsidRPr="00112412" w:rsidRDefault="00CF69F7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612 334 422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24EFD" w14:textId="77777777" w:rsidR="000739B4" w:rsidRPr="00112412" w:rsidRDefault="00494C8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752 400 000</w:t>
            </w:r>
            <w:r w:rsidR="005723FF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CD0EE2" w14:textId="77777777" w:rsidR="000739B4" w:rsidRPr="00112412" w:rsidRDefault="00867B3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680 600 000</w:t>
            </w:r>
            <w:r w:rsidR="005723FF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</w:tr>
      <w:tr w:rsidR="00545FD9" w:rsidRPr="00112412" w14:paraId="5590C53A" w14:textId="77777777" w:rsidTr="002942A4">
        <w:trPr>
          <w:trHeight w:val="523"/>
        </w:trPr>
        <w:tc>
          <w:tcPr>
            <w:tcW w:w="19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8A7A" w14:textId="77777777" w:rsidR="000739B4" w:rsidRPr="00112412" w:rsidRDefault="000739B4" w:rsidP="00565010">
            <w:pPr>
              <w:spacing w:after="0" w:line="240" w:lineRule="auto"/>
              <w:ind w:left="209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II. Koszty tworzenia i utrzymania punktów selektywnego zbierania odpadów komunalnych PSZOK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4EF2" w14:textId="77777777" w:rsidR="000739B4" w:rsidRPr="00112412" w:rsidRDefault="000739B4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9 205 170 zł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897F2" w14:textId="77777777" w:rsidR="000739B4" w:rsidRPr="00112412" w:rsidRDefault="00EE395D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7 082 144,28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E679" w14:textId="77777777" w:rsidR="000739B4" w:rsidRPr="00112412" w:rsidRDefault="00171BAF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9 487 360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7557" w14:textId="77777777" w:rsidR="000739B4" w:rsidRPr="00112412" w:rsidRDefault="00494C8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9 487 360 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zł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6C17" w14:textId="77777777" w:rsidR="000739B4" w:rsidRPr="00112412" w:rsidRDefault="00494C8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9 500 000</w:t>
            </w:r>
            <w:r w:rsidR="005723FF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7C6DE6" w14:textId="77777777" w:rsidR="000739B4" w:rsidRPr="00112412" w:rsidRDefault="00867B3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9 500 000</w:t>
            </w:r>
            <w:r w:rsidR="005723FF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</w:tr>
      <w:tr w:rsidR="00545FD9" w:rsidRPr="00112412" w14:paraId="08132A39" w14:textId="77777777" w:rsidTr="006F3F92">
        <w:trPr>
          <w:trHeight w:val="300"/>
        </w:trPr>
        <w:tc>
          <w:tcPr>
            <w:tcW w:w="19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3683" w14:textId="77777777" w:rsidR="000739B4" w:rsidRPr="00112412" w:rsidRDefault="000739B4" w:rsidP="00565010">
            <w:pPr>
              <w:spacing w:after="0" w:line="240" w:lineRule="auto"/>
              <w:ind w:left="209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III. Koszty obsługi administracyjnej systemu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FD68" w14:textId="77777777" w:rsidR="000739B4" w:rsidRPr="00112412" w:rsidRDefault="000739B4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3</w:t>
            </w:r>
            <w:r w:rsidR="00EE395D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5 668 911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45300" w14:textId="77777777" w:rsidR="000739B4" w:rsidRPr="00112412" w:rsidRDefault="00EE395D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29 988 497,22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0721" w14:textId="77777777" w:rsidR="000739B4" w:rsidRPr="00112412" w:rsidRDefault="00171BAF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2</w:t>
            </w:r>
            <w:r w:rsidR="00545FD9"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8</w:t>
            </w: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  <w:r w:rsidR="00545FD9"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848</w:t>
            </w: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</w:t>
            </w:r>
            <w:r w:rsidR="005723FF"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405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7EEA" w14:textId="77777777" w:rsidR="000739B4" w:rsidRPr="00112412" w:rsidRDefault="00545FD9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28 848 405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AF80" w14:textId="77777777" w:rsidR="000739B4" w:rsidRPr="00112412" w:rsidRDefault="00545FD9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30 270 749</w:t>
            </w:r>
            <w:r w:rsidR="005723FF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4988D6" w14:textId="77777777" w:rsidR="000739B4" w:rsidRPr="00112412" w:rsidRDefault="00E06F6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30 270 749 zł</w:t>
            </w:r>
          </w:p>
        </w:tc>
      </w:tr>
      <w:tr w:rsidR="00545FD9" w:rsidRPr="00112412" w14:paraId="62358CBA" w14:textId="77777777" w:rsidTr="006F3F92">
        <w:trPr>
          <w:trHeight w:val="600"/>
        </w:trPr>
        <w:tc>
          <w:tcPr>
            <w:tcW w:w="19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9430" w14:textId="77777777" w:rsidR="000739B4" w:rsidRPr="00112412" w:rsidRDefault="000739B4" w:rsidP="00565010">
            <w:pPr>
              <w:spacing w:after="0" w:line="240" w:lineRule="auto"/>
              <w:ind w:left="209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IV. Koszty edukacji ekologicznej w zakresie prawidłowego postępowania z odpadami komunalnymi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DA37" w14:textId="77777777" w:rsidR="000739B4" w:rsidRPr="00112412" w:rsidRDefault="000739B4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4 317 000 zł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C5595" w14:textId="77777777" w:rsidR="000739B4" w:rsidRPr="00112412" w:rsidRDefault="000739B4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4 </w:t>
            </w:r>
            <w:r w:rsidR="00494C8B"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0</w:t>
            </w:r>
            <w:r w:rsidR="00EE395D"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9</w:t>
            </w:r>
            <w:r w:rsidR="00494C8B"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1 326,5</w:t>
            </w:r>
            <w:r w:rsidR="00EE395D"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9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C1AA8" w14:textId="77777777" w:rsidR="000739B4" w:rsidRPr="00112412" w:rsidRDefault="000739B4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4</w:t>
            </w:r>
            <w:r w:rsidR="00171BAF"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 180 000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7D98" w14:textId="77777777" w:rsidR="000739B4" w:rsidRPr="00112412" w:rsidRDefault="00545FD9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hAnsi="Calibri" w:cs="Calibri"/>
                <w:color w:val="000000"/>
                <w:sz w:val="12"/>
                <w:szCs w:val="12"/>
              </w:rPr>
              <w:t>4 180 000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EC89" w14:textId="77777777" w:rsidR="000739B4" w:rsidRPr="00112412" w:rsidRDefault="00494C8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4 200 000</w:t>
            </w:r>
            <w:r w:rsidR="005723FF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042613" w14:textId="77777777" w:rsidR="000739B4" w:rsidRPr="00112412" w:rsidRDefault="00E06F6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4 200 000 zł</w:t>
            </w:r>
          </w:p>
        </w:tc>
      </w:tr>
      <w:tr w:rsidR="00545FD9" w:rsidRPr="00112412" w14:paraId="546EAB91" w14:textId="77777777" w:rsidTr="002942A4">
        <w:trPr>
          <w:trHeight w:val="417"/>
        </w:trPr>
        <w:tc>
          <w:tcPr>
            <w:tcW w:w="19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B601" w14:textId="77777777" w:rsidR="000739B4" w:rsidRPr="00112412" w:rsidRDefault="000739B4" w:rsidP="00565010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Dochody z opłat za gospodarowanie odpadami komunalnymi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1690" w14:textId="77777777" w:rsidR="000739B4" w:rsidRPr="00112412" w:rsidRDefault="000739B4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1 </w:t>
            </w:r>
            <w:r w:rsidR="00EE395D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037 6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00</w:t>
            </w:r>
            <w:r w:rsidR="00EE395D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000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94FC1" w14:textId="77777777" w:rsidR="000739B4" w:rsidRPr="00112412" w:rsidRDefault="000739B4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1</w:t>
            </w:r>
            <w:r w:rsidR="00EE395D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 052 5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8</w:t>
            </w:r>
            <w:r w:rsidR="00EE395D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9 053,83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576DB" w14:textId="77777777" w:rsidR="000739B4" w:rsidRPr="00112412" w:rsidRDefault="00171BAF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885 300</w:t>
            </w:r>
            <w:r w:rsidR="00545FD9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 </w:t>
            </w: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000</w:t>
            </w:r>
            <w:r w:rsidR="00545FD9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zł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7DF0" w14:textId="77777777" w:rsidR="000739B4" w:rsidRPr="00112412" w:rsidRDefault="00494C8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856 870 15</w:t>
            </w:r>
            <w:r w:rsidR="00545FD9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5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1383" w14:textId="77777777" w:rsidR="000739B4" w:rsidRPr="00112412" w:rsidRDefault="00494C8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1 232 000 000</w:t>
            </w:r>
            <w:r w:rsidR="005723FF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DA72B1" w14:textId="77777777" w:rsidR="000739B4" w:rsidRPr="00112412" w:rsidRDefault="00867B3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1 051 643 27</w:t>
            </w:r>
            <w:r w:rsidR="005723FF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>2 zł</w:t>
            </w:r>
          </w:p>
        </w:tc>
      </w:tr>
      <w:tr w:rsidR="00545FD9" w:rsidRPr="00112412" w14:paraId="50BC078D" w14:textId="77777777" w:rsidTr="006F3F92">
        <w:trPr>
          <w:trHeight w:val="300"/>
        </w:trPr>
        <w:tc>
          <w:tcPr>
            <w:tcW w:w="19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CD84" w14:textId="77777777" w:rsidR="000739B4" w:rsidRPr="00112412" w:rsidRDefault="000739B4" w:rsidP="005650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RÓŻNICA: dochody-koszty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13C0" w14:textId="77777777" w:rsidR="000739B4" w:rsidRPr="00112412" w:rsidRDefault="00EE395D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- 16 748 531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</w:t>
            </w:r>
            <w:r w:rsidR="000739B4" w:rsidRPr="00112412">
              <w:rPr>
                <w:rFonts w:ascii="Calibri" w:eastAsia="Times New Roman" w:hAnsi="Calibri" w:cs="Calibri"/>
                <w:b/>
                <w:sz w:val="12"/>
                <w:szCs w:val="12"/>
                <w:lang w:eastAsia="pl-PL"/>
              </w:rPr>
              <w:t>zł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7B94" w14:textId="77777777" w:rsidR="000739B4" w:rsidRPr="00112412" w:rsidRDefault="00EE395D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162 604 173,14</w:t>
            </w:r>
            <w:r w:rsidR="000739B4" w:rsidRPr="00112412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</w:t>
            </w:r>
            <w:r w:rsidR="000739B4" w:rsidRPr="00112412">
              <w:rPr>
                <w:rFonts w:ascii="Calibri" w:eastAsia="Times New Roman" w:hAnsi="Calibri" w:cs="Calibri"/>
                <w:b/>
                <w:sz w:val="12"/>
                <w:szCs w:val="12"/>
                <w:lang w:eastAsia="pl-PL"/>
              </w:rPr>
              <w:t>zł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4938A" w14:textId="77777777" w:rsidR="000739B4" w:rsidRPr="00112412" w:rsidRDefault="00171BAF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-37</w:t>
            </w:r>
            <w:r w:rsidR="005723FF"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6</w:t>
            </w: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  <w:r w:rsidR="005723FF"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189</w:t>
            </w: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 xml:space="preserve"> </w:t>
            </w:r>
            <w:r w:rsidR="005723FF"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605</w:t>
            </w:r>
            <w:r w:rsidR="000739B4" w:rsidRPr="00112412">
              <w:rPr>
                <w:rFonts w:ascii="Calibri" w:eastAsia="Times New Roman" w:hAnsi="Calibri" w:cs="Calibri"/>
                <w:b/>
                <w:sz w:val="12"/>
                <w:szCs w:val="12"/>
                <w:lang w:eastAsia="pl-PL"/>
              </w:rPr>
              <w:t xml:space="preserve"> zł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E682" w14:textId="77777777" w:rsidR="000739B4" w:rsidRPr="00727DB4" w:rsidRDefault="00494C8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727DB4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-</w:t>
            </w:r>
            <w:r w:rsidR="00CF69F7" w:rsidRPr="00A23273">
              <w:rPr>
                <w:rFonts w:ascii="Calibri" w:eastAsia="Times New Roman" w:hAnsi="Calibri" w:cs="Calibri"/>
                <w:b/>
                <w:sz w:val="12"/>
                <w:szCs w:val="12"/>
                <w:lang w:eastAsia="pl-PL"/>
              </w:rPr>
              <w:t>270 813</w:t>
            </w:r>
            <w:r w:rsidR="00F25B5C" w:rsidRPr="00A23273">
              <w:rPr>
                <w:rFonts w:ascii="Calibri" w:eastAsia="Times New Roman" w:hAnsi="Calibri" w:cs="Calibri"/>
                <w:b/>
                <w:sz w:val="12"/>
                <w:szCs w:val="12"/>
                <w:lang w:eastAsia="pl-PL"/>
              </w:rPr>
              <w:t> </w:t>
            </w:r>
            <w:r w:rsidR="00CF69F7" w:rsidRPr="00A23273">
              <w:rPr>
                <w:rFonts w:ascii="Calibri" w:eastAsia="Times New Roman" w:hAnsi="Calibri" w:cs="Calibri"/>
                <w:b/>
                <w:sz w:val="12"/>
                <w:szCs w:val="12"/>
                <w:lang w:eastAsia="pl-PL"/>
              </w:rPr>
              <w:t>938</w:t>
            </w:r>
            <w:r w:rsidR="00F25B5C" w:rsidRPr="00A23273">
              <w:rPr>
                <w:rFonts w:ascii="Calibri" w:eastAsia="Times New Roman" w:hAnsi="Calibri" w:cs="Calibri"/>
                <w:b/>
                <w:sz w:val="12"/>
                <w:szCs w:val="12"/>
                <w:lang w:eastAsia="pl-PL"/>
              </w:rPr>
              <w:t xml:space="preserve"> </w:t>
            </w:r>
            <w:r w:rsidR="000739B4" w:rsidRPr="00727DB4">
              <w:rPr>
                <w:rFonts w:ascii="Calibri" w:eastAsia="Times New Roman" w:hAnsi="Calibri" w:cs="Calibri"/>
                <w:b/>
                <w:sz w:val="12"/>
                <w:szCs w:val="12"/>
                <w:lang w:eastAsia="pl-PL"/>
              </w:rPr>
              <w:t>zł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83C6BD" w14:textId="77777777" w:rsidR="000739B4" w:rsidRPr="00112412" w:rsidRDefault="00494C8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-8</w:t>
            </w:r>
            <w:r w:rsidR="005723FF"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8</w:t>
            </w: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  <w:r w:rsidR="005723FF"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760</w:t>
            </w: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  <w:r w:rsidR="005723FF"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749 zł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6C45BC" w14:textId="77777777" w:rsidR="000739B4" w:rsidRPr="00112412" w:rsidRDefault="00867B3B" w:rsidP="006F3F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-19</w:t>
            </w:r>
            <w:r w:rsidR="005723FF"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7</w:t>
            </w: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  <w:r w:rsidR="005723FF"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317</w:t>
            </w: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 </w:t>
            </w:r>
            <w:r w:rsidR="005723FF" w:rsidRPr="00112412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477 zł</w:t>
            </w:r>
          </w:p>
        </w:tc>
      </w:tr>
    </w:tbl>
    <w:p w14:paraId="587A8649" w14:textId="77777777" w:rsidR="00B56705" w:rsidRPr="00112412" w:rsidRDefault="00B56705" w:rsidP="00662C4B">
      <w:pPr>
        <w:spacing w:after="120" w:line="300" w:lineRule="auto"/>
        <w:rPr>
          <w:rFonts w:cstheme="minorHAnsi"/>
        </w:rPr>
      </w:pPr>
    </w:p>
    <w:p w14:paraId="6F7E8518" w14:textId="77777777" w:rsidR="000A48F7" w:rsidRPr="00112412" w:rsidRDefault="000739B4" w:rsidP="000739B4">
      <w:pPr>
        <w:spacing w:after="240" w:line="300" w:lineRule="auto"/>
        <w:rPr>
          <w:rFonts w:cstheme="minorHAnsi"/>
        </w:rPr>
      </w:pPr>
      <w:r w:rsidRPr="00112412">
        <w:rPr>
          <w:rFonts w:cstheme="minorHAnsi"/>
        </w:rPr>
        <w:t xml:space="preserve">Podkreślenia wymaga, że zarówno ceny odbioru jak i zagospodarowania odpadów zależne są od wyników udzielanych zamówień publicznych. W roku 2024 </w:t>
      </w:r>
      <w:r w:rsidR="000A48F7" w:rsidRPr="00112412">
        <w:rPr>
          <w:rFonts w:cstheme="minorHAnsi"/>
        </w:rPr>
        <w:t xml:space="preserve">koszty odbioru i zagospodarowania odpadów były </w:t>
      </w:r>
      <w:r w:rsidRPr="00112412">
        <w:rPr>
          <w:rFonts w:cstheme="minorHAnsi"/>
        </w:rPr>
        <w:t xml:space="preserve">niższe o </w:t>
      </w:r>
      <w:r w:rsidR="000A48F7" w:rsidRPr="00112412">
        <w:rPr>
          <w:rFonts w:cstheme="minorHAnsi"/>
        </w:rPr>
        <w:t>15,8% niż planowano</w:t>
      </w:r>
      <w:r w:rsidRPr="00112412">
        <w:rPr>
          <w:rFonts w:cstheme="minorHAnsi"/>
        </w:rPr>
        <w:t>. Wynika to przede wszystkim z niższych kosztów</w:t>
      </w:r>
      <w:r w:rsidR="000A48F7" w:rsidRPr="00112412">
        <w:rPr>
          <w:rFonts w:cstheme="minorHAnsi"/>
        </w:rPr>
        <w:t xml:space="preserve"> </w:t>
      </w:r>
      <w:r w:rsidRPr="00112412">
        <w:rPr>
          <w:rFonts w:cstheme="minorHAnsi"/>
        </w:rPr>
        <w:t xml:space="preserve">transportu odpadów do miejsc zagospodarowania (odpady były zagospodarowywane w instalacjach położonych w bliskiej odległości od m.st. Warszawy). W planach wydatków w zakresie usługi odbioru i zagospodarowania odpadów komunalnych na lata 2023-2024 uwzględniono możliwość waloryzacji ceny jednostkowej. Wykonawcy nie skorzystali dotychczas z przysługującego im prawa do klauzuli waloryzacyjnej. </w:t>
      </w:r>
    </w:p>
    <w:p w14:paraId="63C4DD1B" w14:textId="6F8A1F27" w:rsidR="00E665A7" w:rsidRPr="00112412" w:rsidRDefault="00DE1CA9" w:rsidP="000739B4">
      <w:pPr>
        <w:spacing w:after="240" w:line="300" w:lineRule="auto"/>
        <w:rPr>
          <w:rFonts w:cstheme="minorHAnsi"/>
        </w:rPr>
      </w:pPr>
      <w:r w:rsidRPr="00112412">
        <w:rPr>
          <w:rFonts w:cstheme="minorHAnsi"/>
        </w:rPr>
        <w:t xml:space="preserve">Zmniejszenie prognozowanych kosztów zagospodarowania odpadów komunalnych </w:t>
      </w:r>
      <w:r w:rsidR="00E665A7" w:rsidRPr="00112412">
        <w:rPr>
          <w:rFonts w:cstheme="minorHAnsi"/>
        </w:rPr>
        <w:t>w roku 2025 o ok. 2</w:t>
      </w:r>
      <w:r w:rsidR="00BA4B31" w:rsidRPr="00112412">
        <w:rPr>
          <w:rFonts w:cstheme="minorHAnsi"/>
        </w:rPr>
        <w:t>0</w:t>
      </w:r>
      <w:r w:rsidR="00E665A7" w:rsidRPr="00112412">
        <w:rPr>
          <w:rFonts w:cstheme="minorHAnsi"/>
        </w:rPr>
        <w:t>% i w roku 2026 o ok.</w:t>
      </w:r>
      <w:r w:rsidRPr="00112412">
        <w:rPr>
          <w:rFonts w:cstheme="minorHAnsi"/>
        </w:rPr>
        <w:t xml:space="preserve"> </w:t>
      </w:r>
      <w:r w:rsidR="00E665A7" w:rsidRPr="00112412">
        <w:rPr>
          <w:rFonts w:cstheme="minorHAnsi"/>
        </w:rPr>
        <w:t>10%</w:t>
      </w:r>
      <w:r w:rsidRPr="00112412">
        <w:rPr>
          <w:rFonts w:cstheme="minorHAnsi"/>
        </w:rPr>
        <w:t xml:space="preserve"> w</w:t>
      </w:r>
      <w:r w:rsidR="00E665A7" w:rsidRPr="00112412">
        <w:rPr>
          <w:rFonts w:cstheme="minorHAnsi"/>
        </w:rPr>
        <w:t>ynika przede wszystkim z niższych cen jednostkowych</w:t>
      </w:r>
      <w:r w:rsidR="00673E3F" w:rsidRPr="00112412">
        <w:rPr>
          <w:rFonts w:cstheme="minorHAnsi"/>
        </w:rPr>
        <w:t xml:space="preserve"> uzyskanych </w:t>
      </w:r>
      <w:r w:rsidR="00915298">
        <w:rPr>
          <w:rFonts w:cstheme="minorHAnsi"/>
        </w:rPr>
        <w:br/>
      </w:r>
      <w:r w:rsidR="00673E3F" w:rsidRPr="00112412">
        <w:rPr>
          <w:rFonts w:cstheme="minorHAnsi"/>
        </w:rPr>
        <w:t>w prowadzonych</w:t>
      </w:r>
      <w:r w:rsidR="00E665A7" w:rsidRPr="00112412">
        <w:rPr>
          <w:rFonts w:cstheme="minorHAnsi"/>
        </w:rPr>
        <w:t xml:space="preserve"> zamówieniach publicznych w obszarze zagospodarowania odpadów. </w:t>
      </w:r>
    </w:p>
    <w:p w14:paraId="12634A86" w14:textId="77777777" w:rsidR="000739B4" w:rsidRPr="00112412" w:rsidRDefault="000739B4" w:rsidP="000739B4">
      <w:pPr>
        <w:spacing w:after="240" w:line="300" w:lineRule="auto"/>
        <w:rPr>
          <w:rFonts w:cstheme="minorHAnsi"/>
        </w:rPr>
      </w:pPr>
      <w:r w:rsidRPr="00112412">
        <w:rPr>
          <w:rFonts w:cstheme="minorHAnsi"/>
        </w:rPr>
        <w:t>Pow</w:t>
      </w:r>
      <w:r w:rsidR="00E665A7" w:rsidRPr="00112412">
        <w:rPr>
          <w:rFonts w:cstheme="minorHAnsi"/>
        </w:rPr>
        <w:t xml:space="preserve">yższe okoliczności spowodowały </w:t>
      </w:r>
      <w:r w:rsidRPr="00112412">
        <w:rPr>
          <w:rFonts w:cstheme="minorHAnsi"/>
        </w:rPr>
        <w:t xml:space="preserve">wystąpienie nadwyżki w systemie gospodarowania odpadami komunalnymi. Proponuje się, zgodnie z art. 6r ust. 2c </w:t>
      </w:r>
      <w:proofErr w:type="spellStart"/>
      <w:r w:rsidRPr="00112412">
        <w:rPr>
          <w:rFonts w:cstheme="minorHAnsi"/>
        </w:rPr>
        <w:t>ucpg</w:t>
      </w:r>
      <w:proofErr w:type="spellEnd"/>
      <w:r w:rsidRPr="00112412">
        <w:rPr>
          <w:rFonts w:cstheme="minorHAnsi"/>
        </w:rPr>
        <w:t>, wykorzystanie tych środków na pokrycie kosztów funkcjonowania systemu gospodarowania odpadami komunalnymi. Nadwyżka zostanie przeznaczona na sfinansowanie kosztów funkcjonowania systemu gospodarowania odpadami komunalnymi na te</w:t>
      </w:r>
      <w:r w:rsidR="00E665A7" w:rsidRPr="00112412">
        <w:rPr>
          <w:rFonts w:cstheme="minorHAnsi"/>
        </w:rPr>
        <w:t>renie m.st. Warszawy w okresie 6</w:t>
      </w:r>
      <w:r w:rsidRPr="00112412">
        <w:rPr>
          <w:rFonts w:cstheme="minorHAnsi"/>
        </w:rPr>
        <w:t xml:space="preserve"> miesięcy licząc od 1 października 202</w:t>
      </w:r>
      <w:r w:rsidR="00E665A7" w:rsidRPr="00112412">
        <w:rPr>
          <w:rFonts w:cstheme="minorHAnsi"/>
        </w:rPr>
        <w:t>5</w:t>
      </w:r>
      <w:r w:rsidRPr="00112412">
        <w:rPr>
          <w:rFonts w:cstheme="minorHAnsi"/>
        </w:rPr>
        <w:t xml:space="preserve"> r.</w:t>
      </w:r>
    </w:p>
    <w:p w14:paraId="062EB7DF" w14:textId="77777777" w:rsidR="00B56705" w:rsidRPr="00112412" w:rsidRDefault="00D17E45" w:rsidP="00774F7F">
      <w:pPr>
        <w:spacing w:after="240" w:line="300" w:lineRule="auto"/>
        <w:rPr>
          <w:rFonts w:cstheme="minorHAnsi"/>
        </w:rPr>
      </w:pPr>
      <w:r w:rsidRPr="00112412">
        <w:rPr>
          <w:rFonts w:cstheme="minorHAnsi"/>
        </w:rPr>
        <w:t>W 2024 roku d</w:t>
      </w:r>
      <w:r w:rsidR="006563D4" w:rsidRPr="00112412">
        <w:rPr>
          <w:rFonts w:cstheme="minorHAnsi"/>
        </w:rPr>
        <w:t xml:space="preserve">ochody </w:t>
      </w:r>
      <w:r w:rsidR="001D4E61" w:rsidRPr="00112412">
        <w:rPr>
          <w:rFonts w:cstheme="minorHAnsi"/>
        </w:rPr>
        <w:t>z opłaty za gospodarowanie odpadami komunalnymi</w:t>
      </w:r>
      <w:r w:rsidRPr="00112412">
        <w:rPr>
          <w:rFonts w:cstheme="minorHAnsi"/>
        </w:rPr>
        <w:t xml:space="preserve"> były wyższe o ok. 1,4% niż planowano, w związku z czym dokonano </w:t>
      </w:r>
      <w:r w:rsidR="00DE1CA9" w:rsidRPr="00112412">
        <w:rPr>
          <w:rFonts w:cstheme="minorHAnsi"/>
        </w:rPr>
        <w:t xml:space="preserve">również </w:t>
      </w:r>
      <w:r w:rsidRPr="00112412">
        <w:rPr>
          <w:rFonts w:cstheme="minorHAnsi"/>
        </w:rPr>
        <w:t xml:space="preserve">aktualizacji planowanych dochodów w latach </w:t>
      </w:r>
      <w:r w:rsidRPr="00112412">
        <w:rPr>
          <w:rFonts w:cstheme="minorHAnsi"/>
        </w:rPr>
        <w:lastRenderedPageBreak/>
        <w:t>2025-2026</w:t>
      </w:r>
      <w:r w:rsidR="00405262" w:rsidRPr="00112412">
        <w:rPr>
          <w:rFonts w:cstheme="minorHAnsi"/>
        </w:rPr>
        <w:t>,</w:t>
      </w:r>
      <w:r w:rsidR="000303E4" w:rsidRPr="00112412">
        <w:rPr>
          <w:rFonts w:cstheme="minorHAnsi"/>
        </w:rPr>
        <w:t xml:space="preserve"> przy założeniu, że zmiana stawek opł</w:t>
      </w:r>
      <w:r w:rsidR="008A2ECF" w:rsidRPr="00112412">
        <w:rPr>
          <w:rFonts w:cstheme="minorHAnsi"/>
        </w:rPr>
        <w:t>aty nastąpi w okresie od 1 października 202</w:t>
      </w:r>
      <w:r w:rsidRPr="00112412">
        <w:rPr>
          <w:rFonts w:cstheme="minorHAnsi"/>
        </w:rPr>
        <w:t>5</w:t>
      </w:r>
      <w:r w:rsidR="008A2ECF" w:rsidRPr="00112412">
        <w:rPr>
          <w:rFonts w:cstheme="minorHAnsi"/>
        </w:rPr>
        <w:t xml:space="preserve"> r. do 3</w:t>
      </w:r>
      <w:r w:rsidRPr="00112412">
        <w:rPr>
          <w:rFonts w:cstheme="minorHAnsi"/>
        </w:rPr>
        <w:t>1 marca</w:t>
      </w:r>
      <w:r w:rsidR="000303E4" w:rsidRPr="00112412">
        <w:rPr>
          <w:rFonts w:cstheme="minorHAnsi"/>
        </w:rPr>
        <w:t xml:space="preserve"> 202</w:t>
      </w:r>
      <w:r w:rsidRPr="00112412">
        <w:rPr>
          <w:rFonts w:cstheme="minorHAnsi"/>
        </w:rPr>
        <w:t>6</w:t>
      </w:r>
      <w:r w:rsidR="000303E4" w:rsidRPr="00112412">
        <w:rPr>
          <w:rFonts w:cstheme="minorHAnsi"/>
        </w:rPr>
        <w:t xml:space="preserve"> r. </w:t>
      </w:r>
    </w:p>
    <w:p w14:paraId="34456046" w14:textId="00280BF2" w:rsidR="00BA4B31" w:rsidRPr="00112412" w:rsidRDefault="00C12447" w:rsidP="00BA4B31">
      <w:pPr>
        <w:spacing w:after="240" w:line="300" w:lineRule="auto"/>
        <w:rPr>
          <w:rFonts w:cstheme="minorHAnsi"/>
        </w:rPr>
      </w:pPr>
      <w:r w:rsidRPr="00112412">
        <w:rPr>
          <w:rFonts w:cstheme="minorHAnsi"/>
        </w:rPr>
        <w:t xml:space="preserve">Przyjęty okres obowiązywania obniżonych stawek opłaty wynika z </w:t>
      </w:r>
      <w:r w:rsidR="00F76754" w:rsidRPr="00112412">
        <w:rPr>
          <w:rFonts w:cstheme="minorHAnsi"/>
        </w:rPr>
        <w:t xml:space="preserve">nieprzewidywalnej </w:t>
      </w:r>
      <w:r w:rsidR="00405262" w:rsidRPr="00112412">
        <w:rPr>
          <w:rFonts w:cstheme="minorHAnsi"/>
        </w:rPr>
        <w:t xml:space="preserve">w </w:t>
      </w:r>
      <w:r w:rsidR="000C178B" w:rsidRPr="00112412">
        <w:rPr>
          <w:rFonts w:cstheme="minorHAnsi"/>
        </w:rPr>
        <w:t>dłuższej</w:t>
      </w:r>
      <w:r w:rsidR="00E747F6" w:rsidRPr="00112412">
        <w:rPr>
          <w:rFonts w:cstheme="minorHAnsi"/>
        </w:rPr>
        <w:t xml:space="preserve"> perspektywie zmienności danych w zakresie ilości wytwarzanych odpadów oraz kosztów ich odbioru </w:t>
      </w:r>
      <w:r w:rsidR="00915298">
        <w:rPr>
          <w:rFonts w:cstheme="minorHAnsi"/>
        </w:rPr>
        <w:br/>
      </w:r>
      <w:r w:rsidR="00E747F6" w:rsidRPr="00112412">
        <w:rPr>
          <w:rFonts w:cstheme="minorHAnsi"/>
        </w:rPr>
        <w:t>i zagospodarowania. Istotny jest także fakt wprowadze</w:t>
      </w:r>
      <w:r w:rsidR="00FE0A8F" w:rsidRPr="00112412">
        <w:rPr>
          <w:rFonts w:cstheme="minorHAnsi"/>
        </w:rPr>
        <w:t>nia w Polsce od 1 października</w:t>
      </w:r>
      <w:r w:rsidR="00E747F6" w:rsidRPr="00112412">
        <w:rPr>
          <w:rFonts w:cstheme="minorHAnsi"/>
        </w:rPr>
        <w:t xml:space="preserve"> 2025 r. systemu kaucyjnego, który obejmie odpady opakowaniowe znajdujące się w odpadach komunalnych odbieranych od właścicieli nieruchomości. System kaucyjny negatywnie wpłynie na gminne systemy gospodarki odpadami, głównie poprzez wyeliminowanie ze strumienia odpadów wartościowych surowców, co bezpośrednio przełoży się na koszty jednos</w:t>
      </w:r>
      <w:r w:rsidR="00FE0A8F" w:rsidRPr="00112412">
        <w:rPr>
          <w:rFonts w:cstheme="minorHAnsi"/>
        </w:rPr>
        <w:t>tkowe zagospodarowania odpadów.</w:t>
      </w:r>
      <w:r w:rsidR="00F76754" w:rsidRPr="00112412">
        <w:rPr>
          <w:rFonts w:cstheme="minorHAnsi"/>
        </w:rPr>
        <w:br/>
      </w:r>
      <w:r w:rsidR="00BA4B31" w:rsidRPr="00112412">
        <w:rPr>
          <w:rFonts w:cstheme="minorHAnsi"/>
        </w:rPr>
        <w:t xml:space="preserve">W chwili obecnej w dalszym ciągu nie ma możliwości oszacowania wpływu wprowadzenia systemu kaucyjnego na koszty gminnych systemów. </w:t>
      </w:r>
      <w:r w:rsidR="00E747F6" w:rsidRPr="00112412">
        <w:rPr>
          <w:rFonts w:cstheme="minorHAnsi"/>
        </w:rPr>
        <w:t xml:space="preserve">Początek obowiązywania systemu kaucyjnego w Polsce został przesunięty z 1 stycznia 2025 r. na 1 październik 2025 r. </w:t>
      </w:r>
      <w:r w:rsidR="00BA4B31" w:rsidRPr="00112412">
        <w:rPr>
          <w:rFonts w:cstheme="minorHAnsi"/>
        </w:rPr>
        <w:t xml:space="preserve">Szacunki branży wskazują, że strumień odpadów komunalnych odbieranych od właścicieli nieruchomości może zmniejszyć się nawet o 20% ale to zależy od regionu kraju oraz zamożności i nawyków mieszkańców. Nieprzewidywalne są także </w:t>
      </w:r>
      <w:r w:rsidR="00915298">
        <w:rPr>
          <w:rFonts w:cstheme="minorHAnsi"/>
        </w:rPr>
        <w:br/>
      </w:r>
      <w:r w:rsidR="00BA4B31" w:rsidRPr="00112412">
        <w:rPr>
          <w:rFonts w:cstheme="minorHAnsi"/>
        </w:rPr>
        <w:t xml:space="preserve">z tego powodu koszty zagospodarowania odpadów pozbawionych wartościowych odpadów. </w:t>
      </w:r>
      <w:r w:rsidR="00F76754" w:rsidRPr="00112412">
        <w:rPr>
          <w:rFonts w:cstheme="minorHAnsi"/>
        </w:rPr>
        <w:br/>
      </w:r>
      <w:r w:rsidR="00BA4B31" w:rsidRPr="00112412">
        <w:rPr>
          <w:rFonts w:cstheme="minorHAnsi"/>
        </w:rPr>
        <w:t xml:space="preserve">W dalszym ciągu samorządy oczekują również na przepisy dotyczące rozszerzonej odpowiedzialności producenta (dalej ROP) oraz realizację zasady „zanieczyszczający płaci”, które znacząco wpłyną </w:t>
      </w:r>
      <w:r w:rsidR="00915298">
        <w:rPr>
          <w:rFonts w:cstheme="minorHAnsi"/>
        </w:rPr>
        <w:br/>
      </w:r>
      <w:r w:rsidR="00BA4B31" w:rsidRPr="00112412">
        <w:rPr>
          <w:rFonts w:cstheme="minorHAnsi"/>
        </w:rPr>
        <w:t xml:space="preserve">w kolejnych latach na wysokość opłaty za gospodarowanie odpadami komunalnymi dla mieszkańców. Wdrożenie ROP spowoduje również zmniejszenie ilości wytwarzanych odpadów ponieważ obejmuje także </w:t>
      </w:r>
      <w:proofErr w:type="spellStart"/>
      <w:r w:rsidR="00BA4B31" w:rsidRPr="00112412">
        <w:rPr>
          <w:rFonts w:cstheme="minorHAnsi"/>
        </w:rPr>
        <w:t>ekomodulację</w:t>
      </w:r>
      <w:proofErr w:type="spellEnd"/>
      <w:r w:rsidR="00BA4B31" w:rsidRPr="00112412">
        <w:rPr>
          <w:rFonts w:cstheme="minorHAnsi"/>
        </w:rPr>
        <w:t xml:space="preserve"> opakowań.  Polska jest jedynym krajem w UE w którym to mieszkańcy ponoszą pełne koszty odbioru i zagospodarowania odpadów opakowaniowych. Prace legislacyjne w zakresie wdrożenia ROP trwają ale wciąż brak określenia docelowego mechanizmu przepływów pieniężnych </w:t>
      </w:r>
      <w:r w:rsidR="00915298">
        <w:rPr>
          <w:rFonts w:cstheme="minorHAnsi"/>
        </w:rPr>
        <w:br/>
      </w:r>
      <w:r w:rsidR="00BA4B31" w:rsidRPr="00112412">
        <w:rPr>
          <w:rFonts w:cstheme="minorHAnsi"/>
        </w:rPr>
        <w:t xml:space="preserve">a tym samym nie ma możliwości określenia jaki procent opłaty wnoszonej przez producentów zasili gminne budżety. Wprowadzenie odpowiedzialności finansowej dla producentów wprowadzających na rynek opakowania i przekazanie gminom tych środków finansowych pozytywnie wpłynie na koszty funkcjonowania sytemu gospodarowania odpadami komunalnymi.    </w:t>
      </w:r>
    </w:p>
    <w:p w14:paraId="648B237C" w14:textId="77777777" w:rsidR="00E747F6" w:rsidRPr="00112412" w:rsidRDefault="00200A86" w:rsidP="00774F7F">
      <w:pPr>
        <w:spacing w:after="240" w:line="300" w:lineRule="auto"/>
        <w:rPr>
          <w:rFonts w:cstheme="minorHAnsi"/>
        </w:rPr>
      </w:pPr>
      <w:r w:rsidRPr="00112412">
        <w:rPr>
          <w:rFonts w:cstheme="minorHAnsi"/>
        </w:rPr>
        <w:t>Z uwagi na</w:t>
      </w:r>
      <w:r w:rsidR="008329E4" w:rsidRPr="00112412">
        <w:t xml:space="preserve"> </w:t>
      </w:r>
      <w:r w:rsidR="008329E4" w:rsidRPr="00112412">
        <w:rPr>
          <w:rFonts w:cstheme="minorHAnsi"/>
        </w:rPr>
        <w:t>wchodzące w życie w najbliższych miesiącach regulacje prawne</w:t>
      </w:r>
      <w:r w:rsidRPr="00112412">
        <w:rPr>
          <w:rFonts w:cstheme="minorHAnsi"/>
        </w:rPr>
        <w:t xml:space="preserve"> w obszarze gospodarowania odpadami komunalnymi Miasto będzie na bieżąco monitorowało uwarunkowania zewnętrzne i podejmowało stosowne działania w zakresie opłat za</w:t>
      </w:r>
      <w:r w:rsidR="00530966" w:rsidRPr="00112412">
        <w:rPr>
          <w:rFonts w:cstheme="minorHAnsi"/>
        </w:rPr>
        <w:t xml:space="preserve"> </w:t>
      </w:r>
      <w:r w:rsidRPr="00112412">
        <w:rPr>
          <w:rFonts w:cstheme="minorHAnsi"/>
        </w:rPr>
        <w:t xml:space="preserve">gospodarowanie odpadami komunalnym.  </w:t>
      </w:r>
    </w:p>
    <w:p w14:paraId="48DD45E1" w14:textId="6365980C" w:rsidR="00C210E3" w:rsidRPr="00112412" w:rsidRDefault="000C178B" w:rsidP="00774F7F">
      <w:pPr>
        <w:spacing w:after="240" w:line="300" w:lineRule="auto"/>
        <w:rPr>
          <w:rFonts w:cstheme="minorHAnsi"/>
        </w:rPr>
      </w:pPr>
      <w:r w:rsidRPr="00112412">
        <w:rPr>
          <w:rFonts w:cstheme="minorHAnsi"/>
        </w:rPr>
        <w:t>Z tych też względów przyjęto, mając na uwadze postanowienia § 29a i § 29b</w:t>
      </w:r>
      <w:r w:rsidR="00C210E3" w:rsidRPr="00112412">
        <w:rPr>
          <w:rFonts w:cstheme="minorHAnsi"/>
        </w:rPr>
        <w:t xml:space="preserve"> w zw. z § 143 załącznika do rozporządzenia Prezesa Rady Ministrów z dnia 20 czerwca 2002 r. w sprawie „Zasad techniki prawodawczej” (Dz. U. z 2016 r. poz. 283),</w:t>
      </w:r>
      <w:r w:rsidRPr="00112412">
        <w:rPr>
          <w:rFonts w:cstheme="minorHAnsi"/>
        </w:rPr>
        <w:t xml:space="preserve"> że zmiana wysokości stawek opłaty nastąpi </w:t>
      </w:r>
      <w:r w:rsidR="00C210E3" w:rsidRPr="00112412">
        <w:rPr>
          <w:rFonts w:cstheme="minorHAnsi"/>
        </w:rPr>
        <w:t xml:space="preserve">na z góry określony okres </w:t>
      </w:r>
      <w:r w:rsidR="00D17E45" w:rsidRPr="00112412">
        <w:rPr>
          <w:rFonts w:cstheme="minorHAnsi"/>
        </w:rPr>
        <w:t>6</w:t>
      </w:r>
      <w:r w:rsidR="008A2ECF" w:rsidRPr="00112412">
        <w:rPr>
          <w:rFonts w:cstheme="minorHAnsi"/>
        </w:rPr>
        <w:t xml:space="preserve"> miesięcy, począwszy od 1 października</w:t>
      </w:r>
      <w:r w:rsidR="00C210E3" w:rsidRPr="00112412">
        <w:rPr>
          <w:rFonts w:cstheme="minorHAnsi"/>
        </w:rPr>
        <w:t xml:space="preserve"> 202</w:t>
      </w:r>
      <w:r w:rsidR="00D17E45" w:rsidRPr="00112412">
        <w:rPr>
          <w:rFonts w:cstheme="minorHAnsi"/>
        </w:rPr>
        <w:t>5</w:t>
      </w:r>
      <w:r w:rsidR="00C210E3" w:rsidRPr="00112412">
        <w:rPr>
          <w:rFonts w:cstheme="minorHAnsi"/>
        </w:rPr>
        <w:t xml:space="preserve"> r. Projektowane stawki opłaty zostały skalkulowane na takim poziomie aby łącznie z nadwyżką pokryć koszty funkcjonowania systemu </w:t>
      </w:r>
      <w:r w:rsidR="00915298">
        <w:rPr>
          <w:rFonts w:cstheme="minorHAnsi"/>
        </w:rPr>
        <w:br/>
      </w:r>
      <w:r w:rsidR="00C210E3" w:rsidRPr="00112412">
        <w:rPr>
          <w:rFonts w:cstheme="minorHAnsi"/>
        </w:rPr>
        <w:t>w latach 202</w:t>
      </w:r>
      <w:r w:rsidR="00D17E45" w:rsidRPr="00112412">
        <w:rPr>
          <w:rFonts w:cstheme="minorHAnsi"/>
        </w:rPr>
        <w:t>5</w:t>
      </w:r>
      <w:r w:rsidR="00C210E3" w:rsidRPr="00112412">
        <w:rPr>
          <w:rFonts w:cstheme="minorHAnsi"/>
        </w:rPr>
        <w:t>-202</w:t>
      </w:r>
      <w:r w:rsidR="00D17E45" w:rsidRPr="00112412">
        <w:rPr>
          <w:rFonts w:cstheme="minorHAnsi"/>
        </w:rPr>
        <w:t>6</w:t>
      </w:r>
      <w:r w:rsidR="00C210E3" w:rsidRPr="00112412">
        <w:rPr>
          <w:rFonts w:cstheme="minorHAnsi"/>
        </w:rPr>
        <w:t xml:space="preserve">. </w:t>
      </w:r>
    </w:p>
    <w:p w14:paraId="6BCEAFEA" w14:textId="77777777" w:rsidR="00D17E45" w:rsidRPr="00112412" w:rsidRDefault="00405262" w:rsidP="00774F7F">
      <w:pPr>
        <w:spacing w:after="240" w:line="300" w:lineRule="auto"/>
        <w:rPr>
          <w:rFonts w:cstheme="minorHAnsi"/>
        </w:rPr>
      </w:pPr>
      <w:r w:rsidRPr="00112412">
        <w:rPr>
          <w:rFonts w:cstheme="minorHAnsi"/>
        </w:rPr>
        <w:t xml:space="preserve">Dokonując obliczenia stawek opłaty utrzymano zróżnicowanie pomiędzy stawką opłaty przyjętą dla zabudowy wielolokalowej oraz jednorodzinnej. </w:t>
      </w:r>
    </w:p>
    <w:p w14:paraId="733F826A" w14:textId="77777777" w:rsidR="00126770" w:rsidRPr="00112412" w:rsidRDefault="001A248B" w:rsidP="00774F7F">
      <w:pPr>
        <w:spacing w:after="240" w:line="300" w:lineRule="auto"/>
        <w:rPr>
          <w:rFonts w:cstheme="minorHAnsi"/>
        </w:rPr>
      </w:pPr>
      <w:r w:rsidRPr="00112412">
        <w:rPr>
          <w:rFonts w:cstheme="minorHAnsi"/>
        </w:rPr>
        <w:lastRenderedPageBreak/>
        <w:t xml:space="preserve">Zmianie nie ulega kwota zwolnienia w części z opłaty za gospodarowanie odpadami komunalnymi właścicieli nieruchomości w zabudowie jednorodzinnej, którzy kompostują bioodpady stanowiące odpady komunalne w kompostowniku przydomowym. </w:t>
      </w:r>
    </w:p>
    <w:p w14:paraId="11FB4037" w14:textId="72008572" w:rsidR="005C3799" w:rsidRPr="00112412" w:rsidRDefault="00B56705" w:rsidP="00774F7F">
      <w:pPr>
        <w:spacing w:after="240" w:line="300" w:lineRule="auto"/>
        <w:rPr>
          <w:rFonts w:cstheme="minorHAnsi"/>
        </w:rPr>
      </w:pPr>
      <w:r w:rsidRPr="00112412">
        <w:rPr>
          <w:rFonts w:cstheme="minorHAnsi"/>
        </w:rPr>
        <w:t xml:space="preserve">Zmiany nie obejmują wysokości stawek ustalonych dla nieruchomości niezamieszkanych, w tym domków letniskowych z uwagi na znikomy udział tych nieruchomości w ogólnych kosztach systemu gospodarowania odpadami </w:t>
      </w:r>
      <w:r w:rsidR="001A248B" w:rsidRPr="00112412">
        <w:rPr>
          <w:rFonts w:cstheme="minorHAnsi"/>
        </w:rPr>
        <w:t xml:space="preserve">komunalnymi </w:t>
      </w:r>
      <w:r w:rsidR="00405262" w:rsidRPr="00112412">
        <w:rPr>
          <w:rFonts w:cstheme="minorHAnsi"/>
        </w:rPr>
        <w:t xml:space="preserve">utrzymujący się </w:t>
      </w:r>
      <w:r w:rsidR="001A248B" w:rsidRPr="00112412">
        <w:rPr>
          <w:rFonts w:cstheme="minorHAnsi"/>
        </w:rPr>
        <w:t>na poziomie ok. 2%.</w:t>
      </w:r>
    </w:p>
    <w:p w14:paraId="1B45CCA9" w14:textId="77777777" w:rsidR="00A44F28" w:rsidRPr="00112412" w:rsidRDefault="00A44F28" w:rsidP="00774F7F">
      <w:pPr>
        <w:pStyle w:val="Akapitzlist"/>
        <w:numPr>
          <w:ilvl w:val="0"/>
          <w:numId w:val="2"/>
        </w:numPr>
        <w:spacing w:after="240" w:line="300" w:lineRule="auto"/>
        <w:ind w:left="714" w:hanging="357"/>
        <w:contextualSpacing w:val="0"/>
        <w:jc w:val="both"/>
        <w:rPr>
          <w:rFonts w:cstheme="minorHAnsi"/>
          <w:b/>
        </w:rPr>
      </w:pPr>
      <w:r w:rsidRPr="00112412">
        <w:rPr>
          <w:rFonts w:cstheme="minorHAnsi"/>
          <w:b/>
        </w:rPr>
        <w:t>Przedstawienie dotychczasowego stanu w zakresie objętym uchwałą</w:t>
      </w:r>
    </w:p>
    <w:p w14:paraId="5FC93514" w14:textId="77777777" w:rsidR="00D74B86" w:rsidRPr="00112412" w:rsidRDefault="005E43F5" w:rsidP="00774F7F">
      <w:pPr>
        <w:pStyle w:val="Akapitzlist"/>
        <w:spacing w:after="240" w:line="300" w:lineRule="auto"/>
        <w:ind w:left="0"/>
        <w:contextualSpacing w:val="0"/>
        <w:rPr>
          <w:rFonts w:cstheme="minorHAnsi"/>
          <w:bCs/>
        </w:rPr>
      </w:pPr>
      <w:r w:rsidRPr="00112412">
        <w:rPr>
          <w:rFonts w:cstheme="minorHAnsi"/>
          <w:bCs/>
        </w:rPr>
        <w:t xml:space="preserve">Od 1 stycznia 2022 roku na terenie m.st. Warszawy dla nieruchomości, na których zamieszkują mieszkańcy obowiązuje </w:t>
      </w:r>
      <w:r w:rsidR="00E446A4" w:rsidRPr="00112412">
        <w:rPr>
          <w:rFonts w:cstheme="minorHAnsi"/>
          <w:bCs/>
        </w:rPr>
        <w:t xml:space="preserve">metoda ustalania </w:t>
      </w:r>
      <w:r w:rsidRPr="00112412">
        <w:rPr>
          <w:rFonts w:cstheme="minorHAnsi"/>
          <w:bCs/>
        </w:rPr>
        <w:t>opłaty opart</w:t>
      </w:r>
      <w:r w:rsidR="00E446A4" w:rsidRPr="00112412">
        <w:rPr>
          <w:rFonts w:cstheme="minorHAnsi"/>
          <w:bCs/>
        </w:rPr>
        <w:t>a</w:t>
      </w:r>
      <w:r w:rsidRPr="00112412">
        <w:rPr>
          <w:rFonts w:cstheme="minorHAnsi"/>
          <w:bCs/>
        </w:rPr>
        <w:t xml:space="preserve"> na metodzie od gospodarstwa domowego. Stawki opłaty</w:t>
      </w:r>
      <w:r w:rsidR="00A16AED" w:rsidRPr="00112412">
        <w:rPr>
          <w:rFonts w:cstheme="minorHAnsi"/>
          <w:bCs/>
        </w:rPr>
        <w:t xml:space="preserve"> wynoszą:</w:t>
      </w:r>
    </w:p>
    <w:p w14:paraId="45061742" w14:textId="77777777" w:rsidR="00D74B86" w:rsidRPr="00112412" w:rsidRDefault="00D74B86" w:rsidP="00774F7F">
      <w:pPr>
        <w:pStyle w:val="Akapitzlist"/>
        <w:numPr>
          <w:ilvl w:val="0"/>
          <w:numId w:val="11"/>
        </w:numPr>
        <w:spacing w:after="240" w:line="300" w:lineRule="auto"/>
        <w:contextualSpacing w:val="0"/>
        <w:rPr>
          <w:rFonts w:cstheme="minorHAnsi"/>
        </w:rPr>
      </w:pPr>
      <w:r w:rsidRPr="00112412">
        <w:rPr>
          <w:rFonts w:cstheme="minorHAnsi"/>
          <w:bCs/>
        </w:rPr>
        <w:t>d</w:t>
      </w:r>
      <w:r w:rsidR="005E43F5" w:rsidRPr="00112412">
        <w:rPr>
          <w:rFonts w:cstheme="minorHAnsi"/>
          <w:bCs/>
        </w:rPr>
        <w:t>la nieruchomości zabudowanej budynkiem wielolokalowym stawka opłaty wynosi 85 zł</w:t>
      </w:r>
      <w:r w:rsidRPr="00112412">
        <w:rPr>
          <w:rFonts w:cstheme="minorHAnsi"/>
          <w:bCs/>
        </w:rPr>
        <w:t xml:space="preserve"> od gospodarstwa domowego,</w:t>
      </w:r>
    </w:p>
    <w:p w14:paraId="15B71466" w14:textId="77777777" w:rsidR="005E43F5" w:rsidRPr="00112412" w:rsidRDefault="005E43F5" w:rsidP="00774F7F">
      <w:pPr>
        <w:pStyle w:val="Akapitzlist"/>
        <w:numPr>
          <w:ilvl w:val="0"/>
          <w:numId w:val="11"/>
        </w:numPr>
        <w:spacing w:after="240" w:line="300" w:lineRule="auto"/>
        <w:contextualSpacing w:val="0"/>
        <w:rPr>
          <w:rFonts w:cstheme="minorHAnsi"/>
        </w:rPr>
      </w:pPr>
      <w:r w:rsidRPr="00112412">
        <w:rPr>
          <w:rFonts w:cstheme="minorHAnsi"/>
          <w:bCs/>
        </w:rPr>
        <w:t>dla nieruchomości zabudowanej budynkiem mieszkalnym jednorodzinnym stawka opłaty wynosi 107 zł od gospodarstwa domowego.</w:t>
      </w:r>
    </w:p>
    <w:p w14:paraId="2B96433B" w14:textId="77777777" w:rsidR="001A248B" w:rsidRPr="00112412" w:rsidRDefault="00DE1CA9" w:rsidP="00774F7F">
      <w:pPr>
        <w:pStyle w:val="Akapitzlist"/>
        <w:spacing w:after="240" w:line="300" w:lineRule="auto"/>
        <w:ind w:left="0"/>
        <w:contextualSpacing w:val="0"/>
        <w:rPr>
          <w:rFonts w:cstheme="minorHAnsi"/>
        </w:rPr>
      </w:pPr>
      <w:r w:rsidRPr="00112412">
        <w:rPr>
          <w:rFonts w:cstheme="minorHAnsi"/>
        </w:rPr>
        <w:t xml:space="preserve">Ww. </w:t>
      </w:r>
      <w:r w:rsidR="005E43F5" w:rsidRPr="00112412">
        <w:rPr>
          <w:rFonts w:cstheme="minorHAnsi"/>
        </w:rPr>
        <w:t xml:space="preserve">metody i stawki opłat </w:t>
      </w:r>
      <w:r w:rsidRPr="00112412">
        <w:rPr>
          <w:rFonts w:cstheme="minorHAnsi"/>
        </w:rPr>
        <w:t xml:space="preserve">wynikały </w:t>
      </w:r>
      <w:r w:rsidR="00F36D22" w:rsidRPr="00112412">
        <w:rPr>
          <w:rFonts w:cstheme="minorHAnsi"/>
        </w:rPr>
        <w:t>z</w:t>
      </w:r>
      <w:r w:rsidR="00811FE3" w:rsidRPr="00112412">
        <w:rPr>
          <w:rFonts w:cstheme="minorHAnsi"/>
        </w:rPr>
        <w:t xml:space="preserve"> </w:t>
      </w:r>
      <w:r w:rsidR="00811FE3" w:rsidRPr="00112412">
        <w:rPr>
          <w:rFonts w:cstheme="minorHAnsi"/>
          <w:bCs/>
        </w:rPr>
        <w:t>uchwał</w:t>
      </w:r>
      <w:r w:rsidR="005E43F5" w:rsidRPr="00112412">
        <w:rPr>
          <w:rFonts w:cstheme="minorHAnsi"/>
          <w:bCs/>
        </w:rPr>
        <w:t>y</w:t>
      </w:r>
      <w:r w:rsidR="00811FE3" w:rsidRPr="00112412">
        <w:rPr>
          <w:rFonts w:cstheme="minorHAnsi"/>
          <w:bCs/>
        </w:rPr>
        <w:t xml:space="preserve"> nr L</w:t>
      </w:r>
      <w:r w:rsidR="00811FE3" w:rsidRPr="00112412">
        <w:rPr>
          <w:rFonts w:cstheme="minorHAnsi"/>
        </w:rPr>
        <w:t>VI/1749/2021</w:t>
      </w:r>
      <w:r w:rsidR="00811FE3" w:rsidRPr="00112412">
        <w:rPr>
          <w:rFonts w:cstheme="minorHAnsi"/>
          <w:b/>
          <w:bCs/>
        </w:rPr>
        <w:t xml:space="preserve"> </w:t>
      </w:r>
      <w:r w:rsidR="00811FE3" w:rsidRPr="00112412">
        <w:rPr>
          <w:rFonts w:cstheme="minorHAnsi"/>
          <w:bCs/>
        </w:rPr>
        <w:t xml:space="preserve">Rady Miasta Stołecznego Warszawy z </w:t>
      </w:r>
      <w:r w:rsidR="00811FE3" w:rsidRPr="00112412">
        <w:rPr>
          <w:rFonts w:cstheme="minorHAnsi"/>
        </w:rPr>
        <w:t>dnia 18 listopada 2021 r. w sprawie wyboru metody ustalenia opłaty za gospodarowanie odpadami komunalnymi, ustalenia stawki takiej opłaty oraz ustalenia stawki opłaty za pojemnik o określonej pojemności, zmienion</w:t>
      </w:r>
      <w:r w:rsidR="005E43F5" w:rsidRPr="00112412">
        <w:rPr>
          <w:rFonts w:cstheme="minorHAnsi"/>
        </w:rPr>
        <w:t>ej</w:t>
      </w:r>
      <w:r w:rsidR="00811FE3" w:rsidRPr="00112412">
        <w:rPr>
          <w:rFonts w:cstheme="minorHAnsi"/>
        </w:rPr>
        <w:t xml:space="preserve"> </w:t>
      </w:r>
      <w:r w:rsidR="00811FE3" w:rsidRPr="00112412">
        <w:rPr>
          <w:rFonts w:cstheme="minorHAnsi"/>
          <w:bCs/>
        </w:rPr>
        <w:t>uchwałą</w:t>
      </w:r>
      <w:r w:rsidR="00990D47" w:rsidRPr="00112412">
        <w:rPr>
          <w:rFonts w:cstheme="minorHAnsi"/>
          <w:bCs/>
        </w:rPr>
        <w:t xml:space="preserve"> nr LVIII/1854/2021</w:t>
      </w:r>
      <w:r w:rsidR="00811FE3" w:rsidRPr="00112412">
        <w:rPr>
          <w:rFonts w:cstheme="minorHAnsi"/>
          <w:bCs/>
        </w:rPr>
        <w:t xml:space="preserve"> z </w:t>
      </w:r>
      <w:r w:rsidR="005E43F5" w:rsidRPr="00112412">
        <w:rPr>
          <w:rFonts w:cstheme="minorHAnsi"/>
        </w:rPr>
        <w:t>dnia 17 grudnia 2021 r.</w:t>
      </w:r>
    </w:p>
    <w:p w14:paraId="3E9DEE6C" w14:textId="04425FEB" w:rsidR="00DE1CA9" w:rsidRPr="00112412" w:rsidRDefault="00DE1CA9" w:rsidP="00DE1CA9">
      <w:pPr>
        <w:spacing w:after="120" w:line="300" w:lineRule="auto"/>
      </w:pPr>
      <w:r w:rsidRPr="00112412">
        <w:rPr>
          <w:rFonts w:cstheme="minorHAnsi"/>
        </w:rPr>
        <w:t xml:space="preserve">Uchwałą Nr V/101/2024 z 6 czerwca 2024 r. zmieniającą uchwałę w sprawie wyboru metody ustalenia opłaty za gospodarowanie odpadami komunalnymi, ustalenia stawki takiej opłaty oraz ustalenia stawki opłaty za pojemnik o określonej pojemności Rada m.st. Warszawy zdecydowała </w:t>
      </w:r>
      <w:r w:rsidR="00915298">
        <w:rPr>
          <w:rFonts w:cstheme="minorHAnsi"/>
        </w:rPr>
        <w:br/>
      </w:r>
      <w:r w:rsidRPr="00112412">
        <w:rPr>
          <w:rFonts w:cstheme="minorHAnsi"/>
        </w:rPr>
        <w:t xml:space="preserve">o </w:t>
      </w:r>
      <w:r w:rsidR="000E17C2" w:rsidRPr="00112412">
        <w:rPr>
          <w:rFonts w:cstheme="minorHAnsi"/>
        </w:rPr>
        <w:t>czasowym (</w:t>
      </w:r>
      <w:r w:rsidR="000E17C2" w:rsidRPr="00112412">
        <w:t>od 1 października 2024 r. do 30 września 2025 r.</w:t>
      </w:r>
      <w:r w:rsidR="000E17C2" w:rsidRPr="00112412">
        <w:rPr>
          <w:rFonts w:cstheme="minorHAnsi"/>
        </w:rPr>
        <w:t xml:space="preserve">) </w:t>
      </w:r>
      <w:r w:rsidRPr="00112412">
        <w:rPr>
          <w:rFonts w:cstheme="minorHAnsi"/>
        </w:rPr>
        <w:t xml:space="preserve">obniżeniu </w:t>
      </w:r>
      <w:r w:rsidR="000E17C2" w:rsidRPr="00112412">
        <w:rPr>
          <w:rFonts w:cstheme="minorHAnsi"/>
        </w:rPr>
        <w:t xml:space="preserve">ww. </w:t>
      </w:r>
      <w:r w:rsidRPr="00112412">
        <w:rPr>
          <w:rFonts w:cstheme="minorHAnsi"/>
        </w:rPr>
        <w:t>stawek opł</w:t>
      </w:r>
      <w:r w:rsidR="000E17C2" w:rsidRPr="00112412">
        <w:rPr>
          <w:rFonts w:cstheme="minorHAnsi"/>
        </w:rPr>
        <w:t>aty odpowiednio do kwot 60 i 91 zł</w:t>
      </w:r>
    </w:p>
    <w:p w14:paraId="4BD083B8" w14:textId="77777777" w:rsidR="002F1941" w:rsidRPr="00112412" w:rsidRDefault="00223C68" w:rsidP="00774F7F">
      <w:pPr>
        <w:pStyle w:val="Akapitzlist"/>
        <w:numPr>
          <w:ilvl w:val="0"/>
          <w:numId w:val="2"/>
        </w:numPr>
        <w:spacing w:after="240" w:line="300" w:lineRule="auto"/>
        <w:contextualSpacing w:val="0"/>
        <w:jc w:val="both"/>
        <w:rPr>
          <w:rFonts w:cstheme="minorHAnsi"/>
          <w:b/>
        </w:rPr>
      </w:pPr>
      <w:r w:rsidRPr="00112412">
        <w:rPr>
          <w:rFonts w:cstheme="minorHAnsi"/>
          <w:b/>
        </w:rPr>
        <w:t>Wskazanie</w:t>
      </w:r>
      <w:r w:rsidR="00476BFA" w:rsidRPr="00112412">
        <w:rPr>
          <w:rFonts w:cstheme="minorHAnsi"/>
          <w:b/>
        </w:rPr>
        <w:t xml:space="preserve"> różnicy pomiędzy dotychczasowym a projektowanym stanem </w:t>
      </w:r>
    </w:p>
    <w:p w14:paraId="195A058F" w14:textId="77777777" w:rsidR="00047A21" w:rsidRPr="00112412" w:rsidRDefault="00047A21" w:rsidP="00774F7F">
      <w:pPr>
        <w:spacing w:after="240" w:line="300" w:lineRule="auto"/>
        <w:jc w:val="both"/>
        <w:rPr>
          <w:rFonts w:cstheme="minorHAnsi"/>
        </w:rPr>
      </w:pPr>
      <w:r w:rsidRPr="00112412">
        <w:rPr>
          <w:rFonts w:cstheme="minorHAnsi"/>
        </w:rPr>
        <w:t xml:space="preserve">Wysokość </w:t>
      </w:r>
      <w:r w:rsidR="006563D4" w:rsidRPr="00112412">
        <w:rPr>
          <w:rFonts w:cstheme="minorHAnsi"/>
        </w:rPr>
        <w:t xml:space="preserve">obowiązujących oraz proponowanych </w:t>
      </w:r>
      <w:r w:rsidRPr="00112412">
        <w:rPr>
          <w:rFonts w:cstheme="minorHAnsi"/>
        </w:rPr>
        <w:t>staw</w:t>
      </w:r>
      <w:r w:rsidR="006563D4" w:rsidRPr="00112412">
        <w:rPr>
          <w:rFonts w:cstheme="minorHAnsi"/>
        </w:rPr>
        <w:t>ek</w:t>
      </w:r>
      <w:r w:rsidRPr="00112412">
        <w:rPr>
          <w:rFonts w:cstheme="minorHAnsi"/>
        </w:rPr>
        <w:t xml:space="preserve"> opłaty za gospodarowanie odpadami komunalnymi: </w:t>
      </w:r>
    </w:p>
    <w:p w14:paraId="2D93FF04" w14:textId="77777777" w:rsidR="006563D4" w:rsidRPr="00112412" w:rsidRDefault="00673E3F" w:rsidP="00774F7F">
      <w:pPr>
        <w:spacing w:after="240" w:line="300" w:lineRule="auto"/>
        <w:jc w:val="both"/>
        <w:rPr>
          <w:rFonts w:cstheme="minorHAnsi"/>
        </w:rPr>
      </w:pPr>
      <w:r w:rsidRPr="00112412">
        <w:rPr>
          <w:rFonts w:cstheme="minorHAnsi"/>
        </w:rPr>
        <w:t>Tabela 2</w:t>
      </w:r>
      <w:r w:rsidR="006563D4" w:rsidRPr="00112412">
        <w:rPr>
          <w:rFonts w:cstheme="minorHAnsi"/>
        </w:rPr>
        <w:t>. Obowiązujące i proponowane stawki opłaty za gospodarowanie odpadami komunalnymi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2619"/>
        <w:gridCol w:w="2620"/>
      </w:tblGrid>
      <w:tr w:rsidR="000E17C2" w:rsidRPr="00112412" w14:paraId="2B8D5833" w14:textId="77777777" w:rsidTr="000E17C2">
        <w:trPr>
          <w:trHeight w:val="597"/>
        </w:trPr>
        <w:tc>
          <w:tcPr>
            <w:tcW w:w="3823" w:type="dxa"/>
            <w:shd w:val="clear" w:color="auto" w:fill="AEAAAA" w:themeFill="background2" w:themeFillShade="BF"/>
          </w:tcPr>
          <w:p w14:paraId="21AAFB8C" w14:textId="77777777" w:rsidR="000E17C2" w:rsidRPr="00112412" w:rsidRDefault="000E17C2" w:rsidP="000E17C2">
            <w:pPr>
              <w:spacing w:after="240" w:line="30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19" w:type="dxa"/>
            <w:shd w:val="clear" w:color="auto" w:fill="AEAAAA" w:themeFill="background2" w:themeFillShade="BF"/>
            <w:vAlign w:val="center"/>
          </w:tcPr>
          <w:p w14:paraId="3780DB17" w14:textId="77777777" w:rsidR="000E17C2" w:rsidRPr="00112412" w:rsidRDefault="000E17C2" w:rsidP="000E17C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12412">
              <w:rPr>
                <w:rFonts w:cstheme="minorHAnsi"/>
                <w:b/>
                <w:sz w:val="16"/>
                <w:szCs w:val="16"/>
              </w:rPr>
              <w:t xml:space="preserve">Stawki obowiązujące </w:t>
            </w:r>
          </w:p>
          <w:p w14:paraId="6561C1CB" w14:textId="77777777" w:rsidR="000E17C2" w:rsidRPr="00112412" w:rsidRDefault="000E17C2" w:rsidP="000E17C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12412">
              <w:rPr>
                <w:rFonts w:cstheme="minorHAnsi"/>
                <w:b/>
                <w:sz w:val="16"/>
                <w:szCs w:val="16"/>
              </w:rPr>
              <w:t>od 1.10.2025 r.</w:t>
            </w:r>
          </w:p>
        </w:tc>
        <w:tc>
          <w:tcPr>
            <w:tcW w:w="2620" w:type="dxa"/>
            <w:shd w:val="clear" w:color="auto" w:fill="AEAAAA" w:themeFill="background2" w:themeFillShade="BF"/>
            <w:vAlign w:val="center"/>
          </w:tcPr>
          <w:p w14:paraId="72546AAD" w14:textId="77777777" w:rsidR="000E17C2" w:rsidRPr="00112412" w:rsidRDefault="000E17C2" w:rsidP="000E17C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12412">
              <w:rPr>
                <w:rFonts w:cstheme="minorHAnsi"/>
                <w:b/>
                <w:sz w:val="16"/>
                <w:szCs w:val="16"/>
              </w:rPr>
              <w:t>Proponowana stawka w okresie od 01.10.2025 r. do 31.03.2026 r.</w:t>
            </w:r>
          </w:p>
        </w:tc>
      </w:tr>
      <w:tr w:rsidR="000E17C2" w:rsidRPr="00112412" w14:paraId="57923C2C" w14:textId="77777777" w:rsidTr="000E17C2">
        <w:trPr>
          <w:trHeight w:val="421"/>
        </w:trPr>
        <w:tc>
          <w:tcPr>
            <w:tcW w:w="3823" w:type="dxa"/>
            <w:vAlign w:val="center"/>
          </w:tcPr>
          <w:p w14:paraId="687D5EFD" w14:textId="77777777" w:rsidR="000E17C2" w:rsidRPr="00112412" w:rsidRDefault="000E17C2" w:rsidP="000E17C2">
            <w:pPr>
              <w:rPr>
                <w:rFonts w:cstheme="minorHAnsi"/>
                <w:sz w:val="16"/>
                <w:szCs w:val="16"/>
              </w:rPr>
            </w:pPr>
            <w:r w:rsidRPr="00112412">
              <w:rPr>
                <w:rFonts w:cstheme="minorHAnsi"/>
                <w:sz w:val="16"/>
                <w:szCs w:val="16"/>
              </w:rPr>
              <w:t>Gospodarstwo domowe w zabudowie jednorodzinnej</w:t>
            </w:r>
          </w:p>
        </w:tc>
        <w:tc>
          <w:tcPr>
            <w:tcW w:w="2619" w:type="dxa"/>
            <w:vAlign w:val="center"/>
          </w:tcPr>
          <w:p w14:paraId="2CB1EE2C" w14:textId="77777777" w:rsidR="000E17C2" w:rsidRPr="00112412" w:rsidRDefault="000E17C2" w:rsidP="000E17C2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12412">
              <w:rPr>
                <w:rFonts w:cstheme="minorHAnsi"/>
                <w:sz w:val="16"/>
                <w:szCs w:val="16"/>
              </w:rPr>
              <w:t>107,00 zł</w:t>
            </w:r>
          </w:p>
        </w:tc>
        <w:tc>
          <w:tcPr>
            <w:tcW w:w="2620" w:type="dxa"/>
            <w:vAlign w:val="center"/>
          </w:tcPr>
          <w:p w14:paraId="410AD4CB" w14:textId="77777777" w:rsidR="000E17C2" w:rsidRPr="00112412" w:rsidRDefault="000E17C2" w:rsidP="000E17C2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12412">
              <w:rPr>
                <w:rFonts w:cstheme="minorHAnsi"/>
                <w:sz w:val="16"/>
                <w:szCs w:val="16"/>
              </w:rPr>
              <w:t>91,00 zł</w:t>
            </w:r>
          </w:p>
        </w:tc>
      </w:tr>
      <w:tr w:rsidR="000E17C2" w:rsidRPr="00112412" w14:paraId="65A7251B" w14:textId="77777777" w:rsidTr="000E17C2">
        <w:trPr>
          <w:trHeight w:val="414"/>
        </w:trPr>
        <w:tc>
          <w:tcPr>
            <w:tcW w:w="3823" w:type="dxa"/>
            <w:vAlign w:val="center"/>
          </w:tcPr>
          <w:p w14:paraId="201B4851" w14:textId="77777777" w:rsidR="000E17C2" w:rsidRPr="00112412" w:rsidRDefault="000E17C2" w:rsidP="000E17C2">
            <w:pPr>
              <w:rPr>
                <w:rFonts w:cstheme="minorHAnsi"/>
                <w:sz w:val="16"/>
                <w:szCs w:val="16"/>
              </w:rPr>
            </w:pPr>
            <w:r w:rsidRPr="00112412">
              <w:rPr>
                <w:rFonts w:cstheme="minorHAnsi"/>
                <w:sz w:val="16"/>
                <w:szCs w:val="16"/>
              </w:rPr>
              <w:t>Gospodarstwo domowe w zabudowie wielolokalowej</w:t>
            </w:r>
          </w:p>
        </w:tc>
        <w:tc>
          <w:tcPr>
            <w:tcW w:w="2619" w:type="dxa"/>
            <w:vAlign w:val="center"/>
          </w:tcPr>
          <w:p w14:paraId="51B20738" w14:textId="77777777" w:rsidR="000E17C2" w:rsidRPr="00112412" w:rsidRDefault="000E17C2" w:rsidP="000E17C2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12412">
              <w:rPr>
                <w:rFonts w:cstheme="minorHAnsi"/>
                <w:sz w:val="16"/>
                <w:szCs w:val="16"/>
              </w:rPr>
              <w:t>85,00 zł</w:t>
            </w:r>
          </w:p>
        </w:tc>
        <w:tc>
          <w:tcPr>
            <w:tcW w:w="2620" w:type="dxa"/>
            <w:vAlign w:val="center"/>
          </w:tcPr>
          <w:p w14:paraId="35CBC73C" w14:textId="77777777" w:rsidR="000E17C2" w:rsidRPr="00112412" w:rsidRDefault="000E17C2" w:rsidP="000E17C2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12412">
              <w:rPr>
                <w:rFonts w:cstheme="minorHAnsi"/>
                <w:sz w:val="16"/>
                <w:szCs w:val="16"/>
              </w:rPr>
              <w:t>60,00 zł</w:t>
            </w:r>
          </w:p>
        </w:tc>
      </w:tr>
    </w:tbl>
    <w:p w14:paraId="5847749E" w14:textId="77777777" w:rsidR="000E17C2" w:rsidRPr="00112412" w:rsidRDefault="000E17C2" w:rsidP="008329E4">
      <w:pPr>
        <w:spacing w:after="0" w:line="240" w:lineRule="auto"/>
        <w:rPr>
          <w:rFonts w:cstheme="minorHAnsi"/>
        </w:rPr>
      </w:pPr>
    </w:p>
    <w:p w14:paraId="4851BC3F" w14:textId="77777777" w:rsidR="00974A58" w:rsidRPr="00112412" w:rsidRDefault="00974A58" w:rsidP="00774F7F">
      <w:pPr>
        <w:spacing w:after="240" w:line="300" w:lineRule="auto"/>
        <w:rPr>
          <w:rFonts w:cstheme="minorHAnsi"/>
        </w:rPr>
      </w:pPr>
      <w:r w:rsidRPr="00112412">
        <w:rPr>
          <w:rFonts w:cstheme="minorHAnsi"/>
        </w:rPr>
        <w:t xml:space="preserve">Zgodnie z 6k ust. 3 </w:t>
      </w:r>
      <w:proofErr w:type="spellStart"/>
      <w:r w:rsidRPr="00112412">
        <w:rPr>
          <w:rFonts w:cstheme="minorHAnsi"/>
        </w:rPr>
        <w:t>u.c.p.g</w:t>
      </w:r>
      <w:proofErr w:type="spellEnd"/>
      <w:r w:rsidRPr="00112412">
        <w:rPr>
          <w:rFonts w:cstheme="minorHAnsi"/>
        </w:rPr>
        <w:t xml:space="preserve">., w przypadku niedopełnienia obowiązku selektywnego zbierania odpadów komunalnych, </w:t>
      </w:r>
      <w:r w:rsidR="00337A57" w:rsidRPr="00112412">
        <w:rPr>
          <w:rFonts w:cstheme="minorHAnsi"/>
        </w:rPr>
        <w:t xml:space="preserve">obowiązują stawki opłaty podwyższonej za gospodarowanie odpadami komunalnymi, w wysokości nie niższej niż dwukrotna wysokość i nie wyższej niż czterokrotna wysokość ustalonej </w:t>
      </w:r>
      <w:r w:rsidR="00337A57" w:rsidRPr="00112412">
        <w:rPr>
          <w:rFonts w:cstheme="minorHAnsi"/>
        </w:rPr>
        <w:lastRenderedPageBreak/>
        <w:t xml:space="preserve">stawki podstawowej. Aktualnie obowiązują stawki opłaty podwyższonej </w:t>
      </w:r>
      <w:r w:rsidR="00623A35" w:rsidRPr="00112412">
        <w:rPr>
          <w:rFonts w:cstheme="minorHAnsi"/>
        </w:rPr>
        <w:t>stanowiące</w:t>
      </w:r>
      <w:r w:rsidR="00337A57" w:rsidRPr="00112412">
        <w:rPr>
          <w:rFonts w:cstheme="minorHAnsi"/>
        </w:rPr>
        <w:t xml:space="preserve"> dwukrotność opłaty podstawowej.</w:t>
      </w:r>
    </w:p>
    <w:p w14:paraId="02AF977B" w14:textId="157E7CF4" w:rsidR="00A21D30" w:rsidRPr="00112412" w:rsidRDefault="00A21D30" w:rsidP="00774F7F">
      <w:pPr>
        <w:spacing w:after="240" w:line="300" w:lineRule="auto"/>
        <w:rPr>
          <w:rFonts w:cstheme="minorHAnsi"/>
        </w:rPr>
      </w:pPr>
      <w:r w:rsidRPr="00112412">
        <w:rPr>
          <w:rFonts w:cstheme="minorHAnsi"/>
        </w:rPr>
        <w:t xml:space="preserve">W konsekwencji </w:t>
      </w:r>
      <w:r w:rsidR="00337A57" w:rsidRPr="00112412">
        <w:rPr>
          <w:rFonts w:cstheme="minorHAnsi"/>
        </w:rPr>
        <w:t xml:space="preserve">proponowanego </w:t>
      </w:r>
      <w:r w:rsidR="000E17C2" w:rsidRPr="00112412">
        <w:rPr>
          <w:rFonts w:cstheme="minorHAnsi"/>
        </w:rPr>
        <w:t xml:space="preserve">utrzymania </w:t>
      </w:r>
      <w:r w:rsidRPr="00112412">
        <w:rPr>
          <w:rFonts w:cstheme="minorHAnsi"/>
        </w:rPr>
        <w:t xml:space="preserve">obniżenia </w:t>
      </w:r>
      <w:r w:rsidR="000E17C2" w:rsidRPr="00112412">
        <w:rPr>
          <w:rFonts w:cstheme="minorHAnsi"/>
        </w:rPr>
        <w:t xml:space="preserve">stawek </w:t>
      </w:r>
      <w:r w:rsidRPr="00112412">
        <w:rPr>
          <w:rFonts w:cstheme="minorHAnsi"/>
        </w:rPr>
        <w:t>opłat</w:t>
      </w:r>
      <w:r w:rsidR="000E17C2" w:rsidRPr="00112412">
        <w:rPr>
          <w:rFonts w:cstheme="minorHAnsi"/>
        </w:rPr>
        <w:t>y</w:t>
      </w:r>
      <w:r w:rsidRPr="00112412">
        <w:rPr>
          <w:rFonts w:cstheme="minorHAnsi"/>
        </w:rPr>
        <w:t xml:space="preserve"> </w:t>
      </w:r>
      <w:r w:rsidR="00337A57" w:rsidRPr="00112412">
        <w:rPr>
          <w:rFonts w:cstheme="minorHAnsi"/>
        </w:rPr>
        <w:t xml:space="preserve">za gospodarowanie odpadami </w:t>
      </w:r>
      <w:r w:rsidR="000E17C2" w:rsidRPr="00112412">
        <w:rPr>
          <w:rFonts w:cstheme="minorHAnsi"/>
        </w:rPr>
        <w:t>komunalnymi w okresie do 31 marca 2026 r.</w:t>
      </w:r>
      <w:r w:rsidR="00337A57" w:rsidRPr="00112412">
        <w:rPr>
          <w:rFonts w:cstheme="minorHAnsi"/>
        </w:rPr>
        <w:t xml:space="preserve">, </w:t>
      </w:r>
      <w:r w:rsidR="00B43006" w:rsidRPr="00112412">
        <w:rPr>
          <w:rFonts w:cstheme="minorHAnsi"/>
        </w:rPr>
        <w:t xml:space="preserve">utrzymuje </w:t>
      </w:r>
      <w:r w:rsidRPr="00112412">
        <w:rPr>
          <w:rFonts w:cstheme="minorHAnsi"/>
        </w:rPr>
        <w:t>się również proporcjonalne obniżenie staw</w:t>
      </w:r>
      <w:r w:rsidR="00616907" w:rsidRPr="00112412">
        <w:rPr>
          <w:rFonts w:cstheme="minorHAnsi"/>
        </w:rPr>
        <w:t>ek</w:t>
      </w:r>
      <w:r w:rsidRPr="00112412">
        <w:rPr>
          <w:rFonts w:cstheme="minorHAnsi"/>
        </w:rPr>
        <w:t xml:space="preserve"> opłat podwyższon</w:t>
      </w:r>
      <w:r w:rsidR="00616907" w:rsidRPr="00112412">
        <w:rPr>
          <w:rFonts w:cstheme="minorHAnsi"/>
        </w:rPr>
        <w:t>ych</w:t>
      </w:r>
      <w:r w:rsidRPr="00112412">
        <w:rPr>
          <w:rFonts w:cstheme="minorHAnsi"/>
        </w:rPr>
        <w:t xml:space="preserve"> za gospodarowanie odpadami komunalnymi </w:t>
      </w:r>
      <w:r w:rsidR="008A2ECF" w:rsidRPr="00112412">
        <w:rPr>
          <w:rFonts w:cstheme="minorHAnsi"/>
        </w:rPr>
        <w:t>na okres od 1 października 202</w:t>
      </w:r>
      <w:r w:rsidR="008A416B" w:rsidRPr="00112412">
        <w:rPr>
          <w:rFonts w:cstheme="minorHAnsi"/>
        </w:rPr>
        <w:t>5</w:t>
      </w:r>
      <w:r w:rsidR="008A2ECF" w:rsidRPr="00112412">
        <w:rPr>
          <w:rFonts w:cstheme="minorHAnsi"/>
        </w:rPr>
        <w:t xml:space="preserve"> r. do 3</w:t>
      </w:r>
      <w:r w:rsidR="008A416B" w:rsidRPr="00112412">
        <w:rPr>
          <w:rFonts w:cstheme="minorHAnsi"/>
        </w:rPr>
        <w:t>1</w:t>
      </w:r>
      <w:r w:rsidR="008A2ECF" w:rsidRPr="00112412">
        <w:rPr>
          <w:rFonts w:cstheme="minorHAnsi"/>
        </w:rPr>
        <w:t xml:space="preserve"> </w:t>
      </w:r>
      <w:r w:rsidR="008A416B" w:rsidRPr="00112412">
        <w:rPr>
          <w:rFonts w:cstheme="minorHAnsi"/>
        </w:rPr>
        <w:t>marca</w:t>
      </w:r>
      <w:r w:rsidRPr="00112412">
        <w:rPr>
          <w:rFonts w:cstheme="minorHAnsi"/>
        </w:rPr>
        <w:t xml:space="preserve"> 202</w:t>
      </w:r>
      <w:r w:rsidR="008A416B" w:rsidRPr="00112412">
        <w:rPr>
          <w:rFonts w:cstheme="minorHAnsi"/>
        </w:rPr>
        <w:t>6</w:t>
      </w:r>
      <w:r w:rsidRPr="00112412">
        <w:rPr>
          <w:rFonts w:cstheme="minorHAnsi"/>
        </w:rPr>
        <w:t xml:space="preserve"> r.</w:t>
      </w:r>
      <w:r w:rsidR="00337A57" w:rsidRPr="00112412">
        <w:rPr>
          <w:rFonts w:cstheme="minorHAnsi"/>
        </w:rPr>
        <w:t>,</w:t>
      </w:r>
      <w:r w:rsidR="00616907" w:rsidRPr="00112412">
        <w:rPr>
          <w:rFonts w:cstheme="minorHAnsi"/>
        </w:rPr>
        <w:t xml:space="preserve"> </w:t>
      </w:r>
      <w:r w:rsidR="009B2543" w:rsidRPr="00112412">
        <w:rPr>
          <w:rFonts w:cstheme="minorHAnsi"/>
        </w:rPr>
        <w:t xml:space="preserve">tj. </w:t>
      </w:r>
      <w:r w:rsidRPr="00112412">
        <w:rPr>
          <w:rFonts w:cstheme="minorHAnsi"/>
        </w:rPr>
        <w:t>odpowiednio:</w:t>
      </w:r>
    </w:p>
    <w:p w14:paraId="2552EDF3" w14:textId="77777777" w:rsidR="00A21D30" w:rsidRPr="00112412" w:rsidRDefault="004F154A" w:rsidP="00774F7F">
      <w:pPr>
        <w:pStyle w:val="Akapitzlist"/>
        <w:numPr>
          <w:ilvl w:val="0"/>
          <w:numId w:val="13"/>
        </w:numPr>
        <w:spacing w:after="240" w:line="300" w:lineRule="auto"/>
        <w:ind w:left="709" w:hanging="283"/>
        <w:contextualSpacing w:val="0"/>
        <w:rPr>
          <w:rFonts w:cstheme="minorHAnsi"/>
        </w:rPr>
      </w:pPr>
      <w:r w:rsidRPr="00112412">
        <w:rPr>
          <w:rFonts w:cstheme="minorHAnsi"/>
        </w:rPr>
        <w:t>z 214,00 zł do 182</w:t>
      </w:r>
      <w:r w:rsidR="00A21D30" w:rsidRPr="00112412">
        <w:rPr>
          <w:rFonts w:cstheme="minorHAnsi"/>
        </w:rPr>
        <w:t xml:space="preserve"> zł</w:t>
      </w:r>
      <w:r w:rsidRPr="00112412">
        <w:rPr>
          <w:rFonts w:cstheme="minorHAnsi"/>
        </w:rPr>
        <w:t xml:space="preserve"> </w:t>
      </w:r>
      <w:r w:rsidR="00A21D30" w:rsidRPr="00112412">
        <w:rPr>
          <w:rFonts w:cstheme="minorHAnsi"/>
        </w:rPr>
        <w:t>– w przypadku od gospodarstwa domowego w zabudowie jednorodzinnej</w:t>
      </w:r>
      <w:r w:rsidRPr="00112412">
        <w:rPr>
          <w:rFonts w:cstheme="minorHAnsi"/>
        </w:rPr>
        <w:t>,</w:t>
      </w:r>
    </w:p>
    <w:p w14:paraId="797F59D2" w14:textId="77777777" w:rsidR="00623A35" w:rsidRPr="00112412" w:rsidRDefault="004F154A" w:rsidP="00774F7F">
      <w:pPr>
        <w:pStyle w:val="Akapitzlist"/>
        <w:numPr>
          <w:ilvl w:val="0"/>
          <w:numId w:val="13"/>
        </w:numPr>
        <w:spacing w:after="240" w:line="300" w:lineRule="auto"/>
        <w:ind w:left="709" w:hanging="284"/>
        <w:contextualSpacing w:val="0"/>
        <w:rPr>
          <w:rFonts w:eastAsia="Times New Roman" w:cstheme="minorHAnsi"/>
          <w:b/>
          <w:color w:val="000000"/>
          <w:lang w:eastAsia="pl-PL"/>
        </w:rPr>
      </w:pPr>
      <w:r w:rsidRPr="00112412">
        <w:rPr>
          <w:rFonts w:cstheme="minorHAnsi"/>
        </w:rPr>
        <w:t>z 170 zł do 120 zł – w przypadku  gospodarstwa domowego w zabudowie wielolokalowej.</w:t>
      </w:r>
    </w:p>
    <w:p w14:paraId="25A5B644" w14:textId="77777777" w:rsidR="00C13265" w:rsidRPr="00112412" w:rsidRDefault="00C13265" w:rsidP="00774F7F">
      <w:pPr>
        <w:pStyle w:val="Akapitzlist"/>
        <w:numPr>
          <w:ilvl w:val="0"/>
          <w:numId w:val="2"/>
        </w:numPr>
        <w:spacing w:after="240" w:line="300" w:lineRule="auto"/>
        <w:ind w:left="714" w:hanging="357"/>
        <w:contextualSpacing w:val="0"/>
        <w:jc w:val="both"/>
        <w:rPr>
          <w:rFonts w:eastAsia="Times New Roman" w:cstheme="minorHAnsi"/>
          <w:b/>
          <w:color w:val="000000"/>
          <w:lang w:eastAsia="pl-PL"/>
        </w:rPr>
      </w:pPr>
      <w:r w:rsidRPr="00112412">
        <w:rPr>
          <w:rFonts w:eastAsia="Times New Roman" w:cstheme="minorHAnsi"/>
          <w:b/>
          <w:color w:val="000000"/>
          <w:lang w:eastAsia="pl-PL"/>
        </w:rPr>
        <w:t>Informacja, czy istnieje obowiązek zgłoszenia, uzyskania opinii, zgody, przeprowadzenia konsultacji bądź uzgodnień projektu uchwały z podmiotami zewnętrznymi.</w:t>
      </w:r>
    </w:p>
    <w:p w14:paraId="614E149C" w14:textId="77777777" w:rsidR="00693E84" w:rsidRPr="00112412" w:rsidRDefault="00C13265" w:rsidP="00774F7F">
      <w:pPr>
        <w:spacing w:after="240" w:line="300" w:lineRule="auto"/>
        <w:jc w:val="both"/>
        <w:rPr>
          <w:rFonts w:eastAsia="Times New Roman" w:cstheme="minorHAnsi"/>
          <w:color w:val="000000"/>
          <w:lang w:eastAsia="pl-PL"/>
        </w:rPr>
      </w:pPr>
      <w:r w:rsidRPr="00112412">
        <w:rPr>
          <w:rFonts w:eastAsia="Times New Roman" w:cstheme="minorHAnsi"/>
          <w:color w:val="000000"/>
          <w:lang w:eastAsia="pl-PL"/>
        </w:rPr>
        <w:t>Nie istnieje obowiązek zgłoszenia, uzyskania opinii, zgody, przeprowadzenia konsultacji bądź uzgodnień projektu uchwały z podmiotami zewnętrznymi.</w:t>
      </w:r>
    </w:p>
    <w:p w14:paraId="0B799092" w14:textId="77777777" w:rsidR="00936761" w:rsidRPr="00112412" w:rsidRDefault="00223C68" w:rsidP="00774F7F">
      <w:pPr>
        <w:pStyle w:val="Akapitzlist"/>
        <w:numPr>
          <w:ilvl w:val="0"/>
          <w:numId w:val="2"/>
        </w:numPr>
        <w:spacing w:after="240" w:line="300" w:lineRule="auto"/>
        <w:contextualSpacing w:val="0"/>
        <w:jc w:val="both"/>
        <w:rPr>
          <w:rFonts w:eastAsia="Times New Roman" w:cstheme="minorHAnsi"/>
          <w:b/>
          <w:color w:val="000000"/>
          <w:lang w:eastAsia="pl-PL"/>
        </w:rPr>
      </w:pPr>
      <w:r w:rsidRPr="00112412">
        <w:rPr>
          <w:rFonts w:eastAsia="Times New Roman" w:cstheme="minorHAnsi"/>
          <w:b/>
          <w:color w:val="000000"/>
          <w:lang w:eastAsia="pl-PL"/>
        </w:rPr>
        <w:t>Skutki finansowe realizacji uchwały</w:t>
      </w:r>
    </w:p>
    <w:p w14:paraId="51ABFA18" w14:textId="3703DE46" w:rsidR="0022732F" w:rsidRPr="00112412" w:rsidRDefault="00471DDC" w:rsidP="00774F7F">
      <w:pPr>
        <w:spacing w:after="240" w:line="300" w:lineRule="auto"/>
        <w:rPr>
          <w:rFonts w:cstheme="minorHAnsi"/>
        </w:rPr>
      </w:pPr>
      <w:r w:rsidRPr="00112412">
        <w:rPr>
          <w:rFonts w:eastAsia="Times New Roman" w:cstheme="minorHAnsi"/>
          <w:color w:val="000000"/>
          <w:lang w:eastAsia="pl-PL"/>
        </w:rPr>
        <w:t>Wskutek pr</w:t>
      </w:r>
      <w:r w:rsidR="00634A4A" w:rsidRPr="00112412">
        <w:rPr>
          <w:rFonts w:eastAsia="Times New Roman" w:cstheme="minorHAnsi"/>
          <w:color w:val="000000"/>
          <w:lang w:eastAsia="pl-PL"/>
        </w:rPr>
        <w:t>zyjęcia projektowanej uchwały,</w:t>
      </w:r>
      <w:r w:rsidR="002F1941" w:rsidRPr="00112412">
        <w:rPr>
          <w:rFonts w:eastAsia="Times New Roman" w:cstheme="minorHAnsi"/>
          <w:iCs/>
          <w:color w:val="000000"/>
          <w:lang w:eastAsia="pl-PL"/>
        </w:rPr>
        <w:t xml:space="preserve"> </w:t>
      </w:r>
      <w:r w:rsidR="005509D7" w:rsidRPr="00112412">
        <w:rPr>
          <w:rFonts w:eastAsia="Times New Roman" w:cstheme="minorHAnsi"/>
          <w:iCs/>
          <w:color w:val="000000"/>
          <w:lang w:eastAsia="pl-PL"/>
        </w:rPr>
        <w:t xml:space="preserve">zmniejszeniu </w:t>
      </w:r>
      <w:r w:rsidR="002F1941" w:rsidRPr="00112412">
        <w:rPr>
          <w:rFonts w:eastAsia="Times New Roman" w:cstheme="minorHAnsi"/>
          <w:iCs/>
          <w:color w:val="000000"/>
          <w:lang w:eastAsia="pl-PL"/>
        </w:rPr>
        <w:t xml:space="preserve">ulegną </w:t>
      </w:r>
      <w:r w:rsidR="00CD12C8" w:rsidRPr="00112412">
        <w:rPr>
          <w:rFonts w:eastAsia="Times New Roman" w:cstheme="minorHAnsi"/>
          <w:iCs/>
          <w:color w:val="000000"/>
          <w:lang w:eastAsia="pl-PL"/>
        </w:rPr>
        <w:t xml:space="preserve">planowane </w:t>
      </w:r>
      <w:r w:rsidR="008A2ECF" w:rsidRPr="00112412">
        <w:rPr>
          <w:rFonts w:eastAsia="Times New Roman" w:cstheme="minorHAnsi"/>
          <w:iCs/>
          <w:color w:val="000000"/>
          <w:lang w:eastAsia="pl-PL"/>
        </w:rPr>
        <w:t>w okresie od 1 października 202</w:t>
      </w:r>
      <w:r w:rsidR="008A416B" w:rsidRPr="00112412">
        <w:rPr>
          <w:rFonts w:eastAsia="Times New Roman" w:cstheme="minorHAnsi"/>
          <w:iCs/>
          <w:color w:val="000000"/>
          <w:lang w:eastAsia="pl-PL"/>
        </w:rPr>
        <w:t xml:space="preserve">5 r. do 31 marca </w:t>
      </w:r>
      <w:r w:rsidR="00673E3F" w:rsidRPr="00112412">
        <w:rPr>
          <w:rFonts w:eastAsia="Times New Roman" w:cstheme="minorHAnsi"/>
          <w:iCs/>
          <w:color w:val="000000"/>
          <w:lang w:eastAsia="pl-PL"/>
        </w:rPr>
        <w:t>2026</w:t>
      </w:r>
      <w:r w:rsidR="00CF65B5" w:rsidRPr="00112412">
        <w:rPr>
          <w:rFonts w:eastAsia="Times New Roman" w:cstheme="minorHAnsi"/>
          <w:iCs/>
          <w:color w:val="000000"/>
          <w:lang w:eastAsia="pl-PL"/>
        </w:rPr>
        <w:t xml:space="preserve"> r. </w:t>
      </w:r>
      <w:r w:rsidR="00CD12C8" w:rsidRPr="00112412">
        <w:rPr>
          <w:rFonts w:eastAsia="Times New Roman" w:cstheme="minorHAnsi"/>
          <w:iCs/>
          <w:color w:val="000000"/>
          <w:lang w:eastAsia="pl-PL"/>
        </w:rPr>
        <w:t xml:space="preserve">wpływy </w:t>
      </w:r>
      <w:r w:rsidR="002F1941" w:rsidRPr="00112412">
        <w:rPr>
          <w:rFonts w:eastAsia="Times New Roman" w:cstheme="minorHAnsi"/>
          <w:iCs/>
          <w:color w:val="000000"/>
          <w:lang w:eastAsia="pl-PL"/>
        </w:rPr>
        <w:t>do budżetu Miasta</w:t>
      </w:r>
      <w:r w:rsidR="00A3457C" w:rsidRPr="00112412">
        <w:rPr>
          <w:rFonts w:eastAsia="Times New Roman" w:cstheme="minorHAnsi"/>
          <w:iCs/>
          <w:color w:val="000000"/>
          <w:lang w:eastAsia="pl-PL"/>
        </w:rPr>
        <w:t xml:space="preserve"> </w:t>
      </w:r>
      <w:r w:rsidR="00E7686A" w:rsidRPr="00112412">
        <w:rPr>
          <w:rFonts w:eastAsia="Times New Roman" w:cstheme="minorHAnsi"/>
          <w:iCs/>
          <w:color w:val="000000"/>
          <w:lang w:eastAsia="pl-PL"/>
        </w:rPr>
        <w:t>od właścicieli nieruchomości, na</w:t>
      </w:r>
      <w:r w:rsidR="00CF65B5" w:rsidRPr="00112412">
        <w:rPr>
          <w:rFonts w:eastAsia="Times New Roman" w:cstheme="minorHAnsi"/>
          <w:iCs/>
          <w:color w:val="000000"/>
          <w:lang w:eastAsia="pl-PL"/>
        </w:rPr>
        <w:t xml:space="preserve"> których zamieszkują mieszkańcy</w:t>
      </w:r>
      <w:r w:rsidR="003235FF" w:rsidRPr="00112412">
        <w:rPr>
          <w:rFonts w:eastAsia="Times New Roman" w:cstheme="minorHAnsi"/>
          <w:iCs/>
          <w:color w:val="000000"/>
          <w:lang w:eastAsia="pl-PL"/>
        </w:rPr>
        <w:t xml:space="preserve"> z tytułu opłaty za gospodarowanie odpadami komunalnymi</w:t>
      </w:r>
      <w:r w:rsidR="00CF65B5" w:rsidRPr="00112412">
        <w:rPr>
          <w:rFonts w:eastAsia="Times New Roman" w:cstheme="minorHAnsi"/>
          <w:iCs/>
          <w:color w:val="000000"/>
          <w:lang w:eastAsia="pl-PL"/>
        </w:rPr>
        <w:t>.</w:t>
      </w:r>
      <w:r w:rsidR="00842E6E" w:rsidRPr="00112412">
        <w:rPr>
          <w:rFonts w:eastAsia="Times New Roman" w:cstheme="minorHAnsi"/>
          <w:iCs/>
          <w:color w:val="000000"/>
          <w:lang w:eastAsia="pl-PL"/>
        </w:rPr>
        <w:t xml:space="preserve"> Różnica pomiędzy zmniejszonymi dochodami a kosztami systemu gospodarki odpadami komunalnymi </w:t>
      </w:r>
      <w:r w:rsidR="00C73FE5">
        <w:rPr>
          <w:rFonts w:eastAsia="Times New Roman" w:cstheme="minorHAnsi"/>
          <w:iCs/>
          <w:color w:val="000000"/>
          <w:lang w:eastAsia="pl-PL"/>
        </w:rPr>
        <w:br/>
      </w:r>
      <w:r w:rsidR="00842E6E" w:rsidRPr="00112412">
        <w:rPr>
          <w:rFonts w:eastAsia="Times New Roman" w:cstheme="minorHAnsi"/>
          <w:iCs/>
          <w:color w:val="000000"/>
          <w:lang w:eastAsia="pl-PL"/>
        </w:rPr>
        <w:t>w latach 202</w:t>
      </w:r>
      <w:r w:rsidR="008A416B" w:rsidRPr="00112412">
        <w:rPr>
          <w:rFonts w:eastAsia="Times New Roman" w:cstheme="minorHAnsi"/>
          <w:iCs/>
          <w:color w:val="000000"/>
          <w:lang w:eastAsia="pl-PL"/>
        </w:rPr>
        <w:t>5</w:t>
      </w:r>
      <w:r w:rsidR="00842E6E" w:rsidRPr="00112412">
        <w:rPr>
          <w:rFonts w:eastAsia="Times New Roman" w:cstheme="minorHAnsi"/>
          <w:iCs/>
          <w:color w:val="000000"/>
          <w:lang w:eastAsia="pl-PL"/>
        </w:rPr>
        <w:t xml:space="preserve"> i 202</w:t>
      </w:r>
      <w:r w:rsidR="008A416B" w:rsidRPr="00112412">
        <w:rPr>
          <w:rFonts w:eastAsia="Times New Roman" w:cstheme="minorHAnsi"/>
          <w:iCs/>
          <w:color w:val="000000"/>
          <w:lang w:eastAsia="pl-PL"/>
        </w:rPr>
        <w:t>6</w:t>
      </w:r>
      <w:r w:rsidR="00842E6E" w:rsidRPr="00112412">
        <w:rPr>
          <w:rFonts w:eastAsia="Times New Roman" w:cstheme="minorHAnsi"/>
          <w:iCs/>
          <w:color w:val="000000"/>
          <w:lang w:eastAsia="pl-PL"/>
        </w:rPr>
        <w:t xml:space="preserve"> pokryta zostanie z nadwyżki z lat ubiegłych.</w:t>
      </w:r>
    </w:p>
    <w:p w14:paraId="4DA64861" w14:textId="1638AAF4" w:rsidR="00C90396" w:rsidRPr="00112412" w:rsidRDefault="001A248B" w:rsidP="00774F7F">
      <w:pPr>
        <w:spacing w:after="240" w:line="300" w:lineRule="auto"/>
        <w:rPr>
          <w:rFonts w:cstheme="minorHAnsi"/>
        </w:rPr>
      </w:pPr>
      <w:r w:rsidRPr="00112412">
        <w:rPr>
          <w:rFonts w:cstheme="minorHAnsi"/>
        </w:rPr>
        <w:t>Prognozowane d</w:t>
      </w:r>
      <w:r w:rsidR="00C90396" w:rsidRPr="00112412">
        <w:rPr>
          <w:rFonts w:cstheme="minorHAnsi"/>
        </w:rPr>
        <w:t xml:space="preserve">ochody systemu gospodarki odpadami komunalnymi na terenie m.st. Warszawy </w:t>
      </w:r>
      <w:r w:rsidR="00C73FE5">
        <w:rPr>
          <w:rFonts w:cstheme="minorHAnsi"/>
        </w:rPr>
        <w:br/>
      </w:r>
      <w:r w:rsidR="00C90396" w:rsidRPr="00112412">
        <w:rPr>
          <w:rFonts w:cstheme="minorHAnsi"/>
        </w:rPr>
        <w:t>w latach 202</w:t>
      </w:r>
      <w:r w:rsidR="008A416B" w:rsidRPr="00112412">
        <w:rPr>
          <w:rFonts w:cstheme="minorHAnsi"/>
        </w:rPr>
        <w:t>5</w:t>
      </w:r>
      <w:r w:rsidR="00C90396" w:rsidRPr="00112412">
        <w:rPr>
          <w:rFonts w:cstheme="minorHAnsi"/>
        </w:rPr>
        <w:t>-202</w:t>
      </w:r>
      <w:r w:rsidR="008A416B" w:rsidRPr="00112412">
        <w:rPr>
          <w:rFonts w:cstheme="minorHAnsi"/>
        </w:rPr>
        <w:t>6</w:t>
      </w:r>
      <w:r w:rsidR="00C90396" w:rsidRPr="00112412">
        <w:rPr>
          <w:rFonts w:cstheme="minorHAnsi"/>
        </w:rPr>
        <w:t>:</w:t>
      </w:r>
    </w:p>
    <w:p w14:paraId="7F338D06" w14:textId="77777777" w:rsidR="009B2543" w:rsidRPr="00112412" w:rsidRDefault="009B2543" w:rsidP="00774F7F">
      <w:pPr>
        <w:spacing w:after="240" w:line="300" w:lineRule="auto"/>
        <w:jc w:val="both"/>
        <w:rPr>
          <w:rFonts w:cstheme="minorHAnsi"/>
        </w:rPr>
      </w:pPr>
      <w:r w:rsidRPr="00112412">
        <w:rPr>
          <w:rFonts w:cstheme="minorHAnsi"/>
        </w:rPr>
        <w:t xml:space="preserve">Tabela </w:t>
      </w:r>
      <w:r w:rsidR="00673E3F" w:rsidRPr="00112412">
        <w:rPr>
          <w:rFonts w:cstheme="minorHAnsi"/>
        </w:rPr>
        <w:t>3</w:t>
      </w:r>
      <w:r w:rsidRPr="00112412">
        <w:rPr>
          <w:rFonts w:cstheme="minorHAnsi"/>
        </w:rPr>
        <w:t xml:space="preserve">. Prognozowane dochody </w:t>
      </w:r>
      <w:r w:rsidR="00672E9D" w:rsidRPr="00112412">
        <w:rPr>
          <w:rFonts w:cstheme="minorHAnsi"/>
        </w:rPr>
        <w:t xml:space="preserve">i wydatki </w:t>
      </w:r>
      <w:r w:rsidRPr="00112412">
        <w:rPr>
          <w:rFonts w:cstheme="minorHAnsi"/>
        </w:rPr>
        <w:t>systemu gospodarki odpadami komunalnymi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5"/>
        <w:gridCol w:w="1592"/>
        <w:gridCol w:w="1592"/>
        <w:gridCol w:w="1592"/>
        <w:gridCol w:w="1592"/>
      </w:tblGrid>
      <w:tr w:rsidR="00C90396" w:rsidRPr="00112412" w14:paraId="2F36A57E" w14:textId="77777777" w:rsidTr="002942A4">
        <w:trPr>
          <w:trHeight w:val="300"/>
        </w:trPr>
        <w:tc>
          <w:tcPr>
            <w:tcW w:w="3125" w:type="dxa"/>
            <w:vMerge w:val="restart"/>
            <w:shd w:val="clear" w:color="000000" w:fill="A6A6A6"/>
            <w:vAlign w:val="center"/>
            <w:hideMark/>
          </w:tcPr>
          <w:p w14:paraId="77B60C92" w14:textId="77777777" w:rsidR="00C90396" w:rsidRPr="00112412" w:rsidRDefault="001A248B" w:rsidP="00551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D</w:t>
            </w:r>
            <w:r w:rsidR="00C90396"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ochody </w:t>
            </w:r>
            <w:r w:rsidR="00F76754"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i wydatki </w:t>
            </w:r>
            <w:r w:rsidR="00C90396"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m.st. Warszawy</w:t>
            </w:r>
          </w:p>
        </w:tc>
        <w:tc>
          <w:tcPr>
            <w:tcW w:w="3184" w:type="dxa"/>
            <w:gridSpan w:val="2"/>
            <w:shd w:val="clear" w:color="000000" w:fill="A6A6A6"/>
            <w:vAlign w:val="center"/>
            <w:hideMark/>
          </w:tcPr>
          <w:p w14:paraId="1E0D44BD" w14:textId="77777777" w:rsidR="00C90396" w:rsidRPr="00112412" w:rsidRDefault="00C90396" w:rsidP="008A4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202</w:t>
            </w:r>
            <w:r w:rsidR="008A416B"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184" w:type="dxa"/>
            <w:gridSpan w:val="2"/>
            <w:shd w:val="clear" w:color="000000" w:fill="A6A6A6"/>
            <w:vAlign w:val="center"/>
          </w:tcPr>
          <w:p w14:paraId="7E12B856" w14:textId="77777777" w:rsidR="00C90396" w:rsidRPr="00112412" w:rsidRDefault="00C90396" w:rsidP="008A4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202</w:t>
            </w:r>
            <w:r w:rsidR="008A416B"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C90396" w:rsidRPr="00112412" w14:paraId="6846F41D" w14:textId="77777777" w:rsidTr="002942A4">
        <w:trPr>
          <w:trHeight w:val="666"/>
        </w:trPr>
        <w:tc>
          <w:tcPr>
            <w:tcW w:w="3125" w:type="dxa"/>
            <w:vMerge/>
            <w:shd w:val="clear" w:color="000000" w:fill="A6A6A6"/>
            <w:vAlign w:val="center"/>
          </w:tcPr>
          <w:p w14:paraId="5E779C20" w14:textId="77777777" w:rsidR="00C90396" w:rsidRPr="00112412" w:rsidRDefault="00C90396" w:rsidP="00551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2" w:type="dxa"/>
            <w:shd w:val="clear" w:color="000000" w:fill="A6A6A6"/>
            <w:vAlign w:val="center"/>
          </w:tcPr>
          <w:p w14:paraId="71DAFD32" w14:textId="1997297A" w:rsidR="00C90396" w:rsidRPr="00112412" w:rsidRDefault="00C90396" w:rsidP="00F767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obecnie</w:t>
            </w:r>
          </w:p>
        </w:tc>
        <w:tc>
          <w:tcPr>
            <w:tcW w:w="1592" w:type="dxa"/>
            <w:shd w:val="clear" w:color="000000" w:fill="A6A6A6"/>
            <w:vAlign w:val="center"/>
          </w:tcPr>
          <w:p w14:paraId="4E6250B2" w14:textId="37636E54" w:rsidR="00C90396" w:rsidRPr="00112412" w:rsidRDefault="00C90396" w:rsidP="00F767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 zmianie</w:t>
            </w:r>
          </w:p>
        </w:tc>
        <w:tc>
          <w:tcPr>
            <w:tcW w:w="1592" w:type="dxa"/>
            <w:shd w:val="clear" w:color="000000" w:fill="A6A6A6"/>
            <w:vAlign w:val="center"/>
          </w:tcPr>
          <w:p w14:paraId="25813178" w14:textId="77434AA7" w:rsidR="00C90396" w:rsidRPr="00112412" w:rsidRDefault="00C90396" w:rsidP="00F767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obecnie</w:t>
            </w:r>
          </w:p>
        </w:tc>
        <w:tc>
          <w:tcPr>
            <w:tcW w:w="1592" w:type="dxa"/>
            <w:shd w:val="clear" w:color="000000" w:fill="A6A6A6"/>
            <w:vAlign w:val="center"/>
          </w:tcPr>
          <w:p w14:paraId="69FE9FD7" w14:textId="698CE98A" w:rsidR="00C90396" w:rsidRPr="00112412" w:rsidRDefault="00C90396" w:rsidP="00F767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 zmianie</w:t>
            </w:r>
          </w:p>
        </w:tc>
      </w:tr>
      <w:tr w:rsidR="00C90396" w:rsidRPr="00112412" w14:paraId="47593D8E" w14:textId="77777777" w:rsidTr="002942A4">
        <w:trPr>
          <w:trHeight w:val="600"/>
        </w:trPr>
        <w:tc>
          <w:tcPr>
            <w:tcW w:w="3125" w:type="dxa"/>
            <w:shd w:val="clear" w:color="auto" w:fill="auto"/>
            <w:vAlign w:val="center"/>
            <w:hideMark/>
          </w:tcPr>
          <w:p w14:paraId="050FE3CA" w14:textId="77777777" w:rsidR="00C90396" w:rsidRPr="00112412" w:rsidRDefault="00C90396" w:rsidP="00551A2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Dochody z opłat za gospodarowanie odpadami komunalnymi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4DA27B66" w14:textId="77777777" w:rsidR="00C76963" w:rsidRPr="00112412" w:rsidRDefault="00C76963" w:rsidP="008E40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14:paraId="6D64C8AD" w14:textId="53E4B087" w:rsidR="00C90396" w:rsidRPr="00112412" w:rsidRDefault="008A4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885 300 000</w:t>
            </w:r>
            <w:r w:rsidR="00623A35"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zł</w:t>
            </w:r>
          </w:p>
          <w:p w14:paraId="4E737FC5" w14:textId="77777777" w:rsidR="00C90396" w:rsidRPr="00112412" w:rsidRDefault="00C90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14:paraId="3FF98A33" w14:textId="77777777" w:rsidR="00C90396" w:rsidRPr="00112412" w:rsidRDefault="00C90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14:paraId="63379400" w14:textId="075513F2" w:rsidR="00C90396" w:rsidRPr="00112412" w:rsidRDefault="00693E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856 870 155 </w:t>
            </w:r>
            <w:r w:rsidR="00623A35"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1592" w:type="dxa"/>
            <w:shd w:val="clear" w:color="auto" w:fill="auto"/>
          </w:tcPr>
          <w:p w14:paraId="6635BD28" w14:textId="77777777" w:rsidR="00C90396" w:rsidRPr="00112412" w:rsidRDefault="00C90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14:paraId="36A69CB8" w14:textId="65EAE9C7" w:rsidR="00C90396" w:rsidRPr="00112412" w:rsidRDefault="008A4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1 232</w:t>
            </w:r>
            <w:r w:rsidR="00C90396"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000 000</w:t>
            </w:r>
            <w:r w:rsidR="00623A35"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zł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30D71BFB" w14:textId="1BD7DCC6" w:rsidR="00C90396" w:rsidRPr="00112412" w:rsidRDefault="00693E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1 051 643 272</w:t>
            </w:r>
            <w:r w:rsidR="00623A35"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zł</w:t>
            </w:r>
          </w:p>
        </w:tc>
      </w:tr>
      <w:tr w:rsidR="00672E9D" w:rsidRPr="00112412" w14:paraId="1B3FC1CB" w14:textId="77777777" w:rsidTr="002942A4">
        <w:trPr>
          <w:trHeight w:val="600"/>
        </w:trPr>
        <w:tc>
          <w:tcPr>
            <w:tcW w:w="3125" w:type="dxa"/>
            <w:shd w:val="clear" w:color="auto" w:fill="auto"/>
            <w:vAlign w:val="center"/>
          </w:tcPr>
          <w:p w14:paraId="459B5477" w14:textId="56812FD1" w:rsidR="00672E9D" w:rsidRPr="00112412" w:rsidRDefault="005102F2" w:rsidP="00F7675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Wydatki związane z systemem gospodarki odpadami komunalnymi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730437F0" w14:textId="77777777" w:rsidR="00672E9D" w:rsidRPr="00112412" w:rsidRDefault="00672E9D" w:rsidP="008E40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1 261 489 605 zł</w:t>
            </w:r>
          </w:p>
        </w:tc>
        <w:tc>
          <w:tcPr>
            <w:tcW w:w="1592" w:type="dxa"/>
            <w:shd w:val="clear" w:color="auto" w:fill="auto"/>
          </w:tcPr>
          <w:p w14:paraId="03E2E2CF" w14:textId="77777777" w:rsidR="00672E9D" w:rsidRPr="00112412" w:rsidRDefault="0067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  <w:p w14:paraId="3223D2FA" w14:textId="433D5260" w:rsidR="00672E9D" w:rsidRPr="00112412" w:rsidRDefault="0067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1 127 684 093 zł</w:t>
            </w:r>
          </w:p>
        </w:tc>
        <w:tc>
          <w:tcPr>
            <w:tcW w:w="1592" w:type="dxa"/>
            <w:vAlign w:val="center"/>
          </w:tcPr>
          <w:p w14:paraId="23618801" w14:textId="228E0811" w:rsidR="00672E9D" w:rsidRPr="00112412" w:rsidRDefault="0067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1 320 760 749 zł</w:t>
            </w:r>
          </w:p>
        </w:tc>
        <w:tc>
          <w:tcPr>
            <w:tcW w:w="1592" w:type="dxa"/>
            <w:vAlign w:val="center"/>
          </w:tcPr>
          <w:p w14:paraId="6FAB5744" w14:textId="3DD829D3" w:rsidR="00672E9D" w:rsidRPr="00112412" w:rsidRDefault="0067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1 248 960 749 zł</w:t>
            </w:r>
          </w:p>
        </w:tc>
      </w:tr>
      <w:tr w:rsidR="005102F2" w:rsidRPr="00112412" w14:paraId="18E9BD75" w14:textId="77777777" w:rsidTr="002942A4">
        <w:trPr>
          <w:trHeight w:val="600"/>
        </w:trPr>
        <w:tc>
          <w:tcPr>
            <w:tcW w:w="3125" w:type="dxa"/>
            <w:shd w:val="clear" w:color="auto" w:fill="auto"/>
            <w:vAlign w:val="center"/>
          </w:tcPr>
          <w:p w14:paraId="77FA4669" w14:textId="77777777" w:rsidR="005102F2" w:rsidRPr="00112412" w:rsidRDefault="005102F2" w:rsidP="005102F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Bilans (dochody i wydatki)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576C16CA" w14:textId="28C95F97" w:rsidR="005102F2" w:rsidRPr="00112412" w:rsidRDefault="005102F2" w:rsidP="008E40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pl-PL"/>
              </w:rPr>
              <w:t>-376 189 605</w:t>
            </w:r>
            <w:r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zł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68B32BE8" w14:textId="5064F8D3" w:rsidR="005102F2" w:rsidRPr="00112412" w:rsidRDefault="005102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pl-PL"/>
              </w:rPr>
              <w:t>-</w:t>
            </w:r>
            <w:r w:rsidRPr="0011241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270 813 938 zł</w:t>
            </w:r>
          </w:p>
        </w:tc>
        <w:tc>
          <w:tcPr>
            <w:tcW w:w="1592" w:type="dxa"/>
            <w:vAlign w:val="center"/>
          </w:tcPr>
          <w:p w14:paraId="3CA84C08" w14:textId="4CAA8FBE" w:rsidR="005102F2" w:rsidRPr="00112412" w:rsidRDefault="005102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pl-PL"/>
              </w:rPr>
              <w:t>-88 760 749 zł</w:t>
            </w:r>
          </w:p>
        </w:tc>
        <w:tc>
          <w:tcPr>
            <w:tcW w:w="1592" w:type="dxa"/>
            <w:vAlign w:val="center"/>
          </w:tcPr>
          <w:p w14:paraId="1F79A633" w14:textId="465944BD" w:rsidR="005102F2" w:rsidRPr="00112412" w:rsidRDefault="005102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112412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pl-PL"/>
              </w:rPr>
              <w:t>-197 317 477 zł</w:t>
            </w:r>
          </w:p>
        </w:tc>
      </w:tr>
    </w:tbl>
    <w:p w14:paraId="5A15FD8E" w14:textId="77777777" w:rsidR="006A45B8" w:rsidRPr="00112412" w:rsidRDefault="006A45B8" w:rsidP="002C2EFE">
      <w:pPr>
        <w:rPr>
          <w:rFonts w:cstheme="minorHAnsi"/>
        </w:rPr>
      </w:pPr>
    </w:p>
    <w:p w14:paraId="18AD1870" w14:textId="77777777" w:rsidR="00E411FE" w:rsidRPr="00112412" w:rsidRDefault="00EC57B0" w:rsidP="005102F2">
      <w:pPr>
        <w:spacing w:after="240" w:line="300" w:lineRule="auto"/>
        <w:jc w:val="both"/>
        <w:rPr>
          <w:rFonts w:cstheme="minorHAnsi"/>
        </w:rPr>
      </w:pPr>
      <w:r w:rsidRPr="00112412">
        <w:rPr>
          <w:rFonts w:cstheme="minorHAnsi"/>
        </w:rPr>
        <w:t>Uchwała jest objęta zakresem nadzoru Regionalnej Izby Obrachunkowej.</w:t>
      </w:r>
    </w:p>
    <w:sectPr w:rsidR="00E411FE" w:rsidRPr="00112412" w:rsidSect="00AB031F">
      <w:footerReference w:type="default" r:id="rId11"/>
      <w:pgSz w:w="11906" w:h="16838"/>
      <w:pgMar w:top="851" w:right="1417" w:bottom="1560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1745CCF" w16cex:dateUtc="2025-02-28T13:54:00Z"/>
  <w16cex:commentExtensible w16cex:durableId="06C72088" w16cex:dateUtc="2025-02-28T14:10:00Z"/>
  <w16cex:commentExtensible w16cex:durableId="7426E1EF" w16cex:dateUtc="2025-03-03T11:11:00Z"/>
  <w16cex:commentExtensible w16cex:durableId="4D2B7238" w16cex:dateUtc="2025-03-03T11:08:00Z"/>
  <w16cex:commentExtensible w16cex:durableId="1CAF50A4" w16cex:dateUtc="2025-03-03T11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B8D947" w16cid:durableId="01745CCF"/>
  <w16cid:commentId w16cid:paraId="576AA806" w16cid:durableId="06C72088"/>
  <w16cid:commentId w16cid:paraId="706B6ABD" w16cid:durableId="7426E1EF"/>
  <w16cid:commentId w16cid:paraId="251BE030" w16cid:durableId="4D2B7238"/>
  <w16cid:commentId w16cid:paraId="44135667" w16cid:durableId="1CAF50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EEE3D" w14:textId="77777777" w:rsidR="00152738" w:rsidRDefault="00152738" w:rsidP="00A86286">
      <w:pPr>
        <w:spacing w:after="0" w:line="240" w:lineRule="auto"/>
      </w:pPr>
      <w:r>
        <w:separator/>
      </w:r>
    </w:p>
  </w:endnote>
  <w:endnote w:type="continuationSeparator" w:id="0">
    <w:p w14:paraId="1B87AE0F" w14:textId="77777777" w:rsidR="00152738" w:rsidRDefault="00152738" w:rsidP="00A86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157338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4FD8D66" w14:textId="3EF39FF5" w:rsidR="00D17E45" w:rsidRDefault="00D17E4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7FE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7FE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2666E8" w14:textId="77777777" w:rsidR="00D17E45" w:rsidRDefault="00D17E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2131C" w14:textId="77777777" w:rsidR="00152738" w:rsidRDefault="00152738" w:rsidP="00A86286">
      <w:pPr>
        <w:spacing w:after="0" w:line="240" w:lineRule="auto"/>
      </w:pPr>
      <w:r>
        <w:separator/>
      </w:r>
    </w:p>
  </w:footnote>
  <w:footnote w:type="continuationSeparator" w:id="0">
    <w:p w14:paraId="13C57A2D" w14:textId="77777777" w:rsidR="00152738" w:rsidRDefault="00152738" w:rsidP="00A86286">
      <w:pPr>
        <w:spacing w:after="0" w:line="240" w:lineRule="auto"/>
      </w:pPr>
      <w:r>
        <w:continuationSeparator/>
      </w:r>
    </w:p>
  </w:footnote>
  <w:footnote w:id="1">
    <w:p w14:paraId="534BDCC0" w14:textId="77777777" w:rsidR="00D17E45" w:rsidRDefault="00D17E45">
      <w:pPr>
        <w:pStyle w:val="Tekstprzypisudolnego"/>
      </w:pPr>
      <w:r>
        <w:rPr>
          <w:rStyle w:val="Odwoanieprzypisudolnego"/>
        </w:rPr>
        <w:footnoteRef/>
      </w:r>
      <w:r>
        <w:t xml:space="preserve"> Wg stanu na dzień 27.02.2025r.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6FA6"/>
    <w:multiLevelType w:val="hybridMultilevel"/>
    <w:tmpl w:val="0214FAF4"/>
    <w:lvl w:ilvl="0" w:tplc="F684EA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32944"/>
    <w:multiLevelType w:val="hybridMultilevel"/>
    <w:tmpl w:val="C88EA2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F3906"/>
    <w:multiLevelType w:val="hybridMultilevel"/>
    <w:tmpl w:val="B240C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A5799"/>
    <w:multiLevelType w:val="hybridMultilevel"/>
    <w:tmpl w:val="F74A5C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70160"/>
    <w:multiLevelType w:val="hybridMultilevel"/>
    <w:tmpl w:val="F06285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A085E"/>
    <w:multiLevelType w:val="hybridMultilevel"/>
    <w:tmpl w:val="6ECC0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644CA"/>
    <w:multiLevelType w:val="hybridMultilevel"/>
    <w:tmpl w:val="621E8A26"/>
    <w:lvl w:ilvl="0" w:tplc="4E6AA8B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364817C4"/>
    <w:multiLevelType w:val="hybridMultilevel"/>
    <w:tmpl w:val="F64A1DA6"/>
    <w:lvl w:ilvl="0" w:tplc="4E6AA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571D2"/>
    <w:multiLevelType w:val="hybridMultilevel"/>
    <w:tmpl w:val="9C0ACEE4"/>
    <w:lvl w:ilvl="0" w:tplc="4E6AA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262462"/>
    <w:multiLevelType w:val="hybridMultilevel"/>
    <w:tmpl w:val="2DA680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70ABA"/>
    <w:multiLevelType w:val="hybridMultilevel"/>
    <w:tmpl w:val="6B6C8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A70386"/>
    <w:multiLevelType w:val="hybridMultilevel"/>
    <w:tmpl w:val="CC1A94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602FE"/>
    <w:multiLevelType w:val="multilevel"/>
    <w:tmpl w:val="FE326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582C10"/>
    <w:multiLevelType w:val="hybridMultilevel"/>
    <w:tmpl w:val="4F0A89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944316"/>
    <w:multiLevelType w:val="hybridMultilevel"/>
    <w:tmpl w:val="AEB63236"/>
    <w:lvl w:ilvl="0" w:tplc="57328C7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12C5B"/>
    <w:multiLevelType w:val="hybridMultilevel"/>
    <w:tmpl w:val="9EA0EE90"/>
    <w:lvl w:ilvl="0" w:tplc="4E6AA8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0"/>
  </w:num>
  <w:num w:numId="8">
    <w:abstractNumId w:val="9"/>
  </w:num>
  <w:num w:numId="9">
    <w:abstractNumId w:val="11"/>
  </w:num>
  <w:num w:numId="10">
    <w:abstractNumId w:val="7"/>
  </w:num>
  <w:num w:numId="11">
    <w:abstractNumId w:val="6"/>
  </w:num>
  <w:num w:numId="12">
    <w:abstractNumId w:val="8"/>
  </w:num>
  <w:num w:numId="13">
    <w:abstractNumId w:val="15"/>
  </w:num>
  <w:num w:numId="14">
    <w:abstractNumId w:val="1"/>
  </w:num>
  <w:num w:numId="15">
    <w:abstractNumId w:val="1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80"/>
    <w:rsid w:val="0000150A"/>
    <w:rsid w:val="00001E7A"/>
    <w:rsid w:val="000024F6"/>
    <w:rsid w:val="00003DFD"/>
    <w:rsid w:val="000047C3"/>
    <w:rsid w:val="00004809"/>
    <w:rsid w:val="000068F4"/>
    <w:rsid w:val="0000705F"/>
    <w:rsid w:val="0001234D"/>
    <w:rsid w:val="00020ED6"/>
    <w:rsid w:val="00023472"/>
    <w:rsid w:val="000303E4"/>
    <w:rsid w:val="00037B16"/>
    <w:rsid w:val="000437E4"/>
    <w:rsid w:val="00045AC1"/>
    <w:rsid w:val="00047A21"/>
    <w:rsid w:val="00050F9B"/>
    <w:rsid w:val="000559A4"/>
    <w:rsid w:val="000565C8"/>
    <w:rsid w:val="0006411B"/>
    <w:rsid w:val="000672F3"/>
    <w:rsid w:val="0006737F"/>
    <w:rsid w:val="00071127"/>
    <w:rsid w:val="000735EA"/>
    <w:rsid w:val="000738A2"/>
    <w:rsid w:val="000739B4"/>
    <w:rsid w:val="000937FA"/>
    <w:rsid w:val="00096145"/>
    <w:rsid w:val="000975DB"/>
    <w:rsid w:val="000A0774"/>
    <w:rsid w:val="000A48F7"/>
    <w:rsid w:val="000A4CA0"/>
    <w:rsid w:val="000A51EA"/>
    <w:rsid w:val="000A6EE2"/>
    <w:rsid w:val="000A71B7"/>
    <w:rsid w:val="000B0805"/>
    <w:rsid w:val="000B5610"/>
    <w:rsid w:val="000B5BB1"/>
    <w:rsid w:val="000C13C9"/>
    <w:rsid w:val="000C178B"/>
    <w:rsid w:val="000C455A"/>
    <w:rsid w:val="000D1AEB"/>
    <w:rsid w:val="000D1EAC"/>
    <w:rsid w:val="000D2B1B"/>
    <w:rsid w:val="000D3BF5"/>
    <w:rsid w:val="000D69FD"/>
    <w:rsid w:val="000D7CC0"/>
    <w:rsid w:val="000E0D45"/>
    <w:rsid w:val="000E17C2"/>
    <w:rsid w:val="000E2443"/>
    <w:rsid w:val="000E3F8B"/>
    <w:rsid w:val="000E7357"/>
    <w:rsid w:val="000F0C6C"/>
    <w:rsid w:val="000F2DBA"/>
    <w:rsid w:val="000F5207"/>
    <w:rsid w:val="001022C1"/>
    <w:rsid w:val="001037CA"/>
    <w:rsid w:val="001053E3"/>
    <w:rsid w:val="00106655"/>
    <w:rsid w:val="001103B0"/>
    <w:rsid w:val="00110847"/>
    <w:rsid w:val="0011120A"/>
    <w:rsid w:val="001123B8"/>
    <w:rsid w:val="00112412"/>
    <w:rsid w:val="00112B1E"/>
    <w:rsid w:val="001204B6"/>
    <w:rsid w:val="0012140F"/>
    <w:rsid w:val="00123C6D"/>
    <w:rsid w:val="001244C3"/>
    <w:rsid w:val="001244FA"/>
    <w:rsid w:val="00125342"/>
    <w:rsid w:val="001255ED"/>
    <w:rsid w:val="00126770"/>
    <w:rsid w:val="001269DB"/>
    <w:rsid w:val="00130F8D"/>
    <w:rsid w:val="00132340"/>
    <w:rsid w:val="00137954"/>
    <w:rsid w:val="00137B58"/>
    <w:rsid w:val="00137F1D"/>
    <w:rsid w:val="001420B1"/>
    <w:rsid w:val="00144ADD"/>
    <w:rsid w:val="00144D0C"/>
    <w:rsid w:val="00145295"/>
    <w:rsid w:val="00152738"/>
    <w:rsid w:val="00152BBE"/>
    <w:rsid w:val="00153D68"/>
    <w:rsid w:val="00154722"/>
    <w:rsid w:val="00161811"/>
    <w:rsid w:val="00163BFC"/>
    <w:rsid w:val="00166711"/>
    <w:rsid w:val="001717DC"/>
    <w:rsid w:val="00171BAF"/>
    <w:rsid w:val="001744ED"/>
    <w:rsid w:val="00175644"/>
    <w:rsid w:val="00176C8F"/>
    <w:rsid w:val="00177B91"/>
    <w:rsid w:val="00180846"/>
    <w:rsid w:val="00184BC6"/>
    <w:rsid w:val="001857BF"/>
    <w:rsid w:val="001871F1"/>
    <w:rsid w:val="00190C2F"/>
    <w:rsid w:val="00192CD3"/>
    <w:rsid w:val="00194B37"/>
    <w:rsid w:val="001961C2"/>
    <w:rsid w:val="00197902"/>
    <w:rsid w:val="001A248B"/>
    <w:rsid w:val="001A3E3E"/>
    <w:rsid w:val="001A6E2B"/>
    <w:rsid w:val="001B0AF2"/>
    <w:rsid w:val="001C0630"/>
    <w:rsid w:val="001C173B"/>
    <w:rsid w:val="001C2B08"/>
    <w:rsid w:val="001C699E"/>
    <w:rsid w:val="001D44A3"/>
    <w:rsid w:val="001D4E61"/>
    <w:rsid w:val="001D7591"/>
    <w:rsid w:val="001E6CD1"/>
    <w:rsid w:val="001E7BC6"/>
    <w:rsid w:val="001F1AAC"/>
    <w:rsid w:val="00200A86"/>
    <w:rsid w:val="00201643"/>
    <w:rsid w:val="00202811"/>
    <w:rsid w:val="00203BE2"/>
    <w:rsid w:val="00205A19"/>
    <w:rsid w:val="002064C2"/>
    <w:rsid w:val="00206573"/>
    <w:rsid w:val="002078C6"/>
    <w:rsid w:val="00210634"/>
    <w:rsid w:val="00221127"/>
    <w:rsid w:val="002212E3"/>
    <w:rsid w:val="00221611"/>
    <w:rsid w:val="002219BF"/>
    <w:rsid w:val="002232AA"/>
    <w:rsid w:val="00223C68"/>
    <w:rsid w:val="00225359"/>
    <w:rsid w:val="00225FDE"/>
    <w:rsid w:val="0022732F"/>
    <w:rsid w:val="002273D6"/>
    <w:rsid w:val="002336FC"/>
    <w:rsid w:val="00233DEB"/>
    <w:rsid w:val="002361AE"/>
    <w:rsid w:val="00237E0F"/>
    <w:rsid w:val="002433D8"/>
    <w:rsid w:val="002438CF"/>
    <w:rsid w:val="00243CC7"/>
    <w:rsid w:val="00246199"/>
    <w:rsid w:val="00252FFB"/>
    <w:rsid w:val="00260775"/>
    <w:rsid w:val="00266DB7"/>
    <w:rsid w:val="00267117"/>
    <w:rsid w:val="00270FD3"/>
    <w:rsid w:val="00271A3E"/>
    <w:rsid w:val="00271CC7"/>
    <w:rsid w:val="002754DA"/>
    <w:rsid w:val="00276ABB"/>
    <w:rsid w:val="00280AFF"/>
    <w:rsid w:val="00283960"/>
    <w:rsid w:val="00285A95"/>
    <w:rsid w:val="002907D2"/>
    <w:rsid w:val="00291593"/>
    <w:rsid w:val="002942A4"/>
    <w:rsid w:val="0029486F"/>
    <w:rsid w:val="00295813"/>
    <w:rsid w:val="0029718E"/>
    <w:rsid w:val="00297C4C"/>
    <w:rsid w:val="00297FEB"/>
    <w:rsid w:val="002A18DC"/>
    <w:rsid w:val="002A6218"/>
    <w:rsid w:val="002B241E"/>
    <w:rsid w:val="002B3E0D"/>
    <w:rsid w:val="002C16D3"/>
    <w:rsid w:val="002C2EFE"/>
    <w:rsid w:val="002C4734"/>
    <w:rsid w:val="002C473A"/>
    <w:rsid w:val="002C540B"/>
    <w:rsid w:val="002D099B"/>
    <w:rsid w:val="002D1E42"/>
    <w:rsid w:val="002D3452"/>
    <w:rsid w:val="002E3E4C"/>
    <w:rsid w:val="002E59CD"/>
    <w:rsid w:val="002F1941"/>
    <w:rsid w:val="00300140"/>
    <w:rsid w:val="00303920"/>
    <w:rsid w:val="00307E05"/>
    <w:rsid w:val="00320733"/>
    <w:rsid w:val="003226B3"/>
    <w:rsid w:val="00322C78"/>
    <w:rsid w:val="003235FF"/>
    <w:rsid w:val="00323A90"/>
    <w:rsid w:val="00324501"/>
    <w:rsid w:val="00326E26"/>
    <w:rsid w:val="00331041"/>
    <w:rsid w:val="0033514E"/>
    <w:rsid w:val="00335F3F"/>
    <w:rsid w:val="00336342"/>
    <w:rsid w:val="00337A57"/>
    <w:rsid w:val="00337BDA"/>
    <w:rsid w:val="00342FE0"/>
    <w:rsid w:val="00344756"/>
    <w:rsid w:val="00344D77"/>
    <w:rsid w:val="00345DF8"/>
    <w:rsid w:val="00346477"/>
    <w:rsid w:val="00351488"/>
    <w:rsid w:val="00360248"/>
    <w:rsid w:val="003610FF"/>
    <w:rsid w:val="00362287"/>
    <w:rsid w:val="003726E3"/>
    <w:rsid w:val="00376EDC"/>
    <w:rsid w:val="00386117"/>
    <w:rsid w:val="00391691"/>
    <w:rsid w:val="003932EE"/>
    <w:rsid w:val="003A0EBB"/>
    <w:rsid w:val="003A3BCB"/>
    <w:rsid w:val="003A627A"/>
    <w:rsid w:val="003A638B"/>
    <w:rsid w:val="003B03FB"/>
    <w:rsid w:val="003B25DC"/>
    <w:rsid w:val="003B2E20"/>
    <w:rsid w:val="003C2D36"/>
    <w:rsid w:val="003C42C5"/>
    <w:rsid w:val="003C7081"/>
    <w:rsid w:val="003C74C4"/>
    <w:rsid w:val="003D0E40"/>
    <w:rsid w:val="003D10CD"/>
    <w:rsid w:val="003D5D36"/>
    <w:rsid w:val="003E15F6"/>
    <w:rsid w:val="003E1C73"/>
    <w:rsid w:val="003E472E"/>
    <w:rsid w:val="003E4949"/>
    <w:rsid w:val="003F004B"/>
    <w:rsid w:val="003F2BCF"/>
    <w:rsid w:val="003F3555"/>
    <w:rsid w:val="003F59C0"/>
    <w:rsid w:val="003F6AC4"/>
    <w:rsid w:val="003F6B80"/>
    <w:rsid w:val="00401759"/>
    <w:rsid w:val="00402430"/>
    <w:rsid w:val="00403B17"/>
    <w:rsid w:val="00403BB8"/>
    <w:rsid w:val="00405262"/>
    <w:rsid w:val="004105F1"/>
    <w:rsid w:val="00411288"/>
    <w:rsid w:val="0041320C"/>
    <w:rsid w:val="00413368"/>
    <w:rsid w:val="004139DE"/>
    <w:rsid w:val="004146BB"/>
    <w:rsid w:val="00414CAE"/>
    <w:rsid w:val="00414D78"/>
    <w:rsid w:val="00414F64"/>
    <w:rsid w:val="004172BE"/>
    <w:rsid w:val="004201CC"/>
    <w:rsid w:val="00420E4C"/>
    <w:rsid w:val="00421921"/>
    <w:rsid w:val="00421F2B"/>
    <w:rsid w:val="0042201C"/>
    <w:rsid w:val="00422DA3"/>
    <w:rsid w:val="004236E5"/>
    <w:rsid w:val="0042620F"/>
    <w:rsid w:val="004421B9"/>
    <w:rsid w:val="00442C6A"/>
    <w:rsid w:val="004440B2"/>
    <w:rsid w:val="00444E48"/>
    <w:rsid w:val="00446A56"/>
    <w:rsid w:val="00446C12"/>
    <w:rsid w:val="00455258"/>
    <w:rsid w:val="004567DF"/>
    <w:rsid w:val="00460523"/>
    <w:rsid w:val="0046607A"/>
    <w:rsid w:val="00470476"/>
    <w:rsid w:val="00471DDC"/>
    <w:rsid w:val="00472787"/>
    <w:rsid w:val="00472D92"/>
    <w:rsid w:val="00474CF8"/>
    <w:rsid w:val="00476BFA"/>
    <w:rsid w:val="00481F9F"/>
    <w:rsid w:val="004830E9"/>
    <w:rsid w:val="0048485E"/>
    <w:rsid w:val="004857CE"/>
    <w:rsid w:val="0048597C"/>
    <w:rsid w:val="0048737D"/>
    <w:rsid w:val="00491480"/>
    <w:rsid w:val="00494C8B"/>
    <w:rsid w:val="00494E67"/>
    <w:rsid w:val="004A26D7"/>
    <w:rsid w:val="004A2970"/>
    <w:rsid w:val="004A2987"/>
    <w:rsid w:val="004A7EF7"/>
    <w:rsid w:val="004B13EE"/>
    <w:rsid w:val="004B17E8"/>
    <w:rsid w:val="004B189E"/>
    <w:rsid w:val="004B1F73"/>
    <w:rsid w:val="004B209B"/>
    <w:rsid w:val="004B47E8"/>
    <w:rsid w:val="004C0281"/>
    <w:rsid w:val="004C02C2"/>
    <w:rsid w:val="004C77DC"/>
    <w:rsid w:val="004C7EF0"/>
    <w:rsid w:val="004D277B"/>
    <w:rsid w:val="004D4B78"/>
    <w:rsid w:val="004D6241"/>
    <w:rsid w:val="004D772A"/>
    <w:rsid w:val="004D7D9D"/>
    <w:rsid w:val="004E208C"/>
    <w:rsid w:val="004E3556"/>
    <w:rsid w:val="004E3D4F"/>
    <w:rsid w:val="004F154A"/>
    <w:rsid w:val="004F1E4D"/>
    <w:rsid w:val="004F67E4"/>
    <w:rsid w:val="005012E3"/>
    <w:rsid w:val="00501D47"/>
    <w:rsid w:val="00502B03"/>
    <w:rsid w:val="00502C82"/>
    <w:rsid w:val="005033E0"/>
    <w:rsid w:val="005038AB"/>
    <w:rsid w:val="005102F2"/>
    <w:rsid w:val="00514D37"/>
    <w:rsid w:val="005158CF"/>
    <w:rsid w:val="00515EB3"/>
    <w:rsid w:val="005201FC"/>
    <w:rsid w:val="00523D94"/>
    <w:rsid w:val="00524EE0"/>
    <w:rsid w:val="00526610"/>
    <w:rsid w:val="0052750B"/>
    <w:rsid w:val="00530966"/>
    <w:rsid w:val="00536F11"/>
    <w:rsid w:val="00537106"/>
    <w:rsid w:val="00537325"/>
    <w:rsid w:val="0054323B"/>
    <w:rsid w:val="00545C4C"/>
    <w:rsid w:val="00545FD9"/>
    <w:rsid w:val="005509D7"/>
    <w:rsid w:val="0055184B"/>
    <w:rsid w:val="00551A23"/>
    <w:rsid w:val="00556C53"/>
    <w:rsid w:val="00557B61"/>
    <w:rsid w:val="00560D7D"/>
    <w:rsid w:val="00560E0A"/>
    <w:rsid w:val="00562351"/>
    <w:rsid w:val="0056299B"/>
    <w:rsid w:val="0056393F"/>
    <w:rsid w:val="00564BFD"/>
    <w:rsid w:val="00565010"/>
    <w:rsid w:val="005671A1"/>
    <w:rsid w:val="00571372"/>
    <w:rsid w:val="00571718"/>
    <w:rsid w:val="005723FF"/>
    <w:rsid w:val="00572D3D"/>
    <w:rsid w:val="005732A1"/>
    <w:rsid w:val="00573629"/>
    <w:rsid w:val="005756AA"/>
    <w:rsid w:val="00581241"/>
    <w:rsid w:val="00582449"/>
    <w:rsid w:val="005842B2"/>
    <w:rsid w:val="00584DBA"/>
    <w:rsid w:val="00591485"/>
    <w:rsid w:val="00591CF2"/>
    <w:rsid w:val="005923B7"/>
    <w:rsid w:val="00597A0B"/>
    <w:rsid w:val="005A3E6A"/>
    <w:rsid w:val="005A4FD1"/>
    <w:rsid w:val="005A772B"/>
    <w:rsid w:val="005B3ACC"/>
    <w:rsid w:val="005B5E18"/>
    <w:rsid w:val="005B66CB"/>
    <w:rsid w:val="005C0192"/>
    <w:rsid w:val="005C1F31"/>
    <w:rsid w:val="005C30D1"/>
    <w:rsid w:val="005C3799"/>
    <w:rsid w:val="005C4359"/>
    <w:rsid w:val="005C48BC"/>
    <w:rsid w:val="005C6145"/>
    <w:rsid w:val="005C6EAA"/>
    <w:rsid w:val="005D0597"/>
    <w:rsid w:val="005D0D88"/>
    <w:rsid w:val="005D0EF4"/>
    <w:rsid w:val="005D3444"/>
    <w:rsid w:val="005D4016"/>
    <w:rsid w:val="005D52DE"/>
    <w:rsid w:val="005D5793"/>
    <w:rsid w:val="005D61AF"/>
    <w:rsid w:val="005D731A"/>
    <w:rsid w:val="005D732D"/>
    <w:rsid w:val="005D7957"/>
    <w:rsid w:val="005E2560"/>
    <w:rsid w:val="005E2EB1"/>
    <w:rsid w:val="005E39C7"/>
    <w:rsid w:val="005E3C17"/>
    <w:rsid w:val="005E43F5"/>
    <w:rsid w:val="005F37B8"/>
    <w:rsid w:val="00603CEC"/>
    <w:rsid w:val="0060703C"/>
    <w:rsid w:val="0061010D"/>
    <w:rsid w:val="006116FA"/>
    <w:rsid w:val="00613769"/>
    <w:rsid w:val="00615326"/>
    <w:rsid w:val="00616907"/>
    <w:rsid w:val="00620190"/>
    <w:rsid w:val="00621E12"/>
    <w:rsid w:val="0062393D"/>
    <w:rsid w:val="00623A35"/>
    <w:rsid w:val="00626CC9"/>
    <w:rsid w:val="0062732B"/>
    <w:rsid w:val="00634A4A"/>
    <w:rsid w:val="00641DB9"/>
    <w:rsid w:val="00642A3A"/>
    <w:rsid w:val="00651B36"/>
    <w:rsid w:val="006538A0"/>
    <w:rsid w:val="006563D4"/>
    <w:rsid w:val="00661D99"/>
    <w:rsid w:val="00662C4B"/>
    <w:rsid w:val="00663BD7"/>
    <w:rsid w:val="00664532"/>
    <w:rsid w:val="00664E18"/>
    <w:rsid w:val="00670BED"/>
    <w:rsid w:val="00670FE3"/>
    <w:rsid w:val="00672E9D"/>
    <w:rsid w:val="00673E3F"/>
    <w:rsid w:val="00681952"/>
    <w:rsid w:val="00681D94"/>
    <w:rsid w:val="00691D60"/>
    <w:rsid w:val="00692A68"/>
    <w:rsid w:val="00693588"/>
    <w:rsid w:val="00693A0A"/>
    <w:rsid w:val="00693E84"/>
    <w:rsid w:val="00697207"/>
    <w:rsid w:val="006A02A9"/>
    <w:rsid w:val="006A2BF9"/>
    <w:rsid w:val="006A320B"/>
    <w:rsid w:val="006A37EC"/>
    <w:rsid w:val="006A45B8"/>
    <w:rsid w:val="006A5FBF"/>
    <w:rsid w:val="006A7E4A"/>
    <w:rsid w:val="006B1FB3"/>
    <w:rsid w:val="006B2A4B"/>
    <w:rsid w:val="006B3623"/>
    <w:rsid w:val="006B39F2"/>
    <w:rsid w:val="006B4B2B"/>
    <w:rsid w:val="006B62CB"/>
    <w:rsid w:val="006B7E3B"/>
    <w:rsid w:val="006C02A5"/>
    <w:rsid w:val="006C1CE6"/>
    <w:rsid w:val="006D1751"/>
    <w:rsid w:val="006D7448"/>
    <w:rsid w:val="006E0D40"/>
    <w:rsid w:val="006E12F1"/>
    <w:rsid w:val="006E2087"/>
    <w:rsid w:val="006E2ACA"/>
    <w:rsid w:val="006E4F55"/>
    <w:rsid w:val="006F0D93"/>
    <w:rsid w:val="006F1534"/>
    <w:rsid w:val="006F2E7B"/>
    <w:rsid w:val="006F32E7"/>
    <w:rsid w:val="006F3F92"/>
    <w:rsid w:val="006F440E"/>
    <w:rsid w:val="00701797"/>
    <w:rsid w:val="007020F6"/>
    <w:rsid w:val="00703AF0"/>
    <w:rsid w:val="007070C1"/>
    <w:rsid w:val="00713EF4"/>
    <w:rsid w:val="00715DC9"/>
    <w:rsid w:val="00716780"/>
    <w:rsid w:val="00717440"/>
    <w:rsid w:val="007248E7"/>
    <w:rsid w:val="00727B3A"/>
    <w:rsid w:val="00727DB4"/>
    <w:rsid w:val="00730093"/>
    <w:rsid w:val="00732F90"/>
    <w:rsid w:val="00733AE4"/>
    <w:rsid w:val="00733BDF"/>
    <w:rsid w:val="00735995"/>
    <w:rsid w:val="0074068B"/>
    <w:rsid w:val="00741A89"/>
    <w:rsid w:val="00743178"/>
    <w:rsid w:val="007453D0"/>
    <w:rsid w:val="007455AB"/>
    <w:rsid w:val="00752472"/>
    <w:rsid w:val="00753D9B"/>
    <w:rsid w:val="007565BA"/>
    <w:rsid w:val="00756DF5"/>
    <w:rsid w:val="007603B0"/>
    <w:rsid w:val="0076340C"/>
    <w:rsid w:val="00765712"/>
    <w:rsid w:val="007677F0"/>
    <w:rsid w:val="007700EC"/>
    <w:rsid w:val="007746FC"/>
    <w:rsid w:val="00774F7F"/>
    <w:rsid w:val="007774BF"/>
    <w:rsid w:val="00780047"/>
    <w:rsid w:val="00781A3F"/>
    <w:rsid w:val="00782B2B"/>
    <w:rsid w:val="00783659"/>
    <w:rsid w:val="00785C5A"/>
    <w:rsid w:val="007A1406"/>
    <w:rsid w:val="007A1860"/>
    <w:rsid w:val="007A54FD"/>
    <w:rsid w:val="007A6204"/>
    <w:rsid w:val="007B05EA"/>
    <w:rsid w:val="007B7553"/>
    <w:rsid w:val="007C1817"/>
    <w:rsid w:val="007C42E1"/>
    <w:rsid w:val="007C68B1"/>
    <w:rsid w:val="007D1C36"/>
    <w:rsid w:val="007D7CE7"/>
    <w:rsid w:val="007D7F3F"/>
    <w:rsid w:val="007E3F0A"/>
    <w:rsid w:val="007E5DAC"/>
    <w:rsid w:val="007E7A4C"/>
    <w:rsid w:val="007F51C7"/>
    <w:rsid w:val="007F7ECF"/>
    <w:rsid w:val="0080044A"/>
    <w:rsid w:val="00802799"/>
    <w:rsid w:val="00804385"/>
    <w:rsid w:val="0080682A"/>
    <w:rsid w:val="00807665"/>
    <w:rsid w:val="00811FE3"/>
    <w:rsid w:val="008130E9"/>
    <w:rsid w:val="008144A7"/>
    <w:rsid w:val="00817DE8"/>
    <w:rsid w:val="0082401F"/>
    <w:rsid w:val="00824D97"/>
    <w:rsid w:val="00831120"/>
    <w:rsid w:val="00831435"/>
    <w:rsid w:val="008329E4"/>
    <w:rsid w:val="0083579F"/>
    <w:rsid w:val="00836435"/>
    <w:rsid w:val="00840252"/>
    <w:rsid w:val="00842E6E"/>
    <w:rsid w:val="00843893"/>
    <w:rsid w:val="00846A08"/>
    <w:rsid w:val="00853902"/>
    <w:rsid w:val="00857071"/>
    <w:rsid w:val="00862DF3"/>
    <w:rsid w:val="0086592F"/>
    <w:rsid w:val="0086638F"/>
    <w:rsid w:val="00867B3B"/>
    <w:rsid w:val="00870B93"/>
    <w:rsid w:val="008743F2"/>
    <w:rsid w:val="00874988"/>
    <w:rsid w:val="008752DD"/>
    <w:rsid w:val="0087569F"/>
    <w:rsid w:val="00876525"/>
    <w:rsid w:val="00876834"/>
    <w:rsid w:val="0087714F"/>
    <w:rsid w:val="00880A2D"/>
    <w:rsid w:val="00881555"/>
    <w:rsid w:val="008905C4"/>
    <w:rsid w:val="00890CF2"/>
    <w:rsid w:val="008921EE"/>
    <w:rsid w:val="00893A6F"/>
    <w:rsid w:val="008944BD"/>
    <w:rsid w:val="00895F7F"/>
    <w:rsid w:val="0089652F"/>
    <w:rsid w:val="0089655B"/>
    <w:rsid w:val="00897252"/>
    <w:rsid w:val="00897523"/>
    <w:rsid w:val="00897BA4"/>
    <w:rsid w:val="008A1846"/>
    <w:rsid w:val="008A1F15"/>
    <w:rsid w:val="008A2724"/>
    <w:rsid w:val="008A2ECF"/>
    <w:rsid w:val="008A416B"/>
    <w:rsid w:val="008A44D3"/>
    <w:rsid w:val="008A6055"/>
    <w:rsid w:val="008A7D90"/>
    <w:rsid w:val="008B03A1"/>
    <w:rsid w:val="008B1521"/>
    <w:rsid w:val="008B31D0"/>
    <w:rsid w:val="008B5B1A"/>
    <w:rsid w:val="008B7230"/>
    <w:rsid w:val="008C24C6"/>
    <w:rsid w:val="008C3169"/>
    <w:rsid w:val="008C383F"/>
    <w:rsid w:val="008C4961"/>
    <w:rsid w:val="008C674D"/>
    <w:rsid w:val="008C6910"/>
    <w:rsid w:val="008C69DE"/>
    <w:rsid w:val="008D419F"/>
    <w:rsid w:val="008D4E6C"/>
    <w:rsid w:val="008D4E99"/>
    <w:rsid w:val="008E03EA"/>
    <w:rsid w:val="008E2223"/>
    <w:rsid w:val="008E2437"/>
    <w:rsid w:val="008E40F2"/>
    <w:rsid w:val="008E44D3"/>
    <w:rsid w:val="008E7668"/>
    <w:rsid w:val="00901350"/>
    <w:rsid w:val="00901BFF"/>
    <w:rsid w:val="00904D22"/>
    <w:rsid w:val="009112E5"/>
    <w:rsid w:val="00912A1F"/>
    <w:rsid w:val="00912B0F"/>
    <w:rsid w:val="00915298"/>
    <w:rsid w:val="009211D4"/>
    <w:rsid w:val="00921FAD"/>
    <w:rsid w:val="009237C3"/>
    <w:rsid w:val="00924EC9"/>
    <w:rsid w:val="00924FE9"/>
    <w:rsid w:val="00925BB3"/>
    <w:rsid w:val="0092792D"/>
    <w:rsid w:val="00931B3F"/>
    <w:rsid w:val="009324E4"/>
    <w:rsid w:val="00936761"/>
    <w:rsid w:val="00947DBE"/>
    <w:rsid w:val="00953601"/>
    <w:rsid w:val="0095681C"/>
    <w:rsid w:val="00960600"/>
    <w:rsid w:val="009631BB"/>
    <w:rsid w:val="00965852"/>
    <w:rsid w:val="00965C7C"/>
    <w:rsid w:val="009665D2"/>
    <w:rsid w:val="009702DF"/>
    <w:rsid w:val="00970CED"/>
    <w:rsid w:val="00971D4B"/>
    <w:rsid w:val="00974A58"/>
    <w:rsid w:val="009764B2"/>
    <w:rsid w:val="00984B02"/>
    <w:rsid w:val="009856CC"/>
    <w:rsid w:val="0098587B"/>
    <w:rsid w:val="00985DA8"/>
    <w:rsid w:val="00986058"/>
    <w:rsid w:val="009860B4"/>
    <w:rsid w:val="00986D8C"/>
    <w:rsid w:val="00990D47"/>
    <w:rsid w:val="00991270"/>
    <w:rsid w:val="00992437"/>
    <w:rsid w:val="00992771"/>
    <w:rsid w:val="00996C0F"/>
    <w:rsid w:val="00997993"/>
    <w:rsid w:val="009A3C6B"/>
    <w:rsid w:val="009A5EDF"/>
    <w:rsid w:val="009A6E1A"/>
    <w:rsid w:val="009A7E28"/>
    <w:rsid w:val="009B2543"/>
    <w:rsid w:val="009B3846"/>
    <w:rsid w:val="009C5B76"/>
    <w:rsid w:val="009C6258"/>
    <w:rsid w:val="009C753B"/>
    <w:rsid w:val="009C75C5"/>
    <w:rsid w:val="009C7AA6"/>
    <w:rsid w:val="009D2473"/>
    <w:rsid w:val="009D32A6"/>
    <w:rsid w:val="009D4C86"/>
    <w:rsid w:val="009D5209"/>
    <w:rsid w:val="009D6279"/>
    <w:rsid w:val="009D7144"/>
    <w:rsid w:val="009E0E50"/>
    <w:rsid w:val="009E26C4"/>
    <w:rsid w:val="009E4181"/>
    <w:rsid w:val="009E5318"/>
    <w:rsid w:val="009E5F9C"/>
    <w:rsid w:val="009E676D"/>
    <w:rsid w:val="009F0710"/>
    <w:rsid w:val="009F1B09"/>
    <w:rsid w:val="009F73D8"/>
    <w:rsid w:val="009F7E30"/>
    <w:rsid w:val="00A01502"/>
    <w:rsid w:val="00A03091"/>
    <w:rsid w:val="00A03185"/>
    <w:rsid w:val="00A05A0B"/>
    <w:rsid w:val="00A05B9E"/>
    <w:rsid w:val="00A111BC"/>
    <w:rsid w:val="00A145D4"/>
    <w:rsid w:val="00A15917"/>
    <w:rsid w:val="00A16AED"/>
    <w:rsid w:val="00A21D30"/>
    <w:rsid w:val="00A230BB"/>
    <w:rsid w:val="00A23273"/>
    <w:rsid w:val="00A25F42"/>
    <w:rsid w:val="00A262D4"/>
    <w:rsid w:val="00A32FF9"/>
    <w:rsid w:val="00A338BA"/>
    <w:rsid w:val="00A343B5"/>
    <w:rsid w:val="00A3457C"/>
    <w:rsid w:val="00A353D4"/>
    <w:rsid w:val="00A35982"/>
    <w:rsid w:val="00A363C5"/>
    <w:rsid w:val="00A370D4"/>
    <w:rsid w:val="00A44F28"/>
    <w:rsid w:val="00A45E69"/>
    <w:rsid w:val="00A4600E"/>
    <w:rsid w:val="00A4692A"/>
    <w:rsid w:val="00A47F9A"/>
    <w:rsid w:val="00A52F0B"/>
    <w:rsid w:val="00A53B69"/>
    <w:rsid w:val="00A629E6"/>
    <w:rsid w:val="00A62F5C"/>
    <w:rsid w:val="00A643E8"/>
    <w:rsid w:val="00A667D9"/>
    <w:rsid w:val="00A672EB"/>
    <w:rsid w:val="00A67B94"/>
    <w:rsid w:val="00A7001A"/>
    <w:rsid w:val="00A7178D"/>
    <w:rsid w:val="00A71BA8"/>
    <w:rsid w:val="00A736E2"/>
    <w:rsid w:val="00A7639F"/>
    <w:rsid w:val="00A77BD8"/>
    <w:rsid w:val="00A80BAC"/>
    <w:rsid w:val="00A859AD"/>
    <w:rsid w:val="00A86286"/>
    <w:rsid w:val="00A90868"/>
    <w:rsid w:val="00A946CE"/>
    <w:rsid w:val="00A95788"/>
    <w:rsid w:val="00AA144D"/>
    <w:rsid w:val="00AA1553"/>
    <w:rsid w:val="00AA7654"/>
    <w:rsid w:val="00AB031F"/>
    <w:rsid w:val="00AB043F"/>
    <w:rsid w:val="00AB1097"/>
    <w:rsid w:val="00AB1FD7"/>
    <w:rsid w:val="00AB221F"/>
    <w:rsid w:val="00AB29B2"/>
    <w:rsid w:val="00AB40A9"/>
    <w:rsid w:val="00AB65AB"/>
    <w:rsid w:val="00AB6F10"/>
    <w:rsid w:val="00AC3327"/>
    <w:rsid w:val="00AC3C91"/>
    <w:rsid w:val="00AC481E"/>
    <w:rsid w:val="00AC4C9B"/>
    <w:rsid w:val="00AC735F"/>
    <w:rsid w:val="00AC7BDF"/>
    <w:rsid w:val="00AC7FA0"/>
    <w:rsid w:val="00AD2D78"/>
    <w:rsid w:val="00AD530E"/>
    <w:rsid w:val="00AD7EBB"/>
    <w:rsid w:val="00AE5FD4"/>
    <w:rsid w:val="00AF04B2"/>
    <w:rsid w:val="00AF3275"/>
    <w:rsid w:val="00AF3D27"/>
    <w:rsid w:val="00AF4103"/>
    <w:rsid w:val="00AF4BBC"/>
    <w:rsid w:val="00AF5444"/>
    <w:rsid w:val="00AF6FF7"/>
    <w:rsid w:val="00B04EBC"/>
    <w:rsid w:val="00B055B4"/>
    <w:rsid w:val="00B05BC3"/>
    <w:rsid w:val="00B05CC4"/>
    <w:rsid w:val="00B05D44"/>
    <w:rsid w:val="00B05F7A"/>
    <w:rsid w:val="00B06108"/>
    <w:rsid w:val="00B13855"/>
    <w:rsid w:val="00B16594"/>
    <w:rsid w:val="00B177A2"/>
    <w:rsid w:val="00B2504F"/>
    <w:rsid w:val="00B25AE0"/>
    <w:rsid w:val="00B2670C"/>
    <w:rsid w:val="00B27742"/>
    <w:rsid w:val="00B279F1"/>
    <w:rsid w:val="00B27BD5"/>
    <w:rsid w:val="00B3036E"/>
    <w:rsid w:val="00B32D81"/>
    <w:rsid w:val="00B34C4B"/>
    <w:rsid w:val="00B34D5C"/>
    <w:rsid w:val="00B36F31"/>
    <w:rsid w:val="00B41A91"/>
    <w:rsid w:val="00B43006"/>
    <w:rsid w:val="00B44B4E"/>
    <w:rsid w:val="00B540AA"/>
    <w:rsid w:val="00B55286"/>
    <w:rsid w:val="00B56705"/>
    <w:rsid w:val="00B608C5"/>
    <w:rsid w:val="00B6495F"/>
    <w:rsid w:val="00B70774"/>
    <w:rsid w:val="00B71342"/>
    <w:rsid w:val="00B71C29"/>
    <w:rsid w:val="00B7436C"/>
    <w:rsid w:val="00B75BA1"/>
    <w:rsid w:val="00B76B32"/>
    <w:rsid w:val="00B772B5"/>
    <w:rsid w:val="00B7783A"/>
    <w:rsid w:val="00B81022"/>
    <w:rsid w:val="00B81298"/>
    <w:rsid w:val="00B83003"/>
    <w:rsid w:val="00B9226B"/>
    <w:rsid w:val="00B93F4B"/>
    <w:rsid w:val="00B947A5"/>
    <w:rsid w:val="00B9705C"/>
    <w:rsid w:val="00B97F90"/>
    <w:rsid w:val="00BA2C27"/>
    <w:rsid w:val="00BA4B31"/>
    <w:rsid w:val="00BA7323"/>
    <w:rsid w:val="00BB12EC"/>
    <w:rsid w:val="00BB2B88"/>
    <w:rsid w:val="00BB4E6B"/>
    <w:rsid w:val="00BB72E6"/>
    <w:rsid w:val="00BC3C1A"/>
    <w:rsid w:val="00BC4FA0"/>
    <w:rsid w:val="00BD0559"/>
    <w:rsid w:val="00BD07B4"/>
    <w:rsid w:val="00BD1CD3"/>
    <w:rsid w:val="00BD3442"/>
    <w:rsid w:val="00BD47DA"/>
    <w:rsid w:val="00BD6B28"/>
    <w:rsid w:val="00BE0680"/>
    <w:rsid w:val="00BE0EF5"/>
    <w:rsid w:val="00BE4AC1"/>
    <w:rsid w:val="00BF28DF"/>
    <w:rsid w:val="00BF6143"/>
    <w:rsid w:val="00BF7964"/>
    <w:rsid w:val="00C063CB"/>
    <w:rsid w:val="00C06449"/>
    <w:rsid w:val="00C06AF5"/>
    <w:rsid w:val="00C12447"/>
    <w:rsid w:val="00C12EA4"/>
    <w:rsid w:val="00C13265"/>
    <w:rsid w:val="00C1480E"/>
    <w:rsid w:val="00C20683"/>
    <w:rsid w:val="00C2088E"/>
    <w:rsid w:val="00C210E3"/>
    <w:rsid w:val="00C22BA4"/>
    <w:rsid w:val="00C23625"/>
    <w:rsid w:val="00C25B3C"/>
    <w:rsid w:val="00C265AD"/>
    <w:rsid w:val="00C308E4"/>
    <w:rsid w:val="00C311E9"/>
    <w:rsid w:val="00C366F1"/>
    <w:rsid w:val="00C4125B"/>
    <w:rsid w:val="00C439B4"/>
    <w:rsid w:val="00C441C7"/>
    <w:rsid w:val="00C50417"/>
    <w:rsid w:val="00C5243B"/>
    <w:rsid w:val="00C5327D"/>
    <w:rsid w:val="00C5442A"/>
    <w:rsid w:val="00C557CD"/>
    <w:rsid w:val="00C602CB"/>
    <w:rsid w:val="00C6566B"/>
    <w:rsid w:val="00C73FE5"/>
    <w:rsid w:val="00C752B0"/>
    <w:rsid w:val="00C75AB5"/>
    <w:rsid w:val="00C76963"/>
    <w:rsid w:val="00C80163"/>
    <w:rsid w:val="00C82C89"/>
    <w:rsid w:val="00C82D16"/>
    <w:rsid w:val="00C83BFB"/>
    <w:rsid w:val="00C866D6"/>
    <w:rsid w:val="00C90396"/>
    <w:rsid w:val="00C92E00"/>
    <w:rsid w:val="00C94F9D"/>
    <w:rsid w:val="00CA09A4"/>
    <w:rsid w:val="00CA0E6B"/>
    <w:rsid w:val="00CA1E6E"/>
    <w:rsid w:val="00CA673C"/>
    <w:rsid w:val="00CB4989"/>
    <w:rsid w:val="00CB4D49"/>
    <w:rsid w:val="00CC3400"/>
    <w:rsid w:val="00CC368D"/>
    <w:rsid w:val="00CC43C4"/>
    <w:rsid w:val="00CC4F30"/>
    <w:rsid w:val="00CC6FEB"/>
    <w:rsid w:val="00CD12C8"/>
    <w:rsid w:val="00CD298C"/>
    <w:rsid w:val="00CD2E42"/>
    <w:rsid w:val="00CD796F"/>
    <w:rsid w:val="00CE5424"/>
    <w:rsid w:val="00CF0C67"/>
    <w:rsid w:val="00CF0CA9"/>
    <w:rsid w:val="00CF1F9A"/>
    <w:rsid w:val="00CF43B0"/>
    <w:rsid w:val="00CF65B5"/>
    <w:rsid w:val="00CF6613"/>
    <w:rsid w:val="00CF69F7"/>
    <w:rsid w:val="00CF702D"/>
    <w:rsid w:val="00CF7F0E"/>
    <w:rsid w:val="00D0017B"/>
    <w:rsid w:val="00D0373E"/>
    <w:rsid w:val="00D03C54"/>
    <w:rsid w:val="00D04389"/>
    <w:rsid w:val="00D0561B"/>
    <w:rsid w:val="00D0632B"/>
    <w:rsid w:val="00D07AAA"/>
    <w:rsid w:val="00D12654"/>
    <w:rsid w:val="00D1597F"/>
    <w:rsid w:val="00D17E45"/>
    <w:rsid w:val="00D219DF"/>
    <w:rsid w:val="00D21F33"/>
    <w:rsid w:val="00D2493C"/>
    <w:rsid w:val="00D24AE3"/>
    <w:rsid w:val="00D24FDE"/>
    <w:rsid w:val="00D27324"/>
    <w:rsid w:val="00D27AC6"/>
    <w:rsid w:val="00D37954"/>
    <w:rsid w:val="00D37D40"/>
    <w:rsid w:val="00D42045"/>
    <w:rsid w:val="00D46D29"/>
    <w:rsid w:val="00D50688"/>
    <w:rsid w:val="00D516F2"/>
    <w:rsid w:val="00D51B71"/>
    <w:rsid w:val="00D53156"/>
    <w:rsid w:val="00D54245"/>
    <w:rsid w:val="00D5453D"/>
    <w:rsid w:val="00D545EF"/>
    <w:rsid w:val="00D54A47"/>
    <w:rsid w:val="00D55D9C"/>
    <w:rsid w:val="00D568BE"/>
    <w:rsid w:val="00D63765"/>
    <w:rsid w:val="00D657D7"/>
    <w:rsid w:val="00D66BAB"/>
    <w:rsid w:val="00D67C54"/>
    <w:rsid w:val="00D74B86"/>
    <w:rsid w:val="00D80FC4"/>
    <w:rsid w:val="00D81D3B"/>
    <w:rsid w:val="00D84CDC"/>
    <w:rsid w:val="00D91A2A"/>
    <w:rsid w:val="00D91A81"/>
    <w:rsid w:val="00D91B7B"/>
    <w:rsid w:val="00D94257"/>
    <w:rsid w:val="00D94764"/>
    <w:rsid w:val="00D94C2C"/>
    <w:rsid w:val="00D957EB"/>
    <w:rsid w:val="00D97D9E"/>
    <w:rsid w:val="00DA3C8B"/>
    <w:rsid w:val="00DA432A"/>
    <w:rsid w:val="00DB0C37"/>
    <w:rsid w:val="00DB1774"/>
    <w:rsid w:val="00DB670A"/>
    <w:rsid w:val="00DB75D9"/>
    <w:rsid w:val="00DB765E"/>
    <w:rsid w:val="00DB775B"/>
    <w:rsid w:val="00DC27E0"/>
    <w:rsid w:val="00DC3901"/>
    <w:rsid w:val="00DC455D"/>
    <w:rsid w:val="00DC7129"/>
    <w:rsid w:val="00DC7B77"/>
    <w:rsid w:val="00DC7E1E"/>
    <w:rsid w:val="00DD05B1"/>
    <w:rsid w:val="00DD2C8B"/>
    <w:rsid w:val="00DE1CA9"/>
    <w:rsid w:val="00DE2040"/>
    <w:rsid w:val="00DE3AC8"/>
    <w:rsid w:val="00DE6209"/>
    <w:rsid w:val="00DF03BC"/>
    <w:rsid w:val="00DF03EC"/>
    <w:rsid w:val="00DF1BE0"/>
    <w:rsid w:val="00DF6004"/>
    <w:rsid w:val="00DF722E"/>
    <w:rsid w:val="00DF74C0"/>
    <w:rsid w:val="00E007AB"/>
    <w:rsid w:val="00E055FE"/>
    <w:rsid w:val="00E05C28"/>
    <w:rsid w:val="00E06F6B"/>
    <w:rsid w:val="00E106C7"/>
    <w:rsid w:val="00E10AD1"/>
    <w:rsid w:val="00E11B67"/>
    <w:rsid w:val="00E12696"/>
    <w:rsid w:val="00E14AFE"/>
    <w:rsid w:val="00E14D91"/>
    <w:rsid w:val="00E169B6"/>
    <w:rsid w:val="00E1775A"/>
    <w:rsid w:val="00E21E59"/>
    <w:rsid w:val="00E23963"/>
    <w:rsid w:val="00E25995"/>
    <w:rsid w:val="00E2719B"/>
    <w:rsid w:val="00E31DC7"/>
    <w:rsid w:val="00E34A0D"/>
    <w:rsid w:val="00E36F21"/>
    <w:rsid w:val="00E4098B"/>
    <w:rsid w:val="00E411D4"/>
    <w:rsid w:val="00E411FE"/>
    <w:rsid w:val="00E43775"/>
    <w:rsid w:val="00E4403D"/>
    <w:rsid w:val="00E446A4"/>
    <w:rsid w:val="00E451EA"/>
    <w:rsid w:val="00E4547B"/>
    <w:rsid w:val="00E45E08"/>
    <w:rsid w:val="00E50B1F"/>
    <w:rsid w:val="00E52A6D"/>
    <w:rsid w:val="00E53D80"/>
    <w:rsid w:val="00E54841"/>
    <w:rsid w:val="00E665A7"/>
    <w:rsid w:val="00E6732D"/>
    <w:rsid w:val="00E72509"/>
    <w:rsid w:val="00E72E44"/>
    <w:rsid w:val="00E747F6"/>
    <w:rsid w:val="00E7686A"/>
    <w:rsid w:val="00E809D6"/>
    <w:rsid w:val="00E8481F"/>
    <w:rsid w:val="00E8501A"/>
    <w:rsid w:val="00E85E32"/>
    <w:rsid w:val="00E97C23"/>
    <w:rsid w:val="00EA4928"/>
    <w:rsid w:val="00EA67A0"/>
    <w:rsid w:val="00EA7D9D"/>
    <w:rsid w:val="00EC57B0"/>
    <w:rsid w:val="00EC65D2"/>
    <w:rsid w:val="00EC6A8F"/>
    <w:rsid w:val="00EC7813"/>
    <w:rsid w:val="00ED005D"/>
    <w:rsid w:val="00ED1695"/>
    <w:rsid w:val="00ED19BB"/>
    <w:rsid w:val="00ED399B"/>
    <w:rsid w:val="00ED64B4"/>
    <w:rsid w:val="00ED6820"/>
    <w:rsid w:val="00EE11FF"/>
    <w:rsid w:val="00EE21FD"/>
    <w:rsid w:val="00EE395D"/>
    <w:rsid w:val="00EE3AFA"/>
    <w:rsid w:val="00EF0BD5"/>
    <w:rsid w:val="00EF21B4"/>
    <w:rsid w:val="00EF316D"/>
    <w:rsid w:val="00EF3635"/>
    <w:rsid w:val="00F00A0B"/>
    <w:rsid w:val="00F12575"/>
    <w:rsid w:val="00F12CFE"/>
    <w:rsid w:val="00F12EBE"/>
    <w:rsid w:val="00F13D76"/>
    <w:rsid w:val="00F21CC4"/>
    <w:rsid w:val="00F21FED"/>
    <w:rsid w:val="00F236A3"/>
    <w:rsid w:val="00F25B5C"/>
    <w:rsid w:val="00F25BEC"/>
    <w:rsid w:val="00F301C7"/>
    <w:rsid w:val="00F33906"/>
    <w:rsid w:val="00F345AE"/>
    <w:rsid w:val="00F35EDF"/>
    <w:rsid w:val="00F36D22"/>
    <w:rsid w:val="00F3723D"/>
    <w:rsid w:val="00F40385"/>
    <w:rsid w:val="00F411E7"/>
    <w:rsid w:val="00F41260"/>
    <w:rsid w:val="00F42AD3"/>
    <w:rsid w:val="00F46DF4"/>
    <w:rsid w:val="00F51394"/>
    <w:rsid w:val="00F54688"/>
    <w:rsid w:val="00F61C19"/>
    <w:rsid w:val="00F65289"/>
    <w:rsid w:val="00F65913"/>
    <w:rsid w:val="00F66725"/>
    <w:rsid w:val="00F6685B"/>
    <w:rsid w:val="00F703CE"/>
    <w:rsid w:val="00F70D06"/>
    <w:rsid w:val="00F720A0"/>
    <w:rsid w:val="00F73F1F"/>
    <w:rsid w:val="00F76754"/>
    <w:rsid w:val="00F80E82"/>
    <w:rsid w:val="00F81A49"/>
    <w:rsid w:val="00F82C55"/>
    <w:rsid w:val="00F83E28"/>
    <w:rsid w:val="00F872A7"/>
    <w:rsid w:val="00F910C6"/>
    <w:rsid w:val="00F91B53"/>
    <w:rsid w:val="00F92015"/>
    <w:rsid w:val="00F92426"/>
    <w:rsid w:val="00F9424C"/>
    <w:rsid w:val="00F96753"/>
    <w:rsid w:val="00F97C56"/>
    <w:rsid w:val="00FA0E1E"/>
    <w:rsid w:val="00FA2D5C"/>
    <w:rsid w:val="00FA4A8B"/>
    <w:rsid w:val="00FB17A6"/>
    <w:rsid w:val="00FB6CE0"/>
    <w:rsid w:val="00FC0444"/>
    <w:rsid w:val="00FC251A"/>
    <w:rsid w:val="00FC31F4"/>
    <w:rsid w:val="00FD2535"/>
    <w:rsid w:val="00FD4549"/>
    <w:rsid w:val="00FD59F2"/>
    <w:rsid w:val="00FE0A8F"/>
    <w:rsid w:val="00FE1B76"/>
    <w:rsid w:val="00FE2632"/>
    <w:rsid w:val="00FE7876"/>
    <w:rsid w:val="00FE7926"/>
    <w:rsid w:val="00FF0E97"/>
    <w:rsid w:val="00FF2865"/>
    <w:rsid w:val="00FF2C1C"/>
    <w:rsid w:val="00FF3441"/>
    <w:rsid w:val="00FF4FE8"/>
    <w:rsid w:val="00FF6A3C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C4EFA"/>
  <w15:chartTrackingRefBased/>
  <w15:docId w15:val="{CA2A8EE7-062C-4F6F-BA4A-3B19B88A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6E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06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A862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6286"/>
    <w:rPr>
      <w:sz w:val="20"/>
      <w:szCs w:val="20"/>
    </w:rPr>
  </w:style>
  <w:style w:type="character" w:styleId="Odwoanieprzypisudolnego">
    <w:name w:val="footnote reference"/>
    <w:aliases w:val="Odwołanie przypisu1,Odwołanie przypisu2"/>
    <w:basedOn w:val="Domylnaczcionkaakapitu"/>
    <w:uiPriority w:val="99"/>
    <w:unhideWhenUsed/>
    <w:rsid w:val="00A86286"/>
    <w:rPr>
      <w:vertAlign w:val="superscript"/>
    </w:rPr>
  </w:style>
  <w:style w:type="character" w:customStyle="1" w:styleId="info-list-value-uzasadnienie">
    <w:name w:val="info-list-value-uzasadnienie"/>
    <w:basedOn w:val="Domylnaczcionkaakapitu"/>
    <w:rsid w:val="00A52F0B"/>
  </w:style>
  <w:style w:type="paragraph" w:styleId="Nagwek">
    <w:name w:val="header"/>
    <w:basedOn w:val="Normalny"/>
    <w:link w:val="NagwekZnak"/>
    <w:uiPriority w:val="99"/>
    <w:unhideWhenUsed/>
    <w:rsid w:val="00F72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0A0"/>
  </w:style>
  <w:style w:type="paragraph" w:styleId="Stopka">
    <w:name w:val="footer"/>
    <w:basedOn w:val="Normalny"/>
    <w:link w:val="StopkaZnak"/>
    <w:uiPriority w:val="99"/>
    <w:unhideWhenUsed/>
    <w:rsid w:val="00F72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0A0"/>
  </w:style>
  <w:style w:type="character" w:customStyle="1" w:styleId="Bodytext">
    <w:name w:val="Body text_"/>
    <w:link w:val="Bodytext1"/>
    <w:rsid w:val="00D0632B"/>
    <w:rPr>
      <w:shd w:val="clear" w:color="auto" w:fill="FFFFFF"/>
    </w:rPr>
  </w:style>
  <w:style w:type="paragraph" w:customStyle="1" w:styleId="Bodytext1">
    <w:name w:val="Body text1"/>
    <w:basedOn w:val="Normalny"/>
    <w:link w:val="Bodytext"/>
    <w:rsid w:val="00D0632B"/>
    <w:pPr>
      <w:widowControl w:val="0"/>
      <w:shd w:val="clear" w:color="auto" w:fill="FFFFFF"/>
      <w:spacing w:before="360" w:after="360" w:line="240" w:lineRule="atLeast"/>
      <w:ind w:hanging="420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7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7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753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53B"/>
    <w:rPr>
      <w:rFonts w:ascii="Segoe UI" w:hAnsi="Segoe UI" w:cs="Segoe UI"/>
      <w:sz w:val="18"/>
      <w:szCs w:val="18"/>
    </w:rPr>
  </w:style>
  <w:style w:type="character" w:customStyle="1" w:styleId="tabulatory">
    <w:name w:val="tabulatory"/>
    <w:basedOn w:val="Domylnaczcionkaakapitu"/>
    <w:rsid w:val="006C02A5"/>
  </w:style>
  <w:style w:type="paragraph" w:styleId="Poprawka">
    <w:name w:val="Revision"/>
    <w:hidden/>
    <w:uiPriority w:val="99"/>
    <w:semiHidden/>
    <w:rsid w:val="005C4359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AC7BDF"/>
    <w:rPr>
      <w:i/>
      <w:iCs/>
    </w:rPr>
  </w:style>
  <w:style w:type="character" w:customStyle="1" w:styleId="highlight">
    <w:name w:val="highlight"/>
    <w:basedOn w:val="Domylnaczcionkaakapitu"/>
    <w:rsid w:val="0062732B"/>
  </w:style>
  <w:style w:type="paragraph" w:styleId="NormalnyWeb">
    <w:name w:val="Normal (Web)"/>
    <w:basedOn w:val="Normalny"/>
    <w:uiPriority w:val="99"/>
    <w:unhideWhenUsed/>
    <w:rsid w:val="00992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631BB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64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64C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64C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B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BBC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FF2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B05BC3"/>
    <w:pPr>
      <w:spacing w:after="200" w:line="240" w:lineRule="auto"/>
      <w:jc w:val="both"/>
    </w:pPr>
    <w:rPr>
      <w:rFonts w:ascii="Calibri" w:eastAsia="Calibri" w:hAnsi="Calibri" w:cs="Times New Roman"/>
      <w:i/>
      <w:iCs/>
      <w:color w:val="44546A"/>
      <w:sz w:val="18"/>
      <w:szCs w:val="18"/>
    </w:rPr>
  </w:style>
  <w:style w:type="table" w:customStyle="1" w:styleId="GridTable4-Accent51">
    <w:name w:val="Grid Table 4 - Accent 51"/>
    <w:basedOn w:val="Standardowy"/>
    <w:uiPriority w:val="49"/>
    <w:rsid w:val="00B05B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customStyle="1" w:styleId="LegendaZnak">
    <w:name w:val="Legenda Znak"/>
    <w:link w:val="Legenda"/>
    <w:uiPriority w:val="35"/>
    <w:locked/>
    <w:rsid w:val="00B05BC3"/>
    <w:rPr>
      <w:rFonts w:ascii="Calibri" w:eastAsia="Calibri" w:hAnsi="Calibri" w:cs="Times New Roman"/>
      <w:i/>
      <w:iCs/>
      <w:color w:val="44546A"/>
      <w:sz w:val="18"/>
      <w:szCs w:val="18"/>
    </w:rPr>
  </w:style>
  <w:style w:type="table" w:customStyle="1" w:styleId="GridTable4-Accent511">
    <w:name w:val="Grid Table 4 - Accent 511"/>
    <w:basedOn w:val="Standardowy"/>
    <w:uiPriority w:val="49"/>
    <w:rsid w:val="00B05B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styleId="Pogrubienie">
    <w:name w:val="Strong"/>
    <w:uiPriority w:val="22"/>
    <w:qFormat/>
    <w:rsid w:val="00661D99"/>
    <w:rPr>
      <w:b/>
      <w:bCs/>
    </w:rPr>
  </w:style>
  <w:style w:type="paragraph" w:customStyle="1" w:styleId="Default">
    <w:name w:val="Default"/>
    <w:rsid w:val="00D506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7C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6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9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4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7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1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9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54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5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1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1E4BF77-FEBA-44C0-A360-6618E85A2B8F}"/>
</file>

<file path=customXml/itemProps2.xml><?xml version="1.0" encoding="utf-8"?>
<ds:datastoreItem xmlns:ds="http://schemas.openxmlformats.org/officeDocument/2006/customXml" ds:itemID="{2B74F894-82A9-41C7-96B6-51301A8E6748}"/>
</file>

<file path=customXml/itemProps3.xml><?xml version="1.0" encoding="utf-8"?>
<ds:datastoreItem xmlns:ds="http://schemas.openxmlformats.org/officeDocument/2006/customXml" ds:itemID="{371BA401-2D7E-434D-AD8B-4684FA12C8A2}"/>
</file>

<file path=customXml/itemProps4.xml><?xml version="1.0" encoding="utf-8"?>
<ds:datastoreItem xmlns:ds="http://schemas.openxmlformats.org/officeDocument/2006/customXml" ds:itemID="{F8E5974D-5AFD-4C8F-BC52-D6D5F8A373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1833</Words>
  <Characters>10999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Matylda</dc:creator>
  <cp:keywords/>
  <dc:description/>
  <cp:lastModifiedBy>Nachyła Tomasz (GO)</cp:lastModifiedBy>
  <cp:revision>4</cp:revision>
  <cp:lastPrinted>2024-05-22T13:52:00Z</cp:lastPrinted>
  <dcterms:created xsi:type="dcterms:W3CDTF">2025-03-05T12:05:00Z</dcterms:created>
  <dcterms:modified xsi:type="dcterms:W3CDTF">2025-03-06T11:28:00Z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