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C5" w:rsidRPr="0074079E" w:rsidRDefault="00736CC5" w:rsidP="00736CC5">
      <w:pPr>
        <w:jc w:val="right"/>
      </w:pPr>
      <w:r w:rsidRPr="0074079E">
        <w:t xml:space="preserve">Warszawa, </w:t>
      </w:r>
      <w:r>
        <w:t>2019-08-21</w:t>
      </w:r>
    </w:p>
    <w:p w:rsidR="00736CC5" w:rsidRPr="00736CC5" w:rsidRDefault="00736CC5" w:rsidP="00736CC5">
      <w:pPr>
        <w:rPr>
          <w:b/>
          <w:sz w:val="24"/>
        </w:rPr>
      </w:pPr>
      <w:r w:rsidRPr="00736CC5">
        <w:rPr>
          <w:b/>
        </w:rPr>
        <w:t>PREZYDENT MIASTA STOŁECZNEGO WARSZAWY</w:t>
      </w:r>
    </w:p>
    <w:p w:rsidR="00736CC5" w:rsidRPr="00736CC5" w:rsidRDefault="00736CC5" w:rsidP="00736CC5">
      <w:pPr>
        <w:rPr>
          <w:b/>
          <w:lang w:val="en-US"/>
        </w:rPr>
      </w:pPr>
      <w:r w:rsidRPr="00736CC5">
        <w:rPr>
          <w:b/>
          <w:lang w:val="en-US"/>
        </w:rPr>
        <w:t>PE-10-OP.310.7.2019.GWA</w:t>
      </w:r>
    </w:p>
    <w:p w:rsidR="00736CC5" w:rsidRPr="00736CC5" w:rsidRDefault="00736CC5" w:rsidP="00736CC5">
      <w:pPr>
        <w:rPr>
          <w:b/>
          <w:lang w:val="en-US"/>
        </w:rPr>
      </w:pPr>
      <w:r w:rsidRPr="00736CC5">
        <w:rPr>
          <w:b/>
          <w:lang w:val="en-US"/>
        </w:rPr>
        <w:t>PE-10-OP/31101/2275/GW/19</w:t>
      </w:r>
    </w:p>
    <w:p w:rsidR="006D5FE4" w:rsidRDefault="00736CC5" w:rsidP="00736CC5">
      <w:pPr>
        <w:ind w:left="5670"/>
      </w:pPr>
      <w:r>
        <w:t xml:space="preserve">(…) </w:t>
      </w:r>
      <w:r w:rsidR="00280AE1">
        <w:t>Spółka Akcyjna</w:t>
      </w:r>
    </w:p>
    <w:p w:rsidR="00280AE1" w:rsidRDefault="00280AE1" w:rsidP="00736CC5">
      <w:pPr>
        <w:ind w:left="5670"/>
      </w:pPr>
      <w:r>
        <w:t xml:space="preserve">ul. </w:t>
      </w:r>
      <w:r w:rsidR="00736CC5">
        <w:t>(…)</w:t>
      </w:r>
    </w:p>
    <w:p w:rsidR="00BF492E" w:rsidRPr="006E7B6A" w:rsidRDefault="00280AE1" w:rsidP="00736CC5">
      <w:pPr>
        <w:ind w:left="5670"/>
      </w:pPr>
      <w:r>
        <w:t xml:space="preserve">NIP </w:t>
      </w:r>
      <w:r w:rsidR="00736CC5">
        <w:t>(…)</w:t>
      </w:r>
    </w:p>
    <w:p w:rsidR="0050480E" w:rsidRDefault="00B93D45" w:rsidP="00736CC5">
      <w:pPr>
        <w:pStyle w:val="Nagwek1"/>
      </w:pPr>
      <w:r w:rsidRPr="00B93D45">
        <w:t>INTERPRETACJA</w:t>
      </w:r>
      <w:r w:rsidR="00513EF0">
        <w:t xml:space="preserve"> INDYWIDUALNA</w:t>
      </w:r>
    </w:p>
    <w:p w:rsidR="00736CC5" w:rsidRPr="00736CC5" w:rsidRDefault="00736CC5" w:rsidP="00736CC5">
      <w:pPr>
        <w:pStyle w:val="Nagwek4"/>
        <w:numPr>
          <w:ilvl w:val="0"/>
          <w:numId w:val="14"/>
        </w:numPr>
      </w:pPr>
      <w:r w:rsidRPr="00736CC5">
        <w:t>Podstawa prawna interpretacji</w:t>
      </w:r>
    </w:p>
    <w:p w:rsidR="00736CC5" w:rsidRPr="002446D9" w:rsidRDefault="00736CC5" w:rsidP="00736CC5">
      <w:r w:rsidRPr="002446D9">
        <w:t>Art.</w:t>
      </w:r>
      <w:r>
        <w:t xml:space="preserve"> </w:t>
      </w:r>
      <w:r w:rsidRPr="002446D9">
        <w:t>14j § 1 ustawy z dnia 29 sierpnia 1997 r. - Ordynacja podatkowa</w:t>
      </w:r>
      <w:r>
        <w:t xml:space="preserve"> </w:t>
      </w:r>
      <w:r w:rsidRPr="002446D9">
        <w:t>(Dz. U. z 20</w:t>
      </w:r>
      <w:r>
        <w:t>19</w:t>
      </w:r>
      <w:r w:rsidRPr="002446D9">
        <w:t> r</w:t>
      </w:r>
      <w:r>
        <w:t xml:space="preserve">. </w:t>
      </w:r>
      <w:r w:rsidRPr="002446D9">
        <w:t>poz</w:t>
      </w:r>
      <w:r>
        <w:t>. 900, z późn. zm.</w:t>
      </w:r>
      <w:r w:rsidRPr="002446D9">
        <w:t>)</w:t>
      </w:r>
    </w:p>
    <w:p w:rsidR="00736CC5" w:rsidRPr="002446D9" w:rsidRDefault="00736CC5" w:rsidP="00736CC5">
      <w:pPr>
        <w:pStyle w:val="Nagwek4"/>
        <w:numPr>
          <w:ilvl w:val="0"/>
          <w:numId w:val="14"/>
        </w:numPr>
      </w:pPr>
      <w:r w:rsidRPr="002446D9">
        <w:t>Rozstrzygnięcie</w:t>
      </w:r>
    </w:p>
    <w:p w:rsidR="00736CC5" w:rsidRDefault="00736CC5" w:rsidP="00736CC5">
      <w:r>
        <w:t xml:space="preserve">Po rozpatrzeniu wniosku </w:t>
      </w:r>
      <w:r w:rsidR="00631879">
        <w:t>(…)</w:t>
      </w:r>
      <w:r>
        <w:t xml:space="preserve"> z siedzibą w </w:t>
      </w:r>
      <w:r w:rsidR="00631879">
        <w:t>(…)</w:t>
      </w:r>
      <w:r>
        <w:t xml:space="preserve"> przy ulicy </w:t>
      </w:r>
      <w:r w:rsidR="00631879">
        <w:t>(…)</w:t>
      </w:r>
      <w:r>
        <w:t xml:space="preserve"> (dalej jako „Spółka”) z dnia 22 lipca 2019 r. (wpływ do</w:t>
      </w:r>
      <w:r w:rsidR="00631879">
        <w:t> </w:t>
      </w:r>
      <w:r>
        <w:t>organu podatkowego w dniu 24 lipca 2019 r.) w sprawie udzielenia indywidualnej interpretacji przepisów prawa podatkowego w zakresie podatku od nieruchomości, postanawiam uznać stanowisko przedstawione we wniosku za</w:t>
      </w:r>
      <w:r w:rsidR="00631879">
        <w:t> </w:t>
      </w:r>
      <w:r>
        <w:t>prawidłowe w obowiązującym stanie prawnym.</w:t>
      </w:r>
    </w:p>
    <w:p w:rsidR="00736CC5" w:rsidRPr="002446D9" w:rsidRDefault="00736CC5" w:rsidP="00736CC5">
      <w:pPr>
        <w:pStyle w:val="Nagwek4"/>
        <w:numPr>
          <w:ilvl w:val="0"/>
          <w:numId w:val="14"/>
        </w:numPr>
      </w:pPr>
      <w:r w:rsidRPr="002446D9">
        <w:t>Stan faktyczny/zdarzenie przyszłe przedstawione we wniosku</w:t>
      </w:r>
    </w:p>
    <w:p w:rsidR="00736CC5" w:rsidRPr="00631879" w:rsidRDefault="00736CC5" w:rsidP="00736CC5">
      <w:r>
        <w:t>Z treści przedłożonego wniosku o udzielenie indywidualnej interpretacji przepisów prawa podatkowego w zakresie podatku od nieruchomości wynika, iż Spółka na dzierżawionej od innego podmiotu nieruchomości położonej na terenie m.st. Warszawy posadowiła stację ładowania samochodów elektrycznych. Urządzenie to - nieposiadające części budowlanych ani fundamentu – posadowione jest na studni kablowej i przymocowane do płyty za pomocą śruby. Stacja zasilana jest w energię elektryczną linią zasilającą ułożoną w ziemi, prowadzącą od rozdzielni znajdującej się wewnątrz pobliskiego budynku, poprzez skrzynkę pomiarową. Stacja ta jest własnością Spółki. W</w:t>
      </w:r>
      <w:r w:rsidR="00631879">
        <w:t> </w:t>
      </w:r>
      <w:r>
        <w:t xml:space="preserve">każdej chwili Spółka może ja przenieść do innej lokalizacji będącej w jej dyspozycji lub sprzedać. Przedmiotowa stacja została przez Spółkę zakwalifikowana do grupy 6 Klasyfikacji Środków Trwałych rodzaj 631 </w:t>
      </w:r>
      <w:r>
        <w:rPr>
          <w:i/>
        </w:rPr>
        <w:t xml:space="preserve">– </w:t>
      </w:r>
      <w:r w:rsidRPr="00631879">
        <w:t>„Zespoły prostownikowe”.</w:t>
      </w:r>
    </w:p>
    <w:p w:rsidR="00736CC5" w:rsidRDefault="00736CC5" w:rsidP="00736CC5">
      <w:r>
        <w:t xml:space="preserve">W świetle tak opisanego stanu faktycznego, Spółka zadała następujące pytania: </w:t>
      </w:r>
    </w:p>
    <w:p w:rsidR="00736CC5" w:rsidRPr="00631879" w:rsidRDefault="00736CC5" w:rsidP="00736CC5">
      <w:r w:rsidRPr="00631879">
        <w:t>„1. Czy opisana powyżej stacja ładowania samochodów elektrycznych podlega opodatkowaniu podatkiem od</w:t>
      </w:r>
      <w:r w:rsidR="00631879">
        <w:t> </w:t>
      </w:r>
      <w:r w:rsidRPr="00631879">
        <w:t xml:space="preserve"> nieruchomości?</w:t>
      </w:r>
    </w:p>
    <w:p w:rsidR="00736CC5" w:rsidRPr="00631879" w:rsidRDefault="00736CC5" w:rsidP="00736CC5">
      <w:r w:rsidRPr="00631879">
        <w:lastRenderedPageBreak/>
        <w:t>2. W przypadku gdyby odpowiedź na pierwsze pytanie była twierdząca, to kto (Wnioskodawca jako cywilistyczny właściciel stacji czy spółka kapitałowa będąca właścicielem gruntu, na którym stacja została posadowiona) jest podatnikiem podatku od nieruchomości od tego urządzenia?”.</w:t>
      </w:r>
    </w:p>
    <w:p w:rsidR="00736CC5" w:rsidRPr="002446D9" w:rsidRDefault="00736CC5" w:rsidP="00736CC5">
      <w:pPr>
        <w:pStyle w:val="Nagwek4"/>
        <w:numPr>
          <w:ilvl w:val="0"/>
          <w:numId w:val="14"/>
        </w:numPr>
      </w:pPr>
      <w:r w:rsidRPr="002446D9">
        <w:t>Stanowisko wnioskodawcy</w:t>
      </w:r>
    </w:p>
    <w:p w:rsidR="00736CC5" w:rsidRDefault="00736CC5" w:rsidP="00736CC5">
      <w:r w:rsidRPr="008377B4">
        <w:t xml:space="preserve">Zdaniem </w:t>
      </w:r>
      <w:r>
        <w:t>Spółki, zawartym w złożonym wniosku:</w:t>
      </w:r>
    </w:p>
    <w:p w:rsidR="00736CC5" w:rsidRPr="00631879" w:rsidRDefault="00736CC5" w:rsidP="00736CC5">
      <w:r w:rsidRPr="00631879">
        <w:t>„(…) 1. Stacja Ładowania samochodów elektrycznych nie podlega opodatkowaniu podatkiem od nieruchomości.</w:t>
      </w:r>
    </w:p>
    <w:p w:rsidR="00736CC5" w:rsidRPr="00631879" w:rsidRDefault="00736CC5" w:rsidP="00736CC5">
      <w:r w:rsidRPr="00631879">
        <w:t>2. Jeśli stacja ładowania miałaby jednak podlegać podatkowi od nieruchomości, to podatnikiem w jej przypadku byłby Wnioskodawca jako jej cywilistyczny właściciel”.</w:t>
      </w:r>
    </w:p>
    <w:p w:rsidR="00736CC5" w:rsidRPr="002446D9" w:rsidRDefault="00736CC5" w:rsidP="00736CC5">
      <w:pPr>
        <w:pStyle w:val="Nagwek4"/>
        <w:numPr>
          <w:ilvl w:val="0"/>
          <w:numId w:val="14"/>
        </w:numPr>
      </w:pPr>
      <w:r w:rsidRPr="002446D9">
        <w:t>Ocena stanowiska wnioskodawcy wraz z uzasadnieniem prawnym</w:t>
      </w:r>
    </w:p>
    <w:p w:rsidR="00736CC5" w:rsidRPr="0089276A" w:rsidRDefault="00736CC5" w:rsidP="00736CC5">
      <w:r w:rsidRPr="0089276A">
        <w:t>Zgodnie z przepisami ust</w:t>
      </w:r>
      <w:r>
        <w:t>awy z dnia 12 stycznia 1991 r.</w:t>
      </w:r>
      <w:r w:rsidRPr="0089276A">
        <w:t xml:space="preserve"> o podatkach i opłatach lokalnych </w:t>
      </w:r>
      <w:r>
        <w:t>(Dz. U. z 2019 r.</w:t>
      </w:r>
      <w:r w:rsidRPr="0089276A">
        <w:t xml:space="preserve"> poz. 1170</w:t>
      </w:r>
      <w:r>
        <w:t>, z</w:t>
      </w:r>
      <w:r w:rsidR="00631879">
        <w:t> </w:t>
      </w:r>
      <w:proofErr w:type="spellStart"/>
      <w:r>
        <w:t>późn</w:t>
      </w:r>
      <w:proofErr w:type="spellEnd"/>
      <w:r>
        <w:t>. zm.,</w:t>
      </w:r>
      <w:r w:rsidRPr="0089276A">
        <w:t xml:space="preserve"> dalej jako „upol”):</w:t>
      </w:r>
    </w:p>
    <w:p w:rsidR="00736CC5" w:rsidRPr="0089276A" w:rsidRDefault="00736CC5" w:rsidP="00E9515B">
      <w:pPr>
        <w:pStyle w:val="Akapitzlist"/>
        <w:numPr>
          <w:ilvl w:val="0"/>
          <w:numId w:val="15"/>
        </w:numPr>
        <w:ind w:left="714" w:hanging="357"/>
        <w:contextualSpacing w:val="0"/>
      </w:pPr>
      <w:r w:rsidRPr="0089276A">
        <w:t>opodatkowaniu podatkiem od nieruchomości podlegają grunty, budynki lub ich części oraz budowle związane z prowadzeniem działalności gospodarczej (art. 2 ust. 1</w:t>
      </w:r>
      <w:r>
        <w:t xml:space="preserve"> </w:t>
      </w:r>
      <w:proofErr w:type="spellStart"/>
      <w:r>
        <w:t>upol</w:t>
      </w:r>
      <w:proofErr w:type="spellEnd"/>
      <w:r w:rsidRPr="0089276A">
        <w:t>);</w:t>
      </w:r>
    </w:p>
    <w:p w:rsidR="00736CC5" w:rsidRPr="0089276A" w:rsidRDefault="00736CC5" w:rsidP="00E9515B">
      <w:pPr>
        <w:pStyle w:val="Akapitzlist"/>
        <w:numPr>
          <w:ilvl w:val="0"/>
          <w:numId w:val="15"/>
        </w:numPr>
        <w:ind w:left="714" w:hanging="357"/>
        <w:contextualSpacing w:val="0"/>
      </w:pPr>
      <w:r w:rsidRPr="0089276A">
        <w:t>podatnikami podatku od nieruchomości są między innymi osoby prawne będące właścicielami nieruchomości lub obiektów budowlanych (art. 3 ust. 1 pkt 1</w:t>
      </w:r>
      <w:r>
        <w:t xml:space="preserve"> </w:t>
      </w:r>
      <w:proofErr w:type="spellStart"/>
      <w:r>
        <w:t>upol</w:t>
      </w:r>
      <w:proofErr w:type="spellEnd"/>
      <w:r w:rsidRPr="0089276A">
        <w:t>);</w:t>
      </w:r>
    </w:p>
    <w:p w:rsidR="00736CC5" w:rsidRPr="00631879" w:rsidRDefault="00736CC5" w:rsidP="00E9515B">
      <w:pPr>
        <w:pStyle w:val="Akapitzlist"/>
        <w:numPr>
          <w:ilvl w:val="0"/>
          <w:numId w:val="15"/>
        </w:numPr>
        <w:ind w:left="714" w:hanging="357"/>
        <w:contextualSpacing w:val="0"/>
        <w:rPr>
          <w:color w:val="000000"/>
        </w:rPr>
      </w:pPr>
      <w:r w:rsidRPr="0089276A">
        <w:t xml:space="preserve">za budowlę w rozumieniu przepisów upol uważa się </w:t>
      </w:r>
      <w:r w:rsidRPr="00631879">
        <w:rPr>
          <w:color w:val="000000"/>
        </w:rPr>
        <w:t xml:space="preserve">obiekt budowlany w rozumieniu przepisów prawa budowlanego niebędący budynkiem lub obiektem małej architektury, a także urządzenie budowlane w rozumieniu </w:t>
      </w:r>
      <w:bookmarkStart w:id="0" w:name="#hiperlinkDocsList.rpc?hiperlink=type=me"/>
      <w:r w:rsidRPr="00631879">
        <w:rPr>
          <w:color w:val="000000"/>
        </w:rPr>
        <w:t>przepisów</w:t>
      </w:r>
      <w:bookmarkEnd w:id="0"/>
      <w:r w:rsidRPr="00631879">
        <w:rPr>
          <w:color w:val="000000"/>
        </w:rPr>
        <w:t xml:space="preserve"> prawa budowlanego związane z obiektem budowlanym, które zapewnia możliwość użytkowania obiektu zgodnie z jego przeznaczeniem (art. 1a ust. 1 pkt 2 </w:t>
      </w:r>
      <w:proofErr w:type="spellStart"/>
      <w:r w:rsidRPr="00631879">
        <w:rPr>
          <w:color w:val="000000"/>
        </w:rPr>
        <w:t>upol</w:t>
      </w:r>
      <w:proofErr w:type="spellEnd"/>
      <w:r w:rsidRPr="00631879">
        <w:rPr>
          <w:color w:val="000000"/>
        </w:rPr>
        <w:t>).</w:t>
      </w:r>
    </w:p>
    <w:p w:rsidR="00736CC5" w:rsidRPr="0089276A" w:rsidRDefault="00736CC5" w:rsidP="00736CC5">
      <w:pPr>
        <w:rPr>
          <w:color w:val="000000"/>
        </w:rPr>
      </w:pPr>
      <w:r w:rsidRPr="0089276A">
        <w:rPr>
          <w:color w:val="000000"/>
        </w:rPr>
        <w:t>W myśl</w:t>
      </w:r>
      <w:r>
        <w:rPr>
          <w:color w:val="000000"/>
        </w:rPr>
        <w:t xml:space="preserve"> ustawy z dnia 7 lipca 1994 r.</w:t>
      </w:r>
      <w:r w:rsidRPr="0089276A">
        <w:rPr>
          <w:color w:val="000000"/>
        </w:rPr>
        <w:t xml:space="preserve"> – Praw</w:t>
      </w:r>
      <w:r>
        <w:rPr>
          <w:color w:val="000000"/>
        </w:rPr>
        <w:t>o budowalne (Dz. U. z 2019 r.</w:t>
      </w:r>
      <w:r w:rsidRPr="0089276A">
        <w:rPr>
          <w:color w:val="000000"/>
        </w:rPr>
        <w:t xml:space="preserve"> poz. 1186), za obiekt budowlany w</w:t>
      </w:r>
      <w:r w:rsidR="00E9515B">
        <w:rPr>
          <w:color w:val="000000"/>
        </w:rPr>
        <w:t> </w:t>
      </w:r>
      <w:r w:rsidRPr="0089276A">
        <w:rPr>
          <w:color w:val="000000"/>
        </w:rPr>
        <w:t>rozumieniu przepisów tej ustawy uważa się budynek, budowlę bądź obiekt małej architektury, wraz z instalacjami zapewniającymi możliwość użytkowania obiektu zgodnie z jego przeznaczeniem, wzniesiony z użyciem wyrobów budowlanych (art. 3 pkt 1). Budowlą zaś jest każdy obiekt budowlany niebędący budynkiem lub obiektem małej architektury, jak: obiekty liniowe, lotniska, mosty, wiadukty, estakady, tunele, przepusty, sieci techniczne, wolno stojące maszty antenowe, wolno stojące trwale związane z gruntem tablice reklamowe i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elektrowni jądrowych, elektrowni wiatrowych i innych urządzeń) oraz fundamenty pod maszyny i urządzenia, jako odrębne pod</w:t>
      </w:r>
      <w:r w:rsidR="00E9515B">
        <w:rPr>
          <w:color w:val="000000"/>
        </w:rPr>
        <w:t> </w:t>
      </w:r>
      <w:r w:rsidRPr="0089276A">
        <w:rPr>
          <w:color w:val="000000"/>
        </w:rPr>
        <w:t>względem technicznym części przedmiotów składających się na całość użytkową (art. 3 pkt 3</w:t>
      </w:r>
      <w:r>
        <w:rPr>
          <w:color w:val="000000"/>
        </w:rPr>
        <w:t xml:space="preserve"> Prawa budowlanego</w:t>
      </w:r>
      <w:r w:rsidRPr="0089276A">
        <w:rPr>
          <w:color w:val="000000"/>
        </w:rPr>
        <w:t xml:space="preserve">). Natomiast urządzeniami budowlanymi w rozumieniu </w:t>
      </w:r>
      <w:r>
        <w:rPr>
          <w:color w:val="000000"/>
        </w:rPr>
        <w:t xml:space="preserve">art. 3 pkt 9 </w:t>
      </w:r>
      <w:r w:rsidRPr="0089276A">
        <w:rPr>
          <w:color w:val="000000"/>
        </w:rPr>
        <w:t xml:space="preserve">Prawa budowlanego są urządzenia techniczne związane z obiektem budowlanym, zapewniające możliwość użytkowania obiektu zgodnie z jego </w:t>
      </w:r>
      <w:r w:rsidRPr="0089276A">
        <w:rPr>
          <w:color w:val="000000"/>
        </w:rPr>
        <w:lastRenderedPageBreak/>
        <w:t>przeznaczeniem, jak przyłącza i urządzenia instalacyjne, w tym służące oczyszczaniu lub gromadzeniu ścieków, a</w:t>
      </w:r>
      <w:r w:rsidR="00E9515B">
        <w:rPr>
          <w:color w:val="000000"/>
        </w:rPr>
        <w:t> </w:t>
      </w:r>
      <w:r w:rsidRPr="0089276A">
        <w:rPr>
          <w:color w:val="000000"/>
        </w:rPr>
        <w:t>także przejazdy, ogrodzenia, place postojowe i place pod śmietniki.</w:t>
      </w:r>
    </w:p>
    <w:p w:rsidR="00736CC5" w:rsidRPr="0089276A" w:rsidRDefault="00736CC5" w:rsidP="00736CC5">
      <w:r w:rsidRPr="0089276A">
        <w:t>W opinii organu podatkowego, istotne znaczenie dla rozstrzygnięcia sprawy mają wywody zawarte w wyroku Trybunału Konstytucyjnego z 13 września 2011 r.</w:t>
      </w:r>
      <w:r>
        <w:t xml:space="preserve">, </w:t>
      </w:r>
      <w:r w:rsidRPr="0089276A">
        <w:t>sygn. akt P 33/09</w:t>
      </w:r>
      <w:r>
        <w:t>, LEX 2019</w:t>
      </w:r>
      <w:r w:rsidRPr="0089276A">
        <w:t>. W wyroku tym Trybunał stwierdził, że</w:t>
      </w:r>
      <w:r w:rsidR="00E9515B">
        <w:t> </w:t>
      </w:r>
      <w:r w:rsidRPr="0089276A">
        <w:t>za budowle w rozumieniu upol można uznać:</w:t>
      </w:r>
    </w:p>
    <w:p w:rsidR="00736CC5" w:rsidRPr="0089276A" w:rsidRDefault="00736CC5" w:rsidP="00E9515B">
      <w:pPr>
        <w:pStyle w:val="Akapitzlist"/>
        <w:numPr>
          <w:ilvl w:val="0"/>
          <w:numId w:val="16"/>
        </w:numPr>
        <w:ind w:hanging="357"/>
        <w:contextualSpacing w:val="0"/>
      </w:pPr>
      <w:r w:rsidRPr="0089276A">
        <w:t xml:space="preserve">jedynie budowle wymienione </w:t>
      </w:r>
      <w:r w:rsidRPr="00E9515B">
        <w:rPr>
          <w:i/>
        </w:rPr>
        <w:t>expressis verbis</w:t>
      </w:r>
      <w:r w:rsidRPr="0089276A">
        <w:t xml:space="preserve"> w art. 3 pkt 3 Prawa budowlanego, w innych przepisach tej ustawy lub w załączniku do niej, będące wraz z instalacjami i urządzeniami obiektem budowlanym, o którym mowa w art. 3</w:t>
      </w:r>
      <w:r w:rsidR="00E9515B">
        <w:t> </w:t>
      </w:r>
      <w:r w:rsidRPr="0089276A">
        <w:t>pkt 1 lit. b) Prawa budowlanego, czyli pod warunkiem, że stanowią one całość techniczno-użytkową,</w:t>
      </w:r>
    </w:p>
    <w:p w:rsidR="00736CC5" w:rsidRPr="0089276A" w:rsidRDefault="00736CC5" w:rsidP="00E9515B">
      <w:pPr>
        <w:pStyle w:val="Akapitzlist"/>
        <w:numPr>
          <w:ilvl w:val="0"/>
          <w:numId w:val="16"/>
        </w:numPr>
        <w:ind w:hanging="357"/>
        <w:contextualSpacing w:val="0"/>
      </w:pPr>
      <w:r w:rsidRPr="0089276A">
        <w:t>jedynie urządzenia techniczne scharakteryzowane w art. 3 pkt 9 Prawa budowlanego lub w innych przepisach tej ustawy albo w załączniku do niej, co - jeżeli omawiane urządzenia nie zostały wskazane expressis verbis - wymaga wykazania, że zapewniają one możliwość użytkowania obiektu budowlanego zgodnie z jego przeznaczeniem, z wyłączeniem jednak:</w:t>
      </w:r>
    </w:p>
    <w:p w:rsidR="00736CC5" w:rsidRPr="0089276A" w:rsidRDefault="00736CC5" w:rsidP="00E9515B">
      <w:pPr>
        <w:pStyle w:val="Akapitzlist"/>
        <w:numPr>
          <w:ilvl w:val="0"/>
          <w:numId w:val="17"/>
        </w:numPr>
        <w:ind w:hanging="357"/>
        <w:contextualSpacing w:val="0"/>
      </w:pPr>
      <w:r w:rsidRPr="0089276A">
        <w:t>urządzeń budowlanych związanych z obiektami budowlanymi w postaci budowli w rozumieniu Prawa budowlanego, które to obiekty budowlane nie dają się zakwalifikować jako budowle w ujęciu upol, oraz</w:t>
      </w:r>
    </w:p>
    <w:p w:rsidR="00736CC5" w:rsidRPr="0089276A" w:rsidRDefault="00736CC5" w:rsidP="00E9515B">
      <w:pPr>
        <w:pStyle w:val="Akapitzlist"/>
        <w:numPr>
          <w:ilvl w:val="0"/>
          <w:numId w:val="17"/>
        </w:numPr>
        <w:ind w:hanging="357"/>
        <w:contextualSpacing w:val="0"/>
      </w:pPr>
      <w:r w:rsidRPr="0089276A">
        <w:t>urządzeń budowlanych związanych z obiektami budowlanymi w postaci obiektów małej architektury, przy zastrzeżeniu, że urządzeniami budowlanymi w rozumieniu P</w:t>
      </w:r>
      <w:r>
        <w:t xml:space="preserve">rawa </w:t>
      </w:r>
      <w:r w:rsidRPr="0089276A">
        <w:t>b</w:t>
      </w:r>
      <w:r>
        <w:t>udowlanego</w:t>
      </w:r>
      <w:r w:rsidRPr="0089276A">
        <w:t xml:space="preserve"> nie są instalacje.</w:t>
      </w:r>
    </w:p>
    <w:p w:rsidR="00736CC5" w:rsidRPr="00E9515B" w:rsidRDefault="00736CC5" w:rsidP="00736CC5">
      <w:r w:rsidRPr="0089276A">
        <w:t xml:space="preserve">Jednocześnie Trybunał podniósł, że o statusie danego obiektu budowlanego jako budowli mogą współdecydować także postanowienia innych ustaw. </w:t>
      </w:r>
      <w:r w:rsidRPr="00E9515B">
        <w:t xml:space="preserve">"Nie można bowiem wykluczyć sytuacji, w której przepisy odrębne w stosunku do </w:t>
      </w:r>
      <w:proofErr w:type="spellStart"/>
      <w:r w:rsidRPr="00E9515B">
        <w:t>P.b</w:t>
      </w:r>
      <w:proofErr w:type="spellEnd"/>
      <w:r w:rsidRPr="00E9515B">
        <w:t xml:space="preserve">. precyzują bądź definiują wyrażenia występujące w prawie budowlanym albo nawet wprost stanowią, że dany obiekt (urządzenie) jest albo nie jest budowlą (urządzeniem budowlanym) w ujęciu </w:t>
      </w:r>
      <w:proofErr w:type="spellStart"/>
      <w:r w:rsidRPr="00E9515B">
        <w:t>P.b</w:t>
      </w:r>
      <w:proofErr w:type="spellEnd"/>
      <w:r w:rsidRPr="00E9515B">
        <w:t>.".</w:t>
      </w:r>
    </w:p>
    <w:p w:rsidR="00736CC5" w:rsidRDefault="00736CC5" w:rsidP="00736CC5">
      <w:r w:rsidRPr="0089276A">
        <w:t>W powołanym wyroku Trybunał wskazał, że jakkolwiek nie budzi w zasadzie zastrzeżeń sformułowanie przez ustawodawcę na potrzeby regulacji prawa budowlanego definicji "budowli" i "urządzenia budowlanego" jako definicji otwartych, których zastosowanie w praktyce wymaga nierzadko posłużenia się analogią z ustawy, to nie sposób nie zauważyć, że te same definicje w odniesieniu do upol nie mogą funkcjonować w identyczny sposób. W</w:t>
      </w:r>
      <w:r w:rsidR="00E9515B">
        <w:t> </w:t>
      </w:r>
      <w:r w:rsidRPr="0089276A">
        <w:t xml:space="preserve"> wypadku prawa </w:t>
      </w:r>
      <w:proofErr w:type="spellStart"/>
      <w:r w:rsidRPr="0089276A">
        <w:t>daninowego</w:t>
      </w:r>
      <w:proofErr w:type="spellEnd"/>
      <w:r w:rsidRPr="0089276A">
        <w:t xml:space="preserve"> gwarancje dostatecznej określoności regulacji prawnych wynikające z zasady poprawnej legislacji ulegają istotnemu wzmocnieniu ze względu </w:t>
      </w:r>
      <w:r>
        <w:t xml:space="preserve">na </w:t>
      </w:r>
      <w:r w:rsidRPr="0089276A">
        <w:t>treść art. 84 i art. 217 Konstytucji RP. W</w:t>
      </w:r>
      <w:r w:rsidR="00E9515B">
        <w:t> </w:t>
      </w:r>
      <w:r w:rsidRPr="0089276A">
        <w:t>praktyce</w:t>
      </w:r>
      <w:r w:rsidR="00E9515B">
        <w:t> </w:t>
      </w:r>
      <w:r w:rsidRPr="0089276A">
        <w:t xml:space="preserve"> oznacza to m.in., że przepisy prawa podatkowego nie mogą być interpretowane per analogiam na</w:t>
      </w:r>
      <w:r w:rsidR="00E9515B">
        <w:t> </w:t>
      </w:r>
      <w:r w:rsidRPr="0089276A">
        <w:t>niekorzyść podatników.</w:t>
      </w:r>
    </w:p>
    <w:p w:rsidR="00736CC5" w:rsidRPr="00E9515B" w:rsidRDefault="00736CC5" w:rsidP="00736CC5">
      <w:r>
        <w:rPr>
          <w:color w:val="000000"/>
        </w:rPr>
        <w:t>Jak stwierdził Wojewódzki Sąd Administracyjny we Wrocławiu w wyroku z dnia 14 czerwca 2018 r., sygn. akt I</w:t>
      </w:r>
      <w:r w:rsidR="00E9515B">
        <w:rPr>
          <w:color w:val="000000"/>
        </w:rPr>
        <w:t> </w:t>
      </w:r>
      <w:r>
        <w:rPr>
          <w:color w:val="000000"/>
        </w:rPr>
        <w:t>SA/</w:t>
      </w:r>
      <w:proofErr w:type="spellStart"/>
      <w:r>
        <w:rPr>
          <w:color w:val="000000"/>
        </w:rPr>
        <w:t>Wr</w:t>
      </w:r>
      <w:proofErr w:type="spellEnd"/>
      <w:r w:rsidR="00E9515B">
        <w:rPr>
          <w:color w:val="000000"/>
        </w:rPr>
        <w:t> </w:t>
      </w:r>
      <w:r>
        <w:rPr>
          <w:color w:val="000000"/>
        </w:rPr>
        <w:t xml:space="preserve"> 78/18 (CBOSA), </w:t>
      </w:r>
      <w:r w:rsidRPr="00E9515B">
        <w:rPr>
          <w:color w:val="000000"/>
        </w:rPr>
        <w:t xml:space="preserve">„(…) </w:t>
      </w:r>
      <w:r w:rsidRPr="00E9515B">
        <w:t>W ocenie Sądu - pomimo braku formułowanych w tym zakresie zarzutów – równie istotny (co ustalenie stanu faktycznego) wpływ na prawidłowość skarżonego rozstrzygnięcia, miało pozostawienie poza zakresem zainteresowania organów wyroku Trybunału Konstytucyjnego z dnia 13 września 2011 r. sygn. akt P 33/09 (OTK - A z 2011 r. nr 7, poz. 71), wedle którego opodatkowane mogą być wyłącznie takie budowle, które wprost wskazano w Prawie budowlanym lub w załącznikach do tej ustawy. Aby wykluczyć ryzyko opierania się w tym względzie na wątpliwych uogólnieniach, dla prawidłowości ustalenia, które ze zróżnicowanych obiektów</w:t>
      </w:r>
      <w:r w:rsidR="00E9515B">
        <w:t xml:space="preserve"> </w:t>
      </w:r>
      <w:r w:rsidRPr="00E9515B">
        <w:t xml:space="preserve">i urządzeń można zakwalifikować jako budowle w rozumieniu u.p.o.l., niezbędna jest odpowiedź, czy poszczególne z tych </w:t>
      </w:r>
      <w:r w:rsidRPr="00E9515B">
        <w:lastRenderedPageBreak/>
        <w:t xml:space="preserve">obiektów i urządzeń, ich zespoły bądź cała infrastruktura dają się przyporządkować konkretnym nazwom budowli wskazanym w prawie budowlanym. Z uzasadnienia wymienionego wyroku wynika, że organ podatkowy, chcąc określić podatek od budowli, musi "przyporządkować" dane obiekty nazwom budowli wskazanym w Prawie budowlanym, a konkretnie występującym w art. 3 pkt 3, w innych postanowieniach tej ustawy lub załączniku do niej. Możliwe jest również wskazanie nazw obiektów budowlanych zawartych w innych ustawach niż </w:t>
      </w:r>
      <w:proofErr w:type="spellStart"/>
      <w:r w:rsidRPr="00E9515B">
        <w:t>p.b</w:t>
      </w:r>
      <w:proofErr w:type="spellEnd"/>
      <w:r w:rsidRPr="00E9515B">
        <w:t>., które - używając terminologii Trybunału Konstytucyjnego - uzupełniają, modyfikują czy doprecyzowują prawo budowlane. Mogą być one podstawą do uznania danego obiektu za budowlę podlegającą opodatkowaniu podatkiem od nieruchomości, jeżeli w przepisach tych ustaw ustawodawca używa nazwy danego obiektu i klasyfikuje go jako budowlę.</w:t>
      </w:r>
    </w:p>
    <w:p w:rsidR="00736CC5" w:rsidRPr="00E9515B" w:rsidRDefault="00736CC5" w:rsidP="00E9515B">
      <w:r w:rsidRPr="00E9515B">
        <w:t>W rezultacie, odnalezienie nazwy budowli w UPB lub ustawowych przepisach modyfikujących, doprecyzowujących i uzupełniających postanowienia UPB pozwala na uznanie danego obiektu za budowlę i w konsekwencji opodatkowanie podatkiem od nieruchomości. Jeżeli organ podatkowy nie będzie w stanie "przyporządkować" danego obiektu do konkretnej nazwy budowli w UPB lub w ustawach "uzupełniających", to nie może traktować go</w:t>
      </w:r>
      <w:r w:rsidR="00E9515B">
        <w:t> </w:t>
      </w:r>
      <w:r w:rsidRPr="00E9515B">
        <w:t>jako przedmiotu opodatkowania podatkiem od nieruchomości</w:t>
      </w:r>
      <w:r w:rsidR="00E9515B">
        <w:t xml:space="preserve"> (…)”.</w:t>
      </w:r>
    </w:p>
    <w:p w:rsidR="00736CC5" w:rsidRPr="00564FB6" w:rsidRDefault="00736CC5" w:rsidP="00736CC5">
      <w:r>
        <w:t>Z</w:t>
      </w:r>
      <w:r w:rsidRPr="00564FB6">
        <w:t>godnie z orzecznictwem sądów administracyjnych, organ interpretacyjny związany jest stanem faktycznym lub</w:t>
      </w:r>
      <w:r w:rsidR="00E9515B">
        <w:t> </w:t>
      </w:r>
      <w:r w:rsidRPr="00564FB6">
        <w:t xml:space="preserve">zdarzeniem przyszłym przedstawionym przez wnioskodawcę i nie może uznawać go za nieprawdziwy </w:t>
      </w:r>
      <w:r>
        <w:t>(</w:t>
      </w:r>
      <w:r w:rsidRPr="00564FB6">
        <w:t>por. wyrok Wojewódzkiego Sądu Administracyjnego</w:t>
      </w:r>
      <w:r>
        <w:t xml:space="preserve"> </w:t>
      </w:r>
      <w:r w:rsidRPr="00564FB6">
        <w:t>w Lublinie z dnia 1 marca 2019 r., sygn. akt I SA/Lu 811/18</w:t>
      </w:r>
      <w:r>
        <w:t>, CBOSA).</w:t>
      </w:r>
      <w:r w:rsidRPr="00564FB6">
        <w:t xml:space="preserve"> </w:t>
      </w:r>
      <w:r>
        <w:t>Jak</w:t>
      </w:r>
      <w:r w:rsidR="00E9515B">
        <w:t> </w:t>
      </w:r>
      <w:r>
        <w:t xml:space="preserve">wynika z opisanego we wniosku stanu faktycznego, </w:t>
      </w:r>
      <w:r w:rsidRPr="00564FB6">
        <w:t>opisana we wniosku stacja ładowania samochodów elektrycznych jest co prawda urządzeniem technicznym, lecz nie zapewnia możliwości użytkowania żadnego obiektu budowlanego zgodnie z jego przeznaczeniem</w:t>
      </w:r>
      <w:r>
        <w:t xml:space="preserve">, </w:t>
      </w:r>
      <w:r w:rsidRPr="00564FB6">
        <w:t>nie posiada części budowlanych ani fundamentu</w:t>
      </w:r>
      <w:r>
        <w:t xml:space="preserve">, posadowiona </w:t>
      </w:r>
      <w:r w:rsidRPr="00564FB6">
        <w:t>jest na studni kablowej</w:t>
      </w:r>
      <w:r>
        <w:t xml:space="preserve"> i przymocowana jest</w:t>
      </w:r>
      <w:r w:rsidRPr="00564FB6">
        <w:t xml:space="preserve"> do płyty przez śruby. Wobec powyższego, stacja ładowania samochodów elektrycznych nie będzie stanowiła budowli związanej z prowadzeniem przez Spółkę pozarolniczej działalności gospodarczej, a tym samym nie będzie podlegała opodatkowaniu podatkiem </w:t>
      </w:r>
      <w:r w:rsidR="00E9515B">
        <w:t>od nieruchomości.</w:t>
      </w:r>
    </w:p>
    <w:p w:rsidR="00736CC5" w:rsidRDefault="00736CC5" w:rsidP="00736CC5">
      <w:r>
        <w:t>Tym samym</w:t>
      </w:r>
      <w:r w:rsidRPr="0089276A">
        <w:t xml:space="preserve">, stanowisko </w:t>
      </w:r>
      <w:r>
        <w:t>Spółki</w:t>
      </w:r>
      <w:r w:rsidRPr="0089276A">
        <w:t xml:space="preserve"> zawarte we wniosku o udzielenie indywidualnej interpretacji przepisów prawa </w:t>
      </w:r>
      <w:r>
        <w:t>podatkowego w zakresie pytania 1,</w:t>
      </w:r>
      <w:r w:rsidRPr="0089276A">
        <w:t xml:space="preserve"> uznać należy za prawidłowe</w:t>
      </w:r>
      <w:r>
        <w:t xml:space="preserve"> </w:t>
      </w:r>
      <w:r w:rsidR="00E9515B">
        <w:t>w obowiązującym stanie prawnym.</w:t>
      </w:r>
    </w:p>
    <w:p w:rsidR="00736CC5" w:rsidRPr="0089276A" w:rsidRDefault="00736CC5" w:rsidP="00736CC5">
      <w:r>
        <w:t>Wobec uznania przez organ za prawidłowe stanowisko Spółki w zakresie pytania 1, nie zachodzi konieczność udzielenia odpowiedzi na pytanie 2 z wniosku Spółki o udzielenie indywidualnej interpretacji przepisów prawa podatkowego.</w:t>
      </w:r>
    </w:p>
    <w:p w:rsidR="00736CC5" w:rsidRPr="005A0D26" w:rsidRDefault="00736CC5" w:rsidP="00736CC5">
      <w:pPr>
        <w:pStyle w:val="Nagwek4"/>
        <w:numPr>
          <w:ilvl w:val="0"/>
          <w:numId w:val="14"/>
        </w:numPr>
      </w:pPr>
      <w:r w:rsidRPr="005A0D26">
        <w:t>Pouczenie</w:t>
      </w:r>
    </w:p>
    <w:p w:rsidR="00B93D45" w:rsidRPr="002446D9" w:rsidRDefault="00736CC5" w:rsidP="00736CC5">
      <w:r>
        <w:t>W</w:t>
      </w:r>
      <w:r w:rsidRPr="002446D9">
        <w:t xml:space="preserve">nioskodawcy przysługuje prawo do wniesienia skargi na niniejszą interpretację przepisów prawa podatkowego. Skargę wnosi się do Wojewódzkiego Sądu Administracyjnego w Warszawie </w:t>
      </w:r>
      <w:r>
        <w:t>w terminie 30 dni od dnia doręczenia Spółce interpretacji przepisów prawa podatkowego (art. 53 § 1 ustawy z dnia 30 sierpnia 2002 r. – Prawa o</w:t>
      </w:r>
      <w:r w:rsidR="00E9515B">
        <w:t> </w:t>
      </w:r>
      <w:r>
        <w:t>postępowaniu przed sądami administracyjnymi – Dz. U. z 2018 r. poz. 1302, z późn. zm.). Skargę wnosi się za</w:t>
      </w:r>
      <w:r w:rsidR="00E9515B">
        <w:t> </w:t>
      </w:r>
      <w:bookmarkStart w:id="1" w:name="_GoBack"/>
      <w:bookmarkEnd w:id="1"/>
      <w:r>
        <w:t>pośrednictwem Prezydenta m.st. Warszawy – Biuro Podatków i Egzekucji, ul. Obozowa 57, 01-161 Warszawa.</w:t>
      </w:r>
    </w:p>
    <w:sectPr w:rsidR="00B93D45" w:rsidRPr="002446D9" w:rsidSect="00321A76">
      <w:footerReference w:type="even" r:id="rId8"/>
      <w:footerReference w:type="default" r:id="rId9"/>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37" w:rsidRDefault="00150837">
      <w:r>
        <w:separator/>
      </w:r>
    </w:p>
  </w:endnote>
  <w:endnote w:type="continuationSeparator" w:id="0">
    <w:p w:rsidR="00150837" w:rsidRDefault="0015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793D" w:rsidRDefault="0053793D" w:rsidP="001B4C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p>
  <w:p w:rsidR="0053793D" w:rsidRPr="001B4CA9" w:rsidRDefault="0053793D" w:rsidP="00736CC5">
    <w:pPr>
      <w:contextualSpacing/>
      <w:jc w:val="right"/>
    </w:pPr>
    <w:r w:rsidRPr="001B4CA9">
      <w:t xml:space="preserve">Strona </w:t>
    </w:r>
    <w:r w:rsidRPr="001B4CA9">
      <w:fldChar w:fldCharType="begin"/>
    </w:r>
    <w:r w:rsidRPr="001B4CA9">
      <w:instrText xml:space="preserve"> PAGE </w:instrText>
    </w:r>
    <w:r w:rsidRPr="001B4CA9">
      <w:fldChar w:fldCharType="separate"/>
    </w:r>
    <w:r w:rsidR="00540EC6">
      <w:rPr>
        <w:noProof/>
      </w:rPr>
      <w:t>4</w:t>
    </w:r>
    <w:r w:rsidRPr="001B4CA9">
      <w:fldChar w:fldCharType="end"/>
    </w:r>
    <w:r w:rsidRPr="001B4CA9">
      <w:t xml:space="preserve"> z </w:t>
    </w:r>
    <w:fldSimple w:instr=" NUMPAGES ">
      <w:r w:rsidR="00540EC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37" w:rsidRDefault="00150837">
      <w:r>
        <w:separator/>
      </w:r>
    </w:p>
  </w:footnote>
  <w:footnote w:type="continuationSeparator" w:id="0">
    <w:p w:rsidR="00150837" w:rsidRDefault="00150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06E"/>
    <w:multiLevelType w:val="hybridMultilevel"/>
    <w:tmpl w:val="75AA6EDE"/>
    <w:lvl w:ilvl="0" w:tplc="C8C24BBA">
      <w:start w:val="2"/>
      <w:numFmt w:val="lowerLetter"/>
      <w:lvlText w:val="%1)"/>
      <w:lvlJc w:val="left"/>
      <w:pPr>
        <w:tabs>
          <w:tab w:val="num" w:pos="240"/>
        </w:tabs>
        <w:ind w:left="240" w:hanging="360"/>
      </w:pPr>
      <w:rPr>
        <w:rFonts w:hint="default"/>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 w15:restartNumberingAfterBreak="0">
    <w:nsid w:val="0EE51FA3"/>
    <w:multiLevelType w:val="hybridMultilevel"/>
    <w:tmpl w:val="F6F82A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4C406D"/>
    <w:multiLevelType w:val="hybridMultilevel"/>
    <w:tmpl w:val="53FC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B5C3FE7"/>
    <w:multiLevelType w:val="hybridMultilevel"/>
    <w:tmpl w:val="66788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DA4ECA"/>
    <w:multiLevelType w:val="hybridMultilevel"/>
    <w:tmpl w:val="A296EDF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 w15:restartNumberingAfterBreak="0">
    <w:nsid w:val="22E148DC"/>
    <w:multiLevelType w:val="hybridMultilevel"/>
    <w:tmpl w:val="F9223A1E"/>
    <w:lvl w:ilvl="0" w:tplc="84901CAA">
      <w:start w:val="2"/>
      <w:numFmt w:val="lowerLetter"/>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6" w15:restartNumberingAfterBreak="0">
    <w:nsid w:val="25723101"/>
    <w:multiLevelType w:val="hybridMultilevel"/>
    <w:tmpl w:val="2C2627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370870"/>
    <w:multiLevelType w:val="hybridMultilevel"/>
    <w:tmpl w:val="62302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A834B95"/>
    <w:multiLevelType w:val="hybridMultilevel"/>
    <w:tmpl w:val="272ADF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925077"/>
    <w:multiLevelType w:val="hybridMultilevel"/>
    <w:tmpl w:val="1C323236"/>
    <w:lvl w:ilvl="0" w:tplc="04150011">
      <w:start w:val="1"/>
      <w:numFmt w:val="decimal"/>
      <w:lvlText w:val="%1)"/>
      <w:lvlJc w:val="left"/>
      <w:pPr>
        <w:tabs>
          <w:tab w:val="num" w:pos="720"/>
        </w:tabs>
        <w:ind w:left="720" w:hanging="360"/>
      </w:pPr>
      <w:rPr>
        <w:rFonts w:hint="default"/>
      </w:rPr>
    </w:lvl>
    <w:lvl w:ilvl="1" w:tplc="AD704F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3E67866"/>
    <w:multiLevelType w:val="hybridMultilevel"/>
    <w:tmpl w:val="219E14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B175990"/>
    <w:multiLevelType w:val="hybridMultilevel"/>
    <w:tmpl w:val="E7B837B8"/>
    <w:lvl w:ilvl="0" w:tplc="02A25A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E617C28"/>
    <w:multiLevelType w:val="hybridMultilevel"/>
    <w:tmpl w:val="B45A5F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1442757"/>
    <w:multiLevelType w:val="hybridMultilevel"/>
    <w:tmpl w:val="35A2FC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90F2D15"/>
    <w:multiLevelType w:val="hybridMultilevel"/>
    <w:tmpl w:val="FECA4F00"/>
    <w:lvl w:ilvl="0" w:tplc="0415000F">
      <w:start w:val="1"/>
      <w:numFmt w:val="decimal"/>
      <w:lvlText w:val="%1."/>
      <w:lvlJc w:val="left"/>
      <w:pPr>
        <w:ind w:left="720" w:hanging="360"/>
      </w:pPr>
      <w:rPr>
        <w:rFonts w:hint="default"/>
      </w:rPr>
    </w:lvl>
    <w:lvl w:ilvl="1" w:tplc="1BE44C7C">
      <w:start w:val="1"/>
      <w:numFmt w:val="lowerLetter"/>
      <w:lvlText w:val="%2)"/>
      <w:lvlJc w:val="left"/>
      <w:pPr>
        <w:ind w:left="1440" w:hanging="360"/>
      </w:pPr>
      <w:rPr>
        <w:rFonts w:hint="default"/>
      </w:rPr>
    </w:lvl>
    <w:lvl w:ilvl="2" w:tplc="055E64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A00439"/>
    <w:multiLevelType w:val="hybridMultilevel"/>
    <w:tmpl w:val="1430CD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BBC4065"/>
    <w:multiLevelType w:val="hybridMultilevel"/>
    <w:tmpl w:val="1ED646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10"/>
  </w:num>
  <w:num w:numId="3">
    <w:abstractNumId w:val="12"/>
  </w:num>
  <w:num w:numId="4">
    <w:abstractNumId w:val="0"/>
  </w:num>
  <w:num w:numId="5">
    <w:abstractNumId w:val="7"/>
  </w:num>
  <w:num w:numId="6">
    <w:abstractNumId w:val="5"/>
  </w:num>
  <w:num w:numId="7">
    <w:abstractNumId w:val="11"/>
  </w:num>
  <w:num w:numId="8">
    <w:abstractNumId w:val="13"/>
  </w:num>
  <w:num w:numId="9">
    <w:abstractNumId w:val="9"/>
  </w:num>
  <w:num w:numId="10">
    <w:abstractNumId w:val="15"/>
  </w:num>
  <w:num w:numId="11">
    <w:abstractNumId w:val="2"/>
  </w:num>
  <w:num w:numId="12">
    <w:abstractNumId w:val="8"/>
  </w:num>
  <w:num w:numId="13">
    <w:abstractNumId w:val="3"/>
  </w:num>
  <w:num w:numId="14">
    <w:abstractNumId w:val="14"/>
  </w:num>
  <w:num w:numId="15">
    <w:abstractNumId w:val="1"/>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E"/>
    <w:rsid w:val="000008F6"/>
    <w:rsid w:val="000043CF"/>
    <w:rsid w:val="0000734D"/>
    <w:rsid w:val="000169C6"/>
    <w:rsid w:val="0002077A"/>
    <w:rsid w:val="000238A5"/>
    <w:rsid w:val="000314DE"/>
    <w:rsid w:val="000339E9"/>
    <w:rsid w:val="00034E7F"/>
    <w:rsid w:val="00037A2F"/>
    <w:rsid w:val="00047397"/>
    <w:rsid w:val="00052A12"/>
    <w:rsid w:val="00053F83"/>
    <w:rsid w:val="00054433"/>
    <w:rsid w:val="00063343"/>
    <w:rsid w:val="00067338"/>
    <w:rsid w:val="00074A9B"/>
    <w:rsid w:val="00077F45"/>
    <w:rsid w:val="0008143F"/>
    <w:rsid w:val="00091E69"/>
    <w:rsid w:val="00095A96"/>
    <w:rsid w:val="000A135C"/>
    <w:rsid w:val="000A1EF5"/>
    <w:rsid w:val="000A2046"/>
    <w:rsid w:val="000A3846"/>
    <w:rsid w:val="000A55A2"/>
    <w:rsid w:val="000A5627"/>
    <w:rsid w:val="000B4500"/>
    <w:rsid w:val="000B5C9D"/>
    <w:rsid w:val="000B7BB9"/>
    <w:rsid w:val="000C4938"/>
    <w:rsid w:val="000C5BC2"/>
    <w:rsid w:val="000D0803"/>
    <w:rsid w:val="000E35D2"/>
    <w:rsid w:val="000E72AF"/>
    <w:rsid w:val="000F2B67"/>
    <w:rsid w:val="00101EEB"/>
    <w:rsid w:val="00125B1A"/>
    <w:rsid w:val="00130032"/>
    <w:rsid w:val="00131814"/>
    <w:rsid w:val="00136FCE"/>
    <w:rsid w:val="00137AF0"/>
    <w:rsid w:val="001400F4"/>
    <w:rsid w:val="00143BF8"/>
    <w:rsid w:val="0015027F"/>
    <w:rsid w:val="00150837"/>
    <w:rsid w:val="00152096"/>
    <w:rsid w:val="001545B5"/>
    <w:rsid w:val="00155700"/>
    <w:rsid w:val="00156058"/>
    <w:rsid w:val="001568D9"/>
    <w:rsid w:val="00177DD2"/>
    <w:rsid w:val="001803C7"/>
    <w:rsid w:val="001A0E79"/>
    <w:rsid w:val="001A159C"/>
    <w:rsid w:val="001A2B72"/>
    <w:rsid w:val="001A3978"/>
    <w:rsid w:val="001A6AFD"/>
    <w:rsid w:val="001B4CA9"/>
    <w:rsid w:val="001C453C"/>
    <w:rsid w:val="001D5FDF"/>
    <w:rsid w:val="001D6336"/>
    <w:rsid w:val="001E2FF0"/>
    <w:rsid w:val="00202187"/>
    <w:rsid w:val="002048BF"/>
    <w:rsid w:val="00205525"/>
    <w:rsid w:val="002065FA"/>
    <w:rsid w:val="002172CF"/>
    <w:rsid w:val="002446D9"/>
    <w:rsid w:val="00250E93"/>
    <w:rsid w:val="0025562F"/>
    <w:rsid w:val="00257E56"/>
    <w:rsid w:val="00262534"/>
    <w:rsid w:val="0026379A"/>
    <w:rsid w:val="002720FF"/>
    <w:rsid w:val="00276B80"/>
    <w:rsid w:val="0027775A"/>
    <w:rsid w:val="00280AE1"/>
    <w:rsid w:val="0028285E"/>
    <w:rsid w:val="00283524"/>
    <w:rsid w:val="002835DC"/>
    <w:rsid w:val="0029257E"/>
    <w:rsid w:val="00294EBE"/>
    <w:rsid w:val="002A00FB"/>
    <w:rsid w:val="002A5B4C"/>
    <w:rsid w:val="002B1B86"/>
    <w:rsid w:val="002C4C41"/>
    <w:rsid w:val="002C5816"/>
    <w:rsid w:val="002D03DC"/>
    <w:rsid w:val="002D58C3"/>
    <w:rsid w:val="002D769C"/>
    <w:rsid w:val="002E3E43"/>
    <w:rsid w:val="002F4EC4"/>
    <w:rsid w:val="00304FF0"/>
    <w:rsid w:val="00307D79"/>
    <w:rsid w:val="00311396"/>
    <w:rsid w:val="0031210B"/>
    <w:rsid w:val="003148CE"/>
    <w:rsid w:val="00316C89"/>
    <w:rsid w:val="003202F0"/>
    <w:rsid w:val="00321A76"/>
    <w:rsid w:val="003231CD"/>
    <w:rsid w:val="00323261"/>
    <w:rsid w:val="003240C2"/>
    <w:rsid w:val="00331EEA"/>
    <w:rsid w:val="0033673C"/>
    <w:rsid w:val="0036069D"/>
    <w:rsid w:val="00370CC6"/>
    <w:rsid w:val="00370D01"/>
    <w:rsid w:val="00371EE5"/>
    <w:rsid w:val="003737D0"/>
    <w:rsid w:val="00375D7F"/>
    <w:rsid w:val="003776F9"/>
    <w:rsid w:val="00380FCD"/>
    <w:rsid w:val="00383F3D"/>
    <w:rsid w:val="0038477D"/>
    <w:rsid w:val="00384D83"/>
    <w:rsid w:val="00391E4A"/>
    <w:rsid w:val="00394BC7"/>
    <w:rsid w:val="003A174C"/>
    <w:rsid w:val="003A7A9B"/>
    <w:rsid w:val="003B19C9"/>
    <w:rsid w:val="003C02CB"/>
    <w:rsid w:val="003C3AE1"/>
    <w:rsid w:val="003C4BF7"/>
    <w:rsid w:val="003C5248"/>
    <w:rsid w:val="003D3F91"/>
    <w:rsid w:val="003D4320"/>
    <w:rsid w:val="003D717D"/>
    <w:rsid w:val="003F1010"/>
    <w:rsid w:val="003F4DAA"/>
    <w:rsid w:val="003F59B1"/>
    <w:rsid w:val="004008E4"/>
    <w:rsid w:val="00423485"/>
    <w:rsid w:val="004248F6"/>
    <w:rsid w:val="00425A69"/>
    <w:rsid w:val="0043185D"/>
    <w:rsid w:val="00434530"/>
    <w:rsid w:val="0043608E"/>
    <w:rsid w:val="00440649"/>
    <w:rsid w:val="00443C8F"/>
    <w:rsid w:val="004570F9"/>
    <w:rsid w:val="00457964"/>
    <w:rsid w:val="00461414"/>
    <w:rsid w:val="004643D0"/>
    <w:rsid w:val="00464876"/>
    <w:rsid w:val="00464C89"/>
    <w:rsid w:val="004701E6"/>
    <w:rsid w:val="00470FBC"/>
    <w:rsid w:val="00480BFF"/>
    <w:rsid w:val="00487D11"/>
    <w:rsid w:val="0049192B"/>
    <w:rsid w:val="004921E9"/>
    <w:rsid w:val="004932AD"/>
    <w:rsid w:val="00493EDA"/>
    <w:rsid w:val="004A4CFF"/>
    <w:rsid w:val="004A60A0"/>
    <w:rsid w:val="004B69A0"/>
    <w:rsid w:val="004C215A"/>
    <w:rsid w:val="004D07C3"/>
    <w:rsid w:val="004E6DBF"/>
    <w:rsid w:val="004F04AA"/>
    <w:rsid w:val="0050480E"/>
    <w:rsid w:val="00505A45"/>
    <w:rsid w:val="00505B25"/>
    <w:rsid w:val="00507AC7"/>
    <w:rsid w:val="00513EF0"/>
    <w:rsid w:val="00515183"/>
    <w:rsid w:val="00524194"/>
    <w:rsid w:val="0052620A"/>
    <w:rsid w:val="005340C2"/>
    <w:rsid w:val="0053525E"/>
    <w:rsid w:val="0053793D"/>
    <w:rsid w:val="00540605"/>
    <w:rsid w:val="00540EC6"/>
    <w:rsid w:val="005417E2"/>
    <w:rsid w:val="00543860"/>
    <w:rsid w:val="005447F7"/>
    <w:rsid w:val="00544B0D"/>
    <w:rsid w:val="005516EA"/>
    <w:rsid w:val="00564FB6"/>
    <w:rsid w:val="00572E3F"/>
    <w:rsid w:val="00574269"/>
    <w:rsid w:val="00574635"/>
    <w:rsid w:val="00575EB5"/>
    <w:rsid w:val="00581D71"/>
    <w:rsid w:val="005822F8"/>
    <w:rsid w:val="00583B25"/>
    <w:rsid w:val="00593CFD"/>
    <w:rsid w:val="0059712A"/>
    <w:rsid w:val="005A0D26"/>
    <w:rsid w:val="005B704F"/>
    <w:rsid w:val="005D2E26"/>
    <w:rsid w:val="005D2FDA"/>
    <w:rsid w:val="005E3F05"/>
    <w:rsid w:val="005E78DC"/>
    <w:rsid w:val="005F5094"/>
    <w:rsid w:val="005F5B16"/>
    <w:rsid w:val="00606E46"/>
    <w:rsid w:val="00610080"/>
    <w:rsid w:val="00612398"/>
    <w:rsid w:val="006200F4"/>
    <w:rsid w:val="00620500"/>
    <w:rsid w:val="0062130D"/>
    <w:rsid w:val="00626622"/>
    <w:rsid w:val="0063060D"/>
    <w:rsid w:val="00631879"/>
    <w:rsid w:val="00635AFA"/>
    <w:rsid w:val="006404F1"/>
    <w:rsid w:val="006468A0"/>
    <w:rsid w:val="006517F3"/>
    <w:rsid w:val="00661793"/>
    <w:rsid w:val="00666C1F"/>
    <w:rsid w:val="00671D47"/>
    <w:rsid w:val="00680B04"/>
    <w:rsid w:val="00682143"/>
    <w:rsid w:val="00685DDB"/>
    <w:rsid w:val="006935C7"/>
    <w:rsid w:val="006A02B1"/>
    <w:rsid w:val="006B3ACB"/>
    <w:rsid w:val="006C3308"/>
    <w:rsid w:val="006C46AC"/>
    <w:rsid w:val="006C7947"/>
    <w:rsid w:val="006D470B"/>
    <w:rsid w:val="006D5FE4"/>
    <w:rsid w:val="006E6A63"/>
    <w:rsid w:val="006E7099"/>
    <w:rsid w:val="006E7B6A"/>
    <w:rsid w:val="006F4EEF"/>
    <w:rsid w:val="00700E72"/>
    <w:rsid w:val="0070448E"/>
    <w:rsid w:val="00704509"/>
    <w:rsid w:val="00713F7A"/>
    <w:rsid w:val="007158D3"/>
    <w:rsid w:val="00716E94"/>
    <w:rsid w:val="00726804"/>
    <w:rsid w:val="0072728E"/>
    <w:rsid w:val="00732FEE"/>
    <w:rsid w:val="00736CC5"/>
    <w:rsid w:val="0074079E"/>
    <w:rsid w:val="00746226"/>
    <w:rsid w:val="007475F5"/>
    <w:rsid w:val="0075590D"/>
    <w:rsid w:val="00762BFC"/>
    <w:rsid w:val="00765CA6"/>
    <w:rsid w:val="00765E62"/>
    <w:rsid w:val="00771AB5"/>
    <w:rsid w:val="007811F8"/>
    <w:rsid w:val="007813B8"/>
    <w:rsid w:val="0079186A"/>
    <w:rsid w:val="00791CDD"/>
    <w:rsid w:val="00793F93"/>
    <w:rsid w:val="00796EA2"/>
    <w:rsid w:val="007974D5"/>
    <w:rsid w:val="007975AE"/>
    <w:rsid w:val="007B09AD"/>
    <w:rsid w:val="007B1817"/>
    <w:rsid w:val="007B2FE8"/>
    <w:rsid w:val="007B3DB4"/>
    <w:rsid w:val="007B486A"/>
    <w:rsid w:val="007B6279"/>
    <w:rsid w:val="007B76D0"/>
    <w:rsid w:val="007C0EF6"/>
    <w:rsid w:val="007C3B78"/>
    <w:rsid w:val="007D7FA0"/>
    <w:rsid w:val="007E77A9"/>
    <w:rsid w:val="00803FA8"/>
    <w:rsid w:val="00805B17"/>
    <w:rsid w:val="008100F9"/>
    <w:rsid w:val="00812B80"/>
    <w:rsid w:val="0081381A"/>
    <w:rsid w:val="0081472E"/>
    <w:rsid w:val="00820583"/>
    <w:rsid w:val="008241E2"/>
    <w:rsid w:val="00825F42"/>
    <w:rsid w:val="00830ECE"/>
    <w:rsid w:val="008331B1"/>
    <w:rsid w:val="008378C0"/>
    <w:rsid w:val="008400F2"/>
    <w:rsid w:val="00841763"/>
    <w:rsid w:val="00841903"/>
    <w:rsid w:val="00844B30"/>
    <w:rsid w:val="00847F10"/>
    <w:rsid w:val="00853BDC"/>
    <w:rsid w:val="00857EDA"/>
    <w:rsid w:val="00865706"/>
    <w:rsid w:val="00875D90"/>
    <w:rsid w:val="00880C9A"/>
    <w:rsid w:val="00884128"/>
    <w:rsid w:val="008874D1"/>
    <w:rsid w:val="0089276A"/>
    <w:rsid w:val="008A0FA9"/>
    <w:rsid w:val="008B50D2"/>
    <w:rsid w:val="008B6AE8"/>
    <w:rsid w:val="008B71EB"/>
    <w:rsid w:val="008C229E"/>
    <w:rsid w:val="008C7B0F"/>
    <w:rsid w:val="008D13B1"/>
    <w:rsid w:val="008D235F"/>
    <w:rsid w:val="008D5525"/>
    <w:rsid w:val="008D6FD1"/>
    <w:rsid w:val="008D796E"/>
    <w:rsid w:val="008E2AB9"/>
    <w:rsid w:val="008E523D"/>
    <w:rsid w:val="008E67E7"/>
    <w:rsid w:val="008F0E3D"/>
    <w:rsid w:val="008F5109"/>
    <w:rsid w:val="00902FFD"/>
    <w:rsid w:val="00905562"/>
    <w:rsid w:val="00922D73"/>
    <w:rsid w:val="00923BB0"/>
    <w:rsid w:val="00925070"/>
    <w:rsid w:val="009320C1"/>
    <w:rsid w:val="00933875"/>
    <w:rsid w:val="00935B04"/>
    <w:rsid w:val="00941569"/>
    <w:rsid w:val="00943DE5"/>
    <w:rsid w:val="0095092B"/>
    <w:rsid w:val="00975461"/>
    <w:rsid w:val="00977BBE"/>
    <w:rsid w:val="00977FD9"/>
    <w:rsid w:val="009815DC"/>
    <w:rsid w:val="009844FD"/>
    <w:rsid w:val="00984EB8"/>
    <w:rsid w:val="009A34C0"/>
    <w:rsid w:val="009A5FF2"/>
    <w:rsid w:val="009B0B91"/>
    <w:rsid w:val="009B43DE"/>
    <w:rsid w:val="009C0828"/>
    <w:rsid w:val="009C58C9"/>
    <w:rsid w:val="009C762D"/>
    <w:rsid w:val="009D56EE"/>
    <w:rsid w:val="009F1546"/>
    <w:rsid w:val="009F1CAE"/>
    <w:rsid w:val="009F4D24"/>
    <w:rsid w:val="00A01DF1"/>
    <w:rsid w:val="00A01EDB"/>
    <w:rsid w:val="00A05C40"/>
    <w:rsid w:val="00A10C00"/>
    <w:rsid w:val="00A12208"/>
    <w:rsid w:val="00A12CB6"/>
    <w:rsid w:val="00A14F4F"/>
    <w:rsid w:val="00A20272"/>
    <w:rsid w:val="00A3183C"/>
    <w:rsid w:val="00A33605"/>
    <w:rsid w:val="00A449E4"/>
    <w:rsid w:val="00A47876"/>
    <w:rsid w:val="00A47EE6"/>
    <w:rsid w:val="00A57638"/>
    <w:rsid w:val="00A66AB0"/>
    <w:rsid w:val="00A6764E"/>
    <w:rsid w:val="00A7282F"/>
    <w:rsid w:val="00A740F0"/>
    <w:rsid w:val="00A74701"/>
    <w:rsid w:val="00A83457"/>
    <w:rsid w:val="00A83555"/>
    <w:rsid w:val="00A85850"/>
    <w:rsid w:val="00A875B7"/>
    <w:rsid w:val="00A90DD6"/>
    <w:rsid w:val="00AB081A"/>
    <w:rsid w:val="00AB29D9"/>
    <w:rsid w:val="00AB5BBB"/>
    <w:rsid w:val="00AC20A4"/>
    <w:rsid w:val="00AC4DC2"/>
    <w:rsid w:val="00AC7694"/>
    <w:rsid w:val="00AD3993"/>
    <w:rsid w:val="00AF540E"/>
    <w:rsid w:val="00B00EF1"/>
    <w:rsid w:val="00B0340E"/>
    <w:rsid w:val="00B22D46"/>
    <w:rsid w:val="00B24118"/>
    <w:rsid w:val="00B24647"/>
    <w:rsid w:val="00B30974"/>
    <w:rsid w:val="00B30E18"/>
    <w:rsid w:val="00B35530"/>
    <w:rsid w:val="00B4291D"/>
    <w:rsid w:val="00B46FA0"/>
    <w:rsid w:val="00B476E8"/>
    <w:rsid w:val="00B544F0"/>
    <w:rsid w:val="00B5700E"/>
    <w:rsid w:val="00B574C7"/>
    <w:rsid w:val="00B73B28"/>
    <w:rsid w:val="00B777CB"/>
    <w:rsid w:val="00B832B3"/>
    <w:rsid w:val="00B90ECF"/>
    <w:rsid w:val="00B93A48"/>
    <w:rsid w:val="00B93D45"/>
    <w:rsid w:val="00BA61DC"/>
    <w:rsid w:val="00BA73CA"/>
    <w:rsid w:val="00BA784F"/>
    <w:rsid w:val="00BB3330"/>
    <w:rsid w:val="00BC0F41"/>
    <w:rsid w:val="00BC788B"/>
    <w:rsid w:val="00BD77C9"/>
    <w:rsid w:val="00BE60AE"/>
    <w:rsid w:val="00BE6BD3"/>
    <w:rsid w:val="00BE7BE3"/>
    <w:rsid w:val="00BE7F98"/>
    <w:rsid w:val="00BF00F5"/>
    <w:rsid w:val="00BF1725"/>
    <w:rsid w:val="00BF42F3"/>
    <w:rsid w:val="00BF492E"/>
    <w:rsid w:val="00BF7821"/>
    <w:rsid w:val="00C011FA"/>
    <w:rsid w:val="00C07973"/>
    <w:rsid w:val="00C101C7"/>
    <w:rsid w:val="00C10DB2"/>
    <w:rsid w:val="00C160BC"/>
    <w:rsid w:val="00C2386C"/>
    <w:rsid w:val="00C3029E"/>
    <w:rsid w:val="00C32153"/>
    <w:rsid w:val="00C35907"/>
    <w:rsid w:val="00C3799D"/>
    <w:rsid w:val="00C43B91"/>
    <w:rsid w:val="00C4450F"/>
    <w:rsid w:val="00C44EDB"/>
    <w:rsid w:val="00C51B57"/>
    <w:rsid w:val="00C5689F"/>
    <w:rsid w:val="00C63E65"/>
    <w:rsid w:val="00C73233"/>
    <w:rsid w:val="00C80606"/>
    <w:rsid w:val="00C80AE7"/>
    <w:rsid w:val="00C82C96"/>
    <w:rsid w:val="00C87ABF"/>
    <w:rsid w:val="00C97A06"/>
    <w:rsid w:val="00CA1BF8"/>
    <w:rsid w:val="00CA3270"/>
    <w:rsid w:val="00CC0367"/>
    <w:rsid w:val="00CC4938"/>
    <w:rsid w:val="00CD0A81"/>
    <w:rsid w:val="00CD30C4"/>
    <w:rsid w:val="00CD718C"/>
    <w:rsid w:val="00CE04BF"/>
    <w:rsid w:val="00CE6FAC"/>
    <w:rsid w:val="00CF13CA"/>
    <w:rsid w:val="00D01579"/>
    <w:rsid w:val="00D15440"/>
    <w:rsid w:val="00D36F7B"/>
    <w:rsid w:val="00D37B0F"/>
    <w:rsid w:val="00D426B5"/>
    <w:rsid w:val="00D42BD2"/>
    <w:rsid w:val="00D43718"/>
    <w:rsid w:val="00D47B75"/>
    <w:rsid w:val="00D515B5"/>
    <w:rsid w:val="00D558B7"/>
    <w:rsid w:val="00D62DB6"/>
    <w:rsid w:val="00D65FE0"/>
    <w:rsid w:val="00D77231"/>
    <w:rsid w:val="00D84E1C"/>
    <w:rsid w:val="00D871CB"/>
    <w:rsid w:val="00D90C32"/>
    <w:rsid w:val="00D92F8D"/>
    <w:rsid w:val="00D947D1"/>
    <w:rsid w:val="00D96D89"/>
    <w:rsid w:val="00D96F3C"/>
    <w:rsid w:val="00D96F48"/>
    <w:rsid w:val="00DA0D9E"/>
    <w:rsid w:val="00DB2E8F"/>
    <w:rsid w:val="00DB413D"/>
    <w:rsid w:val="00DB7E0F"/>
    <w:rsid w:val="00DC2B2F"/>
    <w:rsid w:val="00DC5F7E"/>
    <w:rsid w:val="00DC6B48"/>
    <w:rsid w:val="00DD168C"/>
    <w:rsid w:val="00DE4061"/>
    <w:rsid w:val="00DE5306"/>
    <w:rsid w:val="00DF0C07"/>
    <w:rsid w:val="00DF1BC4"/>
    <w:rsid w:val="00DF6D63"/>
    <w:rsid w:val="00E037BB"/>
    <w:rsid w:val="00E0445B"/>
    <w:rsid w:val="00E07AEB"/>
    <w:rsid w:val="00E11862"/>
    <w:rsid w:val="00E33D34"/>
    <w:rsid w:val="00E360A5"/>
    <w:rsid w:val="00E36E76"/>
    <w:rsid w:val="00E53223"/>
    <w:rsid w:val="00E532EE"/>
    <w:rsid w:val="00E5521F"/>
    <w:rsid w:val="00E64114"/>
    <w:rsid w:val="00E862C7"/>
    <w:rsid w:val="00E912AD"/>
    <w:rsid w:val="00E9515B"/>
    <w:rsid w:val="00E9650E"/>
    <w:rsid w:val="00E9778C"/>
    <w:rsid w:val="00EA7554"/>
    <w:rsid w:val="00EB780E"/>
    <w:rsid w:val="00EC38B2"/>
    <w:rsid w:val="00EC5B39"/>
    <w:rsid w:val="00EC66F1"/>
    <w:rsid w:val="00EC689A"/>
    <w:rsid w:val="00ED3325"/>
    <w:rsid w:val="00ED3AE6"/>
    <w:rsid w:val="00ED69D2"/>
    <w:rsid w:val="00ED6CBB"/>
    <w:rsid w:val="00EE10B7"/>
    <w:rsid w:val="00EE3553"/>
    <w:rsid w:val="00EE5F26"/>
    <w:rsid w:val="00EE7F1E"/>
    <w:rsid w:val="00EF04B2"/>
    <w:rsid w:val="00EF2337"/>
    <w:rsid w:val="00EF2852"/>
    <w:rsid w:val="00EF4FBD"/>
    <w:rsid w:val="00F1036E"/>
    <w:rsid w:val="00F2319D"/>
    <w:rsid w:val="00F2686E"/>
    <w:rsid w:val="00F413D4"/>
    <w:rsid w:val="00F434EE"/>
    <w:rsid w:val="00F470B7"/>
    <w:rsid w:val="00F515B7"/>
    <w:rsid w:val="00F56BF4"/>
    <w:rsid w:val="00F607ED"/>
    <w:rsid w:val="00F60E93"/>
    <w:rsid w:val="00F86A12"/>
    <w:rsid w:val="00FA1043"/>
    <w:rsid w:val="00FA1A78"/>
    <w:rsid w:val="00FA3494"/>
    <w:rsid w:val="00FA768B"/>
    <w:rsid w:val="00FB3759"/>
    <w:rsid w:val="00FB57E0"/>
    <w:rsid w:val="00FB6E0B"/>
    <w:rsid w:val="00FB7D85"/>
    <w:rsid w:val="00FC1A48"/>
    <w:rsid w:val="00FC2B1C"/>
    <w:rsid w:val="00FC31D1"/>
    <w:rsid w:val="00FD0753"/>
    <w:rsid w:val="00FD2F8D"/>
    <w:rsid w:val="00FE1E4F"/>
    <w:rsid w:val="00FE6024"/>
    <w:rsid w:val="00FF1E39"/>
    <w:rsid w:val="00FF203C"/>
    <w:rsid w:val="00FF3C51"/>
    <w:rsid w:val="00FF46E8"/>
    <w:rsid w:val="00FF6C95"/>
    <w:rsid w:val="00FF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D346B"/>
  <w15:chartTrackingRefBased/>
  <w15:docId w15:val="{01687003-C65F-4865-8C3E-CBDD52A2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6CC5"/>
    <w:pPr>
      <w:overflowPunct w:val="0"/>
      <w:autoSpaceDE w:val="0"/>
      <w:autoSpaceDN w:val="0"/>
      <w:adjustRightInd w:val="0"/>
      <w:spacing w:after="240" w:line="300" w:lineRule="auto"/>
    </w:pPr>
    <w:rPr>
      <w:rFonts w:ascii="Calibri" w:hAnsi="Calibri"/>
      <w:sz w:val="22"/>
    </w:rPr>
  </w:style>
  <w:style w:type="paragraph" w:styleId="Nagwek1">
    <w:name w:val="heading 1"/>
    <w:basedOn w:val="Normalny"/>
    <w:qFormat/>
    <w:rsid w:val="00736CC5"/>
    <w:pPr>
      <w:spacing w:before="720"/>
      <w:ind w:left="369" w:hanging="369"/>
      <w:outlineLvl w:val="0"/>
    </w:pPr>
    <w:rPr>
      <w:b/>
      <w:sz w:val="28"/>
    </w:rPr>
  </w:style>
  <w:style w:type="paragraph" w:styleId="Nagwek4">
    <w:name w:val="heading 4"/>
    <w:basedOn w:val="Normalny"/>
    <w:next w:val="Normalny"/>
    <w:qFormat/>
    <w:rsid w:val="00736CC5"/>
    <w:pPr>
      <w:keepNext/>
      <w:outlineLvl w:val="3"/>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7">
    <w:name w:val="Table Grid 7"/>
    <w:basedOn w:val="Standardowy"/>
    <w:rsid w:val="00B93D45"/>
    <w:pPr>
      <w:overflowPunct w:val="0"/>
      <w:autoSpaceDE w:val="0"/>
      <w:autoSpaceDN w:val="0"/>
      <w:adjustRightInd w:val="0"/>
      <w:spacing w:after="120" w:line="3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lasyczny1">
    <w:name w:val="Table Classic 1"/>
    <w:basedOn w:val="Standardowy"/>
    <w:rsid w:val="009F1CAE"/>
    <w:pPr>
      <w:overflowPunct w:val="0"/>
      <w:autoSpaceDE w:val="0"/>
      <w:autoSpaceDN w:val="0"/>
      <w:adjustRightInd w:val="0"/>
      <w:spacing w:after="120" w:line="3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nyWeb">
    <w:name w:val="Normal (Web)"/>
    <w:basedOn w:val="Normalny"/>
    <w:uiPriority w:val="99"/>
    <w:rsid w:val="00B73B28"/>
    <w:pPr>
      <w:overflowPunct/>
      <w:autoSpaceDE/>
      <w:autoSpaceDN/>
      <w:adjustRightInd/>
      <w:spacing w:before="100" w:beforeAutospacing="1" w:after="100" w:afterAutospacing="1" w:line="240" w:lineRule="auto"/>
    </w:pPr>
    <w:rPr>
      <w:rFonts w:ascii="Times New Roman" w:hAnsi="Times New Roman"/>
      <w:sz w:val="24"/>
      <w:szCs w:val="24"/>
    </w:rPr>
  </w:style>
  <w:style w:type="paragraph" w:styleId="Stopka">
    <w:name w:val="footer"/>
    <w:basedOn w:val="Normalny"/>
    <w:rsid w:val="001B4CA9"/>
    <w:pPr>
      <w:tabs>
        <w:tab w:val="center" w:pos="4536"/>
        <w:tab w:val="right" w:pos="9072"/>
      </w:tabs>
    </w:pPr>
  </w:style>
  <w:style w:type="character" w:styleId="Numerstrony">
    <w:name w:val="page number"/>
    <w:basedOn w:val="Domylnaczcionkaakapitu"/>
    <w:rsid w:val="001B4CA9"/>
  </w:style>
  <w:style w:type="paragraph" w:styleId="Nagwek">
    <w:name w:val="header"/>
    <w:basedOn w:val="Normalny"/>
    <w:rsid w:val="001B4CA9"/>
    <w:pPr>
      <w:tabs>
        <w:tab w:val="center" w:pos="4536"/>
        <w:tab w:val="right" w:pos="9072"/>
      </w:tabs>
    </w:pPr>
  </w:style>
  <w:style w:type="character" w:customStyle="1" w:styleId="tabulatory">
    <w:name w:val="tabulatory"/>
    <w:basedOn w:val="Domylnaczcionkaakapitu"/>
    <w:rsid w:val="00FB6E0B"/>
  </w:style>
  <w:style w:type="character" w:styleId="Hipercze">
    <w:name w:val="Hyperlink"/>
    <w:rsid w:val="00FB6E0B"/>
    <w:rPr>
      <w:color w:val="0000FF"/>
      <w:u w:val="single"/>
    </w:rPr>
  </w:style>
  <w:style w:type="character" w:customStyle="1" w:styleId="highlight1">
    <w:name w:val="highlight1"/>
    <w:rsid w:val="002048BF"/>
    <w:rPr>
      <w:b/>
      <w:bCs/>
    </w:rPr>
  </w:style>
  <w:style w:type="paragraph" w:styleId="Tekstprzypisukocowego">
    <w:name w:val="endnote text"/>
    <w:basedOn w:val="Normalny"/>
    <w:semiHidden/>
    <w:rsid w:val="000A55A2"/>
    <w:rPr>
      <w:sz w:val="20"/>
    </w:rPr>
  </w:style>
  <w:style w:type="character" w:styleId="Odwoanieprzypisukocowego">
    <w:name w:val="endnote reference"/>
    <w:semiHidden/>
    <w:rsid w:val="000A55A2"/>
    <w:rPr>
      <w:vertAlign w:val="superscript"/>
    </w:rPr>
  </w:style>
  <w:style w:type="character" w:customStyle="1" w:styleId="luchili">
    <w:name w:val="luc_hili"/>
    <w:rsid w:val="00FA1A78"/>
  </w:style>
  <w:style w:type="paragraph" w:styleId="Tekstdymka">
    <w:name w:val="Balloon Text"/>
    <w:basedOn w:val="Normalny"/>
    <w:link w:val="TekstdymkaZnak"/>
    <w:rsid w:val="004A60A0"/>
    <w:pPr>
      <w:spacing w:after="0" w:line="240" w:lineRule="auto"/>
    </w:pPr>
    <w:rPr>
      <w:rFonts w:ascii="Segoe UI" w:hAnsi="Segoe UI" w:cs="Segoe UI"/>
      <w:sz w:val="18"/>
      <w:szCs w:val="18"/>
    </w:rPr>
  </w:style>
  <w:style w:type="character" w:customStyle="1" w:styleId="TekstdymkaZnak">
    <w:name w:val="Tekst dymka Znak"/>
    <w:link w:val="Tekstdymka"/>
    <w:rsid w:val="004A60A0"/>
    <w:rPr>
      <w:rFonts w:ascii="Segoe UI" w:hAnsi="Segoe UI" w:cs="Segoe UI"/>
      <w:sz w:val="18"/>
      <w:szCs w:val="18"/>
    </w:rPr>
  </w:style>
  <w:style w:type="character" w:customStyle="1" w:styleId="navl1">
    <w:name w:val="navl1"/>
    <w:rsid w:val="005A0D26"/>
    <w:rPr>
      <w:sz w:val="20"/>
      <w:szCs w:val="20"/>
    </w:rPr>
  </w:style>
  <w:style w:type="character" w:customStyle="1" w:styleId="warheader1">
    <w:name w:val="war_header1"/>
    <w:rsid w:val="005A0D26"/>
    <w:rPr>
      <w:b/>
      <w:bCs/>
      <w:sz w:val="29"/>
      <w:szCs w:val="29"/>
    </w:rPr>
  </w:style>
  <w:style w:type="paragraph" w:styleId="Bezodstpw">
    <w:name w:val="No Spacing"/>
    <w:uiPriority w:val="1"/>
    <w:qFormat/>
    <w:rsid w:val="0089276A"/>
    <w:pPr>
      <w:overflowPunct w:val="0"/>
      <w:autoSpaceDE w:val="0"/>
      <w:autoSpaceDN w:val="0"/>
      <w:adjustRightInd w:val="0"/>
      <w:jc w:val="both"/>
    </w:pPr>
    <w:rPr>
      <w:rFonts w:ascii="Times New Roman PL" w:hAnsi="Times New Roman PL"/>
      <w:sz w:val="26"/>
    </w:rPr>
  </w:style>
  <w:style w:type="paragraph" w:styleId="Cytat">
    <w:name w:val="Quote"/>
    <w:basedOn w:val="Normalny"/>
    <w:next w:val="Normalny"/>
    <w:link w:val="CytatZnak"/>
    <w:uiPriority w:val="29"/>
    <w:qFormat/>
    <w:rsid w:val="008F5109"/>
    <w:pPr>
      <w:spacing w:before="200" w:after="160"/>
      <w:ind w:left="864" w:right="864"/>
      <w:jc w:val="center"/>
    </w:pPr>
    <w:rPr>
      <w:i/>
      <w:iCs/>
      <w:color w:val="404040"/>
    </w:rPr>
  </w:style>
  <w:style w:type="character" w:customStyle="1" w:styleId="CytatZnak">
    <w:name w:val="Cytat Znak"/>
    <w:link w:val="Cytat"/>
    <w:uiPriority w:val="29"/>
    <w:rsid w:val="008F5109"/>
    <w:rPr>
      <w:rFonts w:ascii="Times New Roman PL" w:hAnsi="Times New Roman PL"/>
      <w:i/>
      <w:iCs/>
      <w:color w:val="404040"/>
      <w:sz w:val="26"/>
    </w:rPr>
  </w:style>
  <w:style w:type="paragraph" w:styleId="Akapitzlist">
    <w:name w:val="List Paragraph"/>
    <w:basedOn w:val="Normalny"/>
    <w:uiPriority w:val="34"/>
    <w:qFormat/>
    <w:rsid w:val="00631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260">
      <w:bodyDiv w:val="1"/>
      <w:marLeft w:val="0"/>
      <w:marRight w:val="0"/>
      <w:marTop w:val="0"/>
      <w:marBottom w:val="0"/>
      <w:divBdr>
        <w:top w:val="none" w:sz="0" w:space="0" w:color="auto"/>
        <w:left w:val="none" w:sz="0" w:space="0" w:color="auto"/>
        <w:bottom w:val="none" w:sz="0" w:space="0" w:color="auto"/>
        <w:right w:val="none" w:sz="0" w:space="0" w:color="auto"/>
      </w:divBdr>
      <w:divsChild>
        <w:div w:id="746000655">
          <w:marLeft w:val="0"/>
          <w:marRight w:val="0"/>
          <w:marTop w:val="0"/>
          <w:marBottom w:val="0"/>
          <w:divBdr>
            <w:top w:val="none" w:sz="0" w:space="0" w:color="auto"/>
            <w:left w:val="none" w:sz="0" w:space="0" w:color="auto"/>
            <w:bottom w:val="none" w:sz="0" w:space="0" w:color="auto"/>
            <w:right w:val="none" w:sz="0" w:space="0" w:color="auto"/>
          </w:divBdr>
          <w:divsChild>
            <w:div w:id="134226661">
              <w:marLeft w:val="0"/>
              <w:marRight w:val="0"/>
              <w:marTop w:val="0"/>
              <w:marBottom w:val="0"/>
              <w:divBdr>
                <w:top w:val="none" w:sz="0" w:space="0" w:color="auto"/>
                <w:left w:val="none" w:sz="0" w:space="0" w:color="auto"/>
                <w:bottom w:val="none" w:sz="0" w:space="0" w:color="auto"/>
                <w:right w:val="none" w:sz="0" w:space="0" w:color="auto"/>
              </w:divBdr>
              <w:divsChild>
                <w:div w:id="641811094">
                  <w:marLeft w:val="0"/>
                  <w:marRight w:val="0"/>
                  <w:marTop w:val="0"/>
                  <w:marBottom w:val="0"/>
                  <w:divBdr>
                    <w:top w:val="none" w:sz="0" w:space="0" w:color="auto"/>
                    <w:left w:val="none" w:sz="0" w:space="0" w:color="auto"/>
                    <w:bottom w:val="none" w:sz="0" w:space="0" w:color="auto"/>
                    <w:right w:val="none" w:sz="0" w:space="0" w:color="auto"/>
                  </w:divBdr>
                </w:div>
                <w:div w:id="1134713777">
                  <w:marLeft w:val="0"/>
                  <w:marRight w:val="0"/>
                  <w:marTop w:val="0"/>
                  <w:marBottom w:val="0"/>
                  <w:divBdr>
                    <w:top w:val="none" w:sz="0" w:space="0" w:color="auto"/>
                    <w:left w:val="none" w:sz="0" w:space="0" w:color="auto"/>
                    <w:bottom w:val="none" w:sz="0" w:space="0" w:color="auto"/>
                    <w:right w:val="none" w:sz="0" w:space="0" w:color="auto"/>
                  </w:divBdr>
                </w:div>
                <w:div w:id="212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5789">
      <w:bodyDiv w:val="1"/>
      <w:marLeft w:val="0"/>
      <w:marRight w:val="0"/>
      <w:marTop w:val="0"/>
      <w:marBottom w:val="0"/>
      <w:divBdr>
        <w:top w:val="none" w:sz="0" w:space="0" w:color="auto"/>
        <w:left w:val="none" w:sz="0" w:space="0" w:color="auto"/>
        <w:bottom w:val="none" w:sz="0" w:space="0" w:color="auto"/>
        <w:right w:val="none" w:sz="0" w:space="0" w:color="auto"/>
      </w:divBdr>
      <w:divsChild>
        <w:div w:id="680935208">
          <w:marLeft w:val="0"/>
          <w:marRight w:val="0"/>
          <w:marTop w:val="0"/>
          <w:marBottom w:val="0"/>
          <w:divBdr>
            <w:top w:val="none" w:sz="0" w:space="0" w:color="auto"/>
            <w:left w:val="none" w:sz="0" w:space="0" w:color="auto"/>
            <w:bottom w:val="none" w:sz="0" w:space="0" w:color="auto"/>
            <w:right w:val="none" w:sz="0" w:space="0" w:color="auto"/>
          </w:divBdr>
          <w:divsChild>
            <w:div w:id="616526120">
              <w:marLeft w:val="0"/>
              <w:marRight w:val="0"/>
              <w:marTop w:val="0"/>
              <w:marBottom w:val="0"/>
              <w:divBdr>
                <w:top w:val="none" w:sz="0" w:space="0" w:color="auto"/>
                <w:left w:val="none" w:sz="0" w:space="0" w:color="auto"/>
                <w:bottom w:val="none" w:sz="0" w:space="0" w:color="auto"/>
                <w:right w:val="none" w:sz="0" w:space="0" w:color="auto"/>
              </w:divBdr>
              <w:divsChild>
                <w:div w:id="956792775">
                  <w:marLeft w:val="720"/>
                  <w:marRight w:val="0"/>
                  <w:marTop w:val="0"/>
                  <w:marBottom w:val="0"/>
                  <w:divBdr>
                    <w:top w:val="none" w:sz="0" w:space="0" w:color="auto"/>
                    <w:left w:val="none" w:sz="0" w:space="0" w:color="auto"/>
                    <w:bottom w:val="none" w:sz="0" w:space="0" w:color="auto"/>
                    <w:right w:val="none" w:sz="0" w:space="0" w:color="auto"/>
                  </w:divBdr>
                </w:div>
              </w:divsChild>
            </w:div>
            <w:div w:id="1479954803">
              <w:marLeft w:val="0"/>
              <w:marRight w:val="0"/>
              <w:marTop w:val="0"/>
              <w:marBottom w:val="0"/>
              <w:divBdr>
                <w:top w:val="none" w:sz="0" w:space="0" w:color="auto"/>
                <w:left w:val="none" w:sz="0" w:space="0" w:color="auto"/>
                <w:bottom w:val="none" w:sz="0" w:space="0" w:color="auto"/>
                <w:right w:val="none" w:sz="0" w:space="0" w:color="auto"/>
              </w:divBdr>
              <w:divsChild>
                <w:div w:id="1017000292">
                  <w:marLeft w:val="720"/>
                  <w:marRight w:val="0"/>
                  <w:marTop w:val="0"/>
                  <w:marBottom w:val="0"/>
                  <w:divBdr>
                    <w:top w:val="none" w:sz="0" w:space="0" w:color="auto"/>
                    <w:left w:val="none" w:sz="0" w:space="0" w:color="auto"/>
                    <w:bottom w:val="none" w:sz="0" w:space="0" w:color="auto"/>
                    <w:right w:val="none" w:sz="0" w:space="0" w:color="auto"/>
                  </w:divBdr>
                </w:div>
              </w:divsChild>
            </w:div>
            <w:div w:id="1520436069">
              <w:marLeft w:val="0"/>
              <w:marRight w:val="0"/>
              <w:marTop w:val="0"/>
              <w:marBottom w:val="0"/>
              <w:divBdr>
                <w:top w:val="none" w:sz="0" w:space="0" w:color="auto"/>
                <w:left w:val="none" w:sz="0" w:space="0" w:color="auto"/>
                <w:bottom w:val="none" w:sz="0" w:space="0" w:color="auto"/>
                <w:right w:val="none" w:sz="0" w:space="0" w:color="auto"/>
              </w:divBdr>
              <w:divsChild>
                <w:div w:id="574322729">
                  <w:marLeft w:val="720"/>
                  <w:marRight w:val="0"/>
                  <w:marTop w:val="0"/>
                  <w:marBottom w:val="0"/>
                  <w:divBdr>
                    <w:top w:val="none" w:sz="0" w:space="0" w:color="auto"/>
                    <w:left w:val="none" w:sz="0" w:space="0" w:color="auto"/>
                    <w:bottom w:val="none" w:sz="0" w:space="0" w:color="auto"/>
                    <w:right w:val="none" w:sz="0" w:space="0" w:color="auto"/>
                  </w:divBdr>
                </w:div>
              </w:divsChild>
            </w:div>
            <w:div w:id="1820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9103">
      <w:bodyDiv w:val="1"/>
      <w:marLeft w:val="0"/>
      <w:marRight w:val="0"/>
      <w:marTop w:val="0"/>
      <w:marBottom w:val="0"/>
      <w:divBdr>
        <w:top w:val="none" w:sz="0" w:space="0" w:color="auto"/>
        <w:left w:val="none" w:sz="0" w:space="0" w:color="auto"/>
        <w:bottom w:val="none" w:sz="0" w:space="0" w:color="auto"/>
        <w:right w:val="none" w:sz="0" w:space="0" w:color="auto"/>
      </w:divBdr>
    </w:div>
    <w:div w:id="165949097">
      <w:bodyDiv w:val="1"/>
      <w:marLeft w:val="0"/>
      <w:marRight w:val="0"/>
      <w:marTop w:val="0"/>
      <w:marBottom w:val="0"/>
      <w:divBdr>
        <w:top w:val="none" w:sz="0" w:space="0" w:color="auto"/>
        <w:left w:val="none" w:sz="0" w:space="0" w:color="auto"/>
        <w:bottom w:val="none" w:sz="0" w:space="0" w:color="auto"/>
        <w:right w:val="none" w:sz="0" w:space="0" w:color="auto"/>
      </w:divBdr>
      <w:divsChild>
        <w:div w:id="1307128789">
          <w:marLeft w:val="0"/>
          <w:marRight w:val="0"/>
          <w:marTop w:val="0"/>
          <w:marBottom w:val="0"/>
          <w:divBdr>
            <w:top w:val="none" w:sz="0" w:space="0" w:color="auto"/>
            <w:left w:val="none" w:sz="0" w:space="0" w:color="auto"/>
            <w:bottom w:val="none" w:sz="0" w:space="0" w:color="auto"/>
            <w:right w:val="none" w:sz="0" w:space="0" w:color="auto"/>
          </w:divBdr>
        </w:div>
      </w:divsChild>
    </w:div>
    <w:div w:id="1943866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027">
          <w:marLeft w:val="0"/>
          <w:marRight w:val="0"/>
          <w:marTop w:val="0"/>
          <w:marBottom w:val="0"/>
          <w:divBdr>
            <w:top w:val="none" w:sz="0" w:space="0" w:color="auto"/>
            <w:left w:val="none" w:sz="0" w:space="0" w:color="auto"/>
            <w:bottom w:val="none" w:sz="0" w:space="0" w:color="auto"/>
            <w:right w:val="none" w:sz="0" w:space="0" w:color="auto"/>
          </w:divBdr>
        </w:div>
      </w:divsChild>
    </w:div>
    <w:div w:id="196938009">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sChild>
            <w:div w:id="2059666902">
              <w:marLeft w:val="0"/>
              <w:marRight w:val="0"/>
              <w:marTop w:val="0"/>
              <w:marBottom w:val="0"/>
              <w:divBdr>
                <w:top w:val="none" w:sz="0" w:space="0" w:color="auto"/>
                <w:left w:val="none" w:sz="0" w:space="0" w:color="auto"/>
                <w:bottom w:val="none" w:sz="0" w:space="0" w:color="auto"/>
                <w:right w:val="none" w:sz="0" w:space="0" w:color="auto"/>
              </w:divBdr>
              <w:divsChild>
                <w:div w:id="202521110">
                  <w:marLeft w:val="0"/>
                  <w:marRight w:val="0"/>
                  <w:marTop w:val="0"/>
                  <w:marBottom w:val="0"/>
                  <w:divBdr>
                    <w:top w:val="none" w:sz="0" w:space="0" w:color="auto"/>
                    <w:left w:val="none" w:sz="0" w:space="0" w:color="auto"/>
                    <w:bottom w:val="none" w:sz="0" w:space="0" w:color="auto"/>
                    <w:right w:val="none" w:sz="0" w:space="0" w:color="auto"/>
                  </w:divBdr>
                </w:div>
                <w:div w:id="270626480">
                  <w:marLeft w:val="720"/>
                  <w:marRight w:val="0"/>
                  <w:marTop w:val="0"/>
                  <w:marBottom w:val="0"/>
                  <w:divBdr>
                    <w:top w:val="none" w:sz="0" w:space="0" w:color="auto"/>
                    <w:left w:val="none" w:sz="0" w:space="0" w:color="auto"/>
                    <w:bottom w:val="none" w:sz="0" w:space="0" w:color="auto"/>
                    <w:right w:val="none" w:sz="0" w:space="0" w:color="auto"/>
                  </w:divBdr>
                </w:div>
                <w:div w:id="308748597">
                  <w:marLeft w:val="720"/>
                  <w:marRight w:val="0"/>
                  <w:marTop w:val="0"/>
                  <w:marBottom w:val="0"/>
                  <w:divBdr>
                    <w:top w:val="none" w:sz="0" w:space="0" w:color="auto"/>
                    <w:left w:val="none" w:sz="0" w:space="0" w:color="auto"/>
                    <w:bottom w:val="none" w:sz="0" w:space="0" w:color="auto"/>
                    <w:right w:val="none" w:sz="0" w:space="0" w:color="auto"/>
                  </w:divBdr>
                </w:div>
                <w:div w:id="212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7123">
      <w:bodyDiv w:val="1"/>
      <w:marLeft w:val="0"/>
      <w:marRight w:val="0"/>
      <w:marTop w:val="0"/>
      <w:marBottom w:val="0"/>
      <w:divBdr>
        <w:top w:val="none" w:sz="0" w:space="0" w:color="auto"/>
        <w:left w:val="none" w:sz="0" w:space="0" w:color="auto"/>
        <w:bottom w:val="none" w:sz="0" w:space="0" w:color="auto"/>
        <w:right w:val="none" w:sz="0" w:space="0" w:color="auto"/>
      </w:divBdr>
      <w:divsChild>
        <w:div w:id="840239268">
          <w:marLeft w:val="0"/>
          <w:marRight w:val="0"/>
          <w:marTop w:val="0"/>
          <w:marBottom w:val="0"/>
          <w:divBdr>
            <w:top w:val="none" w:sz="0" w:space="0" w:color="auto"/>
            <w:left w:val="none" w:sz="0" w:space="0" w:color="auto"/>
            <w:bottom w:val="none" w:sz="0" w:space="0" w:color="auto"/>
            <w:right w:val="none" w:sz="0" w:space="0" w:color="auto"/>
          </w:divBdr>
        </w:div>
      </w:divsChild>
    </w:div>
    <w:div w:id="409931793">
      <w:bodyDiv w:val="1"/>
      <w:marLeft w:val="0"/>
      <w:marRight w:val="0"/>
      <w:marTop w:val="0"/>
      <w:marBottom w:val="0"/>
      <w:divBdr>
        <w:top w:val="none" w:sz="0" w:space="0" w:color="auto"/>
        <w:left w:val="none" w:sz="0" w:space="0" w:color="auto"/>
        <w:bottom w:val="none" w:sz="0" w:space="0" w:color="auto"/>
        <w:right w:val="none" w:sz="0" w:space="0" w:color="auto"/>
      </w:divBdr>
      <w:divsChild>
        <w:div w:id="1725643270">
          <w:marLeft w:val="0"/>
          <w:marRight w:val="0"/>
          <w:marTop w:val="0"/>
          <w:marBottom w:val="0"/>
          <w:divBdr>
            <w:top w:val="none" w:sz="0" w:space="0" w:color="auto"/>
            <w:left w:val="none" w:sz="0" w:space="0" w:color="auto"/>
            <w:bottom w:val="none" w:sz="0" w:space="0" w:color="auto"/>
            <w:right w:val="none" w:sz="0" w:space="0" w:color="auto"/>
          </w:divBdr>
          <w:divsChild>
            <w:div w:id="686827470">
              <w:marLeft w:val="0"/>
              <w:marRight w:val="0"/>
              <w:marTop w:val="0"/>
              <w:marBottom w:val="0"/>
              <w:divBdr>
                <w:top w:val="none" w:sz="0" w:space="0" w:color="auto"/>
                <w:left w:val="none" w:sz="0" w:space="0" w:color="auto"/>
                <w:bottom w:val="none" w:sz="0" w:space="0" w:color="auto"/>
                <w:right w:val="none" w:sz="0" w:space="0" w:color="auto"/>
              </w:divBdr>
              <w:divsChild>
                <w:div w:id="849678902">
                  <w:marLeft w:val="0"/>
                  <w:marRight w:val="0"/>
                  <w:marTop w:val="0"/>
                  <w:marBottom w:val="0"/>
                  <w:divBdr>
                    <w:top w:val="none" w:sz="0" w:space="0" w:color="auto"/>
                    <w:left w:val="none" w:sz="0" w:space="0" w:color="auto"/>
                    <w:bottom w:val="none" w:sz="0" w:space="0" w:color="auto"/>
                    <w:right w:val="none" w:sz="0" w:space="0" w:color="auto"/>
                  </w:divBdr>
                </w:div>
              </w:divsChild>
            </w:div>
            <w:div w:id="688485360">
              <w:marLeft w:val="0"/>
              <w:marRight w:val="0"/>
              <w:marTop w:val="0"/>
              <w:marBottom w:val="0"/>
              <w:divBdr>
                <w:top w:val="none" w:sz="0" w:space="0" w:color="auto"/>
                <w:left w:val="none" w:sz="0" w:space="0" w:color="auto"/>
                <w:bottom w:val="none" w:sz="0" w:space="0" w:color="auto"/>
                <w:right w:val="none" w:sz="0" w:space="0" w:color="auto"/>
              </w:divBdr>
              <w:divsChild>
                <w:div w:id="25519853">
                  <w:marLeft w:val="0"/>
                  <w:marRight w:val="0"/>
                  <w:marTop w:val="0"/>
                  <w:marBottom w:val="0"/>
                  <w:divBdr>
                    <w:top w:val="none" w:sz="0" w:space="0" w:color="auto"/>
                    <w:left w:val="none" w:sz="0" w:space="0" w:color="auto"/>
                    <w:bottom w:val="none" w:sz="0" w:space="0" w:color="auto"/>
                    <w:right w:val="none" w:sz="0" w:space="0" w:color="auto"/>
                  </w:divBdr>
                </w:div>
                <w:div w:id="2012752010">
                  <w:marLeft w:val="0"/>
                  <w:marRight w:val="0"/>
                  <w:marTop w:val="0"/>
                  <w:marBottom w:val="0"/>
                  <w:divBdr>
                    <w:top w:val="none" w:sz="0" w:space="0" w:color="auto"/>
                    <w:left w:val="none" w:sz="0" w:space="0" w:color="auto"/>
                    <w:bottom w:val="none" w:sz="0" w:space="0" w:color="auto"/>
                    <w:right w:val="none" w:sz="0" w:space="0" w:color="auto"/>
                  </w:divBdr>
                  <w:divsChild>
                    <w:div w:id="1243250430">
                      <w:marLeft w:val="0"/>
                      <w:marRight w:val="0"/>
                      <w:marTop w:val="0"/>
                      <w:marBottom w:val="0"/>
                      <w:divBdr>
                        <w:top w:val="none" w:sz="0" w:space="0" w:color="auto"/>
                        <w:left w:val="none" w:sz="0" w:space="0" w:color="auto"/>
                        <w:bottom w:val="none" w:sz="0" w:space="0" w:color="auto"/>
                        <w:right w:val="none" w:sz="0" w:space="0" w:color="auto"/>
                      </w:divBdr>
                    </w:div>
                  </w:divsChild>
                </w:div>
                <w:div w:id="2057968629">
                  <w:marLeft w:val="0"/>
                  <w:marRight w:val="0"/>
                  <w:marTop w:val="0"/>
                  <w:marBottom w:val="0"/>
                  <w:divBdr>
                    <w:top w:val="none" w:sz="0" w:space="0" w:color="auto"/>
                    <w:left w:val="none" w:sz="0" w:space="0" w:color="auto"/>
                    <w:bottom w:val="none" w:sz="0" w:space="0" w:color="auto"/>
                    <w:right w:val="none" w:sz="0" w:space="0" w:color="auto"/>
                  </w:divBdr>
                  <w:divsChild>
                    <w:div w:id="1283340228">
                      <w:marLeft w:val="0"/>
                      <w:marRight w:val="0"/>
                      <w:marTop w:val="0"/>
                      <w:marBottom w:val="0"/>
                      <w:divBdr>
                        <w:top w:val="none" w:sz="0" w:space="0" w:color="auto"/>
                        <w:left w:val="none" w:sz="0" w:space="0" w:color="auto"/>
                        <w:bottom w:val="none" w:sz="0" w:space="0" w:color="auto"/>
                        <w:right w:val="none" w:sz="0" w:space="0" w:color="auto"/>
                      </w:divBdr>
                    </w:div>
                  </w:divsChild>
                </w:div>
                <w:div w:id="2136942969">
                  <w:marLeft w:val="0"/>
                  <w:marRight w:val="0"/>
                  <w:marTop w:val="0"/>
                  <w:marBottom w:val="0"/>
                  <w:divBdr>
                    <w:top w:val="none" w:sz="0" w:space="0" w:color="auto"/>
                    <w:left w:val="none" w:sz="0" w:space="0" w:color="auto"/>
                    <w:bottom w:val="none" w:sz="0" w:space="0" w:color="auto"/>
                    <w:right w:val="none" w:sz="0" w:space="0" w:color="auto"/>
                  </w:divBdr>
                  <w:divsChild>
                    <w:div w:id="212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852">
              <w:marLeft w:val="0"/>
              <w:marRight w:val="0"/>
              <w:marTop w:val="0"/>
              <w:marBottom w:val="0"/>
              <w:divBdr>
                <w:top w:val="none" w:sz="0" w:space="0" w:color="auto"/>
                <w:left w:val="none" w:sz="0" w:space="0" w:color="auto"/>
                <w:bottom w:val="none" w:sz="0" w:space="0" w:color="auto"/>
                <w:right w:val="none" w:sz="0" w:space="0" w:color="auto"/>
              </w:divBdr>
              <w:divsChild>
                <w:div w:id="1722174120">
                  <w:marLeft w:val="0"/>
                  <w:marRight w:val="0"/>
                  <w:marTop w:val="0"/>
                  <w:marBottom w:val="0"/>
                  <w:divBdr>
                    <w:top w:val="none" w:sz="0" w:space="0" w:color="auto"/>
                    <w:left w:val="none" w:sz="0" w:space="0" w:color="auto"/>
                    <w:bottom w:val="none" w:sz="0" w:space="0" w:color="auto"/>
                    <w:right w:val="none" w:sz="0" w:space="0" w:color="auto"/>
                  </w:divBdr>
                </w:div>
              </w:divsChild>
            </w:div>
            <w:div w:id="182237891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81763">
      <w:bodyDiv w:val="1"/>
      <w:marLeft w:val="0"/>
      <w:marRight w:val="300"/>
      <w:marTop w:val="0"/>
      <w:marBottom w:val="0"/>
      <w:divBdr>
        <w:top w:val="none" w:sz="0" w:space="0" w:color="auto"/>
        <w:left w:val="none" w:sz="0" w:space="0" w:color="auto"/>
        <w:bottom w:val="none" w:sz="0" w:space="0" w:color="auto"/>
        <w:right w:val="none" w:sz="0" w:space="0" w:color="auto"/>
      </w:divBdr>
      <w:divsChild>
        <w:div w:id="600600855">
          <w:marLeft w:val="0"/>
          <w:marRight w:val="0"/>
          <w:marTop w:val="45"/>
          <w:marBottom w:val="0"/>
          <w:divBdr>
            <w:top w:val="none" w:sz="0" w:space="0" w:color="auto"/>
            <w:left w:val="none" w:sz="0" w:space="0" w:color="auto"/>
            <w:bottom w:val="none" w:sz="0" w:space="0" w:color="auto"/>
            <w:right w:val="none" w:sz="0" w:space="0" w:color="auto"/>
          </w:divBdr>
          <w:divsChild>
            <w:div w:id="908001951">
              <w:marLeft w:val="450"/>
              <w:marRight w:val="450"/>
              <w:marTop w:val="0"/>
              <w:marBottom w:val="0"/>
              <w:divBdr>
                <w:top w:val="none" w:sz="0" w:space="0" w:color="auto"/>
                <w:left w:val="none" w:sz="0" w:space="0" w:color="auto"/>
                <w:bottom w:val="none" w:sz="0" w:space="0" w:color="auto"/>
                <w:right w:val="none" w:sz="0" w:space="0" w:color="auto"/>
              </w:divBdr>
              <w:divsChild>
                <w:div w:id="14763391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1744449">
      <w:bodyDiv w:val="1"/>
      <w:marLeft w:val="0"/>
      <w:marRight w:val="0"/>
      <w:marTop w:val="0"/>
      <w:marBottom w:val="0"/>
      <w:divBdr>
        <w:top w:val="none" w:sz="0" w:space="0" w:color="auto"/>
        <w:left w:val="none" w:sz="0" w:space="0" w:color="auto"/>
        <w:bottom w:val="none" w:sz="0" w:space="0" w:color="auto"/>
        <w:right w:val="none" w:sz="0" w:space="0" w:color="auto"/>
      </w:divBdr>
      <w:divsChild>
        <w:div w:id="875969294">
          <w:marLeft w:val="0"/>
          <w:marRight w:val="0"/>
          <w:marTop w:val="0"/>
          <w:marBottom w:val="0"/>
          <w:divBdr>
            <w:top w:val="none" w:sz="0" w:space="0" w:color="auto"/>
            <w:left w:val="none" w:sz="0" w:space="0" w:color="auto"/>
            <w:bottom w:val="none" w:sz="0" w:space="0" w:color="auto"/>
            <w:right w:val="none" w:sz="0" w:space="0" w:color="auto"/>
          </w:divBdr>
        </w:div>
      </w:divsChild>
    </w:div>
    <w:div w:id="505171538">
      <w:bodyDiv w:val="1"/>
      <w:marLeft w:val="0"/>
      <w:marRight w:val="0"/>
      <w:marTop w:val="0"/>
      <w:marBottom w:val="0"/>
      <w:divBdr>
        <w:top w:val="none" w:sz="0" w:space="0" w:color="auto"/>
        <w:left w:val="none" w:sz="0" w:space="0" w:color="auto"/>
        <w:bottom w:val="none" w:sz="0" w:space="0" w:color="auto"/>
        <w:right w:val="none" w:sz="0" w:space="0" w:color="auto"/>
      </w:divBdr>
      <w:divsChild>
        <w:div w:id="296497416">
          <w:marLeft w:val="0"/>
          <w:marRight w:val="0"/>
          <w:marTop w:val="0"/>
          <w:marBottom w:val="0"/>
          <w:divBdr>
            <w:top w:val="none" w:sz="0" w:space="0" w:color="auto"/>
            <w:left w:val="none" w:sz="0" w:space="0" w:color="auto"/>
            <w:bottom w:val="none" w:sz="0" w:space="0" w:color="auto"/>
            <w:right w:val="none" w:sz="0" w:space="0" w:color="auto"/>
          </w:divBdr>
        </w:div>
      </w:divsChild>
    </w:div>
    <w:div w:id="52429390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91">
          <w:marLeft w:val="0"/>
          <w:marRight w:val="0"/>
          <w:marTop w:val="0"/>
          <w:marBottom w:val="0"/>
          <w:divBdr>
            <w:top w:val="none" w:sz="0" w:space="0" w:color="auto"/>
            <w:left w:val="none" w:sz="0" w:space="0" w:color="auto"/>
            <w:bottom w:val="none" w:sz="0" w:space="0" w:color="auto"/>
            <w:right w:val="none" w:sz="0" w:space="0" w:color="auto"/>
          </w:divBdr>
        </w:div>
      </w:divsChild>
    </w:div>
    <w:div w:id="779295948">
      <w:bodyDiv w:val="1"/>
      <w:marLeft w:val="0"/>
      <w:marRight w:val="300"/>
      <w:marTop w:val="0"/>
      <w:marBottom w:val="0"/>
      <w:divBdr>
        <w:top w:val="none" w:sz="0" w:space="0" w:color="auto"/>
        <w:left w:val="none" w:sz="0" w:space="0" w:color="auto"/>
        <w:bottom w:val="none" w:sz="0" w:space="0" w:color="auto"/>
        <w:right w:val="none" w:sz="0" w:space="0" w:color="auto"/>
      </w:divBdr>
      <w:divsChild>
        <w:div w:id="125127833">
          <w:marLeft w:val="0"/>
          <w:marRight w:val="0"/>
          <w:marTop w:val="45"/>
          <w:marBottom w:val="0"/>
          <w:divBdr>
            <w:top w:val="none" w:sz="0" w:space="0" w:color="auto"/>
            <w:left w:val="none" w:sz="0" w:space="0" w:color="auto"/>
            <w:bottom w:val="none" w:sz="0" w:space="0" w:color="auto"/>
            <w:right w:val="none" w:sz="0" w:space="0" w:color="auto"/>
          </w:divBdr>
          <w:divsChild>
            <w:div w:id="1670133130">
              <w:marLeft w:val="450"/>
              <w:marRight w:val="450"/>
              <w:marTop w:val="0"/>
              <w:marBottom w:val="0"/>
              <w:divBdr>
                <w:top w:val="none" w:sz="0" w:space="0" w:color="auto"/>
                <w:left w:val="none" w:sz="0" w:space="0" w:color="auto"/>
                <w:bottom w:val="none" w:sz="0" w:space="0" w:color="auto"/>
                <w:right w:val="none" w:sz="0" w:space="0" w:color="auto"/>
              </w:divBdr>
              <w:divsChild>
                <w:div w:id="1060444047">
                  <w:marLeft w:val="0"/>
                  <w:marRight w:val="0"/>
                  <w:marTop w:val="0"/>
                  <w:marBottom w:val="300"/>
                  <w:divBdr>
                    <w:top w:val="none" w:sz="0" w:space="0" w:color="auto"/>
                    <w:left w:val="none" w:sz="0" w:space="0" w:color="auto"/>
                    <w:bottom w:val="none" w:sz="0" w:space="0" w:color="auto"/>
                    <w:right w:val="none" w:sz="0" w:space="0" w:color="auto"/>
                  </w:divBdr>
                </w:div>
                <w:div w:id="2057199999">
                  <w:marLeft w:val="0"/>
                  <w:marRight w:val="0"/>
                  <w:marTop w:val="75"/>
                  <w:marBottom w:val="0"/>
                  <w:divBdr>
                    <w:top w:val="none" w:sz="0" w:space="0" w:color="auto"/>
                    <w:left w:val="none" w:sz="0" w:space="0" w:color="auto"/>
                    <w:bottom w:val="none" w:sz="0" w:space="0" w:color="auto"/>
                    <w:right w:val="none" w:sz="0" w:space="0" w:color="auto"/>
                  </w:divBdr>
                  <w:divsChild>
                    <w:div w:id="13137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21427">
      <w:bodyDiv w:val="1"/>
      <w:marLeft w:val="0"/>
      <w:marRight w:val="0"/>
      <w:marTop w:val="0"/>
      <w:marBottom w:val="0"/>
      <w:divBdr>
        <w:top w:val="none" w:sz="0" w:space="0" w:color="auto"/>
        <w:left w:val="none" w:sz="0" w:space="0" w:color="auto"/>
        <w:bottom w:val="none" w:sz="0" w:space="0" w:color="auto"/>
        <w:right w:val="none" w:sz="0" w:space="0" w:color="auto"/>
      </w:divBdr>
      <w:divsChild>
        <w:div w:id="1730154885">
          <w:marLeft w:val="0"/>
          <w:marRight w:val="0"/>
          <w:marTop w:val="0"/>
          <w:marBottom w:val="0"/>
          <w:divBdr>
            <w:top w:val="none" w:sz="0" w:space="0" w:color="auto"/>
            <w:left w:val="none" w:sz="0" w:space="0" w:color="auto"/>
            <w:bottom w:val="none" w:sz="0" w:space="0" w:color="auto"/>
            <w:right w:val="none" w:sz="0" w:space="0" w:color="auto"/>
          </w:divBdr>
        </w:div>
      </w:divsChild>
    </w:div>
    <w:div w:id="1096513878">
      <w:bodyDiv w:val="1"/>
      <w:marLeft w:val="0"/>
      <w:marRight w:val="0"/>
      <w:marTop w:val="0"/>
      <w:marBottom w:val="0"/>
      <w:divBdr>
        <w:top w:val="none" w:sz="0" w:space="0" w:color="auto"/>
        <w:left w:val="none" w:sz="0" w:space="0" w:color="auto"/>
        <w:bottom w:val="none" w:sz="0" w:space="0" w:color="auto"/>
        <w:right w:val="none" w:sz="0" w:space="0" w:color="auto"/>
      </w:divBdr>
      <w:divsChild>
        <w:div w:id="1291977923">
          <w:marLeft w:val="0"/>
          <w:marRight w:val="0"/>
          <w:marTop w:val="0"/>
          <w:marBottom w:val="0"/>
          <w:divBdr>
            <w:top w:val="none" w:sz="0" w:space="0" w:color="auto"/>
            <w:left w:val="none" w:sz="0" w:space="0" w:color="auto"/>
            <w:bottom w:val="none" w:sz="0" w:space="0" w:color="auto"/>
            <w:right w:val="none" w:sz="0" w:space="0" w:color="auto"/>
          </w:divBdr>
          <w:divsChild>
            <w:div w:id="20860751">
              <w:marLeft w:val="0"/>
              <w:marRight w:val="0"/>
              <w:marTop w:val="0"/>
              <w:marBottom w:val="0"/>
              <w:divBdr>
                <w:top w:val="none" w:sz="0" w:space="0" w:color="auto"/>
                <w:left w:val="none" w:sz="0" w:space="0" w:color="auto"/>
                <w:bottom w:val="none" w:sz="0" w:space="0" w:color="auto"/>
                <w:right w:val="none" w:sz="0" w:space="0" w:color="auto"/>
              </w:divBdr>
            </w:div>
            <w:div w:id="429743416">
              <w:marLeft w:val="0"/>
              <w:marRight w:val="0"/>
              <w:marTop w:val="0"/>
              <w:marBottom w:val="0"/>
              <w:divBdr>
                <w:top w:val="none" w:sz="0" w:space="0" w:color="auto"/>
                <w:left w:val="none" w:sz="0" w:space="0" w:color="auto"/>
                <w:bottom w:val="none" w:sz="0" w:space="0" w:color="auto"/>
                <w:right w:val="none" w:sz="0" w:space="0" w:color="auto"/>
              </w:divBdr>
            </w:div>
            <w:div w:id="1539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3664">
      <w:bodyDiv w:val="1"/>
      <w:marLeft w:val="0"/>
      <w:marRight w:val="0"/>
      <w:marTop w:val="0"/>
      <w:marBottom w:val="0"/>
      <w:divBdr>
        <w:top w:val="none" w:sz="0" w:space="0" w:color="auto"/>
        <w:left w:val="none" w:sz="0" w:space="0" w:color="auto"/>
        <w:bottom w:val="none" w:sz="0" w:space="0" w:color="auto"/>
        <w:right w:val="none" w:sz="0" w:space="0" w:color="auto"/>
      </w:divBdr>
      <w:divsChild>
        <w:div w:id="312222971">
          <w:marLeft w:val="0"/>
          <w:marRight w:val="0"/>
          <w:marTop w:val="0"/>
          <w:marBottom w:val="0"/>
          <w:divBdr>
            <w:top w:val="none" w:sz="0" w:space="0" w:color="auto"/>
            <w:left w:val="none" w:sz="0" w:space="0" w:color="auto"/>
            <w:bottom w:val="none" w:sz="0" w:space="0" w:color="auto"/>
            <w:right w:val="none" w:sz="0" w:space="0" w:color="auto"/>
          </w:divBdr>
        </w:div>
      </w:divsChild>
    </w:div>
    <w:div w:id="1317028655">
      <w:bodyDiv w:val="1"/>
      <w:marLeft w:val="0"/>
      <w:marRight w:val="0"/>
      <w:marTop w:val="0"/>
      <w:marBottom w:val="0"/>
      <w:divBdr>
        <w:top w:val="none" w:sz="0" w:space="0" w:color="auto"/>
        <w:left w:val="none" w:sz="0" w:space="0" w:color="auto"/>
        <w:bottom w:val="none" w:sz="0" w:space="0" w:color="auto"/>
        <w:right w:val="none" w:sz="0" w:space="0" w:color="auto"/>
      </w:divBdr>
      <w:divsChild>
        <w:div w:id="341669902">
          <w:marLeft w:val="0"/>
          <w:marRight w:val="0"/>
          <w:marTop w:val="0"/>
          <w:marBottom w:val="0"/>
          <w:divBdr>
            <w:top w:val="none" w:sz="0" w:space="0" w:color="auto"/>
            <w:left w:val="none" w:sz="0" w:space="0" w:color="auto"/>
            <w:bottom w:val="none" w:sz="0" w:space="0" w:color="auto"/>
            <w:right w:val="none" w:sz="0" w:space="0" w:color="auto"/>
          </w:divBdr>
          <w:divsChild>
            <w:div w:id="305664941">
              <w:marLeft w:val="0"/>
              <w:marRight w:val="0"/>
              <w:marTop w:val="0"/>
              <w:marBottom w:val="0"/>
              <w:divBdr>
                <w:top w:val="none" w:sz="0" w:space="0" w:color="auto"/>
                <w:left w:val="none" w:sz="0" w:space="0" w:color="auto"/>
                <w:bottom w:val="none" w:sz="0" w:space="0" w:color="auto"/>
                <w:right w:val="none" w:sz="0" w:space="0" w:color="auto"/>
              </w:divBdr>
            </w:div>
            <w:div w:id="768279589">
              <w:marLeft w:val="0"/>
              <w:marRight w:val="0"/>
              <w:marTop w:val="0"/>
              <w:marBottom w:val="0"/>
              <w:divBdr>
                <w:top w:val="none" w:sz="0" w:space="0" w:color="auto"/>
                <w:left w:val="none" w:sz="0" w:space="0" w:color="auto"/>
                <w:bottom w:val="none" w:sz="0" w:space="0" w:color="auto"/>
                <w:right w:val="none" w:sz="0" w:space="0" w:color="auto"/>
              </w:divBdr>
              <w:divsChild>
                <w:div w:id="788283171">
                  <w:marLeft w:val="720"/>
                  <w:marRight w:val="0"/>
                  <w:marTop w:val="0"/>
                  <w:marBottom w:val="0"/>
                  <w:divBdr>
                    <w:top w:val="none" w:sz="0" w:space="0" w:color="auto"/>
                    <w:left w:val="none" w:sz="0" w:space="0" w:color="auto"/>
                    <w:bottom w:val="none" w:sz="0" w:space="0" w:color="auto"/>
                    <w:right w:val="none" w:sz="0" w:space="0" w:color="auto"/>
                  </w:divBdr>
                </w:div>
              </w:divsChild>
            </w:div>
            <w:div w:id="1304238086">
              <w:marLeft w:val="0"/>
              <w:marRight w:val="0"/>
              <w:marTop w:val="0"/>
              <w:marBottom w:val="0"/>
              <w:divBdr>
                <w:top w:val="none" w:sz="0" w:space="0" w:color="auto"/>
                <w:left w:val="none" w:sz="0" w:space="0" w:color="auto"/>
                <w:bottom w:val="none" w:sz="0" w:space="0" w:color="auto"/>
                <w:right w:val="none" w:sz="0" w:space="0" w:color="auto"/>
              </w:divBdr>
              <w:divsChild>
                <w:div w:id="1769040415">
                  <w:marLeft w:val="720"/>
                  <w:marRight w:val="0"/>
                  <w:marTop w:val="0"/>
                  <w:marBottom w:val="0"/>
                  <w:divBdr>
                    <w:top w:val="none" w:sz="0" w:space="0" w:color="auto"/>
                    <w:left w:val="none" w:sz="0" w:space="0" w:color="auto"/>
                    <w:bottom w:val="none" w:sz="0" w:space="0" w:color="auto"/>
                    <w:right w:val="none" w:sz="0" w:space="0" w:color="auto"/>
                  </w:divBdr>
                </w:div>
              </w:divsChild>
            </w:div>
            <w:div w:id="2101220127">
              <w:marLeft w:val="0"/>
              <w:marRight w:val="0"/>
              <w:marTop w:val="0"/>
              <w:marBottom w:val="0"/>
              <w:divBdr>
                <w:top w:val="none" w:sz="0" w:space="0" w:color="auto"/>
                <w:left w:val="none" w:sz="0" w:space="0" w:color="auto"/>
                <w:bottom w:val="none" w:sz="0" w:space="0" w:color="auto"/>
                <w:right w:val="none" w:sz="0" w:space="0" w:color="auto"/>
              </w:divBdr>
              <w:divsChild>
                <w:div w:id="20079741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33">
      <w:bodyDiv w:val="1"/>
      <w:marLeft w:val="0"/>
      <w:marRight w:val="300"/>
      <w:marTop w:val="0"/>
      <w:marBottom w:val="0"/>
      <w:divBdr>
        <w:top w:val="none" w:sz="0" w:space="0" w:color="auto"/>
        <w:left w:val="none" w:sz="0" w:space="0" w:color="auto"/>
        <w:bottom w:val="none" w:sz="0" w:space="0" w:color="auto"/>
        <w:right w:val="none" w:sz="0" w:space="0" w:color="auto"/>
      </w:divBdr>
      <w:divsChild>
        <w:div w:id="1975669674">
          <w:marLeft w:val="0"/>
          <w:marRight w:val="0"/>
          <w:marTop w:val="45"/>
          <w:marBottom w:val="0"/>
          <w:divBdr>
            <w:top w:val="none" w:sz="0" w:space="0" w:color="auto"/>
            <w:left w:val="none" w:sz="0" w:space="0" w:color="auto"/>
            <w:bottom w:val="none" w:sz="0" w:space="0" w:color="auto"/>
            <w:right w:val="none" w:sz="0" w:space="0" w:color="auto"/>
          </w:divBdr>
          <w:divsChild>
            <w:div w:id="866869978">
              <w:marLeft w:val="450"/>
              <w:marRight w:val="450"/>
              <w:marTop w:val="0"/>
              <w:marBottom w:val="0"/>
              <w:divBdr>
                <w:top w:val="none" w:sz="0" w:space="0" w:color="auto"/>
                <w:left w:val="none" w:sz="0" w:space="0" w:color="auto"/>
                <w:bottom w:val="none" w:sz="0" w:space="0" w:color="auto"/>
                <w:right w:val="none" w:sz="0" w:space="0" w:color="auto"/>
              </w:divBdr>
              <w:divsChild>
                <w:div w:id="88313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784125">
      <w:bodyDiv w:val="1"/>
      <w:marLeft w:val="0"/>
      <w:marRight w:val="0"/>
      <w:marTop w:val="0"/>
      <w:marBottom w:val="0"/>
      <w:divBdr>
        <w:top w:val="none" w:sz="0" w:space="0" w:color="auto"/>
        <w:left w:val="none" w:sz="0" w:space="0" w:color="auto"/>
        <w:bottom w:val="none" w:sz="0" w:space="0" w:color="auto"/>
        <w:right w:val="none" w:sz="0" w:space="0" w:color="auto"/>
      </w:divBdr>
      <w:divsChild>
        <w:div w:id="1773276623">
          <w:marLeft w:val="0"/>
          <w:marRight w:val="0"/>
          <w:marTop w:val="0"/>
          <w:marBottom w:val="0"/>
          <w:divBdr>
            <w:top w:val="none" w:sz="0" w:space="0" w:color="auto"/>
            <w:left w:val="none" w:sz="0" w:space="0" w:color="auto"/>
            <w:bottom w:val="none" w:sz="0" w:space="0" w:color="auto"/>
            <w:right w:val="none" w:sz="0" w:space="0" w:color="auto"/>
          </w:divBdr>
          <w:divsChild>
            <w:div w:id="93131486">
              <w:marLeft w:val="720"/>
              <w:marRight w:val="0"/>
              <w:marTop w:val="0"/>
              <w:marBottom w:val="0"/>
              <w:divBdr>
                <w:top w:val="none" w:sz="0" w:space="0" w:color="auto"/>
                <w:left w:val="none" w:sz="0" w:space="0" w:color="auto"/>
                <w:bottom w:val="none" w:sz="0" w:space="0" w:color="auto"/>
                <w:right w:val="none" w:sz="0" w:space="0" w:color="auto"/>
              </w:divBdr>
            </w:div>
            <w:div w:id="429859562">
              <w:marLeft w:val="0"/>
              <w:marRight w:val="0"/>
              <w:marTop w:val="0"/>
              <w:marBottom w:val="0"/>
              <w:divBdr>
                <w:top w:val="none" w:sz="0" w:space="0" w:color="auto"/>
                <w:left w:val="none" w:sz="0" w:space="0" w:color="auto"/>
                <w:bottom w:val="none" w:sz="0" w:space="0" w:color="auto"/>
                <w:right w:val="none" w:sz="0" w:space="0" w:color="auto"/>
              </w:divBdr>
            </w:div>
            <w:div w:id="2059089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18991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966">
          <w:marLeft w:val="0"/>
          <w:marRight w:val="0"/>
          <w:marTop w:val="0"/>
          <w:marBottom w:val="0"/>
          <w:divBdr>
            <w:top w:val="none" w:sz="0" w:space="0" w:color="auto"/>
            <w:left w:val="none" w:sz="0" w:space="0" w:color="auto"/>
            <w:bottom w:val="none" w:sz="0" w:space="0" w:color="auto"/>
            <w:right w:val="none" w:sz="0" w:space="0" w:color="auto"/>
          </w:divBdr>
          <w:divsChild>
            <w:div w:id="967273758">
              <w:marLeft w:val="0"/>
              <w:marRight w:val="0"/>
              <w:marTop w:val="0"/>
              <w:marBottom w:val="0"/>
              <w:divBdr>
                <w:top w:val="none" w:sz="0" w:space="0" w:color="auto"/>
                <w:left w:val="none" w:sz="0" w:space="0" w:color="auto"/>
                <w:bottom w:val="none" w:sz="0" w:space="0" w:color="auto"/>
                <w:right w:val="none" w:sz="0" w:space="0" w:color="auto"/>
              </w:divBdr>
              <w:divsChild>
                <w:div w:id="75782701">
                  <w:marLeft w:val="0"/>
                  <w:marRight w:val="0"/>
                  <w:marTop w:val="0"/>
                  <w:marBottom w:val="0"/>
                  <w:divBdr>
                    <w:top w:val="none" w:sz="0" w:space="0" w:color="auto"/>
                    <w:left w:val="none" w:sz="0" w:space="0" w:color="auto"/>
                    <w:bottom w:val="none" w:sz="0" w:space="0" w:color="auto"/>
                    <w:right w:val="none" w:sz="0" w:space="0" w:color="auto"/>
                  </w:divBdr>
                </w:div>
                <w:div w:id="236866306">
                  <w:marLeft w:val="0"/>
                  <w:marRight w:val="0"/>
                  <w:marTop w:val="0"/>
                  <w:marBottom w:val="0"/>
                  <w:divBdr>
                    <w:top w:val="none" w:sz="0" w:space="0" w:color="auto"/>
                    <w:left w:val="none" w:sz="0" w:space="0" w:color="auto"/>
                    <w:bottom w:val="none" w:sz="0" w:space="0" w:color="auto"/>
                    <w:right w:val="none" w:sz="0" w:space="0" w:color="auto"/>
                  </w:divBdr>
                </w:div>
                <w:div w:id="256377005">
                  <w:marLeft w:val="0"/>
                  <w:marRight w:val="0"/>
                  <w:marTop w:val="0"/>
                  <w:marBottom w:val="0"/>
                  <w:divBdr>
                    <w:top w:val="none" w:sz="0" w:space="0" w:color="auto"/>
                    <w:left w:val="none" w:sz="0" w:space="0" w:color="auto"/>
                    <w:bottom w:val="none" w:sz="0" w:space="0" w:color="auto"/>
                    <w:right w:val="none" w:sz="0" w:space="0" w:color="auto"/>
                  </w:divBdr>
                </w:div>
                <w:div w:id="753941977">
                  <w:marLeft w:val="0"/>
                  <w:marRight w:val="0"/>
                  <w:marTop w:val="0"/>
                  <w:marBottom w:val="0"/>
                  <w:divBdr>
                    <w:top w:val="none" w:sz="0" w:space="0" w:color="auto"/>
                    <w:left w:val="none" w:sz="0" w:space="0" w:color="auto"/>
                    <w:bottom w:val="none" w:sz="0" w:space="0" w:color="auto"/>
                    <w:right w:val="none" w:sz="0" w:space="0" w:color="auto"/>
                  </w:divBdr>
                </w:div>
                <w:div w:id="793064338">
                  <w:marLeft w:val="0"/>
                  <w:marRight w:val="0"/>
                  <w:marTop w:val="0"/>
                  <w:marBottom w:val="0"/>
                  <w:divBdr>
                    <w:top w:val="none" w:sz="0" w:space="0" w:color="auto"/>
                    <w:left w:val="none" w:sz="0" w:space="0" w:color="auto"/>
                    <w:bottom w:val="none" w:sz="0" w:space="0" w:color="auto"/>
                    <w:right w:val="none" w:sz="0" w:space="0" w:color="auto"/>
                  </w:divBdr>
                </w:div>
                <w:div w:id="950085679">
                  <w:marLeft w:val="0"/>
                  <w:marRight w:val="0"/>
                  <w:marTop w:val="0"/>
                  <w:marBottom w:val="0"/>
                  <w:divBdr>
                    <w:top w:val="none" w:sz="0" w:space="0" w:color="auto"/>
                    <w:left w:val="none" w:sz="0" w:space="0" w:color="auto"/>
                    <w:bottom w:val="none" w:sz="0" w:space="0" w:color="auto"/>
                    <w:right w:val="none" w:sz="0" w:space="0" w:color="auto"/>
                  </w:divBdr>
                </w:div>
                <w:div w:id="189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8811">
      <w:bodyDiv w:val="1"/>
      <w:marLeft w:val="0"/>
      <w:marRight w:val="0"/>
      <w:marTop w:val="0"/>
      <w:marBottom w:val="0"/>
      <w:divBdr>
        <w:top w:val="none" w:sz="0" w:space="0" w:color="auto"/>
        <w:left w:val="none" w:sz="0" w:space="0" w:color="auto"/>
        <w:bottom w:val="none" w:sz="0" w:space="0" w:color="auto"/>
        <w:right w:val="none" w:sz="0" w:space="0" w:color="auto"/>
      </w:divBdr>
      <w:divsChild>
        <w:div w:id="338192093">
          <w:marLeft w:val="0"/>
          <w:marRight w:val="0"/>
          <w:marTop w:val="0"/>
          <w:marBottom w:val="0"/>
          <w:divBdr>
            <w:top w:val="none" w:sz="0" w:space="0" w:color="auto"/>
            <w:left w:val="none" w:sz="0" w:space="0" w:color="auto"/>
            <w:bottom w:val="none" w:sz="0" w:space="0" w:color="auto"/>
            <w:right w:val="none" w:sz="0" w:space="0" w:color="auto"/>
          </w:divBdr>
        </w:div>
      </w:divsChild>
    </w:div>
    <w:div w:id="1592423997">
      <w:bodyDiv w:val="1"/>
      <w:marLeft w:val="0"/>
      <w:marRight w:val="0"/>
      <w:marTop w:val="0"/>
      <w:marBottom w:val="0"/>
      <w:divBdr>
        <w:top w:val="none" w:sz="0" w:space="0" w:color="auto"/>
        <w:left w:val="none" w:sz="0" w:space="0" w:color="auto"/>
        <w:bottom w:val="none" w:sz="0" w:space="0" w:color="auto"/>
        <w:right w:val="none" w:sz="0" w:space="0" w:color="auto"/>
      </w:divBdr>
      <w:divsChild>
        <w:div w:id="1344085844">
          <w:marLeft w:val="0"/>
          <w:marRight w:val="0"/>
          <w:marTop w:val="0"/>
          <w:marBottom w:val="0"/>
          <w:divBdr>
            <w:top w:val="none" w:sz="0" w:space="0" w:color="auto"/>
            <w:left w:val="none" w:sz="0" w:space="0" w:color="auto"/>
            <w:bottom w:val="none" w:sz="0" w:space="0" w:color="auto"/>
            <w:right w:val="none" w:sz="0" w:space="0" w:color="auto"/>
          </w:divBdr>
        </w:div>
      </w:divsChild>
    </w:div>
    <w:div w:id="1611429429">
      <w:bodyDiv w:val="1"/>
      <w:marLeft w:val="0"/>
      <w:marRight w:val="0"/>
      <w:marTop w:val="0"/>
      <w:marBottom w:val="0"/>
      <w:divBdr>
        <w:top w:val="none" w:sz="0" w:space="0" w:color="auto"/>
        <w:left w:val="none" w:sz="0" w:space="0" w:color="auto"/>
        <w:bottom w:val="none" w:sz="0" w:space="0" w:color="auto"/>
        <w:right w:val="none" w:sz="0" w:space="0" w:color="auto"/>
      </w:divBdr>
      <w:divsChild>
        <w:div w:id="212928712">
          <w:marLeft w:val="0"/>
          <w:marRight w:val="0"/>
          <w:marTop w:val="0"/>
          <w:marBottom w:val="0"/>
          <w:divBdr>
            <w:top w:val="none" w:sz="0" w:space="0" w:color="auto"/>
            <w:left w:val="none" w:sz="0" w:space="0" w:color="auto"/>
            <w:bottom w:val="none" w:sz="0" w:space="0" w:color="auto"/>
            <w:right w:val="none" w:sz="0" w:space="0" w:color="auto"/>
          </w:divBdr>
        </w:div>
      </w:divsChild>
    </w:div>
    <w:div w:id="1629582660">
      <w:bodyDiv w:val="1"/>
      <w:marLeft w:val="0"/>
      <w:marRight w:val="0"/>
      <w:marTop w:val="0"/>
      <w:marBottom w:val="0"/>
      <w:divBdr>
        <w:top w:val="none" w:sz="0" w:space="0" w:color="auto"/>
        <w:left w:val="none" w:sz="0" w:space="0" w:color="auto"/>
        <w:bottom w:val="none" w:sz="0" w:space="0" w:color="auto"/>
        <w:right w:val="none" w:sz="0" w:space="0" w:color="auto"/>
      </w:divBdr>
      <w:divsChild>
        <w:div w:id="2038115971">
          <w:marLeft w:val="0"/>
          <w:marRight w:val="0"/>
          <w:marTop w:val="0"/>
          <w:marBottom w:val="0"/>
          <w:divBdr>
            <w:top w:val="none" w:sz="0" w:space="0" w:color="auto"/>
            <w:left w:val="none" w:sz="0" w:space="0" w:color="auto"/>
            <w:bottom w:val="none" w:sz="0" w:space="0" w:color="auto"/>
            <w:right w:val="none" w:sz="0" w:space="0" w:color="auto"/>
          </w:divBdr>
        </w:div>
      </w:divsChild>
    </w:div>
    <w:div w:id="1652520811">
      <w:bodyDiv w:val="1"/>
      <w:marLeft w:val="0"/>
      <w:marRight w:val="0"/>
      <w:marTop w:val="0"/>
      <w:marBottom w:val="0"/>
      <w:divBdr>
        <w:top w:val="none" w:sz="0" w:space="0" w:color="auto"/>
        <w:left w:val="none" w:sz="0" w:space="0" w:color="auto"/>
        <w:bottom w:val="none" w:sz="0" w:space="0" w:color="auto"/>
        <w:right w:val="none" w:sz="0" w:space="0" w:color="auto"/>
      </w:divBdr>
      <w:divsChild>
        <w:div w:id="17200943">
          <w:marLeft w:val="0"/>
          <w:marRight w:val="0"/>
          <w:marTop w:val="0"/>
          <w:marBottom w:val="0"/>
          <w:divBdr>
            <w:top w:val="none" w:sz="0" w:space="0" w:color="auto"/>
            <w:left w:val="none" w:sz="0" w:space="0" w:color="auto"/>
            <w:bottom w:val="none" w:sz="0" w:space="0" w:color="auto"/>
            <w:right w:val="none" w:sz="0" w:space="0" w:color="auto"/>
          </w:divBdr>
        </w:div>
      </w:divsChild>
    </w:div>
    <w:div w:id="1714764462">
      <w:bodyDiv w:val="1"/>
      <w:marLeft w:val="0"/>
      <w:marRight w:val="0"/>
      <w:marTop w:val="0"/>
      <w:marBottom w:val="0"/>
      <w:divBdr>
        <w:top w:val="none" w:sz="0" w:space="0" w:color="auto"/>
        <w:left w:val="none" w:sz="0" w:space="0" w:color="auto"/>
        <w:bottom w:val="none" w:sz="0" w:space="0" w:color="auto"/>
        <w:right w:val="none" w:sz="0" w:space="0" w:color="auto"/>
      </w:divBdr>
      <w:divsChild>
        <w:div w:id="263684001">
          <w:marLeft w:val="0"/>
          <w:marRight w:val="0"/>
          <w:marTop w:val="0"/>
          <w:marBottom w:val="0"/>
          <w:divBdr>
            <w:top w:val="none" w:sz="0" w:space="0" w:color="auto"/>
            <w:left w:val="none" w:sz="0" w:space="0" w:color="auto"/>
            <w:bottom w:val="none" w:sz="0" w:space="0" w:color="auto"/>
            <w:right w:val="none" w:sz="0" w:space="0" w:color="auto"/>
          </w:divBdr>
          <w:divsChild>
            <w:div w:id="9334169">
              <w:marLeft w:val="0"/>
              <w:marRight w:val="0"/>
              <w:marTop w:val="0"/>
              <w:marBottom w:val="0"/>
              <w:divBdr>
                <w:top w:val="none" w:sz="0" w:space="0" w:color="auto"/>
                <w:left w:val="none" w:sz="0" w:space="0" w:color="auto"/>
                <w:bottom w:val="none" w:sz="0" w:space="0" w:color="auto"/>
                <w:right w:val="none" w:sz="0" w:space="0" w:color="auto"/>
              </w:divBdr>
              <w:divsChild>
                <w:div w:id="1257254552">
                  <w:marLeft w:val="0"/>
                  <w:marRight w:val="0"/>
                  <w:marTop w:val="0"/>
                  <w:marBottom w:val="0"/>
                  <w:divBdr>
                    <w:top w:val="none" w:sz="0" w:space="0" w:color="auto"/>
                    <w:left w:val="none" w:sz="0" w:space="0" w:color="auto"/>
                    <w:bottom w:val="none" w:sz="0" w:space="0" w:color="auto"/>
                    <w:right w:val="none" w:sz="0" w:space="0" w:color="auto"/>
                  </w:divBdr>
                </w:div>
              </w:divsChild>
            </w:div>
            <w:div w:id="878933374">
              <w:marLeft w:val="0"/>
              <w:marRight w:val="0"/>
              <w:marTop w:val="0"/>
              <w:marBottom w:val="0"/>
              <w:divBdr>
                <w:top w:val="none" w:sz="0" w:space="0" w:color="auto"/>
                <w:left w:val="none" w:sz="0" w:space="0" w:color="auto"/>
                <w:bottom w:val="none" w:sz="0" w:space="0" w:color="auto"/>
                <w:right w:val="none" w:sz="0" w:space="0" w:color="auto"/>
              </w:divBdr>
              <w:divsChild>
                <w:div w:id="8939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3636">
      <w:bodyDiv w:val="1"/>
      <w:marLeft w:val="0"/>
      <w:marRight w:val="0"/>
      <w:marTop w:val="0"/>
      <w:marBottom w:val="0"/>
      <w:divBdr>
        <w:top w:val="none" w:sz="0" w:space="0" w:color="auto"/>
        <w:left w:val="none" w:sz="0" w:space="0" w:color="auto"/>
        <w:bottom w:val="none" w:sz="0" w:space="0" w:color="auto"/>
        <w:right w:val="none" w:sz="0" w:space="0" w:color="auto"/>
      </w:divBdr>
      <w:divsChild>
        <w:div w:id="980814251">
          <w:marLeft w:val="0"/>
          <w:marRight w:val="0"/>
          <w:marTop w:val="0"/>
          <w:marBottom w:val="0"/>
          <w:divBdr>
            <w:top w:val="none" w:sz="0" w:space="0" w:color="auto"/>
            <w:left w:val="none" w:sz="0" w:space="0" w:color="auto"/>
            <w:bottom w:val="none" w:sz="0" w:space="0" w:color="auto"/>
            <w:right w:val="none" w:sz="0" w:space="0" w:color="auto"/>
          </w:divBdr>
        </w:div>
      </w:divsChild>
    </w:div>
    <w:div w:id="1759248530">
      <w:bodyDiv w:val="1"/>
      <w:marLeft w:val="0"/>
      <w:marRight w:val="300"/>
      <w:marTop w:val="0"/>
      <w:marBottom w:val="0"/>
      <w:divBdr>
        <w:top w:val="none" w:sz="0" w:space="0" w:color="auto"/>
        <w:left w:val="none" w:sz="0" w:space="0" w:color="auto"/>
        <w:bottom w:val="none" w:sz="0" w:space="0" w:color="auto"/>
        <w:right w:val="none" w:sz="0" w:space="0" w:color="auto"/>
      </w:divBdr>
      <w:divsChild>
        <w:div w:id="1495880959">
          <w:marLeft w:val="0"/>
          <w:marRight w:val="0"/>
          <w:marTop w:val="45"/>
          <w:marBottom w:val="0"/>
          <w:divBdr>
            <w:top w:val="none" w:sz="0" w:space="0" w:color="auto"/>
            <w:left w:val="none" w:sz="0" w:space="0" w:color="auto"/>
            <w:bottom w:val="none" w:sz="0" w:space="0" w:color="auto"/>
            <w:right w:val="none" w:sz="0" w:space="0" w:color="auto"/>
          </w:divBdr>
          <w:divsChild>
            <w:div w:id="1786923893">
              <w:marLeft w:val="450"/>
              <w:marRight w:val="450"/>
              <w:marTop w:val="0"/>
              <w:marBottom w:val="0"/>
              <w:divBdr>
                <w:top w:val="none" w:sz="0" w:space="0" w:color="auto"/>
                <w:left w:val="none" w:sz="0" w:space="0" w:color="auto"/>
                <w:bottom w:val="none" w:sz="0" w:space="0" w:color="auto"/>
                <w:right w:val="none" w:sz="0" w:space="0" w:color="auto"/>
              </w:divBdr>
              <w:divsChild>
                <w:div w:id="356010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9224285">
      <w:bodyDiv w:val="1"/>
      <w:marLeft w:val="0"/>
      <w:marRight w:val="0"/>
      <w:marTop w:val="0"/>
      <w:marBottom w:val="0"/>
      <w:divBdr>
        <w:top w:val="none" w:sz="0" w:space="0" w:color="auto"/>
        <w:left w:val="none" w:sz="0" w:space="0" w:color="auto"/>
        <w:bottom w:val="none" w:sz="0" w:space="0" w:color="auto"/>
        <w:right w:val="none" w:sz="0" w:space="0" w:color="auto"/>
      </w:divBdr>
      <w:divsChild>
        <w:div w:id="1990330631">
          <w:marLeft w:val="0"/>
          <w:marRight w:val="0"/>
          <w:marTop w:val="0"/>
          <w:marBottom w:val="0"/>
          <w:divBdr>
            <w:top w:val="none" w:sz="0" w:space="0" w:color="auto"/>
            <w:left w:val="none" w:sz="0" w:space="0" w:color="auto"/>
            <w:bottom w:val="none" w:sz="0" w:space="0" w:color="auto"/>
            <w:right w:val="none" w:sz="0" w:space="0" w:color="auto"/>
          </w:divBdr>
          <w:divsChild>
            <w:div w:id="971639471">
              <w:marLeft w:val="0"/>
              <w:marRight w:val="0"/>
              <w:marTop w:val="0"/>
              <w:marBottom w:val="0"/>
              <w:divBdr>
                <w:top w:val="none" w:sz="0" w:space="0" w:color="auto"/>
                <w:left w:val="none" w:sz="0" w:space="0" w:color="auto"/>
                <w:bottom w:val="none" w:sz="0" w:space="0" w:color="auto"/>
                <w:right w:val="none" w:sz="0" w:space="0" w:color="auto"/>
              </w:divBdr>
              <w:divsChild>
                <w:div w:id="164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398">
      <w:bodyDiv w:val="1"/>
      <w:marLeft w:val="0"/>
      <w:marRight w:val="0"/>
      <w:marTop w:val="0"/>
      <w:marBottom w:val="0"/>
      <w:divBdr>
        <w:top w:val="none" w:sz="0" w:space="0" w:color="auto"/>
        <w:left w:val="none" w:sz="0" w:space="0" w:color="auto"/>
        <w:bottom w:val="none" w:sz="0" w:space="0" w:color="auto"/>
        <w:right w:val="none" w:sz="0" w:space="0" w:color="auto"/>
      </w:divBdr>
      <w:divsChild>
        <w:div w:id="164444387">
          <w:marLeft w:val="0"/>
          <w:marRight w:val="0"/>
          <w:marTop w:val="0"/>
          <w:marBottom w:val="0"/>
          <w:divBdr>
            <w:top w:val="none" w:sz="0" w:space="0" w:color="auto"/>
            <w:left w:val="none" w:sz="0" w:space="0" w:color="auto"/>
            <w:bottom w:val="none" w:sz="0" w:space="0" w:color="auto"/>
            <w:right w:val="none" w:sz="0" w:space="0" w:color="auto"/>
          </w:divBdr>
        </w:div>
      </w:divsChild>
    </w:div>
    <w:div w:id="1918901792">
      <w:bodyDiv w:val="1"/>
      <w:marLeft w:val="0"/>
      <w:marRight w:val="300"/>
      <w:marTop w:val="0"/>
      <w:marBottom w:val="0"/>
      <w:divBdr>
        <w:top w:val="none" w:sz="0" w:space="0" w:color="auto"/>
        <w:left w:val="none" w:sz="0" w:space="0" w:color="auto"/>
        <w:bottom w:val="none" w:sz="0" w:space="0" w:color="auto"/>
        <w:right w:val="none" w:sz="0" w:space="0" w:color="auto"/>
      </w:divBdr>
      <w:divsChild>
        <w:div w:id="580721001">
          <w:marLeft w:val="0"/>
          <w:marRight w:val="0"/>
          <w:marTop w:val="45"/>
          <w:marBottom w:val="0"/>
          <w:divBdr>
            <w:top w:val="none" w:sz="0" w:space="0" w:color="auto"/>
            <w:left w:val="none" w:sz="0" w:space="0" w:color="auto"/>
            <w:bottom w:val="none" w:sz="0" w:space="0" w:color="auto"/>
            <w:right w:val="none" w:sz="0" w:space="0" w:color="auto"/>
          </w:divBdr>
          <w:divsChild>
            <w:div w:id="1982995896">
              <w:marLeft w:val="450"/>
              <w:marRight w:val="450"/>
              <w:marTop w:val="0"/>
              <w:marBottom w:val="0"/>
              <w:divBdr>
                <w:top w:val="none" w:sz="0" w:space="0" w:color="auto"/>
                <w:left w:val="none" w:sz="0" w:space="0" w:color="auto"/>
                <w:bottom w:val="none" w:sz="0" w:space="0" w:color="auto"/>
                <w:right w:val="none" w:sz="0" w:space="0" w:color="auto"/>
              </w:divBdr>
              <w:divsChild>
                <w:div w:id="1854120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4624186">
      <w:bodyDiv w:val="1"/>
      <w:marLeft w:val="0"/>
      <w:marRight w:val="0"/>
      <w:marTop w:val="0"/>
      <w:marBottom w:val="0"/>
      <w:divBdr>
        <w:top w:val="none" w:sz="0" w:space="0" w:color="auto"/>
        <w:left w:val="none" w:sz="0" w:space="0" w:color="auto"/>
        <w:bottom w:val="none" w:sz="0" w:space="0" w:color="auto"/>
        <w:right w:val="none" w:sz="0" w:space="0" w:color="auto"/>
      </w:divBdr>
      <w:divsChild>
        <w:div w:id="611517183">
          <w:marLeft w:val="0"/>
          <w:marRight w:val="0"/>
          <w:marTop w:val="0"/>
          <w:marBottom w:val="0"/>
          <w:divBdr>
            <w:top w:val="none" w:sz="0" w:space="0" w:color="auto"/>
            <w:left w:val="none" w:sz="0" w:space="0" w:color="auto"/>
            <w:bottom w:val="none" w:sz="0" w:space="0" w:color="auto"/>
            <w:right w:val="none" w:sz="0" w:space="0" w:color="auto"/>
          </w:divBdr>
        </w:div>
      </w:divsChild>
    </w:div>
    <w:div w:id="2097746138">
      <w:bodyDiv w:val="1"/>
      <w:marLeft w:val="0"/>
      <w:marRight w:val="0"/>
      <w:marTop w:val="0"/>
      <w:marBottom w:val="0"/>
      <w:divBdr>
        <w:top w:val="none" w:sz="0" w:space="0" w:color="auto"/>
        <w:left w:val="none" w:sz="0" w:space="0" w:color="auto"/>
        <w:bottom w:val="none" w:sz="0" w:space="0" w:color="auto"/>
        <w:right w:val="none" w:sz="0" w:space="0" w:color="auto"/>
      </w:divBdr>
      <w:divsChild>
        <w:div w:id="7910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8509-0982-4B75-8C91-61238AAE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1585</Words>
  <Characters>10034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LWolbach</dc:creator>
  <cp:keywords/>
  <cp:lastModifiedBy>Wawer Jakub (COP)</cp:lastModifiedBy>
  <cp:revision>7</cp:revision>
  <cp:lastPrinted>2023-03-28T09:54:00Z</cp:lastPrinted>
  <dcterms:created xsi:type="dcterms:W3CDTF">2023-03-15T08:10:00Z</dcterms:created>
  <dcterms:modified xsi:type="dcterms:W3CDTF">2023-03-28T09:54:00Z</dcterms:modified>
</cp:coreProperties>
</file>