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ADE" w:rsidRDefault="00575ADE" w:rsidP="001A0F83">
      <w:pPr>
        <w:jc w:val="right"/>
      </w:pPr>
      <w:r w:rsidRPr="0074079E">
        <w:t xml:space="preserve">Warszawa, </w:t>
      </w:r>
      <w:r>
        <w:t>2019-10-23</w:t>
      </w:r>
    </w:p>
    <w:p w:rsidR="00575ADE" w:rsidRPr="001A0F83" w:rsidRDefault="00575ADE" w:rsidP="001A0F83">
      <w:pPr>
        <w:rPr>
          <w:b/>
          <w:bCs/>
          <w:sz w:val="24"/>
          <w:szCs w:val="24"/>
        </w:rPr>
      </w:pPr>
      <w:r w:rsidRPr="001A0F83">
        <w:rPr>
          <w:b/>
        </w:rPr>
        <w:t>PREZYDENT MIASTA STOŁECZNEGO</w:t>
      </w:r>
      <w:r w:rsidR="001A0F83" w:rsidRPr="001A0F83">
        <w:rPr>
          <w:b/>
        </w:rPr>
        <w:t xml:space="preserve"> </w:t>
      </w:r>
      <w:r w:rsidRPr="001A0F83">
        <w:rPr>
          <w:b/>
        </w:rPr>
        <w:t>WARSZAWY</w:t>
      </w:r>
    </w:p>
    <w:p w:rsidR="00575ADE" w:rsidRPr="001A0F83" w:rsidRDefault="00575ADE" w:rsidP="001A0F83">
      <w:pPr>
        <w:rPr>
          <w:b/>
          <w:lang w:val="en-US"/>
        </w:rPr>
      </w:pPr>
      <w:r w:rsidRPr="001A0F83">
        <w:rPr>
          <w:b/>
          <w:lang w:val="en-US"/>
        </w:rPr>
        <w:t>COP-13.310.1.2019.GWA</w:t>
      </w:r>
    </w:p>
    <w:p w:rsidR="00575ADE" w:rsidRPr="001A0F83" w:rsidRDefault="00575ADE" w:rsidP="001A0F83">
      <w:pPr>
        <w:rPr>
          <w:b/>
        </w:rPr>
      </w:pPr>
      <w:r w:rsidRPr="001A0F83">
        <w:rPr>
          <w:b/>
          <w:lang w:val="en-US"/>
        </w:rPr>
        <w:t>COP-13/31101/2595/GW/19</w:t>
      </w:r>
      <w:r w:rsidRPr="001A0F83">
        <w:rPr>
          <w:b/>
        </w:rPr>
        <w:t xml:space="preserve"> </w:t>
      </w:r>
    </w:p>
    <w:p w:rsidR="00575ADE" w:rsidRDefault="00575ADE" w:rsidP="001A0F83">
      <w:pPr>
        <w:pStyle w:val="Nagwek1"/>
      </w:pPr>
      <w:r w:rsidRPr="00B93D45">
        <w:t>INTERPRETACJA</w:t>
      </w:r>
      <w:r>
        <w:t xml:space="preserve"> INDYWIDUALNA</w:t>
      </w:r>
    </w:p>
    <w:p w:rsidR="00575ADE" w:rsidRPr="00575ADE" w:rsidRDefault="00575ADE" w:rsidP="001A0F83">
      <w:pPr>
        <w:pStyle w:val="Nagwek2"/>
        <w:numPr>
          <w:ilvl w:val="0"/>
          <w:numId w:val="3"/>
        </w:numPr>
      </w:pPr>
      <w:r w:rsidRPr="00575ADE">
        <w:t>Podstawa prawna interpretacji</w:t>
      </w:r>
    </w:p>
    <w:p w:rsidR="00575ADE" w:rsidRPr="001A0F83" w:rsidRDefault="00575ADE" w:rsidP="001A0F83">
      <w:r w:rsidRPr="00575ADE">
        <w:t xml:space="preserve">Art. 14j § 1 ustawy z dnia 29 sierpnia 1997 r. - Ordynacja podatkowa (Dz. U. z 2019 r. poz. 900, z </w:t>
      </w:r>
      <w:proofErr w:type="spellStart"/>
      <w:r w:rsidRPr="00575ADE">
        <w:t>późn</w:t>
      </w:r>
      <w:proofErr w:type="spellEnd"/>
      <w:r w:rsidRPr="00575ADE">
        <w:t>. zm</w:t>
      </w:r>
      <w:r w:rsidRPr="001A0F83">
        <w:t>.)</w:t>
      </w:r>
    </w:p>
    <w:p w:rsidR="00575ADE" w:rsidRPr="00575ADE" w:rsidRDefault="00575ADE" w:rsidP="001A0F83">
      <w:pPr>
        <w:pStyle w:val="Nagwek2"/>
        <w:numPr>
          <w:ilvl w:val="0"/>
          <w:numId w:val="3"/>
        </w:numPr>
      </w:pPr>
      <w:r w:rsidRPr="00575ADE">
        <w:t>Rozstrzygnięcie</w:t>
      </w:r>
    </w:p>
    <w:p w:rsidR="00575ADE" w:rsidRPr="00575ADE" w:rsidRDefault="00575ADE" w:rsidP="001A0F83">
      <w:r w:rsidRPr="00575ADE">
        <w:t xml:space="preserve">Po rozpatrzeniu wniosku </w:t>
      </w:r>
      <w:r w:rsidR="001A0F83">
        <w:t>(…)</w:t>
      </w:r>
      <w:r>
        <w:t xml:space="preserve"> </w:t>
      </w:r>
      <w:r w:rsidRPr="00575ADE">
        <w:t xml:space="preserve">z siedzibą w </w:t>
      </w:r>
      <w:r w:rsidR="001A0F83">
        <w:t xml:space="preserve">(…) </w:t>
      </w:r>
      <w:r w:rsidRPr="00575ADE">
        <w:t xml:space="preserve">przy </w:t>
      </w:r>
      <w:r w:rsidR="001A0F83">
        <w:t>(…)</w:t>
      </w:r>
      <w:r>
        <w:t xml:space="preserve"> </w:t>
      </w:r>
      <w:r w:rsidRPr="00575ADE">
        <w:t xml:space="preserve">(dalej jako „Instytut”) z dnia 12 sierpnia 2019 r., skierowanego do Dyrektora Krajowej Informacji Skarbowej z siedzibą w </w:t>
      </w:r>
      <w:r w:rsidR="001A0F83">
        <w:t>(…)</w:t>
      </w:r>
      <w:r w:rsidRPr="00575ADE">
        <w:t xml:space="preserve"> przy ulicy </w:t>
      </w:r>
      <w:r w:rsidR="001A0F83">
        <w:t>(…)</w:t>
      </w:r>
      <w:r w:rsidRPr="00575ADE">
        <w:t xml:space="preserve"> i przekazanego do tutejszego organu w dniu 30 września 2019 roku przy piśmie z dnia 24 września 2019 r. nr 0111-KDIB2-1.4017.17.2019.1.AP w sprawie udzielenia indywidualnej interpretacji przepisów prawa podatkowego w</w:t>
      </w:r>
      <w:r w:rsidR="001A0F83">
        <w:t> </w:t>
      </w:r>
      <w:r w:rsidRPr="00575ADE">
        <w:t>zakresie podatku od nieruchomości, postanawiam uznać stanowisko przedstawione we wniosku za prawidłowe w obowiązującym stanie prawnym.</w:t>
      </w:r>
    </w:p>
    <w:p w:rsidR="00575ADE" w:rsidRPr="00575ADE" w:rsidRDefault="00575ADE" w:rsidP="001A0F83">
      <w:pPr>
        <w:pStyle w:val="Nagwek2"/>
        <w:numPr>
          <w:ilvl w:val="0"/>
          <w:numId w:val="3"/>
        </w:numPr>
      </w:pPr>
      <w:r w:rsidRPr="00575ADE">
        <w:t>Stan faktyczny/zdarzenie przyszłe przedstawione we wniosku</w:t>
      </w:r>
    </w:p>
    <w:p w:rsidR="00575ADE" w:rsidRDefault="00575ADE" w:rsidP="001A0F83">
      <w:r>
        <w:t>Z treści przedłożonego wniosku o udzielenie indywidualnej interpretacji przepisów prawa podatkowego w</w:t>
      </w:r>
      <w:r w:rsidR="001A0F83">
        <w:t> </w:t>
      </w:r>
      <w:r>
        <w:t>zakresie podatku od nieruchomości wynika, iż Instytut jest instytutem badawczym, posiadającym osobowość prawną, prowadzącym działalność na podstawie ustawy z dnia 30 kwietnia 2010 r. o instytutach badawczych (Dz. U. z 2019 r., poz. 1350). Instytut prowadzi badania naukowe oraz prace rozwojowe w</w:t>
      </w:r>
      <w:r w:rsidR="001A0F83">
        <w:t> </w:t>
      </w:r>
      <w:r>
        <w:t>dziedzinie nauk przyrodniczych i technicznych. Na mocy art. 7 ust. 2 pkt 5 ustawy z dnia 12 stycznia 1991 roku o podatkach i opłatach lokalnych (Dz. U. z 2019 roku, poz. 1170 ze zm.; dalej jako „</w:t>
      </w:r>
      <w:proofErr w:type="spellStart"/>
      <w:r>
        <w:t>upol</w:t>
      </w:r>
      <w:proofErr w:type="spellEnd"/>
      <w:r>
        <w:t>”), Instytut zwolniony jest z podatku od nieruchomości z wyjątkiem części nieruchomości zajętych na prowadzenie działalności gospodarczej.</w:t>
      </w:r>
    </w:p>
    <w:p w:rsidR="00575ADE" w:rsidRDefault="00575ADE" w:rsidP="001A0F83">
      <w:r>
        <w:t xml:space="preserve">W dniu 31 maja 2019 roku Instytut zawarł umowę najmu z </w:t>
      </w:r>
      <w:r w:rsidR="001A0F83">
        <w:t>(…)</w:t>
      </w:r>
      <w:r>
        <w:t xml:space="preserve"> w </w:t>
      </w:r>
      <w:r w:rsidR="001A0F83">
        <w:t>(…)</w:t>
      </w:r>
      <w:r>
        <w:t xml:space="preserve"> (dalej jako „Stowarzyszenie”), które prowadzi </w:t>
      </w:r>
      <w:r w:rsidR="001A0F83">
        <w:t>(…)</w:t>
      </w:r>
      <w:r>
        <w:t xml:space="preserve">. Przedmiotem w/w umowy jest najem pomieszczeń biurowych, znajdujących się w budynku położonym w </w:t>
      </w:r>
      <w:r w:rsidR="001A0F83">
        <w:t>(…)</w:t>
      </w:r>
      <w:r>
        <w:t xml:space="preserve"> przy ulicy </w:t>
      </w:r>
      <w:r w:rsidR="001A0F83">
        <w:t>(…)</w:t>
      </w:r>
      <w:r>
        <w:t xml:space="preserve"> oraz wolnego od zabudowań placu przylegającego do w/w budynku. Instytut jest użytkownikiem wieczystym w/w nieruchomości. Zgodnie z postanowieniami umowy najmu, przedmiot najmu jest wykorzystywany na cele dydaktyczne (szkolne lub biurowe), natomiast plac – na cele parkingowe lub rekreacyjne.</w:t>
      </w:r>
    </w:p>
    <w:p w:rsidR="00575ADE" w:rsidRDefault="00575ADE" w:rsidP="001A0F83">
      <w:r>
        <w:t xml:space="preserve">Zgodnie z informacją ujawnioną w Krajowym Rejestrze Sądowym – Rejestrze Stowarzyszeń, celem działania Stowarzyszenia jest wyzwalanie i wspieranie inicjatyw społecznych zmierzających do wzbogacenia możliwości edukacji dzieci i młodzieży oraz tworzenia warunków i pełnego rozwoju intelektualnego i fizycznego. </w:t>
      </w:r>
      <w:r w:rsidR="001A0F83">
        <w:lastRenderedPageBreak/>
        <w:t>(…) </w:t>
      </w:r>
      <w:r>
        <w:t>o</w:t>
      </w:r>
      <w:r w:rsidR="001A0F83">
        <w:t> </w:t>
      </w:r>
      <w:r>
        <w:t>której mowa we wniosku o udzielenie interpretacji, działa w publicznym systemie oświaty, zaś jej głównym celem statutowym jest zapewnienie uczniom możliwości pełnego rozwoju intelektualnego i</w:t>
      </w:r>
      <w:r w:rsidR="001A0F83">
        <w:t> </w:t>
      </w:r>
      <w:r>
        <w:t>psychofizycznego w warunkach poszanowania ich godności oraz wolności światopoglądowej i wyznaniowej, z</w:t>
      </w:r>
      <w:r w:rsidR="001A0F83">
        <w:t> </w:t>
      </w:r>
      <w:r>
        <w:t xml:space="preserve"> uwzględnieniem zasad bezpieczeństwa oraz zasad promocji i ochrony zdrowia. Stowarzyszenie nie prowadzi pozarolniczej działalności gospodarczej, a wyłącznie działalność statutową w zakresie edukacji, oświaty i</w:t>
      </w:r>
      <w:r w:rsidR="001A0F83">
        <w:t> </w:t>
      </w:r>
      <w:r>
        <w:t>wychowania.</w:t>
      </w:r>
    </w:p>
    <w:p w:rsidR="00575ADE" w:rsidRPr="00846614" w:rsidRDefault="00575ADE" w:rsidP="001A0F83">
      <w:r>
        <w:t xml:space="preserve">Z powyższego wynika zatem, iż </w:t>
      </w:r>
      <w:r w:rsidRPr="001A0F83">
        <w:t>„(…) Stowarzyszenie wykorzystuje dzierżawioną Nieruchomość wyłącznie na</w:t>
      </w:r>
      <w:r w:rsidR="001A0F83">
        <w:t> </w:t>
      </w:r>
      <w:r w:rsidRPr="001A0F83">
        <w:t xml:space="preserve">potrzeby prowadzenia na niej statutowej działalności wśród dzieci i młodzieży w zakresie oświaty, wychowania, nauki, kultury fizycznej oraz sportu, prowadząc działalność </w:t>
      </w:r>
      <w:r w:rsidR="00846614">
        <w:t>(…)</w:t>
      </w:r>
      <w:r w:rsidRPr="001A0F83">
        <w:t>. Z dzierżawionych przez Stowarzyszenie Nieruchomości nie korzysta nikt inny, poza Stowarzyszeniem</w:t>
      </w:r>
      <w:r w:rsidR="00846614">
        <w:t xml:space="preserve"> </w:t>
      </w:r>
      <w:r w:rsidRPr="00846614">
        <w:t>(…)”.</w:t>
      </w:r>
    </w:p>
    <w:p w:rsidR="00575ADE" w:rsidRDefault="00575ADE" w:rsidP="001A0F83">
      <w:r>
        <w:t>W świetle opisanego powyżej stanu faktycznego, pytanie Instytutu brzmi:</w:t>
      </w:r>
    </w:p>
    <w:p w:rsidR="00575ADE" w:rsidRPr="00846614" w:rsidRDefault="00575ADE" w:rsidP="001A0F83">
      <w:r w:rsidRPr="00846614">
        <w:t>„Czy w przedstawionym stanie faktycznym, w związku z tym, że na Nieruchomości są zajęte wyłącznie na</w:t>
      </w:r>
      <w:r w:rsidR="00846614">
        <w:t> </w:t>
      </w:r>
      <w:r w:rsidRPr="00846614">
        <w:t>potrzeby działalności oświatowej, Instytut również nie będzie zobowiązany do uiszczenia podatku od nieruchomości ?”.</w:t>
      </w:r>
    </w:p>
    <w:p w:rsidR="00575ADE" w:rsidRPr="00575ADE" w:rsidRDefault="00575ADE" w:rsidP="001A0F83">
      <w:pPr>
        <w:pStyle w:val="Nagwek2"/>
        <w:numPr>
          <w:ilvl w:val="0"/>
          <w:numId w:val="3"/>
        </w:numPr>
      </w:pPr>
      <w:r w:rsidRPr="00575ADE">
        <w:t>Stanowisko wnioskodawcy</w:t>
      </w:r>
    </w:p>
    <w:p w:rsidR="00575ADE" w:rsidRPr="00575ADE" w:rsidRDefault="00575ADE" w:rsidP="001A0F83">
      <w:r w:rsidRPr="00575ADE">
        <w:t>Zdaniem Instytutu zawartym w złożonym wniosku, „(…) Nieruchomości, z uwagi na ich przeznaczenie (wyłącznie działalność oświatowa), a także podmiot, który wykonuje działalność oświatową (jednostka organizacyjna nie posiadająca osobowości prawnej oraz Stowarzyszenie jako jej organ prowadzący), są zwolnione z opodatkowania podatkiem od nieruchomości. Tym samym Instytut nie jest zobowiązany do uiszczania podatku od nieruchomości w zakresie objętym umową dzierżawy Nieruchomości”.</w:t>
      </w:r>
    </w:p>
    <w:p w:rsidR="00575ADE" w:rsidRPr="00575ADE" w:rsidRDefault="00575ADE" w:rsidP="001A0F83">
      <w:pPr>
        <w:pStyle w:val="Nagwek2"/>
        <w:numPr>
          <w:ilvl w:val="0"/>
          <w:numId w:val="3"/>
        </w:numPr>
      </w:pPr>
      <w:r w:rsidRPr="00575ADE">
        <w:t>Ocena stanowiska wnioskodawcy wraz z uzasadnieniem prawnym</w:t>
      </w:r>
    </w:p>
    <w:p w:rsidR="00575ADE" w:rsidRDefault="00575ADE" w:rsidP="001A0F83">
      <w:r>
        <w:t xml:space="preserve">Zgodnie z art. 2 ust. 1 pkt 1 i 2 </w:t>
      </w:r>
      <w:proofErr w:type="spellStart"/>
      <w:r>
        <w:t>upol</w:t>
      </w:r>
      <w:proofErr w:type="spellEnd"/>
      <w:r>
        <w:t xml:space="preserve">, opodatkowaniu podatkiem od nieruchomości podlegają grunty oraz budynki lub ich części. Natomiast w myśl art. 3 ust. 1 pkt 1 </w:t>
      </w:r>
      <w:proofErr w:type="spellStart"/>
      <w:r>
        <w:t>upol</w:t>
      </w:r>
      <w:proofErr w:type="spellEnd"/>
      <w:r>
        <w:t xml:space="preserve">, podatnikami podatku od nieruchomości są miedzy innymi osoby prawne będące właścicielami (użytkownikami wieczystymi) nieruchomości lub obiektów budowlanych (z zastrzeżeniem ust. 3, który nie ma zastosowania w niniejszej sprawie). Ponadto zgodnie z art. 7 ust. 2 pkt 5 </w:t>
      </w:r>
      <w:proofErr w:type="spellStart"/>
      <w:r>
        <w:t>upol</w:t>
      </w:r>
      <w:proofErr w:type="spellEnd"/>
      <w:r>
        <w:t>, zwalnia się od podatku od nieruchomości instytuty badawcze, przy czym zwolnienie nie dotyczy nieruchomości zajętych na prowadzenie działalności gospodarczej.</w:t>
      </w:r>
    </w:p>
    <w:p w:rsidR="00575ADE" w:rsidRDefault="00575ADE" w:rsidP="001A0F83">
      <w:r>
        <w:t>Z opisanego we wniosku o udzielenie indywidualnej interpretacji przepisów prawa podatkowego stanu faktycznego wynika, że Instytut jest użytkownikiem wieczystym nieruchomości wynajmowanej Stowarzyszeniu na prowadzenie na tej nieruchomości statutowej działalności wśród dzieci i młodzieży w zakresie oświaty, wychowania, nauki, kultury fizycznej i sportu poprzez prowadzenie społecznej szkoły podstawowej. Ze stanu faktycznego zawartego we wniosku wynika ponadto, iż podstawą prawną działania Instytutu jest między innymi ustawa o instytutach badawczych. Zgodnie z brzmieniem art. 1 w/w ustawy:</w:t>
      </w:r>
    </w:p>
    <w:p w:rsidR="00575ADE" w:rsidRPr="00AF0B12" w:rsidRDefault="00575ADE" w:rsidP="00AF0B12">
      <w:pPr>
        <w:pStyle w:val="Akapitzlist"/>
        <w:numPr>
          <w:ilvl w:val="0"/>
          <w:numId w:val="4"/>
        </w:numPr>
        <w:ind w:left="714" w:hanging="357"/>
        <w:contextualSpacing w:val="0"/>
        <w:rPr>
          <w:color w:val="000000"/>
        </w:rPr>
      </w:pPr>
      <w:r w:rsidRPr="00AF0B12">
        <w:rPr>
          <w:color w:val="000000"/>
        </w:rPr>
        <w:t xml:space="preserve">„1. Instytutem badawczym w rozumieniu ustawy jest państwowa jednostka organizacyjna, wyodrębniona pod względem prawnym, organizacyjnym i ekonomiczno-finansowym, która prowadzi </w:t>
      </w:r>
      <w:r w:rsidRPr="00AF0B12">
        <w:rPr>
          <w:color w:val="000000"/>
        </w:rPr>
        <w:lastRenderedPageBreak/>
        <w:t>badania naukowe i prace rozwojowe ukierunkowane na ich wdrożenie i zastosowanie w praktyce, zwana dalej "instytutem".</w:t>
      </w:r>
    </w:p>
    <w:p w:rsidR="00575ADE" w:rsidRPr="00AF0B12" w:rsidRDefault="00575ADE" w:rsidP="00AF0B12">
      <w:pPr>
        <w:pStyle w:val="Akapitzlist"/>
        <w:numPr>
          <w:ilvl w:val="0"/>
          <w:numId w:val="4"/>
        </w:numPr>
        <w:ind w:left="714" w:hanging="357"/>
        <w:contextualSpacing w:val="0"/>
        <w:rPr>
          <w:color w:val="000000"/>
        </w:rPr>
      </w:pPr>
      <w:r w:rsidRPr="00AF0B12">
        <w:rPr>
          <w:color w:val="000000"/>
        </w:rPr>
        <w:t>Instytut nabywa osobowość prawną z chwilą wpisania do Krajowego Rejestru Sądowego.</w:t>
      </w:r>
    </w:p>
    <w:p w:rsidR="00575ADE" w:rsidRPr="00AF0B12" w:rsidRDefault="00575ADE" w:rsidP="00AF0B12">
      <w:pPr>
        <w:pStyle w:val="Akapitzlist"/>
        <w:numPr>
          <w:ilvl w:val="0"/>
          <w:numId w:val="4"/>
        </w:numPr>
        <w:ind w:left="714" w:hanging="357"/>
        <w:contextualSpacing w:val="0"/>
        <w:rPr>
          <w:color w:val="000000"/>
        </w:rPr>
      </w:pPr>
      <w:r w:rsidRPr="00AF0B12">
        <w:rPr>
          <w:color w:val="000000"/>
        </w:rPr>
        <w:t>Instytut ma prawo używania okrągłej pieczęci z wizerunkiem godła Rzeczypospolitej Polskiej pośrodku i nazwą instytutu w otoku”.</w:t>
      </w:r>
    </w:p>
    <w:p w:rsidR="00575ADE" w:rsidRDefault="00575ADE" w:rsidP="001A0F83">
      <w:pPr>
        <w:rPr>
          <w:color w:val="000000"/>
        </w:rPr>
      </w:pPr>
      <w:r>
        <w:rPr>
          <w:color w:val="000000"/>
        </w:rPr>
        <w:t>Zgodnie z przepisami ustawy z dnia 14 grudnia 2016 r. – Prawo oświatowe (Dz. U. z 2019 r. poz. 1148 ze zm.):</w:t>
      </w:r>
    </w:p>
    <w:p w:rsidR="00575ADE" w:rsidRPr="00AF0B12" w:rsidRDefault="00575ADE" w:rsidP="00AF0B12">
      <w:pPr>
        <w:pStyle w:val="Akapitzlist"/>
        <w:numPr>
          <w:ilvl w:val="0"/>
          <w:numId w:val="5"/>
        </w:numPr>
        <w:ind w:left="714" w:hanging="357"/>
        <w:contextualSpacing w:val="0"/>
        <w:rPr>
          <w:color w:val="000000"/>
        </w:rPr>
      </w:pPr>
      <w:r w:rsidRPr="00AF0B12">
        <w:rPr>
          <w:color w:val="000000"/>
        </w:rPr>
        <w:t>prowadzenie szkoły lub placówki, zespołu, o którym mowa w art. 182, oraz innej formy wychowania przedszkolnego nie jest działalnością gospodarczą (art. 170 ust. 1);</w:t>
      </w:r>
    </w:p>
    <w:p w:rsidR="00575ADE" w:rsidRPr="00AF0B12" w:rsidRDefault="00575ADE" w:rsidP="00AF0B12">
      <w:pPr>
        <w:pStyle w:val="Akapitzlist"/>
        <w:numPr>
          <w:ilvl w:val="0"/>
          <w:numId w:val="5"/>
        </w:numPr>
        <w:ind w:left="714" w:hanging="357"/>
        <w:contextualSpacing w:val="0"/>
        <w:rPr>
          <w:color w:val="000000"/>
        </w:rPr>
      </w:pPr>
      <w:r w:rsidRPr="00AF0B12">
        <w:rPr>
          <w:color w:val="000000"/>
        </w:rPr>
        <w:t>działalność oświatowa nieobejmująca prowadzenia szkoły, placówki, zespołu, o którym mowa w art. 182, lub innej formy wychowania przedszkolnego może być podejmowana na zasadach określonych w przepisach ustawy z dnia 6 marca 2018 r. - Prawo przedsiębiorców (art. 170 ust. 2).</w:t>
      </w:r>
    </w:p>
    <w:p w:rsidR="00575ADE" w:rsidRDefault="00575ADE" w:rsidP="001A0F83">
      <w:pPr>
        <w:rPr>
          <w:color w:val="000000"/>
        </w:rPr>
      </w:pPr>
      <w:r>
        <w:rPr>
          <w:color w:val="000000"/>
        </w:rPr>
        <w:t>W świetle piśmiennictwa</w:t>
      </w:r>
      <w:r w:rsidRPr="004E4A60">
        <w:rPr>
          <w:color w:val="000000"/>
        </w:rPr>
        <w:t>, „(…) Sformułowanie komentowanego przepisu, że „działalność oświatowa nieobejmująca prowadzenia szkoły, placówki, zespołu [...] lub innej formy wychowania przedszkolnego [...] może być podejmowana na zasadach określonych w przepisach ustawy [...] o swobodzie działalności gospodarczej", należy rozumieć w ten sposób, że wspomniana działalność powinna być podejmowana na zasadach działalności gospodarczej, jeżeli nie obejmuje ponadto prowadzenia niepublicznej placówki doskonalenia nauczycieli (która też jest pewną formą działalności oświatowej pozaszkolnej). Dla odróżnienia gospodarczej i niegospodarczej formy działalności oświatowej mogą mieć znaczenie zwłaszcza takie elementy jak ciągłość szkolenia, stosowanie bardziej sformalizowanego trybu zarządzania działalnością dydaktyczną i jej nadzorowania (zwłaszcza gdy chodzi o zatwierdzanie programów nauczania), wydawanie świadectw itp. (…)”</w:t>
      </w:r>
      <w:r>
        <w:rPr>
          <w:i/>
          <w:color w:val="000000"/>
        </w:rPr>
        <w:t xml:space="preserve"> </w:t>
      </w:r>
      <w:r>
        <w:rPr>
          <w:color w:val="000000"/>
        </w:rPr>
        <w:t>(Mateusz Pilich: Komentarz do art. 170 ustawy – Prawo oświatowe, 2017.11.01, LEX 2019).</w:t>
      </w:r>
    </w:p>
    <w:p w:rsidR="00575ADE" w:rsidRDefault="00575ADE" w:rsidP="001A0F83">
      <w:pPr>
        <w:rPr>
          <w:color w:val="000000"/>
        </w:rPr>
      </w:pPr>
      <w:r>
        <w:rPr>
          <w:color w:val="000000"/>
        </w:rPr>
        <w:t>Uznać należy zatem, iż nie jest pozarolniczą działalnością gospodarczą:</w:t>
      </w:r>
    </w:p>
    <w:p w:rsidR="00575ADE" w:rsidRPr="00C43102" w:rsidRDefault="00575ADE" w:rsidP="00C43102">
      <w:pPr>
        <w:pStyle w:val="Akapitzlist"/>
        <w:numPr>
          <w:ilvl w:val="0"/>
          <w:numId w:val="7"/>
        </w:numPr>
        <w:ind w:left="714" w:hanging="357"/>
        <w:contextualSpacing w:val="0"/>
        <w:rPr>
          <w:color w:val="000000"/>
        </w:rPr>
      </w:pPr>
      <w:r w:rsidRPr="00C43102">
        <w:rPr>
          <w:color w:val="000000"/>
        </w:rPr>
        <w:t>prowadzenie szkoły (za która uważa się także przedszkole – art. 4 pkt 1 ustawy Prawo oświatowe),</w:t>
      </w:r>
    </w:p>
    <w:p w:rsidR="00575ADE" w:rsidRPr="00C43102" w:rsidRDefault="00575ADE" w:rsidP="00C43102">
      <w:pPr>
        <w:pStyle w:val="Akapitzlist"/>
        <w:numPr>
          <w:ilvl w:val="0"/>
          <w:numId w:val="7"/>
        </w:numPr>
        <w:ind w:left="714" w:hanging="357"/>
        <w:contextualSpacing w:val="0"/>
        <w:rPr>
          <w:color w:val="000000"/>
        </w:rPr>
      </w:pPr>
      <w:r w:rsidRPr="00C43102">
        <w:rPr>
          <w:color w:val="000000"/>
        </w:rPr>
        <w:t xml:space="preserve">prowadzenie zespołu, o którym mowa w art. 182 ustawy Prawo oświatowe; </w:t>
      </w:r>
    </w:p>
    <w:p w:rsidR="00575ADE" w:rsidRPr="00C43102" w:rsidRDefault="00575ADE" w:rsidP="00C43102">
      <w:pPr>
        <w:pStyle w:val="Akapitzlist"/>
        <w:numPr>
          <w:ilvl w:val="0"/>
          <w:numId w:val="7"/>
        </w:numPr>
        <w:ind w:left="714" w:hanging="357"/>
        <w:contextualSpacing w:val="0"/>
        <w:rPr>
          <w:color w:val="000000"/>
        </w:rPr>
      </w:pPr>
      <w:r w:rsidRPr="00C43102">
        <w:rPr>
          <w:color w:val="000000"/>
        </w:rPr>
        <w:t>inna forma wychowania przedszkolnego.</w:t>
      </w:r>
      <w:bookmarkStart w:id="0" w:name="_GoBack"/>
      <w:bookmarkEnd w:id="0"/>
    </w:p>
    <w:p w:rsidR="00575ADE" w:rsidRDefault="00575ADE" w:rsidP="001A0F83">
      <w:pPr>
        <w:rPr>
          <w:color w:val="000000"/>
        </w:rPr>
      </w:pPr>
      <w:r>
        <w:rPr>
          <w:color w:val="000000"/>
        </w:rPr>
        <w:t>Natomiast pozostałe rodzaje działalności oświatowej (innej niż w/w), stanowić będą pozarolniczą działalność gospodarczą.</w:t>
      </w:r>
    </w:p>
    <w:p w:rsidR="00575ADE" w:rsidRDefault="00575ADE" w:rsidP="001A0F83">
      <w:r>
        <w:rPr>
          <w:color w:val="000000"/>
        </w:rPr>
        <w:t>Reasumując, nieruchomość wynajmowana przez Instytut Stowarzyszeniu na potrzeby prowadzonej przez Stowarzyszenie szkoły podstawowej będzie korzystała ze zwolnienia z podatku od nieruchomości na</w:t>
      </w:r>
      <w:r w:rsidR="004E4A60">
        <w:rPr>
          <w:color w:val="000000"/>
        </w:rPr>
        <w:t> </w:t>
      </w:r>
      <w:r>
        <w:rPr>
          <w:color w:val="000000"/>
        </w:rPr>
        <w:t xml:space="preserve"> podstawie art. 7 ust. 2 pkt 5 </w:t>
      </w:r>
      <w:proofErr w:type="spellStart"/>
      <w:r>
        <w:rPr>
          <w:color w:val="000000"/>
        </w:rPr>
        <w:t>upol</w:t>
      </w:r>
      <w:proofErr w:type="spellEnd"/>
      <w:r>
        <w:rPr>
          <w:color w:val="000000"/>
        </w:rPr>
        <w:t xml:space="preserve"> albowiem prowadzenie przez Stowarzyszenie szkoły podstawowej nie jest działalnością gospodarczą, zarówno w rozumieniu przepisów </w:t>
      </w:r>
      <w:proofErr w:type="spellStart"/>
      <w:r>
        <w:rPr>
          <w:color w:val="000000"/>
        </w:rPr>
        <w:t>upol</w:t>
      </w:r>
      <w:proofErr w:type="spellEnd"/>
      <w:r>
        <w:rPr>
          <w:color w:val="000000"/>
        </w:rPr>
        <w:t>, jak i ustawy – Prawo oświatowe. Podkreślić należy w tym miejscu, iż w/w zwolnienie będzie dotyczyło tylko tych nieruchomości, które nie są zajęte na wynajmowanej Stowarzyszeniu nieruchomości na prowadzenie działalności gospodarczej.</w:t>
      </w:r>
    </w:p>
    <w:p w:rsidR="00575ADE" w:rsidRDefault="00575ADE" w:rsidP="001A0F83">
      <w:pPr>
        <w:rPr>
          <w:color w:val="000000"/>
        </w:rPr>
      </w:pPr>
      <w:r>
        <w:rPr>
          <w:color w:val="000000"/>
        </w:rPr>
        <w:lastRenderedPageBreak/>
        <w:t xml:space="preserve">Z kolei stosownie do treści art. 7 ust. 1 pkt 5 </w:t>
      </w:r>
      <w:proofErr w:type="spellStart"/>
      <w:r>
        <w:rPr>
          <w:color w:val="000000"/>
        </w:rPr>
        <w:t>upol</w:t>
      </w:r>
      <w:proofErr w:type="spellEnd"/>
      <w:r>
        <w:rPr>
          <w:color w:val="000000"/>
        </w:rPr>
        <w:t xml:space="preserve"> </w:t>
      </w:r>
      <w:r>
        <w:t>zwalnia się od podatku od nieruchomości</w:t>
      </w:r>
      <w:r w:rsidRPr="004A32E1">
        <w:t xml:space="preserve"> </w:t>
      </w:r>
      <w:r w:rsidRPr="004A32E1">
        <w:rPr>
          <w:color w:val="000000"/>
        </w:rPr>
        <w:t>grunty, budynki lub ich części zajęte wyłącznie na potrzeby prowadzenia przez stowarzyszenia statutowej działalności wśród dzieci i młodzieży w zakresie oświaty, wychowania, nauki i techniki, kultury fizycznej i sportu,</w:t>
      </w:r>
      <w:r>
        <w:rPr>
          <w:color w:val="000000"/>
        </w:rPr>
        <w:t xml:space="preserve"> </w:t>
      </w:r>
      <w:r w:rsidRPr="004A32E1">
        <w:rPr>
          <w:color w:val="000000"/>
        </w:rPr>
        <w:t>z wyjątkiem wykorzystywanych do prowadzenia działalności gospodarczej, oraz grunty zajęte trwale</w:t>
      </w:r>
      <w:r>
        <w:rPr>
          <w:color w:val="000000"/>
        </w:rPr>
        <w:t xml:space="preserve"> </w:t>
      </w:r>
      <w:r w:rsidRPr="004A32E1">
        <w:rPr>
          <w:color w:val="000000"/>
        </w:rPr>
        <w:t>na obozowiska i bazy</w:t>
      </w:r>
      <w:r>
        <w:rPr>
          <w:color w:val="000000"/>
        </w:rPr>
        <w:t xml:space="preserve"> wypoczynkowe dzieci i młodzieży. </w:t>
      </w:r>
    </w:p>
    <w:p w:rsidR="00575ADE" w:rsidRPr="00D42AB7" w:rsidRDefault="00575ADE" w:rsidP="004E4A60">
      <w:r w:rsidRPr="00D42AB7">
        <w:t>Zwolnienie to ma charakter przedmiotowo-podmiotowy. Obejmuje określone nieruchomości lub ich części, jeżeli są zajęte przez wskazany podmiot (stowarzyszenie) na oznaczony cel. Przy czym nieruchomości objęte tym zwolnieniem nie muszą stanowić własności stowarzyszenia, a jedynie winne być przez nie zajmowane np.</w:t>
      </w:r>
      <w:r w:rsidR="004E4A60">
        <w:t> </w:t>
      </w:r>
      <w:r w:rsidRPr="00D42AB7">
        <w:t xml:space="preserve">na podstawie umowy najmu, dzierżawy czy też użyczenia, jak to ma miejsce w </w:t>
      </w:r>
      <w:r>
        <w:t>niniejszej</w:t>
      </w:r>
      <w:r w:rsidRPr="00D42AB7">
        <w:t xml:space="preserve"> sprawie.</w:t>
      </w:r>
    </w:p>
    <w:p w:rsidR="00575ADE" w:rsidRDefault="00575ADE" w:rsidP="001A0F83">
      <w:pPr>
        <w:rPr>
          <w:color w:val="000000"/>
        </w:rPr>
      </w:pPr>
      <w:r>
        <w:rPr>
          <w:color w:val="000000"/>
        </w:rPr>
        <w:t xml:space="preserve">Z tego powodu organ podatkowy podziela stanowisko Instytutu, że nieruchomość dzierżawiona przez Stowarzyszenie od Instytutu będzie objęta zwolnieniem z podatku od nieruchomości wymienionym w art. 7 ust. 1 pkt 5 </w:t>
      </w:r>
      <w:proofErr w:type="spellStart"/>
      <w:r>
        <w:rPr>
          <w:color w:val="000000"/>
        </w:rPr>
        <w:t>upol</w:t>
      </w:r>
      <w:proofErr w:type="spellEnd"/>
      <w:r>
        <w:rPr>
          <w:color w:val="000000"/>
        </w:rPr>
        <w:t>.</w:t>
      </w:r>
    </w:p>
    <w:p w:rsidR="00575ADE" w:rsidRPr="00575ADE" w:rsidRDefault="00575ADE" w:rsidP="001A0F83">
      <w:pPr>
        <w:rPr>
          <w:b/>
        </w:rPr>
      </w:pPr>
      <w:r w:rsidRPr="00575ADE">
        <w:t>Tym samym stanowisko Instytutu, zawarte we wniosku o udzielenie indywidualnej interpretacji przepisów prawa podatkowego, uznać należy za prawidłowe w obowiązującym stanie prawnym.</w:t>
      </w:r>
    </w:p>
    <w:p w:rsidR="00575ADE" w:rsidRPr="00575ADE" w:rsidRDefault="00575ADE" w:rsidP="001A0F83">
      <w:pPr>
        <w:pStyle w:val="Nagwek2"/>
        <w:numPr>
          <w:ilvl w:val="0"/>
          <w:numId w:val="3"/>
        </w:numPr>
      </w:pPr>
      <w:r w:rsidRPr="00575ADE">
        <w:t>Pouczenie</w:t>
      </w:r>
    </w:p>
    <w:p w:rsidR="0024561F" w:rsidRPr="001A0F83" w:rsidRDefault="00575ADE" w:rsidP="001A0F83">
      <w:r w:rsidRPr="00575ADE">
        <w:t xml:space="preserve">Wnioskodawcy przysługuje prawo do wniesienia skargi na niniejszą interpretację przepisów prawa podatkowego. Skargę wnosi się do Wojewódzkiego Sądu Administracyjnego w Warszawie w terminie 30 dni od dnia doręczenia Spółce interpretacji przepisów prawa podatkowego (art. 53 § 1 ustawy z dnia </w:t>
      </w:r>
      <w:r>
        <w:t>30 sierpnia 2002 </w:t>
      </w:r>
      <w:r w:rsidRPr="00575ADE">
        <w:t xml:space="preserve">r. – Prawa o postępowaniu przed sądami administracyjnymi – Dz. U. z 2018 r. poz. 1302, z </w:t>
      </w:r>
      <w:proofErr w:type="spellStart"/>
      <w:r w:rsidRPr="00575ADE">
        <w:t>późn</w:t>
      </w:r>
      <w:proofErr w:type="spellEnd"/>
      <w:r w:rsidRPr="00575ADE">
        <w:t>. zm.). Skargę wnosi się za pośrednictwem Prezydenta m.st. Warszawy – Centrum Obsługi Podatnika Urzędu m.st. Warszawy, ul. Obozowa 57, 01-161 Warszawa.</w:t>
      </w:r>
    </w:p>
    <w:p w:rsidR="00575ADE" w:rsidRDefault="00575ADE" w:rsidP="005864E0">
      <w:pPr>
        <w:ind w:left="6096"/>
        <w:contextualSpacing/>
        <w:rPr>
          <w:rFonts w:cs="Calibri"/>
        </w:rPr>
      </w:pPr>
      <w:r>
        <w:rPr>
          <w:rFonts w:cs="Calibri"/>
        </w:rPr>
        <w:t>Z up. PREZYDENTA M.ST. WARSZAWY</w:t>
      </w:r>
    </w:p>
    <w:p w:rsidR="005864E0" w:rsidRDefault="005864E0" w:rsidP="005864E0">
      <w:pPr>
        <w:ind w:left="7655"/>
        <w:contextualSpacing/>
        <w:rPr>
          <w:rFonts w:cs="Calibri"/>
          <w:b/>
        </w:rPr>
      </w:pPr>
      <w:r>
        <w:rPr>
          <w:rFonts w:cs="Calibri"/>
        </w:rPr>
        <w:t>/-/</w:t>
      </w:r>
    </w:p>
    <w:p w:rsidR="00575ADE" w:rsidRDefault="00575ADE" w:rsidP="005864E0">
      <w:pPr>
        <w:ind w:left="6663"/>
        <w:contextualSpacing/>
        <w:rPr>
          <w:rFonts w:cs="Calibri"/>
          <w:b/>
        </w:rPr>
      </w:pPr>
      <w:r>
        <w:rPr>
          <w:rFonts w:cs="Calibri"/>
        </w:rPr>
        <w:t>Róża Joanna Gutkowska</w:t>
      </w:r>
    </w:p>
    <w:p w:rsidR="00575ADE" w:rsidRDefault="00575ADE" w:rsidP="005864E0">
      <w:pPr>
        <w:ind w:left="6946"/>
        <w:contextualSpacing/>
        <w:rPr>
          <w:rFonts w:cs="Calibri"/>
          <w:b/>
        </w:rPr>
      </w:pPr>
      <w:r>
        <w:rPr>
          <w:rFonts w:cs="Calibri"/>
        </w:rPr>
        <w:t>Zastępca Skarbnika</w:t>
      </w:r>
    </w:p>
    <w:p w:rsidR="00575ADE" w:rsidRPr="001A0F83" w:rsidRDefault="00575ADE" w:rsidP="005864E0">
      <w:pPr>
        <w:ind w:left="7088"/>
        <w:contextualSpacing/>
      </w:pPr>
      <w:r>
        <w:t>m.st. Warszawy</w:t>
      </w:r>
    </w:p>
    <w:sectPr w:rsidR="00575ADE" w:rsidRPr="001A0F83" w:rsidSect="00575ADE">
      <w:foot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189" w:rsidRDefault="00E90189" w:rsidP="00575ADE">
      <w:pPr>
        <w:spacing w:after="0" w:line="240" w:lineRule="auto"/>
      </w:pPr>
      <w:r>
        <w:separator/>
      </w:r>
    </w:p>
  </w:endnote>
  <w:endnote w:type="continuationSeparator" w:id="0">
    <w:p w:rsidR="00E90189" w:rsidRDefault="00E90189" w:rsidP="0057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ADE" w:rsidRDefault="00575ADE" w:rsidP="001A0F83">
    <w:pPr>
      <w:contextualSpacing/>
      <w:jc w:val="right"/>
    </w:pPr>
    <w:r w:rsidRPr="001B4CA9">
      <w:t xml:space="preserve">Strona </w:t>
    </w:r>
    <w:r w:rsidRPr="001B4CA9">
      <w:fldChar w:fldCharType="begin"/>
    </w:r>
    <w:r w:rsidRPr="001B4CA9">
      <w:instrText xml:space="preserve"> PAGE </w:instrText>
    </w:r>
    <w:r w:rsidRPr="001B4CA9">
      <w:fldChar w:fldCharType="separate"/>
    </w:r>
    <w:r w:rsidR="007E4522">
      <w:rPr>
        <w:noProof/>
      </w:rPr>
      <w:t>1</w:t>
    </w:r>
    <w:r w:rsidRPr="001B4CA9">
      <w:fldChar w:fldCharType="end"/>
    </w:r>
    <w:r w:rsidRPr="001B4CA9">
      <w:t xml:space="preserve"> z </w:t>
    </w:r>
    <w:fldSimple w:instr=" NUMPAGES ">
      <w:r w:rsidR="007E4522">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189" w:rsidRDefault="00E90189" w:rsidP="00575ADE">
      <w:pPr>
        <w:spacing w:after="0" w:line="240" w:lineRule="auto"/>
      </w:pPr>
      <w:r>
        <w:separator/>
      </w:r>
    </w:p>
  </w:footnote>
  <w:footnote w:type="continuationSeparator" w:id="0">
    <w:p w:rsidR="00E90189" w:rsidRDefault="00E90189" w:rsidP="00575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869D0"/>
    <w:multiLevelType w:val="hybridMultilevel"/>
    <w:tmpl w:val="C27ECC5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BE2831"/>
    <w:multiLevelType w:val="hybridMultilevel"/>
    <w:tmpl w:val="6EF29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974A6E"/>
    <w:multiLevelType w:val="hybridMultilevel"/>
    <w:tmpl w:val="7CCC2D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D616A2"/>
    <w:multiLevelType w:val="hybridMultilevel"/>
    <w:tmpl w:val="D6AC3F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A05F90"/>
    <w:multiLevelType w:val="hybridMultilevel"/>
    <w:tmpl w:val="B726A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391382"/>
    <w:multiLevelType w:val="hybridMultilevel"/>
    <w:tmpl w:val="A154C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512385"/>
    <w:multiLevelType w:val="hybridMultilevel"/>
    <w:tmpl w:val="D9789152"/>
    <w:lvl w:ilvl="0" w:tplc="43D226FC">
      <w:start w:val="1"/>
      <w:numFmt w:val="decimal"/>
      <w:lvlText w:val="%1."/>
      <w:lvlJc w:val="left"/>
      <w:pPr>
        <w:ind w:left="284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DE"/>
    <w:rsid w:val="001A0F83"/>
    <w:rsid w:val="0024561F"/>
    <w:rsid w:val="004E4A60"/>
    <w:rsid w:val="00575ADE"/>
    <w:rsid w:val="005864E0"/>
    <w:rsid w:val="007E4522"/>
    <w:rsid w:val="00846614"/>
    <w:rsid w:val="00AF0B12"/>
    <w:rsid w:val="00C43102"/>
    <w:rsid w:val="00D5212D"/>
    <w:rsid w:val="00E901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8141"/>
  <w15:chartTrackingRefBased/>
  <w15:docId w15:val="{96110A19-5ACD-4416-A9D4-8E1FE7CC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0F83"/>
    <w:pPr>
      <w:spacing w:after="240" w:line="300" w:lineRule="auto"/>
    </w:pPr>
    <w:rPr>
      <w:rFonts w:ascii="Calibri" w:hAnsi="Calibri"/>
    </w:rPr>
  </w:style>
  <w:style w:type="paragraph" w:styleId="Nagwek1">
    <w:name w:val="heading 1"/>
    <w:basedOn w:val="Normalny"/>
    <w:link w:val="Nagwek1Znak"/>
    <w:qFormat/>
    <w:rsid w:val="001A0F83"/>
    <w:pPr>
      <w:overflowPunct w:val="0"/>
      <w:autoSpaceDE w:val="0"/>
      <w:autoSpaceDN w:val="0"/>
      <w:adjustRightInd w:val="0"/>
      <w:spacing w:before="720"/>
      <w:ind w:left="369" w:hanging="369"/>
      <w:outlineLvl w:val="0"/>
    </w:pPr>
    <w:rPr>
      <w:rFonts w:eastAsia="Times New Roman" w:cs="Times New Roman"/>
      <w:b/>
      <w:sz w:val="28"/>
      <w:szCs w:val="20"/>
      <w:lang w:eastAsia="pl-PL"/>
    </w:rPr>
  </w:style>
  <w:style w:type="paragraph" w:styleId="Nagwek2">
    <w:name w:val="heading 2"/>
    <w:basedOn w:val="Normalny"/>
    <w:next w:val="Normalny"/>
    <w:link w:val="Nagwek2Znak"/>
    <w:uiPriority w:val="9"/>
    <w:unhideWhenUsed/>
    <w:qFormat/>
    <w:rsid w:val="001A0F83"/>
    <w:pPr>
      <w:keepNext/>
      <w:keepLines/>
      <w:outlineLvl w:val="1"/>
    </w:pPr>
    <w:rPr>
      <w:rFonts w:eastAsiaTheme="majorEastAsia" w:cstheme="majorBidi"/>
      <w:b/>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A0F83"/>
    <w:rPr>
      <w:rFonts w:ascii="Calibri" w:eastAsia="Times New Roman" w:hAnsi="Calibri" w:cs="Times New Roman"/>
      <w:b/>
      <w:sz w:val="28"/>
      <w:szCs w:val="20"/>
      <w:lang w:eastAsia="pl-PL"/>
    </w:rPr>
  </w:style>
  <w:style w:type="paragraph" w:styleId="Akapitzlist">
    <w:name w:val="List Paragraph"/>
    <w:basedOn w:val="Normalny"/>
    <w:uiPriority w:val="34"/>
    <w:qFormat/>
    <w:rsid w:val="00575ADE"/>
    <w:pPr>
      <w:ind w:left="720"/>
      <w:contextualSpacing/>
    </w:pPr>
  </w:style>
  <w:style w:type="paragraph" w:styleId="Nagwek">
    <w:name w:val="header"/>
    <w:basedOn w:val="Normalny"/>
    <w:link w:val="NagwekZnak"/>
    <w:uiPriority w:val="99"/>
    <w:unhideWhenUsed/>
    <w:rsid w:val="00575A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ADE"/>
  </w:style>
  <w:style w:type="paragraph" w:styleId="Stopka">
    <w:name w:val="footer"/>
    <w:basedOn w:val="Normalny"/>
    <w:link w:val="StopkaZnak"/>
    <w:uiPriority w:val="99"/>
    <w:unhideWhenUsed/>
    <w:rsid w:val="00575A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ADE"/>
  </w:style>
  <w:style w:type="character" w:customStyle="1" w:styleId="Nagwek2Znak">
    <w:name w:val="Nagłówek 2 Znak"/>
    <w:basedOn w:val="Domylnaczcionkaakapitu"/>
    <w:link w:val="Nagwek2"/>
    <w:uiPriority w:val="9"/>
    <w:rsid w:val="001A0F83"/>
    <w:rPr>
      <w:rFonts w:ascii="Calibri" w:eastAsiaTheme="majorEastAsia" w:hAnsi="Calibr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1484</Words>
  <Characters>8906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Urzad Miasta</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Gmur Kinga (COP)</dc:creator>
  <cp:keywords/>
  <dc:description/>
  <cp:lastModifiedBy>Wawer Jakub (COP)</cp:lastModifiedBy>
  <cp:revision>6</cp:revision>
  <cp:lastPrinted>2023-02-20T07:24:00Z</cp:lastPrinted>
  <dcterms:created xsi:type="dcterms:W3CDTF">2021-09-29T11:31:00Z</dcterms:created>
  <dcterms:modified xsi:type="dcterms:W3CDTF">2023-02-20T07:24:00Z</dcterms:modified>
</cp:coreProperties>
</file>