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3FD5" w14:textId="77777777" w:rsidR="006E53F6" w:rsidRPr="00A70749" w:rsidRDefault="007A35A7" w:rsidP="007E246F">
      <w:pPr>
        <w:spacing w:after="240" w:line="300" w:lineRule="auto"/>
        <w:ind w:left="5103"/>
        <w:contextualSpacing/>
        <w:rPr>
          <w:rFonts w:ascii="Calibri" w:hAnsi="Calibri" w:cs="Calibri"/>
          <w:bCs/>
          <w:sz w:val="22"/>
          <w:szCs w:val="22"/>
          <w:lang w:eastAsia="pl-PL"/>
        </w:rPr>
      </w:pPr>
      <w:r w:rsidRPr="00A70749">
        <w:rPr>
          <w:rFonts w:ascii="Calibri" w:hAnsi="Calibri" w:cs="Calibri"/>
          <w:bCs/>
          <w:sz w:val="22"/>
          <w:szCs w:val="22"/>
        </w:rPr>
        <w:t>Załącznik nr 20</w:t>
      </w:r>
    </w:p>
    <w:p w14:paraId="4517ACCA" w14:textId="77777777" w:rsidR="006E53F6" w:rsidRPr="00A841BB" w:rsidRDefault="006E53F6" w:rsidP="007E246F">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84C9621" w14:textId="77777777" w:rsidR="009D1313" w:rsidRPr="00A841BB" w:rsidRDefault="009D1313" w:rsidP="00133CE9">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 xml:space="preserve">Informacje o </w:t>
      </w:r>
      <w:r w:rsidR="00566E59">
        <w:rPr>
          <w:rFonts w:ascii="Calibri" w:hAnsi="Calibri" w:cs="Calibri"/>
          <w:sz w:val="22"/>
          <w:szCs w:val="22"/>
          <w:lang w:val="pl-PL"/>
        </w:rPr>
        <w:t>Urząd m.st. Warszawy</w:t>
      </w:r>
    </w:p>
    <w:p w14:paraId="6D28342C" w14:textId="77777777" w:rsidR="009D1313" w:rsidRPr="00A841BB" w:rsidRDefault="002B7FB2" w:rsidP="00133CE9">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00566E59">
        <w:rPr>
          <w:rFonts w:ascii="Calibri" w:hAnsi="Calibri" w:cs="Calibri"/>
          <w:color w:val="auto"/>
          <w:sz w:val="22"/>
          <w:szCs w:val="22"/>
          <w:lang w:val="pl-PL"/>
        </w:rPr>
        <w:t xml:space="preserve">: </w:t>
      </w:r>
      <w:r w:rsidR="009D1313" w:rsidRPr="00A841BB">
        <w:rPr>
          <w:rFonts w:ascii="Calibri" w:hAnsi="Calibri" w:cs="Calibri"/>
          <w:sz w:val="22"/>
          <w:szCs w:val="22"/>
          <w:lang w:val="pl-PL" w:bidi="ar-TN"/>
        </w:rPr>
        <w:t xml:space="preserve"> </w:t>
      </w:r>
      <w:r w:rsidR="00566E59">
        <w:rPr>
          <w:rFonts w:ascii="Calibri" w:hAnsi="Calibri" w:cs="Calibri"/>
          <w:sz w:val="22"/>
          <w:szCs w:val="22"/>
          <w:lang w:val="pl-PL"/>
        </w:rPr>
        <w:t>Urząd m.st. Warszawy</w:t>
      </w:r>
    </w:p>
    <w:p w14:paraId="3A666110" w14:textId="77777777" w:rsidR="005E5664" w:rsidRPr="00A841BB" w:rsidRDefault="002B7FB2" w:rsidP="00133CE9">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r w:rsidR="00566E59">
        <w:rPr>
          <w:rFonts w:ascii="Calibri" w:hAnsi="Calibri" w:cs="Calibri"/>
          <w:color w:val="auto"/>
          <w:sz w:val="22"/>
          <w:szCs w:val="22"/>
          <w:lang w:val="pl-PL"/>
        </w:rPr>
        <w:t xml:space="preserve">: </w:t>
      </w:r>
      <w:r w:rsidR="00896E90">
        <w:rPr>
          <w:rFonts w:ascii="Calibri" w:hAnsi="Calibri" w:cs="Calibri"/>
          <w:color w:val="auto"/>
          <w:sz w:val="22"/>
          <w:szCs w:val="22"/>
          <w:lang w:val="pl-PL"/>
        </w:rPr>
        <w:t>Warszawa</w:t>
      </w:r>
    </w:p>
    <w:p w14:paraId="04A67E01" w14:textId="77777777" w:rsidR="009D1313" w:rsidRPr="00A841BB" w:rsidRDefault="002B7FB2" w:rsidP="00133CE9">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r w:rsidR="00566E59">
        <w:rPr>
          <w:rFonts w:ascii="Calibri" w:hAnsi="Calibri" w:cs="Calibri"/>
          <w:color w:val="auto"/>
          <w:sz w:val="22"/>
          <w:szCs w:val="22"/>
          <w:lang w:val="pl-PL"/>
        </w:rPr>
        <w:t>: Plac Bankowy 3/5 00-950 Warszawa</w:t>
      </w:r>
    </w:p>
    <w:p w14:paraId="023CA204" w14:textId="77777777" w:rsidR="009D1313" w:rsidRDefault="002B7FB2" w:rsidP="00133CE9">
      <w:pPr>
        <w:pStyle w:val="Tekstpodstawowy"/>
        <w:keepLines/>
        <w:widowControl w:val="0"/>
        <w:numPr>
          <w:ilvl w:val="1"/>
          <w:numId w:val="5"/>
        </w:numPr>
        <w:adjustRightInd w:val="0"/>
        <w:spacing w:after="240" w:line="300" w:lineRule="auto"/>
        <w:ind w:left="993" w:hanging="426"/>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6B202906" w14:textId="77777777" w:rsidR="00896E90" w:rsidRPr="00896E90" w:rsidRDefault="00896E90" w:rsidP="00B602B4">
      <w:pPr>
        <w:pStyle w:val="Tekstpodstawowy"/>
        <w:keepLines/>
        <w:widowControl w:val="0"/>
        <w:adjustRightInd w:val="0"/>
        <w:spacing w:after="240" w:line="300" w:lineRule="auto"/>
        <w:ind w:left="992"/>
        <w:contextualSpacing/>
        <w:jc w:val="left"/>
        <w:textAlignment w:val="baseline"/>
        <w:rPr>
          <w:rFonts w:ascii="Calibri" w:hAnsi="Calibri" w:cs="Calibri"/>
          <w:color w:val="auto"/>
          <w:sz w:val="22"/>
          <w:szCs w:val="22"/>
          <w:lang w:val="pl-PL"/>
        </w:rPr>
      </w:pPr>
      <w:r w:rsidRPr="00896E90">
        <w:rPr>
          <w:rFonts w:ascii="Calibri" w:hAnsi="Calibri" w:cs="Calibri"/>
          <w:color w:val="auto"/>
          <w:sz w:val="22"/>
          <w:szCs w:val="22"/>
          <w:lang w:val="pl-PL"/>
        </w:rPr>
        <w:t>Sprawy publiczne o znaczeniu lokalnym, niezastrzeżone ustawami na rzecz innych podmiotów. Zadania przewidziane przepisami dotyczącymi samorządu gminnego</w:t>
      </w:r>
    </w:p>
    <w:p w14:paraId="4BD2C683" w14:textId="77777777" w:rsidR="00896E90" w:rsidRPr="00896E90" w:rsidRDefault="00896E90" w:rsidP="00B602B4">
      <w:pPr>
        <w:pStyle w:val="Tekstpodstawowy"/>
        <w:keepLines/>
        <w:widowControl w:val="0"/>
        <w:adjustRightInd w:val="0"/>
        <w:spacing w:after="240" w:line="300" w:lineRule="auto"/>
        <w:ind w:left="992"/>
        <w:contextualSpacing/>
        <w:jc w:val="left"/>
        <w:textAlignment w:val="baseline"/>
        <w:rPr>
          <w:rFonts w:ascii="Calibri" w:hAnsi="Calibri" w:cs="Calibri"/>
          <w:color w:val="auto"/>
          <w:sz w:val="22"/>
          <w:szCs w:val="22"/>
          <w:lang w:val="pl-PL"/>
        </w:rPr>
      </w:pPr>
      <w:r w:rsidRPr="00896E90">
        <w:rPr>
          <w:rFonts w:ascii="Calibri" w:hAnsi="Calibri" w:cs="Calibri"/>
          <w:color w:val="auto"/>
          <w:sz w:val="22"/>
          <w:szCs w:val="22"/>
          <w:lang w:val="pl-PL"/>
        </w:rPr>
        <w:t xml:space="preserve">i powiatowego, a także zadania zlecone z zakresu administracji rządowej, w tym wynikające ze stołecznego charakteru Miasta, określone w szczególności w ustawie warszawskiej. </w:t>
      </w:r>
    </w:p>
    <w:p w14:paraId="70167FC1" w14:textId="77777777" w:rsidR="00896E90" w:rsidRPr="00A841BB" w:rsidRDefault="00896E90" w:rsidP="00B602B4">
      <w:pPr>
        <w:pStyle w:val="Tekstpodstawowy"/>
        <w:keepLines/>
        <w:widowControl w:val="0"/>
        <w:adjustRightInd w:val="0"/>
        <w:spacing w:after="240" w:line="300" w:lineRule="auto"/>
        <w:ind w:left="992"/>
        <w:contextualSpacing/>
        <w:jc w:val="left"/>
        <w:textAlignment w:val="baseline"/>
        <w:rPr>
          <w:rFonts w:ascii="Calibri" w:hAnsi="Calibri" w:cs="Calibri"/>
          <w:color w:val="auto"/>
          <w:sz w:val="22"/>
          <w:szCs w:val="22"/>
          <w:lang w:val="pl-PL"/>
        </w:rPr>
      </w:pPr>
      <w:r w:rsidRPr="00896E90">
        <w:rPr>
          <w:rFonts w:ascii="Calibri" w:hAnsi="Calibri" w:cs="Calibri"/>
          <w:color w:val="auto"/>
          <w:sz w:val="22"/>
          <w:szCs w:val="22"/>
          <w:lang w:val="pl-PL"/>
        </w:rPr>
        <w:t>Statut m.st. Warszawy został przyjęty uchwałą nr XXII/743/2008 Rady m.st. Warszawy z 10 stycznia 2008 r.</w:t>
      </w:r>
      <w:r w:rsidR="00CD7780">
        <w:rPr>
          <w:rFonts w:ascii="Calibri" w:hAnsi="Calibri" w:cs="Calibri"/>
          <w:color w:val="auto"/>
          <w:sz w:val="22"/>
          <w:szCs w:val="22"/>
          <w:lang w:val="pl-PL"/>
        </w:rPr>
        <w:t xml:space="preserve"> (</w:t>
      </w:r>
      <w:r w:rsidRPr="00896E90">
        <w:rPr>
          <w:rFonts w:ascii="Calibri" w:hAnsi="Calibri" w:cs="Calibri"/>
          <w:color w:val="auto"/>
          <w:sz w:val="22"/>
          <w:szCs w:val="22"/>
          <w:lang w:val="pl-PL"/>
        </w:rPr>
        <w:t>Dziennik</w:t>
      </w:r>
      <w:r w:rsidR="00CD7780">
        <w:rPr>
          <w:rFonts w:ascii="Calibri" w:hAnsi="Calibri" w:cs="Calibri"/>
          <w:color w:val="auto"/>
          <w:sz w:val="22"/>
          <w:szCs w:val="22"/>
          <w:lang w:val="pl-PL"/>
        </w:rPr>
        <w:t xml:space="preserve"> Urzędowy</w:t>
      </w:r>
      <w:r w:rsidRPr="00896E90">
        <w:rPr>
          <w:rFonts w:ascii="Calibri" w:hAnsi="Calibri" w:cs="Calibri"/>
          <w:color w:val="auto"/>
          <w:sz w:val="22"/>
          <w:szCs w:val="22"/>
          <w:lang w:val="pl-PL"/>
        </w:rPr>
        <w:t xml:space="preserve"> Województwa Mazowieckiego </w:t>
      </w:r>
      <w:r w:rsidR="00227A10">
        <w:rPr>
          <w:rFonts w:ascii="Calibri" w:hAnsi="Calibri" w:cs="Calibri"/>
          <w:color w:val="auto"/>
          <w:sz w:val="22"/>
          <w:szCs w:val="22"/>
          <w:lang w:val="pl-PL"/>
        </w:rPr>
        <w:t>5 grudnia 2019 r. poz. 14829)</w:t>
      </w:r>
      <w:r w:rsidRPr="00896E90">
        <w:rPr>
          <w:rFonts w:ascii="Calibri" w:hAnsi="Calibri" w:cs="Calibri"/>
          <w:color w:val="auto"/>
          <w:sz w:val="22"/>
          <w:szCs w:val="22"/>
          <w:lang w:val="pl-PL"/>
        </w:rPr>
        <w:t>.</w:t>
      </w:r>
    </w:p>
    <w:p w14:paraId="2A300C18" w14:textId="65B88214" w:rsidR="002B7FB2" w:rsidRPr="00A841BB" w:rsidRDefault="002B7FB2" w:rsidP="00133CE9">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Wskazanie okresu objętego sprawozdaniem</w:t>
      </w:r>
      <w:r w:rsidR="00227A10">
        <w:rPr>
          <w:rFonts w:ascii="Calibri" w:hAnsi="Calibri" w:cs="Calibri"/>
          <w:sz w:val="22"/>
          <w:szCs w:val="22"/>
          <w:lang w:val="pl-PL"/>
        </w:rPr>
        <w:t>: 01.01.2022-31.12.2022</w:t>
      </w:r>
    </w:p>
    <w:p w14:paraId="104CCDA9" w14:textId="77777777" w:rsidR="002B7FB2" w:rsidRPr="00A841BB" w:rsidRDefault="002B7FB2" w:rsidP="00133CE9">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w:t>
      </w:r>
      <w:r w:rsidR="00A11DB8" w:rsidRPr="00A841BB">
        <w:rPr>
          <w:rFonts w:ascii="Calibri" w:hAnsi="Calibri" w:cs="Calibri"/>
          <w:sz w:val="22"/>
          <w:szCs w:val="22"/>
          <w:lang w:val="pl-PL"/>
        </w:rPr>
        <w:t>e, ż</w:t>
      </w:r>
      <w:r w:rsidRPr="00A841BB">
        <w:rPr>
          <w:rFonts w:ascii="Calibri" w:hAnsi="Calibri" w:cs="Calibri"/>
          <w:sz w:val="22"/>
          <w:szCs w:val="22"/>
          <w:lang w:val="pl-PL"/>
        </w:rPr>
        <w:t>e sprawozdanie zawiera dane łączne</w:t>
      </w:r>
      <w:r w:rsidR="00896E90">
        <w:rPr>
          <w:rFonts w:ascii="Calibri" w:hAnsi="Calibri" w:cs="Calibri"/>
          <w:sz w:val="22"/>
          <w:szCs w:val="22"/>
          <w:lang w:val="pl-PL"/>
        </w:rPr>
        <w:t>: Nie dotyczy</w:t>
      </w:r>
    </w:p>
    <w:p w14:paraId="6D7A972C" w14:textId="51B1DD6E" w:rsidR="005B7291" w:rsidRPr="005B7291" w:rsidRDefault="003007CE" w:rsidP="00133CE9">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sz w:val="22"/>
          <w:szCs w:val="22"/>
          <w:lang w:val="pl-PL"/>
        </w:rPr>
      </w:pPr>
      <w:r w:rsidRPr="00A841BB">
        <w:rPr>
          <w:rFonts w:ascii="Calibri" w:hAnsi="Calibri" w:cs="Calibri"/>
          <w:sz w:val="22"/>
          <w:szCs w:val="22"/>
          <w:lang w:val="pl-PL"/>
        </w:rPr>
        <w:t>Przyjęte zasady (polityki) rachunkowości, w tym metody wyceny aktywów i pasywów</w:t>
      </w:r>
      <w:r w:rsidR="008E6924" w:rsidRPr="00A841BB">
        <w:rPr>
          <w:rFonts w:ascii="Calibri" w:hAnsi="Calibri" w:cs="Calibri"/>
          <w:sz w:val="22"/>
          <w:szCs w:val="22"/>
          <w:lang w:val="pl-PL"/>
        </w:rPr>
        <w:t xml:space="preserve"> </w:t>
      </w:r>
      <w:r w:rsidR="005B7291" w:rsidRPr="005B7291">
        <w:rPr>
          <w:rFonts w:ascii="Calibri" w:hAnsi="Calibri" w:cs="Calibri"/>
          <w:b w:val="0"/>
          <w:sz w:val="22"/>
          <w:szCs w:val="22"/>
          <w:lang w:val="pl-PL"/>
        </w:rPr>
        <w:t>Aktywa i pasywa zostały wycenione zgodnie z zasadami określonymi w ustawie</w:t>
      </w:r>
      <w:r w:rsidR="00E92E6B">
        <w:rPr>
          <w:rFonts w:ascii="Calibri" w:hAnsi="Calibri" w:cs="Calibri"/>
          <w:b w:val="0"/>
          <w:sz w:val="22"/>
          <w:szCs w:val="22"/>
          <w:lang w:val="pl-PL"/>
        </w:rPr>
        <w:t xml:space="preserve"> </w:t>
      </w:r>
      <w:r w:rsidR="005B7291" w:rsidRPr="005B7291">
        <w:rPr>
          <w:rFonts w:ascii="Calibri" w:hAnsi="Calibri" w:cs="Calibri"/>
          <w:b w:val="0"/>
          <w:sz w:val="22"/>
          <w:szCs w:val="22"/>
          <w:lang w:val="pl-PL"/>
        </w:rPr>
        <w:t>o rachunkowości, ze szczególnym uwzględnieniem zasad wynikających z polityki rachunkowości obowiązującej w Urzędzie m. st. Warszawy tj.</w:t>
      </w:r>
      <w:r w:rsidR="009E20F9">
        <w:rPr>
          <w:rFonts w:ascii="Calibri" w:hAnsi="Calibri" w:cs="Calibri"/>
          <w:b w:val="0"/>
          <w:sz w:val="22"/>
          <w:szCs w:val="22"/>
          <w:lang w:val="pl-PL"/>
        </w:rPr>
        <w:t>:</w:t>
      </w:r>
    </w:p>
    <w:p w14:paraId="13065777" w14:textId="77777777" w:rsidR="005B7291" w:rsidRPr="005B7291" w:rsidRDefault="005B7291" w:rsidP="00FA134D">
      <w:pPr>
        <w:keepNext/>
        <w:keepLines/>
        <w:widowControl w:val="0"/>
        <w:tabs>
          <w:tab w:val="left" w:pos="567"/>
          <w:tab w:val="left" w:pos="1134"/>
        </w:tabs>
        <w:adjustRightInd w:val="0"/>
        <w:spacing w:after="240" w:line="300" w:lineRule="auto"/>
        <w:ind w:left="992" w:hanging="425"/>
        <w:jc w:val="both"/>
        <w:textAlignment w:val="baseline"/>
        <w:outlineLvl w:val="2"/>
        <w:rPr>
          <w:rFonts w:asciiTheme="minorHAnsi" w:hAnsiTheme="minorHAnsi" w:cstheme="minorHAnsi"/>
          <w:color w:val="000000"/>
          <w:sz w:val="22"/>
          <w:szCs w:val="22"/>
          <w:lang w:val="x-none"/>
        </w:rPr>
      </w:pPr>
      <w:r w:rsidRPr="005B7291">
        <w:rPr>
          <w:rFonts w:asciiTheme="minorHAnsi" w:hAnsiTheme="minorHAnsi" w:cstheme="minorHAnsi"/>
          <w:color w:val="000000"/>
          <w:sz w:val="22"/>
          <w:szCs w:val="22"/>
        </w:rPr>
        <w:t xml:space="preserve">4.1 </w:t>
      </w:r>
      <w:r w:rsidRPr="005B7291">
        <w:rPr>
          <w:rFonts w:asciiTheme="minorHAnsi" w:hAnsiTheme="minorHAnsi" w:cstheme="minorHAnsi"/>
          <w:color w:val="000000"/>
          <w:sz w:val="22"/>
          <w:szCs w:val="22"/>
          <w:lang w:val="x-none"/>
        </w:rPr>
        <w:t>Akcje i udziały</w:t>
      </w:r>
    </w:p>
    <w:p w14:paraId="649803A5" w14:textId="075129D9" w:rsidR="00037B47" w:rsidRDefault="005B7291" w:rsidP="00E329D8">
      <w:pPr>
        <w:spacing w:after="240" w:line="300" w:lineRule="auto"/>
        <w:ind w:left="992"/>
        <w:rPr>
          <w:rFonts w:asciiTheme="minorHAnsi" w:hAnsiTheme="minorHAnsi" w:cstheme="minorHAnsi"/>
          <w:sz w:val="22"/>
          <w:szCs w:val="22"/>
        </w:rPr>
        <w:sectPr w:rsidR="00037B47" w:rsidSect="005F5C70">
          <w:headerReference w:type="default" r:id="rId8"/>
          <w:footerReference w:type="default" r:id="rId9"/>
          <w:pgSz w:w="11907" w:h="16840" w:code="9"/>
          <w:pgMar w:top="1418" w:right="1134" w:bottom="851" w:left="1701" w:header="851" w:footer="851" w:gutter="0"/>
          <w:pgNumType w:start="1"/>
          <w:cols w:space="708"/>
          <w:noEndnote/>
          <w:docGrid w:linePitch="272"/>
        </w:sectPr>
      </w:pPr>
      <w:r w:rsidRPr="00105875">
        <w:rPr>
          <w:rFonts w:asciiTheme="minorHAnsi" w:hAnsiTheme="minorHAnsi" w:cstheme="minorHAnsi"/>
          <w:sz w:val="22"/>
          <w:szCs w:val="22"/>
        </w:rPr>
        <w:t xml:space="preserve">Akcje i udziały ujmowane są w księgach rachunkowych Urzędu m.st. Warszawy według ceny nabycia i obejmują akcje i udziały w spółkach handlowych, w których Miasto jest </w:t>
      </w:r>
    </w:p>
    <w:p w14:paraId="75563A08" w14:textId="061812DB" w:rsidR="005B7291" w:rsidRPr="00105875" w:rsidRDefault="005B7291" w:rsidP="00E329D8">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lastRenderedPageBreak/>
        <w:t>akcjonariuszem bądź udziałowcem oraz udziały w spółdzielniach mieszkaniowych, a także akcje notowane na giełdzie otrzymane przez m.st. Warszawa w drodze spadku.  </w:t>
      </w:r>
    </w:p>
    <w:p w14:paraId="07FD41E4" w14:textId="77777777" w:rsidR="005B7291" w:rsidRPr="00105875" w:rsidRDefault="005B7291" w:rsidP="00E329D8">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Akcje i udziały wycenia się na dzień bilansowy we</w:t>
      </w:r>
      <w:r>
        <w:rPr>
          <w:rFonts w:asciiTheme="minorHAnsi" w:hAnsiTheme="minorHAnsi" w:cstheme="minorHAnsi"/>
          <w:sz w:val="22"/>
          <w:szCs w:val="22"/>
        </w:rPr>
        <w:t xml:space="preserve">dług ceny nabycia pomniejszonej </w:t>
      </w:r>
      <w:r w:rsidRPr="00105875">
        <w:rPr>
          <w:rFonts w:asciiTheme="minorHAnsi" w:hAnsiTheme="minorHAnsi" w:cstheme="minorHAnsi"/>
          <w:sz w:val="22"/>
          <w:szCs w:val="22"/>
        </w:rPr>
        <w:t xml:space="preserve">o ewentualne odpisy z tytułu trwałej utraty wartości. Wyjątek stanowią akcje notowane na giełdzie, które wycenia się według wartości rynkowej. </w:t>
      </w:r>
    </w:p>
    <w:p w14:paraId="19D57A68" w14:textId="77777777" w:rsidR="005B7291" w:rsidRPr="005B7291" w:rsidRDefault="005B7291" w:rsidP="00133CE9">
      <w:pPr>
        <w:pStyle w:val="Akapitzlist"/>
        <w:keepNext/>
        <w:keepLines/>
        <w:widowControl w:val="0"/>
        <w:numPr>
          <w:ilvl w:val="1"/>
          <w:numId w:val="8"/>
        </w:numPr>
        <w:adjustRightInd w:val="0"/>
        <w:spacing w:after="240" w:line="300" w:lineRule="auto"/>
        <w:ind w:left="992" w:hanging="425"/>
        <w:contextualSpacing/>
        <w:jc w:val="both"/>
        <w:textAlignment w:val="baseline"/>
        <w:outlineLvl w:val="2"/>
        <w:rPr>
          <w:rFonts w:asciiTheme="minorHAnsi" w:hAnsiTheme="minorHAnsi" w:cstheme="minorHAnsi"/>
          <w:color w:val="000000"/>
          <w:sz w:val="22"/>
          <w:szCs w:val="22"/>
          <w:lang w:val="x-none"/>
        </w:rPr>
      </w:pPr>
      <w:r w:rsidRPr="005B7291">
        <w:rPr>
          <w:rFonts w:asciiTheme="minorHAnsi" w:hAnsiTheme="minorHAnsi" w:cstheme="minorHAnsi"/>
          <w:color w:val="000000"/>
          <w:sz w:val="22"/>
          <w:szCs w:val="22"/>
          <w:lang w:val="x-none"/>
        </w:rPr>
        <w:t xml:space="preserve"> </w:t>
      </w:r>
      <w:r w:rsidR="00651624">
        <w:rPr>
          <w:rFonts w:asciiTheme="minorHAnsi" w:hAnsiTheme="minorHAnsi" w:cstheme="minorHAnsi"/>
          <w:color w:val="000000"/>
          <w:sz w:val="22"/>
          <w:szCs w:val="22"/>
          <w:lang w:val="x-none"/>
        </w:rPr>
        <w:t>Należności  krótko</w:t>
      </w:r>
      <w:r w:rsidRPr="005B7291">
        <w:rPr>
          <w:rFonts w:asciiTheme="minorHAnsi" w:hAnsiTheme="minorHAnsi" w:cstheme="minorHAnsi"/>
          <w:color w:val="000000"/>
          <w:sz w:val="22"/>
          <w:szCs w:val="22"/>
          <w:lang w:val="x-none"/>
        </w:rPr>
        <w:t xml:space="preserve"> i długoterminowe</w:t>
      </w:r>
    </w:p>
    <w:p w14:paraId="2DC5B290" w14:textId="77777777" w:rsidR="005B7291" w:rsidRPr="00105875" w:rsidRDefault="005B7291" w:rsidP="00404BA8">
      <w:pPr>
        <w:keepLines/>
        <w:spacing w:after="240" w:line="300" w:lineRule="auto"/>
        <w:ind w:left="992"/>
        <w:contextualSpacing/>
        <w:rPr>
          <w:rFonts w:asciiTheme="minorHAnsi" w:hAnsiTheme="minorHAnsi" w:cstheme="minorHAnsi"/>
          <w:color w:val="000000"/>
          <w:sz w:val="22"/>
          <w:szCs w:val="22"/>
        </w:rPr>
      </w:pPr>
      <w:r w:rsidRPr="00105875">
        <w:rPr>
          <w:rFonts w:asciiTheme="minorHAnsi" w:hAnsiTheme="minorHAnsi" w:cstheme="minorHAnsi"/>
          <w:color w:val="000000"/>
          <w:sz w:val="22"/>
          <w:szCs w:val="22"/>
        </w:rPr>
        <w:t>Należności wycenia się w kwocie wymaganej zapłaty, z zachowaniem zasady ostrożnej wyceny i wykazuje w wartości netto (po pomniejszeniu o odpisy aktualizujące).</w:t>
      </w:r>
    </w:p>
    <w:p w14:paraId="145FFC6E" w14:textId="77777777" w:rsidR="005B7291" w:rsidRPr="00105875" w:rsidRDefault="005B7291" w:rsidP="00E329D8">
      <w:pPr>
        <w:keepLines/>
        <w:spacing w:after="240" w:line="300" w:lineRule="auto"/>
        <w:ind w:left="992"/>
        <w:contextualSpacing/>
        <w:rPr>
          <w:rFonts w:asciiTheme="minorHAnsi" w:hAnsiTheme="minorHAnsi" w:cstheme="minorHAnsi"/>
          <w:color w:val="000000"/>
          <w:sz w:val="22"/>
          <w:szCs w:val="22"/>
        </w:rPr>
      </w:pPr>
      <w:r w:rsidRPr="00105875">
        <w:rPr>
          <w:rFonts w:asciiTheme="minorHAnsi" w:hAnsiTheme="minorHAnsi" w:cstheme="minorHAnsi"/>
          <w:color w:val="000000"/>
          <w:sz w:val="22"/>
          <w:szCs w:val="22"/>
        </w:rPr>
        <w:t xml:space="preserve">Wartość należności podlega aktualizacji wyceny przy uwzględnieniu stopnia prawdopodobieństwa zapłaty poprzez dokonanie odpisu aktualizującego. </w:t>
      </w:r>
    </w:p>
    <w:p w14:paraId="4163D1B1" w14:textId="77777777" w:rsidR="005B7291" w:rsidRPr="00CD7780" w:rsidRDefault="005B7291" w:rsidP="00E329D8">
      <w:pPr>
        <w:autoSpaceDE w:val="0"/>
        <w:autoSpaceDN w:val="0"/>
        <w:spacing w:after="240" w:line="300" w:lineRule="auto"/>
        <w:ind w:left="992"/>
        <w:contextualSpacing/>
        <w:rPr>
          <w:rFonts w:asciiTheme="minorHAnsi" w:hAnsiTheme="minorHAnsi" w:cstheme="minorHAnsi"/>
          <w:sz w:val="22"/>
          <w:szCs w:val="22"/>
        </w:rPr>
      </w:pPr>
      <w:r w:rsidRPr="00105875">
        <w:rPr>
          <w:rFonts w:asciiTheme="minorHAnsi" w:hAnsiTheme="minorHAnsi" w:cstheme="minorHAnsi"/>
          <w:sz w:val="22"/>
          <w:szCs w:val="22"/>
        </w:rPr>
        <w:t xml:space="preserve">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w:t>
      </w:r>
      <w:r w:rsidRPr="00CD7780">
        <w:rPr>
          <w:rFonts w:asciiTheme="minorHAnsi" w:hAnsiTheme="minorHAnsi" w:cstheme="minorHAnsi"/>
          <w:sz w:val="22"/>
          <w:szCs w:val="22"/>
        </w:rPr>
        <w:t>rozporządzenie Ministra Finansów z dnia 25 października 2010 r. w sprawie zasad rachunkowości oraz planów kont dla organów podatkowych jednostek samorządu terytorialnego (Dz. U. z 2010 r Nr 208 poz.1375), dla których dokonuje się jako pomniejszenie przychodów z tytułu dochodów budżetowych.</w:t>
      </w:r>
    </w:p>
    <w:p w14:paraId="2D7042F3" w14:textId="7B98E3FD" w:rsidR="005B7291" w:rsidRPr="00105875" w:rsidRDefault="005B7291" w:rsidP="00D07288">
      <w:pPr>
        <w:keepLines/>
        <w:tabs>
          <w:tab w:val="left" w:pos="567"/>
          <w:tab w:val="left" w:pos="1134"/>
        </w:tabs>
        <w:spacing w:after="240" w:line="300" w:lineRule="auto"/>
        <w:ind w:left="992"/>
        <w:contextualSpacing/>
        <w:rPr>
          <w:rFonts w:asciiTheme="minorHAnsi" w:hAnsiTheme="minorHAnsi" w:cstheme="minorHAnsi"/>
          <w:color w:val="000000"/>
          <w:sz w:val="22"/>
          <w:szCs w:val="22"/>
        </w:rPr>
      </w:pPr>
      <w:r w:rsidRPr="00CD7780">
        <w:rPr>
          <w:rFonts w:asciiTheme="minorHAnsi" w:hAnsiTheme="minorHAnsi" w:cstheme="minorHAnsi"/>
          <w:color w:val="000000"/>
          <w:sz w:val="22"/>
          <w:szCs w:val="22"/>
        </w:rPr>
        <w:t>Do należności długoterminowych zaliczane są należności, których termin płatności</w:t>
      </w:r>
      <w:r w:rsidRPr="00105875">
        <w:rPr>
          <w:rFonts w:asciiTheme="minorHAnsi" w:hAnsiTheme="minorHAnsi" w:cstheme="minorHAnsi"/>
          <w:color w:val="000000"/>
          <w:sz w:val="22"/>
          <w:szCs w:val="22"/>
        </w:rPr>
        <w:t xml:space="preserve"> przekracza rok obrotowy. Nie dotyczy to należności z tyt</w:t>
      </w:r>
      <w:r w:rsidR="009E20F9">
        <w:rPr>
          <w:rFonts w:asciiTheme="minorHAnsi" w:hAnsiTheme="minorHAnsi" w:cstheme="minorHAnsi"/>
          <w:color w:val="000000"/>
          <w:sz w:val="22"/>
          <w:szCs w:val="22"/>
        </w:rPr>
        <w:t>ułu</w:t>
      </w:r>
      <w:r w:rsidRPr="00105875">
        <w:rPr>
          <w:rFonts w:asciiTheme="minorHAnsi" w:hAnsiTheme="minorHAnsi" w:cstheme="minorHAnsi"/>
          <w:color w:val="000000"/>
          <w:sz w:val="22"/>
          <w:szCs w:val="22"/>
        </w:rPr>
        <w:t xml:space="preserve"> dostaw i usług, które zawsze prezentowane są jako należności krótkoterminowe. Do należności długoterminowych zalicza się m.in. wieloletnie decyzje adm</w:t>
      </w:r>
      <w:r>
        <w:rPr>
          <w:rFonts w:asciiTheme="minorHAnsi" w:hAnsiTheme="minorHAnsi" w:cstheme="minorHAnsi"/>
          <w:color w:val="000000"/>
          <w:sz w:val="22"/>
          <w:szCs w:val="22"/>
        </w:rPr>
        <w:t xml:space="preserve">inistracyjne wydawane w związku </w:t>
      </w:r>
      <w:r w:rsidRPr="00105875">
        <w:rPr>
          <w:rFonts w:asciiTheme="minorHAnsi" w:hAnsiTheme="minorHAnsi" w:cstheme="minorHAnsi"/>
          <w:color w:val="000000"/>
          <w:sz w:val="22"/>
          <w:szCs w:val="22"/>
        </w:rPr>
        <w:t xml:space="preserve">z przekształceniem prawa użytkowania wieczystego w prawo własności, których płatność została rozłożona na raty, a termin spłaty przypada w okresie przekraczającym 12 miesięcy od dnia bilansowego. </w:t>
      </w:r>
    </w:p>
    <w:p w14:paraId="46C54157" w14:textId="77777777" w:rsidR="00651624" w:rsidRDefault="00651624" w:rsidP="00D07288">
      <w:pPr>
        <w:pStyle w:val="Akapitzlist"/>
        <w:keepNext/>
        <w:keepLines/>
        <w:widowControl w:val="0"/>
        <w:numPr>
          <w:ilvl w:val="1"/>
          <w:numId w:val="8"/>
        </w:numPr>
        <w:tabs>
          <w:tab w:val="left" w:pos="567"/>
          <w:tab w:val="left" w:pos="1134"/>
        </w:tabs>
        <w:adjustRightInd w:val="0"/>
        <w:spacing w:after="240" w:line="300" w:lineRule="auto"/>
        <w:ind w:left="992" w:hanging="425"/>
        <w:contextualSpacing/>
        <w:jc w:val="both"/>
        <w:textAlignment w:val="baseline"/>
        <w:outlineLvl w:val="2"/>
        <w:rPr>
          <w:rFonts w:asciiTheme="minorHAnsi" w:hAnsiTheme="minorHAnsi" w:cstheme="minorHAnsi"/>
          <w:color w:val="000000"/>
          <w:sz w:val="22"/>
          <w:szCs w:val="22"/>
          <w:lang w:val="x-none"/>
        </w:rPr>
      </w:pPr>
      <w:r w:rsidRPr="00651624">
        <w:rPr>
          <w:rFonts w:asciiTheme="minorHAnsi" w:hAnsiTheme="minorHAnsi" w:cstheme="minorHAnsi"/>
          <w:color w:val="000000"/>
          <w:sz w:val="22"/>
          <w:szCs w:val="22"/>
          <w:lang w:val="x-none"/>
        </w:rPr>
        <w:lastRenderedPageBreak/>
        <w:t>Wartości niematerialne i prawne</w:t>
      </w:r>
    </w:p>
    <w:p w14:paraId="79C441B9" w14:textId="77777777" w:rsidR="00651624" w:rsidRPr="00105875" w:rsidRDefault="00651624" w:rsidP="00E329D8">
      <w:pPr>
        <w:keepNext/>
        <w:keepLines/>
        <w:tabs>
          <w:tab w:val="left" w:pos="709"/>
        </w:tabs>
        <w:spacing w:after="240" w:line="300" w:lineRule="auto"/>
        <w:ind w:left="992"/>
        <w:outlineLvl w:val="2"/>
        <w:rPr>
          <w:rFonts w:asciiTheme="minorHAnsi" w:hAnsiTheme="minorHAnsi" w:cstheme="minorHAnsi"/>
          <w:sz w:val="22"/>
          <w:szCs w:val="22"/>
          <w:lang w:val="x-none"/>
        </w:rPr>
      </w:pPr>
      <w:r w:rsidRPr="00105875">
        <w:rPr>
          <w:rFonts w:asciiTheme="minorHAnsi" w:hAnsiTheme="minorHAnsi" w:cstheme="minorHAnsi"/>
          <w:sz w:val="22"/>
          <w:szCs w:val="22"/>
          <w:lang w:val="x-none"/>
        </w:rPr>
        <w:t>Wartości niematerialne i prawne są wyceniane według cen nabycia lub kosztu wytworzenia</w:t>
      </w:r>
      <w:r w:rsidRPr="00105875">
        <w:rPr>
          <w:rFonts w:asciiTheme="minorHAnsi" w:hAnsiTheme="minorHAnsi" w:cstheme="minorHAnsi"/>
          <w:sz w:val="22"/>
          <w:szCs w:val="22"/>
        </w:rPr>
        <w:t>,</w:t>
      </w:r>
      <w:r w:rsidRPr="00105875">
        <w:rPr>
          <w:rFonts w:asciiTheme="minorHAnsi" w:hAnsiTheme="minorHAnsi" w:cstheme="minorHAnsi"/>
          <w:sz w:val="22"/>
          <w:szCs w:val="22"/>
          <w:lang w:val="x-none"/>
        </w:rPr>
        <w:t xml:space="preserve"> pomniejszonych o </w:t>
      </w:r>
      <w:r w:rsidRPr="00105875">
        <w:rPr>
          <w:rFonts w:asciiTheme="minorHAnsi" w:hAnsiTheme="minorHAnsi" w:cstheme="minorHAnsi"/>
          <w:sz w:val="22"/>
          <w:szCs w:val="22"/>
        </w:rPr>
        <w:t xml:space="preserve">dotychczasowe dokonane </w:t>
      </w:r>
      <w:r w:rsidRPr="00105875">
        <w:rPr>
          <w:rFonts w:asciiTheme="minorHAnsi" w:hAnsiTheme="minorHAnsi" w:cstheme="minorHAnsi"/>
          <w:sz w:val="22"/>
          <w:szCs w:val="22"/>
          <w:lang w:val="x-none"/>
        </w:rPr>
        <w:t>odpisy umorzeniowe</w:t>
      </w:r>
      <w:r w:rsidRPr="00105875">
        <w:rPr>
          <w:rFonts w:asciiTheme="minorHAnsi" w:hAnsiTheme="minorHAnsi" w:cstheme="minorHAnsi"/>
          <w:sz w:val="22"/>
          <w:szCs w:val="22"/>
        </w:rPr>
        <w:t xml:space="preserve"> a także o</w:t>
      </w:r>
      <w:r w:rsidRPr="00105875">
        <w:rPr>
          <w:rFonts w:asciiTheme="minorHAnsi" w:hAnsiTheme="minorHAnsi" w:cstheme="minorHAnsi"/>
          <w:sz w:val="22"/>
          <w:szCs w:val="22"/>
          <w:lang w:val="x-none"/>
        </w:rPr>
        <w:t xml:space="preserve"> odpisy z tytułu trwałej utraty wartości. </w:t>
      </w:r>
    </w:p>
    <w:p w14:paraId="791A5AE7" w14:textId="6C0E84EC" w:rsidR="00651624" w:rsidRPr="00105875" w:rsidRDefault="00651624" w:rsidP="00E329D8">
      <w:pPr>
        <w:keepNext/>
        <w:keepLines/>
        <w:tabs>
          <w:tab w:val="left" w:pos="709"/>
        </w:tabs>
        <w:spacing w:after="240" w:line="300" w:lineRule="auto"/>
        <w:ind w:left="992"/>
        <w:outlineLvl w:val="2"/>
        <w:rPr>
          <w:rFonts w:asciiTheme="minorHAnsi" w:hAnsiTheme="minorHAnsi" w:cstheme="minorHAnsi"/>
          <w:sz w:val="22"/>
          <w:szCs w:val="22"/>
          <w:lang w:val="x-none"/>
        </w:rPr>
      </w:pPr>
      <w:r w:rsidRPr="00105875">
        <w:rPr>
          <w:rFonts w:asciiTheme="minorHAnsi" w:hAnsiTheme="minorHAnsi" w:cstheme="minorHAnsi"/>
          <w:sz w:val="22"/>
          <w:szCs w:val="22"/>
          <w:lang w:val="x-none"/>
        </w:rPr>
        <w:t xml:space="preserve">Wartości niematerialne i prawne o wartości do </w:t>
      </w:r>
      <w:r w:rsidRPr="00105875">
        <w:rPr>
          <w:rFonts w:asciiTheme="minorHAnsi" w:hAnsiTheme="minorHAnsi" w:cstheme="minorHAnsi"/>
          <w:sz w:val="22"/>
          <w:szCs w:val="22"/>
        </w:rPr>
        <w:t>10</w:t>
      </w:r>
      <w:r w:rsidRPr="00105875">
        <w:rPr>
          <w:rFonts w:asciiTheme="minorHAnsi" w:hAnsiTheme="minorHAnsi" w:cstheme="minorHAnsi"/>
          <w:sz w:val="22"/>
          <w:szCs w:val="22"/>
          <w:lang w:val="x-none"/>
        </w:rPr>
        <w:t>.000 zł i okresie używania dłuższym niż 1 rok podlegają umorzeniu w pełnej wartości w miesiącu wydania do używania. Wartości niematerialne i prawne  o wartości jednostkowej powyżej 10.000 zł i okresie używania dłuższym niż rok podlegają umorzeniu nie rzadziej niż raz w roku, według następujących stawek umorzeniowych:</w:t>
      </w:r>
    </w:p>
    <w:p w14:paraId="031E4423" w14:textId="22D0D6D4" w:rsidR="00651624" w:rsidRPr="00105875" w:rsidRDefault="00651624" w:rsidP="00133CE9">
      <w:pPr>
        <w:widowControl w:val="0"/>
        <w:numPr>
          <w:ilvl w:val="0"/>
          <w:numId w:val="9"/>
        </w:numPr>
        <w:tabs>
          <w:tab w:val="left" w:pos="993"/>
        </w:tabs>
        <w:spacing w:line="300" w:lineRule="auto"/>
        <w:ind w:left="1417" w:hanging="425"/>
        <w:rPr>
          <w:rFonts w:asciiTheme="minorHAnsi" w:hAnsiTheme="minorHAnsi" w:cstheme="minorHAnsi"/>
          <w:sz w:val="22"/>
          <w:szCs w:val="22"/>
          <w:lang w:val="x-none" w:eastAsia="x-none"/>
        </w:rPr>
      </w:pPr>
      <w:r w:rsidRPr="00105875">
        <w:rPr>
          <w:rFonts w:asciiTheme="minorHAnsi" w:hAnsiTheme="minorHAnsi" w:cstheme="minorHAnsi"/>
          <w:sz w:val="22"/>
          <w:szCs w:val="22"/>
          <w:lang w:val="x-none" w:eastAsia="x-none"/>
        </w:rPr>
        <w:t>20%</w:t>
      </w:r>
      <w:r w:rsidRPr="00105875">
        <w:rPr>
          <w:rFonts w:asciiTheme="minorHAnsi" w:hAnsiTheme="minorHAnsi" w:cstheme="minorHAnsi"/>
          <w:sz w:val="22"/>
          <w:szCs w:val="22"/>
          <w:lang w:eastAsia="x-none"/>
        </w:rPr>
        <w:t xml:space="preserve"> </w:t>
      </w:r>
      <w:r w:rsidRPr="00105875">
        <w:rPr>
          <w:rFonts w:asciiTheme="minorHAnsi" w:hAnsiTheme="minorHAnsi" w:cstheme="minorHAnsi"/>
          <w:sz w:val="22"/>
          <w:szCs w:val="22"/>
          <w:lang w:val="x-none" w:eastAsia="x-none"/>
        </w:rPr>
        <w:t>dla wartości niematerialnych i prawnych, których jednostkowa wartość początkowa jest równa bądź większa 100.000,00 zł nabytych na czas:</w:t>
      </w:r>
    </w:p>
    <w:p w14:paraId="139E49C8" w14:textId="366F0A35" w:rsidR="00B53D01" w:rsidRPr="00B53D01" w:rsidRDefault="00651624" w:rsidP="00B53D01">
      <w:pPr>
        <w:pStyle w:val="Akapitzlist"/>
        <w:widowControl w:val="0"/>
        <w:numPr>
          <w:ilvl w:val="0"/>
          <w:numId w:val="21"/>
        </w:numPr>
        <w:tabs>
          <w:tab w:val="left" w:pos="814"/>
        </w:tabs>
        <w:spacing w:line="300" w:lineRule="auto"/>
        <w:ind w:left="1701" w:hanging="283"/>
        <w:jc w:val="both"/>
        <w:rPr>
          <w:rFonts w:asciiTheme="minorHAnsi" w:hAnsiTheme="minorHAnsi" w:cstheme="minorHAnsi"/>
          <w:sz w:val="22"/>
          <w:szCs w:val="22"/>
          <w:lang w:val="x-none" w:eastAsia="x-none"/>
        </w:rPr>
      </w:pPr>
      <w:r w:rsidRPr="00B53D01">
        <w:rPr>
          <w:rFonts w:asciiTheme="minorHAnsi" w:hAnsiTheme="minorHAnsi" w:cstheme="minorHAnsi"/>
          <w:sz w:val="22"/>
          <w:szCs w:val="22"/>
          <w:lang w:val="x-none" w:eastAsia="x-none"/>
        </w:rPr>
        <w:t>nieokreślony,</w:t>
      </w:r>
    </w:p>
    <w:p w14:paraId="1FEA0995" w14:textId="7AD730E6" w:rsidR="00651624" w:rsidRPr="00B53D01" w:rsidRDefault="00651624" w:rsidP="00B53D01">
      <w:pPr>
        <w:pStyle w:val="Akapitzlist"/>
        <w:widowControl w:val="0"/>
        <w:numPr>
          <w:ilvl w:val="0"/>
          <w:numId w:val="21"/>
        </w:numPr>
        <w:tabs>
          <w:tab w:val="left" w:pos="814"/>
        </w:tabs>
        <w:spacing w:line="300" w:lineRule="auto"/>
        <w:ind w:left="1701" w:hanging="283"/>
        <w:jc w:val="both"/>
        <w:rPr>
          <w:rFonts w:asciiTheme="minorHAnsi" w:hAnsiTheme="minorHAnsi" w:cstheme="minorHAnsi"/>
          <w:sz w:val="22"/>
          <w:szCs w:val="22"/>
          <w:lang w:val="x-none" w:eastAsia="x-none"/>
        </w:rPr>
      </w:pPr>
      <w:r w:rsidRPr="00B53D01">
        <w:rPr>
          <w:rFonts w:asciiTheme="minorHAnsi" w:hAnsiTheme="minorHAnsi" w:cstheme="minorHAnsi"/>
          <w:sz w:val="22"/>
          <w:szCs w:val="22"/>
          <w:lang w:val="x-none" w:eastAsia="x-none"/>
        </w:rPr>
        <w:t>określony: powyżej lub równy 5 lat,</w:t>
      </w:r>
    </w:p>
    <w:p w14:paraId="707E64A7" w14:textId="40313004" w:rsidR="00651624" w:rsidRPr="00105875" w:rsidRDefault="00651624" w:rsidP="00133CE9">
      <w:pPr>
        <w:widowControl w:val="0"/>
        <w:numPr>
          <w:ilvl w:val="0"/>
          <w:numId w:val="9"/>
        </w:numPr>
        <w:tabs>
          <w:tab w:val="left" w:pos="993"/>
        </w:tabs>
        <w:spacing w:line="300" w:lineRule="auto"/>
        <w:ind w:left="1417" w:hanging="425"/>
        <w:rPr>
          <w:rFonts w:asciiTheme="minorHAnsi" w:hAnsiTheme="minorHAnsi" w:cstheme="minorHAnsi"/>
          <w:sz w:val="22"/>
          <w:szCs w:val="22"/>
          <w:lang w:val="x-none" w:eastAsia="x-none"/>
        </w:rPr>
      </w:pPr>
      <w:r w:rsidRPr="00105875">
        <w:rPr>
          <w:rFonts w:asciiTheme="minorHAnsi" w:hAnsiTheme="minorHAnsi" w:cstheme="minorHAnsi"/>
          <w:sz w:val="22"/>
          <w:szCs w:val="22"/>
          <w:lang w:val="x-none" w:eastAsia="x-none"/>
        </w:rPr>
        <w:t xml:space="preserve">50% dla wartości niematerialnych i prawnych, których jednostkowa wartość początkowa zawiera się w przedziale kwotowym powyżej </w:t>
      </w:r>
      <w:r w:rsidRPr="00105875">
        <w:rPr>
          <w:rFonts w:asciiTheme="minorHAnsi" w:hAnsiTheme="minorHAnsi" w:cstheme="minorHAnsi"/>
          <w:sz w:val="22"/>
          <w:szCs w:val="22"/>
          <w:lang w:eastAsia="x-none"/>
        </w:rPr>
        <w:t>10</w:t>
      </w:r>
      <w:r w:rsidRPr="00105875">
        <w:rPr>
          <w:rFonts w:asciiTheme="minorHAnsi" w:hAnsiTheme="minorHAnsi" w:cstheme="minorHAnsi"/>
          <w:sz w:val="22"/>
          <w:szCs w:val="22"/>
          <w:lang w:val="x-none" w:eastAsia="x-none"/>
        </w:rPr>
        <w:t>.000,00 zł i nie większym niż 100.000,00 zł nabytych na czas:</w:t>
      </w:r>
    </w:p>
    <w:p w14:paraId="3BE85E78" w14:textId="44DFEA31" w:rsidR="00651624" w:rsidRPr="00B53D01" w:rsidRDefault="00651624" w:rsidP="00B53D01">
      <w:pPr>
        <w:pStyle w:val="Akapitzlist"/>
        <w:widowControl w:val="0"/>
        <w:numPr>
          <w:ilvl w:val="0"/>
          <w:numId w:val="22"/>
        </w:numPr>
        <w:tabs>
          <w:tab w:val="left" w:pos="814"/>
        </w:tabs>
        <w:spacing w:line="300" w:lineRule="auto"/>
        <w:ind w:left="1560" w:hanging="142"/>
        <w:jc w:val="both"/>
        <w:rPr>
          <w:rFonts w:asciiTheme="minorHAnsi" w:hAnsiTheme="minorHAnsi" w:cstheme="minorHAnsi"/>
          <w:sz w:val="22"/>
          <w:szCs w:val="22"/>
          <w:lang w:val="x-none" w:eastAsia="x-none"/>
        </w:rPr>
      </w:pPr>
      <w:r w:rsidRPr="00B53D01">
        <w:rPr>
          <w:rFonts w:asciiTheme="minorHAnsi" w:hAnsiTheme="minorHAnsi" w:cstheme="minorHAnsi"/>
          <w:sz w:val="22"/>
          <w:szCs w:val="22"/>
          <w:lang w:val="x-none" w:eastAsia="x-none"/>
        </w:rPr>
        <w:t>nieokreślony,</w:t>
      </w:r>
    </w:p>
    <w:p w14:paraId="5C7CE88D" w14:textId="31AFC2F0" w:rsidR="00651624" w:rsidRPr="00B53D01" w:rsidRDefault="00651624" w:rsidP="00B53D01">
      <w:pPr>
        <w:pStyle w:val="Akapitzlist"/>
        <w:widowControl w:val="0"/>
        <w:numPr>
          <w:ilvl w:val="0"/>
          <w:numId w:val="22"/>
        </w:numPr>
        <w:tabs>
          <w:tab w:val="left" w:pos="814"/>
        </w:tabs>
        <w:spacing w:line="300" w:lineRule="auto"/>
        <w:ind w:left="1560" w:hanging="142"/>
        <w:jc w:val="both"/>
        <w:rPr>
          <w:rFonts w:asciiTheme="minorHAnsi" w:hAnsiTheme="minorHAnsi" w:cstheme="minorHAnsi"/>
          <w:sz w:val="22"/>
          <w:szCs w:val="22"/>
          <w:lang w:val="x-none" w:eastAsia="x-none"/>
        </w:rPr>
      </w:pPr>
      <w:r w:rsidRPr="00B53D01">
        <w:rPr>
          <w:rFonts w:asciiTheme="minorHAnsi" w:hAnsiTheme="minorHAnsi" w:cstheme="minorHAnsi"/>
          <w:sz w:val="22"/>
          <w:szCs w:val="22"/>
          <w:lang w:val="x-none" w:eastAsia="x-none"/>
        </w:rPr>
        <w:t>określony: powyżej 1 roku,</w:t>
      </w:r>
    </w:p>
    <w:p w14:paraId="3EF24396" w14:textId="6AD00CFA" w:rsidR="00651624" w:rsidRPr="00651624" w:rsidRDefault="00651624" w:rsidP="00133CE9">
      <w:pPr>
        <w:pStyle w:val="Akapitzlist"/>
        <w:widowControl w:val="0"/>
        <w:numPr>
          <w:ilvl w:val="0"/>
          <w:numId w:val="9"/>
        </w:numPr>
        <w:tabs>
          <w:tab w:val="left" w:pos="993"/>
        </w:tabs>
        <w:spacing w:line="300" w:lineRule="auto"/>
        <w:ind w:left="1417" w:hanging="425"/>
        <w:contextualSpacing/>
        <w:rPr>
          <w:rFonts w:asciiTheme="minorHAnsi" w:hAnsiTheme="minorHAnsi" w:cstheme="minorHAnsi"/>
          <w:sz w:val="22"/>
          <w:szCs w:val="22"/>
          <w:lang w:val="x-none" w:eastAsia="x-none"/>
        </w:rPr>
      </w:pPr>
      <w:r w:rsidRPr="00651624">
        <w:rPr>
          <w:rFonts w:asciiTheme="minorHAnsi" w:hAnsiTheme="minorHAnsi" w:cstheme="minorHAnsi"/>
          <w:sz w:val="22"/>
          <w:szCs w:val="22"/>
          <w:lang w:val="x-none" w:eastAsia="x-none"/>
        </w:rPr>
        <w:t>50% dla wartości niematerialnych i prawnych, których jednostkowa wartość początkowa jest równa bądź większa 100.000,00 zł nabytych na czas:</w:t>
      </w:r>
    </w:p>
    <w:p w14:paraId="6F17AD94" w14:textId="0F9B0B91" w:rsidR="00651624" w:rsidRPr="00B53D01" w:rsidRDefault="00651624" w:rsidP="00B53D01">
      <w:pPr>
        <w:pStyle w:val="Akapitzlist"/>
        <w:widowControl w:val="0"/>
        <w:numPr>
          <w:ilvl w:val="0"/>
          <w:numId w:val="23"/>
        </w:numPr>
        <w:tabs>
          <w:tab w:val="left" w:pos="814"/>
        </w:tabs>
        <w:spacing w:after="240" w:line="300" w:lineRule="auto"/>
        <w:ind w:left="1560" w:hanging="142"/>
        <w:jc w:val="both"/>
        <w:rPr>
          <w:rFonts w:asciiTheme="minorHAnsi" w:hAnsiTheme="minorHAnsi" w:cstheme="minorHAnsi"/>
          <w:sz w:val="22"/>
          <w:szCs w:val="22"/>
          <w:lang w:val="x-none" w:eastAsia="x-none"/>
        </w:rPr>
      </w:pPr>
      <w:r w:rsidRPr="00B53D01">
        <w:rPr>
          <w:rFonts w:asciiTheme="minorHAnsi" w:hAnsiTheme="minorHAnsi" w:cstheme="minorHAnsi"/>
          <w:sz w:val="22"/>
          <w:szCs w:val="22"/>
          <w:lang w:val="x-none" w:eastAsia="x-none"/>
        </w:rPr>
        <w:t>określony: powyżej 1 roku i nie dłużej niż 5 lat.</w:t>
      </w:r>
    </w:p>
    <w:p w14:paraId="72933C54" w14:textId="0C2FB3B8" w:rsidR="00E329D8" w:rsidRDefault="00E329D8" w:rsidP="00F359F0">
      <w:pPr>
        <w:autoSpaceDE w:val="0"/>
        <w:autoSpaceDN w:val="0"/>
        <w:adjustRightInd w:val="0"/>
        <w:spacing w:after="240" w:line="300" w:lineRule="auto"/>
        <w:ind w:left="992" w:hanging="425"/>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4.4 Środki </w:t>
      </w:r>
      <w:r w:rsidR="009E20F9">
        <w:rPr>
          <w:rFonts w:asciiTheme="minorHAnsi" w:hAnsiTheme="minorHAnsi" w:cstheme="minorHAnsi"/>
          <w:sz w:val="22"/>
          <w:szCs w:val="22"/>
          <w:lang w:eastAsia="pl-PL"/>
        </w:rPr>
        <w:t>t</w:t>
      </w:r>
      <w:r>
        <w:rPr>
          <w:rFonts w:asciiTheme="minorHAnsi" w:hAnsiTheme="minorHAnsi" w:cstheme="minorHAnsi"/>
          <w:sz w:val="22"/>
          <w:szCs w:val="22"/>
          <w:lang w:eastAsia="pl-PL"/>
        </w:rPr>
        <w:t>rwałe</w:t>
      </w:r>
    </w:p>
    <w:p w14:paraId="2C927F1C" w14:textId="77777777" w:rsidR="00651624" w:rsidRPr="00105875" w:rsidRDefault="00651624" w:rsidP="00F359F0">
      <w:pPr>
        <w:autoSpaceDE w:val="0"/>
        <w:autoSpaceDN w:val="0"/>
        <w:adjustRightInd w:val="0"/>
        <w:spacing w:after="240" w:line="300" w:lineRule="auto"/>
        <w:ind w:left="992"/>
        <w:rPr>
          <w:rFonts w:asciiTheme="minorHAnsi" w:hAnsiTheme="minorHAnsi" w:cstheme="minorHAnsi"/>
          <w:sz w:val="22"/>
          <w:szCs w:val="22"/>
          <w:lang w:eastAsia="pl-PL"/>
        </w:rPr>
      </w:pPr>
      <w:r w:rsidRPr="00105875">
        <w:rPr>
          <w:rFonts w:asciiTheme="minorHAnsi" w:hAnsiTheme="minorHAnsi" w:cstheme="minorHAnsi"/>
          <w:sz w:val="22"/>
          <w:szCs w:val="22"/>
          <w:lang w:eastAsia="pl-PL"/>
        </w:rPr>
        <w:t xml:space="preserve">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w:t>
      </w:r>
      <w:r w:rsidR="00E329D8">
        <w:rPr>
          <w:rFonts w:asciiTheme="minorHAnsi" w:hAnsiTheme="minorHAnsi" w:cstheme="minorHAnsi"/>
          <w:sz w:val="22"/>
          <w:szCs w:val="22"/>
          <w:lang w:eastAsia="pl-PL"/>
        </w:rPr>
        <w:t xml:space="preserve">tytułu trwałej utraty wartości, </w:t>
      </w:r>
      <w:r w:rsidRPr="00105875">
        <w:rPr>
          <w:rFonts w:asciiTheme="minorHAnsi" w:hAnsiTheme="minorHAnsi" w:cstheme="minorHAnsi"/>
          <w:sz w:val="22"/>
          <w:szCs w:val="22"/>
          <w:lang w:eastAsia="pl-PL"/>
        </w:rPr>
        <w:t xml:space="preserve"> w przypadku gdy w decyzji nie została określona wartość - według ceny sprzedaży takiego samego środka trwałego lub podobnego.</w:t>
      </w:r>
    </w:p>
    <w:p w14:paraId="5D821246" w14:textId="77777777" w:rsidR="00651624" w:rsidRPr="00D07288" w:rsidRDefault="00651624" w:rsidP="00C57047">
      <w:pPr>
        <w:keepNext/>
        <w:tabs>
          <w:tab w:val="left" w:pos="709"/>
        </w:tabs>
        <w:spacing w:after="240" w:line="300" w:lineRule="auto"/>
        <w:ind w:left="992"/>
        <w:outlineLvl w:val="2"/>
        <w:rPr>
          <w:rFonts w:asciiTheme="minorHAnsi" w:hAnsiTheme="minorHAnsi" w:cstheme="minorHAnsi"/>
          <w:sz w:val="22"/>
          <w:szCs w:val="22"/>
          <w:lang w:val="x-none"/>
        </w:rPr>
      </w:pPr>
      <w:r w:rsidRPr="00105875">
        <w:rPr>
          <w:rFonts w:asciiTheme="minorHAnsi" w:hAnsiTheme="minorHAnsi" w:cstheme="minorHAnsi"/>
          <w:sz w:val="22"/>
          <w:szCs w:val="22"/>
          <w:lang w:val="x-none"/>
        </w:rPr>
        <w:t xml:space="preserve">Cena nabycia i koszt wytworzenia środków trwałych obejmuje również koszt obsługi zobowiązań zaciągniętych i wykorzystanych w celu ich finansowania za okres budowy, montażu i przystosowania. </w:t>
      </w:r>
    </w:p>
    <w:p w14:paraId="6203E1A4" w14:textId="77777777" w:rsidR="00651624" w:rsidRPr="00105875" w:rsidRDefault="00651624" w:rsidP="00E92E6B">
      <w:pPr>
        <w:tabs>
          <w:tab w:val="num" w:pos="567"/>
        </w:tabs>
        <w:spacing w:after="240" w:line="300" w:lineRule="auto"/>
        <w:ind w:left="992"/>
        <w:outlineLvl w:val="2"/>
        <w:rPr>
          <w:rFonts w:asciiTheme="minorHAnsi" w:hAnsiTheme="minorHAnsi" w:cstheme="minorHAnsi"/>
          <w:snapToGrid w:val="0"/>
          <w:sz w:val="22"/>
          <w:szCs w:val="22"/>
        </w:rPr>
      </w:pPr>
      <w:r w:rsidRPr="00105875">
        <w:rPr>
          <w:rFonts w:asciiTheme="minorHAnsi" w:hAnsiTheme="minorHAnsi" w:cstheme="minorHAnsi"/>
          <w:snapToGrid w:val="0"/>
          <w:sz w:val="22"/>
          <w:szCs w:val="22"/>
        </w:rPr>
        <w:t>Cenę nabycia lub koszt wytworzenia środka trwałego powiększają koszty jego ulepszenia.</w:t>
      </w:r>
    </w:p>
    <w:p w14:paraId="3B0B6E81" w14:textId="77777777" w:rsidR="00651624" w:rsidRPr="00105875" w:rsidRDefault="00404BA8" w:rsidP="00E92E6B">
      <w:pPr>
        <w:spacing w:after="240" w:line="300" w:lineRule="auto"/>
        <w:ind w:left="992"/>
        <w:outlineLvl w:val="2"/>
        <w:rPr>
          <w:rFonts w:asciiTheme="minorHAnsi" w:hAnsiTheme="minorHAnsi" w:cstheme="minorHAnsi"/>
          <w:snapToGrid w:val="0"/>
          <w:sz w:val="22"/>
          <w:szCs w:val="22"/>
        </w:rPr>
      </w:pPr>
      <w:r w:rsidRPr="00105875">
        <w:rPr>
          <w:rFonts w:asciiTheme="minorHAnsi" w:hAnsiTheme="minorHAnsi" w:cstheme="minorHAnsi"/>
          <w:snapToGrid w:val="0"/>
          <w:sz w:val="22"/>
          <w:szCs w:val="22"/>
        </w:rPr>
        <w:lastRenderedPageBreak/>
        <w:t xml:space="preserve">Środki trwałe, w tym przysługujące m.st. Warszawie prawa użytkowania wieczystego gruntu (z wyłączeniem gruntów stanowiących własność m.st. Warszawy) amortyzowane są </w:t>
      </w:r>
      <w:r w:rsidRPr="00404BA8">
        <w:rPr>
          <w:rFonts w:asciiTheme="minorHAnsi" w:hAnsiTheme="minorHAnsi" w:cstheme="minorHAnsi"/>
          <w:snapToGrid w:val="0"/>
          <w:sz w:val="22"/>
          <w:szCs w:val="22"/>
        </w:rPr>
        <w:t>liniowo przy zastosowaniu stawek określonych w przepisach o podatku dochodowym od osób prawnych (</w:t>
      </w:r>
      <w:r w:rsidRPr="00404BA8">
        <w:rPr>
          <w:rFonts w:asciiTheme="minorHAnsi" w:hAnsiTheme="minorHAnsi" w:cstheme="minorHAnsi"/>
          <w:sz w:val="22"/>
          <w:szCs w:val="22"/>
        </w:rPr>
        <w:t>Dz. U. z 2021r. poz. 1800 z dnia 04.10.2021)</w:t>
      </w:r>
      <w:r w:rsidRPr="00404BA8">
        <w:rPr>
          <w:rFonts w:asciiTheme="minorHAnsi" w:hAnsiTheme="minorHAnsi" w:cstheme="minorHAnsi"/>
          <w:snapToGrid w:val="0"/>
          <w:sz w:val="22"/>
          <w:szCs w:val="22"/>
        </w:rPr>
        <w:t>, zgodnie z rozporządzeniem w sprawie zasad rachunkowości oraz planu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Pr="00404BA8">
        <w:rPr>
          <w:rFonts w:asciiTheme="minorHAnsi" w:hAnsiTheme="minorHAnsi" w:cstheme="minorHAnsi"/>
          <w:sz w:val="22"/>
          <w:szCs w:val="22"/>
        </w:rPr>
        <w:t xml:space="preserve"> (Dz.U. z 2020 poz. 342)</w:t>
      </w:r>
      <w:r w:rsidRPr="00404BA8">
        <w:rPr>
          <w:rFonts w:asciiTheme="minorHAnsi" w:hAnsiTheme="minorHAnsi" w:cstheme="minorHAnsi"/>
          <w:snapToGrid w:val="0"/>
          <w:sz w:val="22"/>
          <w:szCs w:val="22"/>
        </w:rPr>
        <w:t>, za wyjątkiem stawki  dotyczącej prawa wieczystego użytkowania gruntów, ustalonej przez Miasto na podstawie szacunków dotyczących długości trwania umów użytkowania wieczystego gruntów.</w:t>
      </w:r>
    </w:p>
    <w:p w14:paraId="19662FE1" w14:textId="77777777" w:rsidR="00651624" w:rsidRPr="00105875" w:rsidRDefault="00651624" w:rsidP="00C57047">
      <w:pPr>
        <w:autoSpaceDE w:val="0"/>
        <w:autoSpaceDN w:val="0"/>
        <w:spacing w:after="24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Podstawowe stawki amortyzacji stosowane przez Miasto:</w:t>
      </w:r>
    </w:p>
    <w:p w14:paraId="517CD8C1" w14:textId="7CBADA64" w:rsidR="00651624" w:rsidRPr="00105875" w:rsidRDefault="00651624" w:rsidP="00C57047">
      <w:pPr>
        <w:tabs>
          <w:tab w:val="center" w:pos="7513"/>
          <w:tab w:val="left" w:pos="7938"/>
        </w:tabs>
        <w:autoSpaceDE w:val="0"/>
        <w:autoSpaceDN w:val="0"/>
        <w:spacing w:after="24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Budynki, lokale i obiekty inżynierii lądowej i wodnej                </w:t>
      </w:r>
      <w:r w:rsidR="00E329D8">
        <w:rPr>
          <w:rFonts w:asciiTheme="minorHAnsi" w:hAnsiTheme="minorHAnsi" w:cstheme="minorHAnsi"/>
          <w:snapToGrid w:val="0"/>
          <w:sz w:val="22"/>
          <w:szCs w:val="22"/>
        </w:rPr>
        <w:tab/>
      </w:r>
      <w:r w:rsidRPr="00105875">
        <w:rPr>
          <w:rFonts w:asciiTheme="minorHAnsi" w:hAnsiTheme="minorHAnsi" w:cstheme="minorHAnsi"/>
          <w:snapToGrid w:val="0"/>
          <w:sz w:val="22"/>
          <w:szCs w:val="22"/>
        </w:rPr>
        <w:t>1,5% ÷ 10%</w:t>
      </w:r>
    </w:p>
    <w:p w14:paraId="3D9453AF" w14:textId="129E4DD9" w:rsidR="00651624" w:rsidRPr="00105875" w:rsidRDefault="00651624" w:rsidP="003E4A3D">
      <w:pPr>
        <w:tabs>
          <w:tab w:val="center" w:pos="7513"/>
          <w:tab w:val="left" w:pos="8080"/>
        </w:tabs>
        <w:autoSpaceDE w:val="0"/>
        <w:autoSpaceDN w:val="0"/>
        <w:spacing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U</w:t>
      </w:r>
      <w:r w:rsidR="00E329D8">
        <w:rPr>
          <w:rFonts w:asciiTheme="minorHAnsi" w:hAnsiTheme="minorHAnsi" w:cstheme="minorHAnsi"/>
          <w:snapToGrid w:val="0"/>
          <w:sz w:val="22"/>
          <w:szCs w:val="22"/>
        </w:rPr>
        <w:t xml:space="preserve">rządzenia techniczne i maszyny </w:t>
      </w:r>
      <w:r w:rsidR="00E329D8">
        <w:rPr>
          <w:rFonts w:asciiTheme="minorHAnsi" w:hAnsiTheme="minorHAnsi" w:cstheme="minorHAnsi"/>
          <w:snapToGrid w:val="0"/>
          <w:sz w:val="22"/>
          <w:szCs w:val="22"/>
        </w:rPr>
        <w:tab/>
      </w:r>
      <w:r w:rsidRPr="00105875">
        <w:rPr>
          <w:rFonts w:asciiTheme="minorHAnsi" w:hAnsiTheme="minorHAnsi" w:cstheme="minorHAnsi"/>
          <w:snapToGrid w:val="0"/>
          <w:sz w:val="22"/>
          <w:szCs w:val="22"/>
        </w:rPr>
        <w:t>4,5% ÷ 30%</w:t>
      </w:r>
    </w:p>
    <w:p w14:paraId="7E5B3431" w14:textId="40B0C34E" w:rsidR="00651624" w:rsidRPr="00105875" w:rsidRDefault="00651624" w:rsidP="003E4A3D">
      <w:pPr>
        <w:tabs>
          <w:tab w:val="center" w:pos="7655"/>
          <w:tab w:val="left" w:pos="8080"/>
        </w:tabs>
        <w:autoSpaceDE w:val="0"/>
        <w:autoSpaceDN w:val="0"/>
        <w:spacing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Środki transportu </w:t>
      </w:r>
      <w:r w:rsidRPr="00105875">
        <w:rPr>
          <w:rFonts w:asciiTheme="minorHAnsi" w:hAnsiTheme="minorHAnsi" w:cstheme="minorHAnsi"/>
          <w:snapToGrid w:val="0"/>
          <w:sz w:val="22"/>
          <w:szCs w:val="22"/>
        </w:rPr>
        <w:tab/>
        <w:t>7% ÷ 20%</w:t>
      </w:r>
    </w:p>
    <w:p w14:paraId="0BEE30EB" w14:textId="17E48843" w:rsidR="00651624" w:rsidRPr="00105875" w:rsidRDefault="00651624" w:rsidP="00CD7780">
      <w:pPr>
        <w:tabs>
          <w:tab w:val="center" w:pos="7513"/>
          <w:tab w:val="left" w:pos="7938"/>
        </w:tabs>
        <w:autoSpaceDE w:val="0"/>
        <w:autoSpaceDN w:val="0"/>
        <w:spacing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Inne środki trwałe </w:t>
      </w:r>
      <w:r w:rsidRPr="00105875">
        <w:rPr>
          <w:rFonts w:asciiTheme="minorHAnsi" w:hAnsiTheme="minorHAnsi" w:cstheme="minorHAnsi"/>
          <w:snapToGrid w:val="0"/>
          <w:sz w:val="22"/>
          <w:szCs w:val="22"/>
        </w:rPr>
        <w:tab/>
        <w:t>10% ÷ 20%</w:t>
      </w:r>
    </w:p>
    <w:p w14:paraId="4BD75740" w14:textId="36B886DB" w:rsidR="00651624" w:rsidRPr="00105875" w:rsidRDefault="00651624" w:rsidP="003E4A3D">
      <w:pPr>
        <w:tabs>
          <w:tab w:val="left" w:pos="7657"/>
          <w:tab w:val="center" w:pos="7797"/>
        </w:tabs>
        <w:autoSpaceDE w:val="0"/>
        <w:autoSpaceDN w:val="0"/>
        <w:spacing w:after="24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Prawo wieczystego użytkowania gruntu </w:t>
      </w:r>
      <w:r w:rsidRPr="00105875">
        <w:rPr>
          <w:rFonts w:asciiTheme="minorHAnsi" w:hAnsiTheme="minorHAnsi" w:cstheme="minorHAnsi"/>
          <w:snapToGrid w:val="0"/>
          <w:sz w:val="22"/>
          <w:szCs w:val="22"/>
        </w:rPr>
        <w:tab/>
        <w:t>2,5%</w:t>
      </w:r>
    </w:p>
    <w:p w14:paraId="37B03B80" w14:textId="77777777" w:rsidR="00651624" w:rsidRPr="00105875" w:rsidRDefault="00651624" w:rsidP="00C57047">
      <w:pPr>
        <w:autoSpaceDE w:val="0"/>
        <w:autoSpaceDN w:val="0"/>
        <w:spacing w:after="24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Środki trwałe o niskiej jednostkowej wartości początkowej, tj. do 10.000 złotych umarza się jednorazowo w miesiącu przekazania ich do użytkowania.</w:t>
      </w:r>
    </w:p>
    <w:p w14:paraId="122A6726" w14:textId="77777777" w:rsidR="00651624" w:rsidRPr="00105875" w:rsidRDefault="00651624" w:rsidP="00C57047">
      <w:pPr>
        <w:spacing w:after="240"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 xml:space="preserve">Dla gruntów prowadzi się ewidencje ilościowo-wartościową gruntów stanowiących własność m.st. Warszawy (w tym oddanych w wieczyste użytkowanie innym podmiotom) oraz przysługujące m.st. Warszawie prawa użytkowania wieczystego gruntów położonych poza granicami m.st. Warszawy. </w:t>
      </w:r>
    </w:p>
    <w:p w14:paraId="18870FE5" w14:textId="49AE617D" w:rsidR="00651624" w:rsidRPr="00105875" w:rsidRDefault="00651624" w:rsidP="00C57047">
      <w:pPr>
        <w:spacing w:after="240"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Wartość gruntów stanowiących własność m.st. Warszawy</w:t>
      </w:r>
      <w:r w:rsidR="009E20F9">
        <w:rPr>
          <w:rFonts w:asciiTheme="minorHAnsi" w:hAnsiTheme="minorHAnsi" w:cstheme="minorHAnsi"/>
          <w:iCs/>
          <w:sz w:val="22"/>
          <w:szCs w:val="22"/>
          <w:lang w:eastAsia="pl-PL"/>
        </w:rPr>
        <w:t>,</w:t>
      </w:r>
      <w:r w:rsidRPr="00105875">
        <w:rPr>
          <w:rFonts w:asciiTheme="minorHAnsi" w:hAnsiTheme="minorHAnsi" w:cstheme="minorHAnsi"/>
          <w:iCs/>
          <w:sz w:val="22"/>
          <w:szCs w:val="22"/>
          <w:lang w:eastAsia="pl-PL"/>
        </w:rPr>
        <w:t xml:space="preserve"> w tym gruntów oddanych w wieczyste użytkowanie innym podmiotom</w:t>
      </w:r>
      <w:r w:rsidR="009E20F9">
        <w:rPr>
          <w:rFonts w:asciiTheme="minorHAnsi" w:hAnsiTheme="minorHAnsi" w:cstheme="minorHAnsi"/>
          <w:iCs/>
          <w:sz w:val="22"/>
          <w:szCs w:val="22"/>
          <w:lang w:eastAsia="pl-PL"/>
        </w:rPr>
        <w:t>,</w:t>
      </w:r>
      <w:r w:rsidRPr="00105875">
        <w:rPr>
          <w:rFonts w:asciiTheme="minorHAnsi" w:hAnsiTheme="minorHAnsi" w:cstheme="minorHAnsi"/>
          <w:iCs/>
          <w:sz w:val="22"/>
          <w:szCs w:val="22"/>
          <w:lang w:eastAsia="pl-PL"/>
        </w:rPr>
        <w:t xml:space="preserve"> prezentowana jest w cenach historycznych.</w:t>
      </w:r>
    </w:p>
    <w:p w14:paraId="107995F1" w14:textId="77777777" w:rsidR="00651624" w:rsidRPr="00105875" w:rsidRDefault="00651624" w:rsidP="00D07288">
      <w:pPr>
        <w:spacing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W przypadku, gdy m.st. Warszawy korzysta  z przysługującego prawa użytkowania wieczystego gruntów ich wartość także prezentowana jest w cenach historycznych.</w:t>
      </w:r>
    </w:p>
    <w:p w14:paraId="2379F88C" w14:textId="77777777" w:rsidR="00651624" w:rsidRDefault="00651624" w:rsidP="00C57047">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W sytuacji nabycia przez m.st. Warszawa prawa użytkowania wieczystego gruntu, który stanowi własność m.st. Warszawy to wypłatę  za jego nabycie traktuje się jako odszkodowanie, które realizowane jest w ramach wydatków bieżących w paragrafie 4590 lub 4600. Wypłata odszkodowania nie wpływa na zmianę ceny historycznej w/w gruntu.</w:t>
      </w:r>
    </w:p>
    <w:p w14:paraId="6869BBDB" w14:textId="77777777" w:rsidR="00F30B22" w:rsidRPr="00F30B22" w:rsidRDefault="00FA134D" w:rsidP="00C57047">
      <w:pPr>
        <w:pStyle w:val="Akapitzlist"/>
        <w:keepNext/>
        <w:keepLines/>
        <w:widowControl w:val="0"/>
        <w:adjustRightInd w:val="0"/>
        <w:spacing w:after="240" w:line="300" w:lineRule="auto"/>
        <w:ind w:left="992" w:hanging="425"/>
        <w:textAlignment w:val="baseline"/>
        <w:rPr>
          <w:rFonts w:asciiTheme="minorHAnsi" w:hAnsiTheme="minorHAnsi" w:cstheme="minorHAnsi"/>
          <w:color w:val="000000"/>
          <w:sz w:val="22"/>
          <w:szCs w:val="22"/>
          <w:lang w:val="x-none"/>
        </w:rPr>
      </w:pPr>
      <w:r>
        <w:rPr>
          <w:rFonts w:asciiTheme="minorHAnsi" w:hAnsiTheme="minorHAnsi" w:cstheme="minorHAnsi"/>
          <w:color w:val="000000"/>
          <w:sz w:val="22"/>
          <w:szCs w:val="22"/>
        </w:rPr>
        <w:lastRenderedPageBreak/>
        <w:t xml:space="preserve">4.5 </w:t>
      </w:r>
      <w:r w:rsidR="00F30B22" w:rsidRPr="00F30B22">
        <w:rPr>
          <w:rFonts w:asciiTheme="minorHAnsi" w:hAnsiTheme="minorHAnsi" w:cstheme="minorHAnsi"/>
          <w:color w:val="000000"/>
          <w:sz w:val="22"/>
          <w:szCs w:val="22"/>
          <w:lang w:val="x-none"/>
        </w:rPr>
        <w:t>Środki trwałe w budowie</w:t>
      </w:r>
    </w:p>
    <w:p w14:paraId="544CE884" w14:textId="77777777" w:rsidR="00F30B22" w:rsidRPr="00105875" w:rsidRDefault="00F30B22" w:rsidP="00C57047">
      <w:pPr>
        <w:tabs>
          <w:tab w:val="left" w:pos="567"/>
        </w:tabs>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Środki trwałe w budowie są wyceniane wg kosztów związanych bezpośrednio z nabyciem lub wytworzeniem danego środka trwałego.</w:t>
      </w:r>
    </w:p>
    <w:p w14:paraId="5D11A85E" w14:textId="0C5CE05D" w:rsidR="00F30B22" w:rsidRPr="00105875" w:rsidRDefault="00F30B22" w:rsidP="00C57047">
      <w:pPr>
        <w:tabs>
          <w:tab w:val="left" w:pos="567"/>
        </w:tabs>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Cena nabycia i koszt wytworzenia środków trwałych w budowie obejmuje również koszt obsługi zobowiązań zaciągniętych i wykorzystanych w celu ich finansowania za okres budowy, montażu i przystosowania, ujmując koszty finansowania dotyczące wykorzystanej kwoty kredytu.</w:t>
      </w:r>
    </w:p>
    <w:p w14:paraId="0974F54B" w14:textId="77777777" w:rsidR="00F30B22" w:rsidRPr="00105875" w:rsidRDefault="00F30B22" w:rsidP="00C57047">
      <w:pPr>
        <w:tabs>
          <w:tab w:val="left" w:pos="567"/>
        </w:tabs>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Środki trwałe w budowie nie są amortyzowane do momentu zakończenia budowy i oddania do użytkowania.</w:t>
      </w:r>
    </w:p>
    <w:p w14:paraId="129D2775" w14:textId="77777777" w:rsidR="00F30B22" w:rsidRPr="00105875" w:rsidRDefault="00F30B22" w:rsidP="00C57047">
      <w:pPr>
        <w:tabs>
          <w:tab w:val="left" w:pos="567"/>
        </w:tabs>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Miasto dokonuje odpisów z tytułu trwałej utraty wartości środków trwałych</w:t>
      </w:r>
      <w:r>
        <w:rPr>
          <w:rFonts w:asciiTheme="minorHAnsi" w:hAnsiTheme="minorHAnsi" w:cstheme="minorHAnsi"/>
          <w:sz w:val="22"/>
          <w:szCs w:val="22"/>
        </w:rPr>
        <w:t xml:space="preserve"> </w:t>
      </w:r>
      <w:r w:rsidRPr="00105875">
        <w:rPr>
          <w:rFonts w:asciiTheme="minorHAnsi" w:hAnsiTheme="minorHAnsi" w:cstheme="minorHAnsi"/>
          <w:sz w:val="22"/>
          <w:szCs w:val="22"/>
        </w:rPr>
        <w:t>w budowie, dotyczących zadań inwestycyjnych rozpoczętych i niezrealizowanych,</w:t>
      </w:r>
      <w:r>
        <w:rPr>
          <w:rFonts w:asciiTheme="minorHAnsi" w:hAnsiTheme="minorHAnsi" w:cstheme="minorHAnsi"/>
          <w:sz w:val="22"/>
          <w:szCs w:val="22"/>
        </w:rPr>
        <w:t xml:space="preserve"> </w:t>
      </w:r>
      <w:r w:rsidRPr="00105875">
        <w:rPr>
          <w:rFonts w:asciiTheme="minorHAnsi" w:hAnsiTheme="minorHAnsi" w:cstheme="minorHAnsi"/>
          <w:sz w:val="22"/>
          <w:szCs w:val="22"/>
        </w:rPr>
        <w:t>w szczególności w przypadkach zaprzestania ponoszenia nakładów w dłuższym okresie czasu i braku planowanych nakładów w Wieloletniej Prognozie Finansowej.</w:t>
      </w:r>
    </w:p>
    <w:p w14:paraId="301B45F7" w14:textId="77777777" w:rsidR="00F30B22" w:rsidRDefault="00F30B22" w:rsidP="00C57047">
      <w:pPr>
        <w:pStyle w:val="Akapitzlist"/>
        <w:keepNext/>
        <w:keepLines/>
        <w:widowControl w:val="0"/>
        <w:numPr>
          <w:ilvl w:val="1"/>
          <w:numId w:val="10"/>
        </w:numPr>
        <w:tabs>
          <w:tab w:val="left" w:pos="1134"/>
        </w:tabs>
        <w:adjustRightInd w:val="0"/>
        <w:spacing w:after="240" w:line="300" w:lineRule="auto"/>
        <w:ind w:left="992" w:hanging="425"/>
        <w:textAlignment w:val="baseline"/>
        <w:rPr>
          <w:rFonts w:asciiTheme="minorHAnsi" w:hAnsiTheme="minorHAnsi" w:cstheme="minorHAnsi"/>
          <w:color w:val="000000"/>
          <w:sz w:val="22"/>
          <w:szCs w:val="22"/>
          <w:lang w:val="x-none"/>
        </w:rPr>
      </w:pPr>
      <w:r w:rsidRPr="00F30B22">
        <w:rPr>
          <w:rFonts w:asciiTheme="minorHAnsi" w:hAnsiTheme="minorHAnsi" w:cstheme="minorHAnsi"/>
          <w:color w:val="000000"/>
          <w:sz w:val="22"/>
          <w:szCs w:val="22"/>
          <w:lang w:val="x-none"/>
        </w:rPr>
        <w:t>Dobra kultury</w:t>
      </w:r>
    </w:p>
    <w:p w14:paraId="4542CA64" w14:textId="3681D397" w:rsidR="00F30B22" w:rsidRPr="00105875" w:rsidRDefault="00F30B22" w:rsidP="00C57047">
      <w:pPr>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Dobra kultury to przedmiot ruchomy lub nieruchomy, dawny lub współczesny, mający znaczenie dla dziedzictwa i rozwoju kulturalnego ze względu na jego wartość historyczną, naukową lub artystyczną. Wycenia się wg ceny nabycia, uwzględniającej o niepodlegający odliczeniu podatek VAT, natomiast otrzymane dary i ujawnione nadwyżki wycenia się na podstawie komisyjnego szacunku ich wartości</w:t>
      </w:r>
      <w:r>
        <w:rPr>
          <w:rFonts w:asciiTheme="minorHAnsi" w:hAnsiTheme="minorHAnsi" w:cstheme="minorHAnsi"/>
          <w:sz w:val="22"/>
          <w:szCs w:val="22"/>
        </w:rPr>
        <w:t xml:space="preserve"> </w:t>
      </w:r>
      <w:r w:rsidRPr="00105875">
        <w:rPr>
          <w:rFonts w:asciiTheme="minorHAnsi" w:hAnsiTheme="minorHAnsi" w:cstheme="minorHAnsi"/>
          <w:sz w:val="22"/>
          <w:szCs w:val="22"/>
        </w:rPr>
        <w:t>w dniu nabycia. Dobra kultury nie podlegają umorzeniu.</w:t>
      </w:r>
    </w:p>
    <w:p w14:paraId="7EBCE1D0" w14:textId="77777777" w:rsidR="00F30B22" w:rsidRDefault="00F30B22" w:rsidP="00C57047">
      <w:pPr>
        <w:pStyle w:val="Akapitzlist"/>
        <w:keepNext/>
        <w:keepLines/>
        <w:widowControl w:val="0"/>
        <w:numPr>
          <w:ilvl w:val="1"/>
          <w:numId w:val="10"/>
        </w:numPr>
        <w:tabs>
          <w:tab w:val="left" w:pos="1134"/>
        </w:tabs>
        <w:adjustRightInd w:val="0"/>
        <w:spacing w:after="240" w:line="300" w:lineRule="auto"/>
        <w:ind w:left="992" w:hanging="357"/>
        <w:textAlignment w:val="baseline"/>
        <w:rPr>
          <w:rFonts w:asciiTheme="minorHAnsi" w:hAnsiTheme="minorHAnsi" w:cstheme="minorHAnsi"/>
          <w:color w:val="000000"/>
          <w:sz w:val="22"/>
          <w:szCs w:val="22"/>
          <w:lang w:val="x-none"/>
        </w:rPr>
      </w:pPr>
      <w:r w:rsidRPr="00F30B22">
        <w:rPr>
          <w:rFonts w:asciiTheme="minorHAnsi" w:hAnsiTheme="minorHAnsi" w:cstheme="minorHAnsi"/>
          <w:color w:val="000000"/>
          <w:sz w:val="22"/>
          <w:szCs w:val="22"/>
          <w:lang w:val="x-none"/>
        </w:rPr>
        <w:t>Nieruchomości inwestycyjne</w:t>
      </w:r>
    </w:p>
    <w:p w14:paraId="0045F348" w14:textId="35357BE1" w:rsidR="00F30B22" w:rsidRPr="00105875" w:rsidRDefault="00F30B22" w:rsidP="00490744">
      <w:pPr>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Do nieruchomości inwestycyjnych zalicza się środki trwałe, które zostaną wniesione aportem do spółki a będące w użytkowaniu tej spółki, które podlegają nie rzadziej niż raz w roku odpisom aktualizującym wyliczonym w sposób uproszczony, tj. przy zastosowaniu stawek amortyzacyjnych/umorzeniowych jak dla poszczególnych grup środków trwałych.</w:t>
      </w:r>
    </w:p>
    <w:p w14:paraId="1692CE86" w14:textId="77777777" w:rsidR="00F30B22" w:rsidRPr="00D07288" w:rsidRDefault="00F30B22" w:rsidP="00C57047">
      <w:pPr>
        <w:pStyle w:val="Akapitzlist"/>
        <w:numPr>
          <w:ilvl w:val="1"/>
          <w:numId w:val="10"/>
        </w:numPr>
        <w:spacing w:after="240" w:line="300" w:lineRule="auto"/>
        <w:ind w:left="992" w:hanging="357"/>
        <w:rPr>
          <w:rFonts w:asciiTheme="minorHAnsi" w:hAnsiTheme="minorHAnsi" w:cstheme="minorHAnsi"/>
          <w:sz w:val="22"/>
          <w:szCs w:val="22"/>
        </w:rPr>
      </w:pPr>
      <w:r w:rsidRPr="00D07288">
        <w:rPr>
          <w:rFonts w:asciiTheme="minorHAnsi" w:hAnsiTheme="minorHAnsi" w:cstheme="minorHAnsi"/>
          <w:sz w:val="22"/>
          <w:szCs w:val="22"/>
        </w:rPr>
        <w:t>Zapasy magazynowe</w:t>
      </w:r>
    </w:p>
    <w:p w14:paraId="25693202" w14:textId="26AB6630" w:rsidR="00F30B22" w:rsidRPr="00105875" w:rsidRDefault="00F30B22" w:rsidP="00C57047">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Zapasy magazynowe materiałów</w:t>
      </w:r>
      <w:r w:rsidR="00C30D1C">
        <w:rPr>
          <w:rFonts w:asciiTheme="minorHAnsi" w:hAnsiTheme="minorHAnsi" w:cstheme="minorHAnsi"/>
          <w:sz w:val="22"/>
          <w:szCs w:val="22"/>
        </w:rPr>
        <w:t xml:space="preserve"> </w:t>
      </w:r>
      <w:r w:rsidRPr="00105875">
        <w:rPr>
          <w:rFonts w:asciiTheme="minorHAnsi" w:hAnsiTheme="minorHAnsi" w:cstheme="minorHAnsi"/>
          <w:sz w:val="22"/>
          <w:szCs w:val="22"/>
        </w:rPr>
        <w:t>wycenia się według cen nabycia, powiększone o niepodlegający odliczeniu podatek VAT</w:t>
      </w:r>
      <w:r w:rsidR="003D4535">
        <w:rPr>
          <w:rFonts w:asciiTheme="minorHAnsi" w:hAnsiTheme="minorHAnsi" w:cstheme="minorHAnsi"/>
          <w:sz w:val="22"/>
          <w:szCs w:val="22"/>
        </w:rPr>
        <w:t>, natomiast towary wycenia się według cen zakupu, powiększone o niepodlegający odliczeniu podatek VAT</w:t>
      </w:r>
    </w:p>
    <w:p w14:paraId="4FB02CBB" w14:textId="266D7C30" w:rsidR="00F30B22" w:rsidRPr="00105875" w:rsidRDefault="00F30B22" w:rsidP="00F70C7B">
      <w:pPr>
        <w:spacing w:after="120" w:line="300" w:lineRule="auto"/>
        <w:ind w:left="992"/>
        <w:rPr>
          <w:rFonts w:asciiTheme="minorHAnsi" w:hAnsiTheme="minorHAnsi" w:cstheme="minorHAnsi"/>
          <w:sz w:val="22"/>
          <w:szCs w:val="22"/>
        </w:rPr>
      </w:pPr>
      <w:r w:rsidRPr="00105875">
        <w:rPr>
          <w:rFonts w:asciiTheme="minorHAnsi" w:hAnsiTheme="minorHAnsi" w:cstheme="minorHAnsi"/>
          <w:sz w:val="22"/>
          <w:szCs w:val="22"/>
        </w:rPr>
        <w:lastRenderedPageBreak/>
        <w:t>Rozchód materiałów</w:t>
      </w:r>
      <w:r w:rsidR="00C30D1C">
        <w:rPr>
          <w:rFonts w:asciiTheme="minorHAnsi" w:hAnsiTheme="minorHAnsi" w:cstheme="minorHAnsi"/>
          <w:sz w:val="22"/>
          <w:szCs w:val="22"/>
        </w:rPr>
        <w:t xml:space="preserve"> i towarów</w:t>
      </w:r>
      <w:r w:rsidRPr="00105875">
        <w:rPr>
          <w:rFonts w:asciiTheme="minorHAnsi" w:hAnsiTheme="minorHAnsi" w:cstheme="minorHAnsi"/>
          <w:sz w:val="22"/>
          <w:szCs w:val="22"/>
        </w:rPr>
        <w:t xml:space="preserve"> z magazynu wycenia się co do zasady „pierwsze przyszło-pierwsze wyszło” tj. w cenie zakupów materiałów</w:t>
      </w:r>
      <w:r w:rsidR="00C30D1C">
        <w:rPr>
          <w:rFonts w:asciiTheme="minorHAnsi" w:hAnsiTheme="minorHAnsi" w:cstheme="minorHAnsi"/>
          <w:sz w:val="22"/>
          <w:szCs w:val="22"/>
        </w:rPr>
        <w:t xml:space="preserve"> i towarów</w:t>
      </w:r>
      <w:r w:rsidRPr="00105875">
        <w:rPr>
          <w:rFonts w:asciiTheme="minorHAnsi" w:hAnsiTheme="minorHAnsi" w:cstheme="minorHAnsi"/>
          <w:sz w:val="22"/>
          <w:szCs w:val="22"/>
        </w:rPr>
        <w:t xml:space="preserve"> nabytych najwcześniej.</w:t>
      </w:r>
    </w:p>
    <w:p w14:paraId="00E3417C" w14:textId="333FF73B" w:rsidR="00F30B22" w:rsidRPr="00FA134D" w:rsidRDefault="00F30B22" w:rsidP="00490744">
      <w:pPr>
        <w:pStyle w:val="Akapitzlist"/>
        <w:numPr>
          <w:ilvl w:val="1"/>
          <w:numId w:val="10"/>
        </w:numPr>
        <w:autoSpaceDE w:val="0"/>
        <w:autoSpaceDN w:val="0"/>
        <w:spacing w:after="240" w:line="300" w:lineRule="auto"/>
        <w:ind w:left="992" w:hanging="357"/>
        <w:rPr>
          <w:rFonts w:asciiTheme="minorHAnsi" w:hAnsiTheme="minorHAnsi" w:cstheme="minorHAnsi"/>
          <w:sz w:val="22"/>
          <w:szCs w:val="22"/>
        </w:rPr>
      </w:pPr>
      <w:r w:rsidRPr="00FA134D">
        <w:rPr>
          <w:rFonts w:asciiTheme="minorHAnsi" w:hAnsiTheme="minorHAnsi" w:cstheme="minorHAnsi"/>
          <w:sz w:val="22"/>
          <w:szCs w:val="22"/>
        </w:rPr>
        <w:t>Ewidencja kosztów</w:t>
      </w:r>
    </w:p>
    <w:p w14:paraId="112927E9" w14:textId="77777777" w:rsidR="00F30B22" w:rsidRPr="00105875" w:rsidRDefault="00F30B22" w:rsidP="00490744">
      <w:pPr>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Prowadzona jest na kontach zespołu 4 oraz zespołu 7</w:t>
      </w:r>
      <w:r w:rsidR="003D2C57">
        <w:rPr>
          <w:rFonts w:asciiTheme="minorHAnsi" w:hAnsiTheme="minorHAnsi" w:cstheme="minorHAnsi"/>
          <w:sz w:val="22"/>
          <w:szCs w:val="22"/>
        </w:rPr>
        <w:t>.</w:t>
      </w:r>
    </w:p>
    <w:p w14:paraId="0124896A" w14:textId="77777777" w:rsidR="00F30B22" w:rsidRPr="00FA134D" w:rsidRDefault="00F30B22" w:rsidP="00490744">
      <w:pPr>
        <w:pStyle w:val="Akapitzlist"/>
        <w:numPr>
          <w:ilvl w:val="1"/>
          <w:numId w:val="10"/>
        </w:numPr>
        <w:autoSpaceDE w:val="0"/>
        <w:autoSpaceDN w:val="0"/>
        <w:spacing w:after="240" w:line="300" w:lineRule="auto"/>
        <w:ind w:left="992" w:hanging="425"/>
        <w:rPr>
          <w:rFonts w:asciiTheme="minorHAnsi" w:hAnsiTheme="minorHAnsi" w:cstheme="minorHAnsi"/>
          <w:sz w:val="22"/>
          <w:szCs w:val="22"/>
        </w:rPr>
      </w:pPr>
      <w:r w:rsidRPr="00FA134D">
        <w:rPr>
          <w:rFonts w:asciiTheme="minorHAnsi" w:hAnsiTheme="minorHAnsi" w:cstheme="minorHAnsi"/>
          <w:sz w:val="22"/>
          <w:szCs w:val="22"/>
        </w:rPr>
        <w:t>Ewidencja materiałów</w:t>
      </w:r>
    </w:p>
    <w:p w14:paraId="4ACBED19" w14:textId="187BFEC1" w:rsidR="00F30B22" w:rsidRPr="00105875" w:rsidRDefault="00F30B22" w:rsidP="00490744">
      <w:pPr>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Zakupione materiały ujmuje się w ewidencji według rzeczywistych cen nabycia</w:t>
      </w:r>
      <w:r w:rsidR="003D4535">
        <w:rPr>
          <w:rFonts w:asciiTheme="minorHAnsi" w:hAnsiTheme="minorHAnsi" w:cstheme="minorHAnsi"/>
          <w:sz w:val="22"/>
          <w:szCs w:val="22"/>
        </w:rPr>
        <w:t>, natomiast towary według rzeczywistych cen zakupu</w:t>
      </w:r>
      <w:r w:rsidRPr="00105875">
        <w:rPr>
          <w:rFonts w:asciiTheme="minorHAnsi" w:hAnsiTheme="minorHAnsi" w:cstheme="minorHAnsi"/>
          <w:sz w:val="22"/>
          <w:szCs w:val="22"/>
        </w:rPr>
        <w:t>.</w:t>
      </w:r>
    </w:p>
    <w:p w14:paraId="7F81D790" w14:textId="616B5C9D" w:rsidR="00F30B22" w:rsidRDefault="00F30B22" w:rsidP="00F70C7B">
      <w:pPr>
        <w:pStyle w:val="Akapitzlist"/>
        <w:numPr>
          <w:ilvl w:val="1"/>
          <w:numId w:val="10"/>
        </w:numPr>
        <w:autoSpaceDE w:val="0"/>
        <w:autoSpaceDN w:val="0"/>
        <w:spacing w:after="120" w:line="300" w:lineRule="auto"/>
        <w:ind w:left="992" w:hanging="425"/>
        <w:rPr>
          <w:rFonts w:asciiTheme="minorHAnsi" w:hAnsiTheme="minorHAnsi" w:cstheme="minorHAnsi"/>
          <w:sz w:val="22"/>
          <w:szCs w:val="22"/>
        </w:rPr>
      </w:pPr>
      <w:bookmarkStart w:id="0" w:name="_GoBack"/>
      <w:r w:rsidRPr="00CF3272">
        <w:rPr>
          <w:rFonts w:asciiTheme="minorHAnsi" w:hAnsiTheme="minorHAnsi" w:cstheme="minorHAnsi"/>
          <w:sz w:val="22"/>
          <w:szCs w:val="22"/>
        </w:rPr>
        <w:t>Zobowiązania</w:t>
      </w:r>
    </w:p>
    <w:bookmarkEnd w:id="0"/>
    <w:p w14:paraId="77BA4AB3" w14:textId="77777777" w:rsidR="00F30B22" w:rsidRPr="00105875" w:rsidRDefault="00F30B22" w:rsidP="00490744">
      <w:pPr>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Na dzień bilansowy zobowiązania wycenia się w kwocie wymagającej zapłaty.</w:t>
      </w:r>
    </w:p>
    <w:p w14:paraId="224C842E" w14:textId="77777777" w:rsidR="00F30B22" w:rsidRPr="002168DB" w:rsidRDefault="00F30B22" w:rsidP="00490744">
      <w:pPr>
        <w:pStyle w:val="Akapitzlist"/>
        <w:keepLines/>
        <w:numPr>
          <w:ilvl w:val="1"/>
          <w:numId w:val="10"/>
        </w:numPr>
        <w:tabs>
          <w:tab w:val="left" w:pos="567"/>
          <w:tab w:val="left" w:pos="1134"/>
        </w:tabs>
        <w:spacing w:after="240" w:line="300" w:lineRule="auto"/>
        <w:ind w:left="992" w:hanging="357"/>
        <w:rPr>
          <w:rFonts w:asciiTheme="minorHAnsi" w:hAnsiTheme="minorHAnsi" w:cstheme="minorHAnsi"/>
          <w:color w:val="000000"/>
          <w:sz w:val="22"/>
          <w:szCs w:val="22"/>
        </w:rPr>
      </w:pPr>
      <w:r w:rsidRPr="002168DB">
        <w:rPr>
          <w:rFonts w:asciiTheme="minorHAnsi" w:hAnsiTheme="minorHAnsi" w:cstheme="minorHAnsi"/>
          <w:color w:val="000000"/>
          <w:sz w:val="22"/>
          <w:szCs w:val="22"/>
        </w:rPr>
        <w:t>Środki pieniężne</w:t>
      </w:r>
    </w:p>
    <w:p w14:paraId="43076B10" w14:textId="654E4281" w:rsidR="00F30B22" w:rsidRPr="00105875" w:rsidRDefault="00F30B22" w:rsidP="00490744">
      <w:pPr>
        <w:keepLines/>
        <w:spacing w:after="240" w:line="300" w:lineRule="auto"/>
        <w:ind w:left="992"/>
        <w:rPr>
          <w:rFonts w:asciiTheme="minorHAnsi" w:hAnsiTheme="minorHAnsi" w:cstheme="minorHAnsi"/>
          <w:color w:val="000000"/>
          <w:sz w:val="22"/>
          <w:szCs w:val="22"/>
        </w:rPr>
      </w:pPr>
      <w:r w:rsidRPr="00105875">
        <w:rPr>
          <w:rFonts w:asciiTheme="minorHAnsi" w:hAnsiTheme="minorHAnsi" w:cstheme="minorHAnsi"/>
          <w:color w:val="000000"/>
          <w:sz w:val="22"/>
          <w:szCs w:val="22"/>
        </w:rPr>
        <w:t>Krajowe środki pieniężne ujmuje się w księgach rachunkowych w wartości nominalnej.</w:t>
      </w:r>
    </w:p>
    <w:p w14:paraId="0EA32BB1" w14:textId="77777777" w:rsidR="00F30B22" w:rsidRPr="00105875" w:rsidRDefault="00F30B22" w:rsidP="003E4A3D">
      <w:pPr>
        <w:keepLines/>
        <w:spacing w:after="240" w:line="300" w:lineRule="auto"/>
        <w:ind w:left="992"/>
        <w:rPr>
          <w:rFonts w:asciiTheme="minorHAnsi" w:hAnsiTheme="minorHAnsi" w:cstheme="minorHAnsi"/>
          <w:color w:val="000000"/>
          <w:sz w:val="22"/>
          <w:szCs w:val="22"/>
        </w:rPr>
      </w:pPr>
      <w:r w:rsidRPr="00105875">
        <w:rPr>
          <w:rFonts w:asciiTheme="minorHAnsi" w:hAnsiTheme="minorHAnsi" w:cstheme="minorHAnsi"/>
          <w:color w:val="000000"/>
          <w:sz w:val="22"/>
          <w:szCs w:val="22"/>
        </w:rPr>
        <w:t>Środki pieniężne wyrażone w walucie obcej wyceniane się na ostatni dzień kwartału, a różnice kursowe odnosi się w przychody lub koszty finansowe.</w:t>
      </w:r>
    </w:p>
    <w:p w14:paraId="56FDE1F8" w14:textId="77777777" w:rsidR="00F30B22" w:rsidRPr="002168DB" w:rsidRDefault="00F30B22" w:rsidP="00F70C7B">
      <w:pPr>
        <w:pStyle w:val="Akapitzlist"/>
        <w:keepLines/>
        <w:numPr>
          <w:ilvl w:val="1"/>
          <w:numId w:val="10"/>
        </w:numPr>
        <w:tabs>
          <w:tab w:val="left" w:pos="567"/>
          <w:tab w:val="left" w:pos="1134"/>
        </w:tabs>
        <w:spacing w:after="120" w:line="300" w:lineRule="auto"/>
        <w:ind w:left="992" w:hanging="357"/>
        <w:rPr>
          <w:rFonts w:asciiTheme="minorHAnsi" w:hAnsiTheme="minorHAnsi" w:cstheme="minorHAnsi"/>
          <w:color w:val="000000"/>
          <w:sz w:val="22"/>
          <w:szCs w:val="22"/>
        </w:rPr>
      </w:pPr>
      <w:r w:rsidRPr="002168DB">
        <w:rPr>
          <w:rFonts w:asciiTheme="minorHAnsi" w:hAnsiTheme="minorHAnsi" w:cstheme="minorHAnsi"/>
          <w:color w:val="000000"/>
          <w:sz w:val="22"/>
          <w:szCs w:val="22"/>
        </w:rPr>
        <w:t>Rezerwy na zobowiązania</w:t>
      </w:r>
    </w:p>
    <w:p w14:paraId="0687E83F" w14:textId="70AE6301" w:rsidR="00F30B22" w:rsidRPr="00105875" w:rsidRDefault="00F30B22" w:rsidP="003E4A3D">
      <w:pPr>
        <w:keepLines/>
        <w:tabs>
          <w:tab w:val="left" w:pos="567"/>
          <w:tab w:val="left" w:pos="1134"/>
        </w:tabs>
        <w:spacing w:after="240" w:line="300" w:lineRule="auto"/>
        <w:ind w:left="992"/>
        <w:rPr>
          <w:rFonts w:asciiTheme="minorHAnsi" w:hAnsiTheme="minorHAnsi" w:cstheme="minorHAnsi"/>
          <w:color w:val="000000"/>
          <w:sz w:val="22"/>
          <w:szCs w:val="22"/>
        </w:rPr>
      </w:pPr>
      <w:r w:rsidRPr="00105875">
        <w:rPr>
          <w:rFonts w:asciiTheme="minorHAnsi" w:hAnsiTheme="minorHAnsi" w:cstheme="minorHAnsi"/>
          <w:b/>
          <w:i/>
          <w:color w:val="000000"/>
          <w:sz w:val="22"/>
          <w:szCs w:val="22"/>
        </w:rPr>
        <w:tab/>
      </w:r>
      <w:r w:rsidRPr="00105875">
        <w:rPr>
          <w:rFonts w:asciiTheme="minorHAnsi" w:hAnsiTheme="minorHAnsi" w:cstheme="minorHAnsi"/>
          <w:color w:val="000000"/>
          <w:sz w:val="22"/>
          <w:szCs w:val="22"/>
        </w:rPr>
        <w:t>Wycenia się w uzasadnionej, wiarygodnie oszacowanej wartości</w:t>
      </w:r>
      <w:r w:rsidR="009E20F9">
        <w:rPr>
          <w:rFonts w:asciiTheme="minorHAnsi" w:hAnsiTheme="minorHAnsi" w:cstheme="minorHAnsi"/>
          <w:color w:val="000000"/>
          <w:sz w:val="22"/>
          <w:szCs w:val="22"/>
        </w:rPr>
        <w:t>.</w:t>
      </w:r>
    </w:p>
    <w:p w14:paraId="4B86516E" w14:textId="065A3EF6" w:rsidR="00F30B22" w:rsidRPr="002168DB" w:rsidRDefault="00F30B22" w:rsidP="00F70C7B">
      <w:pPr>
        <w:pStyle w:val="Akapitzlist"/>
        <w:keepLines/>
        <w:numPr>
          <w:ilvl w:val="1"/>
          <w:numId w:val="10"/>
        </w:numPr>
        <w:tabs>
          <w:tab w:val="left" w:pos="567"/>
          <w:tab w:val="left" w:pos="1134"/>
        </w:tabs>
        <w:spacing w:after="120" w:line="300" w:lineRule="auto"/>
        <w:ind w:left="992" w:hanging="357"/>
        <w:rPr>
          <w:rFonts w:asciiTheme="minorHAnsi" w:hAnsiTheme="minorHAnsi" w:cstheme="minorHAnsi"/>
          <w:color w:val="000000"/>
          <w:sz w:val="22"/>
          <w:szCs w:val="22"/>
        </w:rPr>
      </w:pPr>
      <w:r w:rsidRPr="002168DB">
        <w:rPr>
          <w:rFonts w:asciiTheme="minorHAnsi" w:hAnsiTheme="minorHAnsi" w:cstheme="minorHAnsi"/>
          <w:color w:val="000000"/>
          <w:sz w:val="22"/>
          <w:szCs w:val="22"/>
        </w:rPr>
        <w:t>Czynne rozliczenia międzyokresowe</w:t>
      </w:r>
    </w:p>
    <w:p w14:paraId="34B12446" w14:textId="77777777" w:rsidR="00F30B22" w:rsidRPr="00105875" w:rsidRDefault="00F30B22" w:rsidP="003E4A3D">
      <w:pPr>
        <w:keepLines/>
        <w:tabs>
          <w:tab w:val="left" w:pos="567"/>
          <w:tab w:val="left" w:pos="1134"/>
        </w:tabs>
        <w:spacing w:after="240" w:line="300" w:lineRule="auto"/>
        <w:ind w:left="992"/>
        <w:rPr>
          <w:rFonts w:asciiTheme="minorHAnsi" w:hAnsiTheme="minorHAnsi" w:cstheme="minorHAnsi"/>
          <w:color w:val="000000"/>
          <w:sz w:val="22"/>
          <w:szCs w:val="22"/>
        </w:rPr>
      </w:pPr>
      <w:r w:rsidRPr="00105875">
        <w:rPr>
          <w:rFonts w:asciiTheme="minorHAnsi" w:hAnsiTheme="minorHAnsi" w:cstheme="minorHAnsi"/>
          <w:color w:val="000000"/>
          <w:sz w:val="22"/>
          <w:szCs w:val="22"/>
        </w:rPr>
        <w:t>Koszty na koncie rozliczeń międzyokresowych rozliczane są proporcjonalnie do upływu czasu w kolejnym roku obrotowym, którego dotyczą.</w:t>
      </w:r>
    </w:p>
    <w:p w14:paraId="6D676595" w14:textId="77777777" w:rsidR="00765D4F" w:rsidRPr="00A841BB" w:rsidRDefault="007A35A7" w:rsidP="00133CE9">
      <w:pPr>
        <w:pStyle w:val="Nagwek2"/>
        <w:widowControl w:val="0"/>
        <w:numPr>
          <w:ilvl w:val="0"/>
          <w:numId w:val="10"/>
        </w:numPr>
        <w:tabs>
          <w:tab w:val="left" w:pos="567"/>
        </w:tabs>
        <w:adjustRightInd w:val="0"/>
        <w:spacing w:after="240" w:line="300" w:lineRule="auto"/>
        <w:ind w:left="927"/>
        <w:contextualSpacing/>
        <w:textAlignment w:val="baseline"/>
        <w:rPr>
          <w:rFonts w:ascii="Calibri" w:hAnsi="Calibri" w:cs="Calibri"/>
          <w:sz w:val="22"/>
          <w:szCs w:val="22"/>
          <w:lang w:val="pl-PL"/>
        </w:rPr>
      </w:pPr>
      <w:r w:rsidRPr="00A841BB">
        <w:rPr>
          <w:rFonts w:ascii="Calibri" w:hAnsi="Calibri" w:cs="Calibri"/>
          <w:sz w:val="22"/>
          <w:szCs w:val="22"/>
          <w:lang w:val="pl-PL"/>
        </w:rPr>
        <w:t>Inne informacje</w:t>
      </w:r>
    </w:p>
    <w:p w14:paraId="32B0E62A" w14:textId="67E8F83E" w:rsidR="007A35A7" w:rsidRPr="00A841BB" w:rsidRDefault="007A35A7" w:rsidP="00270F10">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b w:val="0"/>
          <w:sz w:val="22"/>
          <w:szCs w:val="22"/>
          <w:lang w:val="pl-PL"/>
        </w:rPr>
      </w:pPr>
      <w:r w:rsidRPr="00A841BB">
        <w:rPr>
          <w:rFonts w:ascii="Calibri" w:hAnsi="Calibri" w:cs="Calibri"/>
          <w:b w:val="0"/>
          <w:sz w:val="22"/>
          <w:szCs w:val="22"/>
          <w:lang w:val="pl-PL"/>
        </w:rPr>
        <w:t xml:space="preserve">Informacje </w:t>
      </w:r>
      <w:r w:rsidR="00566E59">
        <w:rPr>
          <w:rFonts w:ascii="Calibri" w:hAnsi="Calibri" w:cs="Calibri"/>
          <w:b w:val="0"/>
          <w:sz w:val="22"/>
          <w:szCs w:val="22"/>
          <w:lang w:val="pl-PL"/>
        </w:rPr>
        <w:t>o korekcie bilansu otwarcia 202</w:t>
      </w:r>
      <w:r w:rsidR="00192D9D">
        <w:rPr>
          <w:rFonts w:ascii="Calibri" w:hAnsi="Calibri" w:cs="Calibri"/>
          <w:b w:val="0"/>
          <w:sz w:val="22"/>
          <w:szCs w:val="22"/>
          <w:lang w:val="pl-PL"/>
        </w:rPr>
        <w:t>2</w:t>
      </w:r>
      <w:r w:rsidRPr="00A841BB">
        <w:rPr>
          <w:rFonts w:ascii="Calibri" w:hAnsi="Calibri" w:cs="Calibri"/>
          <w:b w:val="0"/>
          <w:sz w:val="22"/>
          <w:szCs w:val="22"/>
          <w:lang w:val="pl-PL"/>
        </w:rPr>
        <w:t xml:space="preserve"> roku w związku ze zmianą prezentacji pozycji i korektami.</w:t>
      </w:r>
    </w:p>
    <w:tbl>
      <w:tblPr>
        <w:tblW w:w="9147" w:type="dxa"/>
        <w:tblInd w:w="-5" w:type="dxa"/>
        <w:tblCellMar>
          <w:left w:w="70" w:type="dxa"/>
          <w:right w:w="70" w:type="dxa"/>
        </w:tblCellMar>
        <w:tblLook w:val="0000" w:firstRow="0" w:lastRow="0" w:firstColumn="0" w:lastColumn="0" w:noHBand="0" w:noVBand="0"/>
        <w:tblDescription w:val="Informacje o korekcie bilansu otwarcia 2022 w związku ze zmianą prezentacji pozycji i korektami"/>
      </w:tblPr>
      <w:tblGrid>
        <w:gridCol w:w="865"/>
        <w:gridCol w:w="1445"/>
        <w:gridCol w:w="1660"/>
        <w:gridCol w:w="1580"/>
        <w:gridCol w:w="1265"/>
        <w:gridCol w:w="2332"/>
      </w:tblGrid>
      <w:tr w:rsidR="00664118" w:rsidRPr="00A841BB" w14:paraId="0D3153A0" w14:textId="77777777" w:rsidTr="00AE35BD">
        <w:trPr>
          <w:trHeight w:val="96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477A956D"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Pozycja w bilansie</w:t>
            </w:r>
          </w:p>
        </w:tc>
        <w:tc>
          <w:tcPr>
            <w:tcW w:w="1445" w:type="dxa"/>
            <w:tcBorders>
              <w:top w:val="single" w:sz="4" w:space="0" w:color="auto"/>
              <w:left w:val="nil"/>
              <w:bottom w:val="single" w:sz="4" w:space="0" w:color="auto"/>
              <w:right w:val="single" w:sz="4" w:space="0" w:color="auto"/>
            </w:tcBorders>
            <w:shd w:val="clear" w:color="auto" w:fill="auto"/>
            <w:vAlign w:val="center"/>
          </w:tcPr>
          <w:p w14:paraId="44C34AF8"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Zmienione pozycje</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131FD3CE"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Zatwierdzone sprawozdanie za rok 20….</w:t>
            </w:r>
          </w:p>
          <w:p w14:paraId="470D32CB"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zł</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60626EFC"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Zmniejszenia</w:t>
            </w:r>
          </w:p>
          <w:p w14:paraId="3B48A033"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 xml:space="preserve"> zł</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C369885"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Zwiększenia zł</w:t>
            </w:r>
          </w:p>
        </w:tc>
        <w:tc>
          <w:tcPr>
            <w:tcW w:w="2332" w:type="dxa"/>
            <w:tcBorders>
              <w:top w:val="single" w:sz="4" w:space="0" w:color="auto"/>
              <w:left w:val="nil"/>
              <w:bottom w:val="single" w:sz="4" w:space="0" w:color="auto"/>
              <w:right w:val="single" w:sz="4" w:space="0" w:color="auto"/>
            </w:tcBorders>
            <w:shd w:val="clear" w:color="auto" w:fill="auto"/>
            <w:noWrap/>
            <w:vAlign w:val="center"/>
          </w:tcPr>
          <w:p w14:paraId="058617E9"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Sprawozdanie finansowe za rok 20…..po uwzględnieniu korekt</w:t>
            </w:r>
          </w:p>
          <w:p w14:paraId="04500736" w14:textId="77777777" w:rsidR="00664118" w:rsidRPr="00A841BB" w:rsidRDefault="00664118" w:rsidP="007E246F">
            <w:pPr>
              <w:jc w:val="center"/>
              <w:rPr>
                <w:rFonts w:ascii="Calibri" w:hAnsi="Calibri" w:cs="Calibri"/>
                <w:b/>
                <w:bCs/>
                <w:sz w:val="22"/>
                <w:szCs w:val="22"/>
                <w:lang w:eastAsia="pl-PL"/>
              </w:rPr>
            </w:pPr>
            <w:r w:rsidRPr="00A841BB">
              <w:rPr>
                <w:rFonts w:ascii="Calibri" w:hAnsi="Calibri" w:cs="Calibri"/>
                <w:b/>
                <w:bCs/>
                <w:sz w:val="22"/>
                <w:szCs w:val="22"/>
                <w:lang w:eastAsia="pl-PL"/>
              </w:rPr>
              <w:t>zł</w:t>
            </w:r>
          </w:p>
        </w:tc>
      </w:tr>
      <w:tr w:rsidR="00664118" w:rsidRPr="00A841BB" w14:paraId="5F8B3AC8" w14:textId="77777777" w:rsidTr="00CF0979">
        <w:trPr>
          <w:trHeight w:val="480"/>
        </w:trPr>
        <w:tc>
          <w:tcPr>
            <w:tcW w:w="865" w:type="dxa"/>
            <w:tcBorders>
              <w:top w:val="nil"/>
              <w:left w:val="single" w:sz="4" w:space="0" w:color="auto"/>
              <w:bottom w:val="single" w:sz="4" w:space="0" w:color="auto"/>
              <w:right w:val="single" w:sz="4" w:space="0" w:color="auto"/>
            </w:tcBorders>
            <w:shd w:val="clear" w:color="auto" w:fill="auto"/>
            <w:noWrap/>
            <w:vAlign w:val="bottom"/>
          </w:tcPr>
          <w:p w14:paraId="3861CCA9" w14:textId="77777777" w:rsidR="00664118" w:rsidRPr="00A841BB" w:rsidRDefault="00664118" w:rsidP="007E246F">
            <w:pPr>
              <w:rPr>
                <w:rFonts w:ascii="Calibri" w:hAnsi="Calibri" w:cs="Calibri"/>
                <w:sz w:val="22"/>
                <w:szCs w:val="22"/>
                <w:lang w:eastAsia="pl-PL"/>
              </w:rPr>
            </w:pPr>
          </w:p>
        </w:tc>
        <w:tc>
          <w:tcPr>
            <w:tcW w:w="1445" w:type="dxa"/>
            <w:tcBorders>
              <w:top w:val="nil"/>
              <w:left w:val="nil"/>
              <w:bottom w:val="single" w:sz="4" w:space="0" w:color="auto"/>
              <w:right w:val="single" w:sz="4" w:space="0" w:color="auto"/>
            </w:tcBorders>
            <w:shd w:val="clear" w:color="auto" w:fill="auto"/>
            <w:vAlign w:val="bottom"/>
          </w:tcPr>
          <w:p w14:paraId="1AF53754" w14:textId="77777777" w:rsidR="00664118" w:rsidRPr="00A841BB" w:rsidRDefault="00664118" w:rsidP="007E246F">
            <w:pPr>
              <w:rPr>
                <w:rFonts w:ascii="Calibri" w:hAnsi="Calibri" w:cs="Calibri"/>
                <w:sz w:val="22"/>
                <w:szCs w:val="22"/>
                <w:lang w:eastAsia="pl-PL"/>
              </w:rPr>
            </w:pPr>
          </w:p>
        </w:tc>
        <w:tc>
          <w:tcPr>
            <w:tcW w:w="1660" w:type="dxa"/>
            <w:tcBorders>
              <w:top w:val="nil"/>
              <w:left w:val="nil"/>
              <w:bottom w:val="single" w:sz="4" w:space="0" w:color="auto"/>
              <w:right w:val="single" w:sz="4" w:space="0" w:color="auto"/>
            </w:tcBorders>
            <w:shd w:val="clear" w:color="auto" w:fill="auto"/>
            <w:noWrap/>
            <w:vAlign w:val="bottom"/>
          </w:tcPr>
          <w:p w14:paraId="4C585361" w14:textId="77777777" w:rsidR="00664118" w:rsidRPr="00A841BB" w:rsidRDefault="00664118" w:rsidP="007E246F">
            <w:pPr>
              <w:jc w:val="right"/>
              <w:rPr>
                <w:rFonts w:ascii="Calibri" w:hAnsi="Calibri" w:cs="Calibri"/>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bottom"/>
          </w:tcPr>
          <w:p w14:paraId="73837D1D" w14:textId="77777777" w:rsidR="00664118" w:rsidRPr="00A841BB" w:rsidRDefault="00664118" w:rsidP="007E246F">
            <w:pPr>
              <w:jc w:val="right"/>
              <w:rPr>
                <w:rFonts w:ascii="Calibri" w:hAnsi="Calibri" w:cs="Calibri"/>
                <w:sz w:val="22"/>
                <w:szCs w:val="22"/>
                <w:lang w:eastAsia="pl-PL"/>
              </w:rPr>
            </w:pPr>
          </w:p>
        </w:tc>
        <w:tc>
          <w:tcPr>
            <w:tcW w:w="1265" w:type="dxa"/>
            <w:tcBorders>
              <w:top w:val="nil"/>
              <w:left w:val="nil"/>
              <w:bottom w:val="single" w:sz="4" w:space="0" w:color="auto"/>
              <w:right w:val="single" w:sz="4" w:space="0" w:color="auto"/>
            </w:tcBorders>
            <w:shd w:val="clear" w:color="auto" w:fill="auto"/>
            <w:noWrap/>
            <w:vAlign w:val="bottom"/>
          </w:tcPr>
          <w:p w14:paraId="1663A950" w14:textId="77777777" w:rsidR="00664118" w:rsidRPr="00A841BB" w:rsidRDefault="00664118" w:rsidP="007E246F">
            <w:pPr>
              <w:jc w:val="right"/>
              <w:rPr>
                <w:rFonts w:ascii="Calibri" w:hAnsi="Calibri" w:cs="Calibri"/>
                <w:sz w:val="22"/>
                <w:szCs w:val="22"/>
                <w:lang w:eastAsia="pl-PL"/>
              </w:rPr>
            </w:pPr>
          </w:p>
        </w:tc>
        <w:tc>
          <w:tcPr>
            <w:tcW w:w="2332" w:type="dxa"/>
            <w:tcBorders>
              <w:top w:val="nil"/>
              <w:left w:val="nil"/>
              <w:bottom w:val="single" w:sz="4" w:space="0" w:color="auto"/>
              <w:right w:val="single" w:sz="4" w:space="0" w:color="auto"/>
            </w:tcBorders>
            <w:shd w:val="clear" w:color="auto" w:fill="auto"/>
            <w:noWrap/>
            <w:vAlign w:val="bottom"/>
          </w:tcPr>
          <w:p w14:paraId="08632B92" w14:textId="77777777" w:rsidR="00664118" w:rsidRPr="00A841BB" w:rsidRDefault="00664118" w:rsidP="007E246F">
            <w:pPr>
              <w:jc w:val="right"/>
              <w:rPr>
                <w:rFonts w:ascii="Calibri" w:hAnsi="Calibri" w:cs="Calibri"/>
                <w:sz w:val="22"/>
                <w:szCs w:val="22"/>
                <w:lang w:eastAsia="pl-PL"/>
              </w:rPr>
            </w:pPr>
          </w:p>
        </w:tc>
      </w:tr>
      <w:tr w:rsidR="00664118" w:rsidRPr="00A841BB" w14:paraId="0CBFA7B8" w14:textId="77777777" w:rsidTr="00CF0979">
        <w:trPr>
          <w:trHeight w:val="4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AF414" w14:textId="77777777" w:rsidR="00664118" w:rsidRPr="00A841BB" w:rsidRDefault="00664118" w:rsidP="007E246F">
            <w:pPr>
              <w:rPr>
                <w:rFonts w:ascii="Calibri" w:hAnsi="Calibri" w:cs="Calibri"/>
                <w:i/>
                <w:sz w:val="22"/>
                <w:szCs w:val="22"/>
                <w:lang w:eastAsia="pl-PL"/>
              </w:rPr>
            </w:pPr>
          </w:p>
        </w:tc>
        <w:tc>
          <w:tcPr>
            <w:tcW w:w="1445" w:type="dxa"/>
            <w:tcBorders>
              <w:top w:val="single" w:sz="4" w:space="0" w:color="auto"/>
              <w:left w:val="nil"/>
              <w:bottom w:val="single" w:sz="4" w:space="0" w:color="auto"/>
              <w:right w:val="single" w:sz="4" w:space="0" w:color="auto"/>
            </w:tcBorders>
            <w:shd w:val="clear" w:color="auto" w:fill="auto"/>
            <w:vAlign w:val="bottom"/>
          </w:tcPr>
          <w:p w14:paraId="6B5292E8" w14:textId="77777777" w:rsidR="00664118" w:rsidRPr="00A841BB" w:rsidRDefault="00664118" w:rsidP="007E246F">
            <w:pPr>
              <w:rPr>
                <w:rFonts w:ascii="Calibri" w:hAnsi="Calibri" w:cs="Calibri"/>
                <w:sz w:val="22"/>
                <w:szCs w:val="22"/>
                <w:lang w:eastAsia="pl-PL"/>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9DAC0FF" w14:textId="77777777" w:rsidR="00664118" w:rsidRPr="00A841BB" w:rsidRDefault="00664118" w:rsidP="007E246F">
            <w:pPr>
              <w:jc w:val="right"/>
              <w:rPr>
                <w:rFonts w:ascii="Calibri" w:hAnsi="Calibri" w:cs="Calibri"/>
                <w:sz w:val="22"/>
                <w:szCs w:val="22"/>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382AD413" w14:textId="77777777" w:rsidR="00664118" w:rsidRPr="00A841BB" w:rsidRDefault="00664118" w:rsidP="007E246F">
            <w:pPr>
              <w:jc w:val="right"/>
              <w:rPr>
                <w:rFonts w:ascii="Calibri" w:hAnsi="Calibri" w:cs="Calibri"/>
                <w:sz w:val="22"/>
                <w:szCs w:val="22"/>
                <w:lang w:eastAsia="pl-PL"/>
              </w:rPr>
            </w:pP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5E16A3C8" w14:textId="77777777" w:rsidR="00664118" w:rsidRPr="00A841BB" w:rsidRDefault="00664118" w:rsidP="007E246F">
            <w:pPr>
              <w:jc w:val="right"/>
              <w:rPr>
                <w:rFonts w:ascii="Calibri" w:hAnsi="Calibri" w:cs="Calibri"/>
                <w:sz w:val="22"/>
                <w:szCs w:val="22"/>
                <w:lang w:eastAsia="pl-PL"/>
              </w:rPr>
            </w:pPr>
          </w:p>
        </w:tc>
        <w:tc>
          <w:tcPr>
            <w:tcW w:w="2332" w:type="dxa"/>
            <w:tcBorders>
              <w:top w:val="single" w:sz="4" w:space="0" w:color="auto"/>
              <w:left w:val="nil"/>
              <w:bottom w:val="single" w:sz="4" w:space="0" w:color="auto"/>
              <w:right w:val="single" w:sz="4" w:space="0" w:color="auto"/>
            </w:tcBorders>
            <w:shd w:val="clear" w:color="auto" w:fill="auto"/>
            <w:noWrap/>
            <w:vAlign w:val="bottom"/>
          </w:tcPr>
          <w:p w14:paraId="2596296B" w14:textId="77777777" w:rsidR="00664118" w:rsidRPr="00A841BB" w:rsidRDefault="00664118" w:rsidP="007E246F">
            <w:pPr>
              <w:jc w:val="right"/>
              <w:rPr>
                <w:rFonts w:ascii="Calibri" w:hAnsi="Calibri" w:cs="Calibri"/>
                <w:sz w:val="22"/>
                <w:szCs w:val="22"/>
                <w:lang w:eastAsia="pl-PL"/>
              </w:rPr>
            </w:pPr>
          </w:p>
        </w:tc>
      </w:tr>
    </w:tbl>
    <w:p w14:paraId="2F91FA03" w14:textId="77777777" w:rsidR="00566E59" w:rsidRDefault="00566E59" w:rsidP="00566E59">
      <w:pPr>
        <w:pStyle w:val="Akapitzlist"/>
        <w:spacing w:after="240" w:line="300" w:lineRule="auto"/>
        <w:ind w:left="1140"/>
        <w:rPr>
          <w:rFonts w:asciiTheme="minorHAnsi" w:hAnsiTheme="minorHAnsi" w:cstheme="minorHAnsi"/>
          <w:sz w:val="22"/>
          <w:szCs w:val="22"/>
        </w:rPr>
      </w:pPr>
      <w:r>
        <w:rPr>
          <w:rFonts w:asciiTheme="minorHAnsi" w:hAnsiTheme="minorHAnsi" w:cstheme="minorHAnsi"/>
          <w:sz w:val="22"/>
          <w:szCs w:val="22"/>
        </w:rPr>
        <w:lastRenderedPageBreak/>
        <w:t>Nie wystąpiły korekty bilansu otwarcia.</w:t>
      </w:r>
    </w:p>
    <w:p w14:paraId="0E311976" w14:textId="5F3A5D82" w:rsidR="002168DB" w:rsidRPr="00270F10" w:rsidRDefault="002168DB" w:rsidP="00270F10">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Przyszłe zobowiązania z tytułu wypłaty  odszkodowań za grunty stanowiące własność Skarbu Państwa</w:t>
      </w:r>
    </w:p>
    <w:p w14:paraId="0CAA8B94" w14:textId="3B8ED652" w:rsidR="002168DB" w:rsidRPr="00105875" w:rsidRDefault="002168DB" w:rsidP="008D58D1">
      <w:pPr>
        <w:spacing w:after="240" w:line="300" w:lineRule="auto"/>
        <w:ind w:left="992"/>
        <w:rPr>
          <w:rFonts w:asciiTheme="minorHAnsi" w:hAnsiTheme="minorHAnsi" w:cstheme="minorHAnsi"/>
          <w:color w:val="1F497D"/>
          <w:sz w:val="22"/>
          <w:szCs w:val="22"/>
          <w:highlight w:val="yellow"/>
        </w:rPr>
      </w:pPr>
      <w:r w:rsidRPr="00105875">
        <w:rPr>
          <w:rFonts w:asciiTheme="minorHAnsi" w:hAnsiTheme="minorHAnsi" w:cstheme="minorHAnsi"/>
          <w:sz w:val="22"/>
          <w:szCs w:val="22"/>
        </w:rPr>
        <w:t>Kwota ewentualnych przyszłych zobowiązań z tytułu wypłaty odszkodowań za</w:t>
      </w:r>
      <w:r>
        <w:rPr>
          <w:rFonts w:asciiTheme="minorHAnsi" w:hAnsiTheme="minorHAnsi" w:cstheme="minorHAnsi"/>
          <w:sz w:val="22"/>
          <w:szCs w:val="22"/>
        </w:rPr>
        <w:t xml:space="preserve"> </w:t>
      </w:r>
      <w:r w:rsidRPr="00105875">
        <w:rPr>
          <w:rFonts w:asciiTheme="minorHAnsi" w:hAnsiTheme="minorHAnsi" w:cstheme="minorHAnsi"/>
          <w:sz w:val="22"/>
          <w:szCs w:val="22"/>
        </w:rPr>
        <w:t xml:space="preserve">grunty stanowiące własność Skarbu Państwa ujęta została w ewidencji </w:t>
      </w:r>
      <w:r>
        <w:rPr>
          <w:rFonts w:asciiTheme="minorHAnsi" w:hAnsiTheme="minorHAnsi" w:cstheme="minorHAnsi"/>
          <w:sz w:val="22"/>
          <w:szCs w:val="22"/>
        </w:rPr>
        <w:br/>
        <w:t xml:space="preserve"> </w:t>
      </w:r>
      <w:r w:rsidRPr="00105875">
        <w:rPr>
          <w:rFonts w:asciiTheme="minorHAnsi" w:hAnsiTheme="minorHAnsi" w:cstheme="minorHAnsi"/>
          <w:sz w:val="22"/>
          <w:szCs w:val="22"/>
        </w:rPr>
        <w:t xml:space="preserve">pozabilansowej i wg. stanu na koniec </w:t>
      </w:r>
      <w:r w:rsidR="00C9064B" w:rsidRPr="00105875">
        <w:rPr>
          <w:rFonts w:asciiTheme="minorHAnsi" w:hAnsiTheme="minorHAnsi" w:cstheme="minorHAnsi"/>
          <w:sz w:val="22"/>
          <w:szCs w:val="22"/>
        </w:rPr>
        <w:t>202</w:t>
      </w:r>
      <w:r w:rsidR="00C9064B">
        <w:rPr>
          <w:rFonts w:asciiTheme="minorHAnsi" w:hAnsiTheme="minorHAnsi" w:cstheme="minorHAnsi"/>
          <w:sz w:val="22"/>
          <w:szCs w:val="22"/>
        </w:rPr>
        <w:t>2</w:t>
      </w:r>
      <w:r w:rsidR="00C9064B" w:rsidRPr="00105875">
        <w:rPr>
          <w:rFonts w:asciiTheme="minorHAnsi" w:hAnsiTheme="minorHAnsi" w:cstheme="minorHAnsi"/>
          <w:sz w:val="22"/>
          <w:szCs w:val="22"/>
        </w:rPr>
        <w:t xml:space="preserve"> </w:t>
      </w:r>
      <w:r w:rsidRPr="00105875">
        <w:rPr>
          <w:rFonts w:asciiTheme="minorHAnsi" w:hAnsiTheme="minorHAnsi" w:cstheme="minorHAnsi"/>
          <w:sz w:val="22"/>
          <w:szCs w:val="22"/>
        </w:rPr>
        <w:t>r. wynosi   50.</w:t>
      </w:r>
      <w:r w:rsidR="00C9064B">
        <w:rPr>
          <w:rFonts w:asciiTheme="minorHAnsi" w:hAnsiTheme="minorHAnsi" w:cstheme="minorHAnsi"/>
          <w:sz w:val="22"/>
          <w:szCs w:val="22"/>
        </w:rPr>
        <w:t>429.401,04</w:t>
      </w:r>
      <w:r w:rsidRPr="00105875">
        <w:rPr>
          <w:rFonts w:asciiTheme="minorHAnsi" w:hAnsiTheme="minorHAnsi" w:cstheme="minorHAnsi"/>
          <w:color w:val="1F497D"/>
          <w:sz w:val="22"/>
          <w:szCs w:val="22"/>
        </w:rPr>
        <w:t xml:space="preserve"> </w:t>
      </w:r>
      <w:r w:rsidRPr="00105875">
        <w:rPr>
          <w:rFonts w:asciiTheme="minorHAnsi" w:hAnsiTheme="minorHAnsi" w:cstheme="minorHAnsi"/>
          <w:sz w:val="22"/>
          <w:szCs w:val="22"/>
        </w:rPr>
        <w:t xml:space="preserve">zł. </w:t>
      </w:r>
    </w:p>
    <w:p w14:paraId="05B959BA" w14:textId="687A35FD" w:rsidR="002168DB" w:rsidRDefault="002168DB" w:rsidP="00490744">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 xml:space="preserve">Wypłata wyżej wskazanych odszkodowań  realizowana jest przez Prezydenta m.st. </w:t>
      </w:r>
      <w:r>
        <w:rPr>
          <w:rFonts w:asciiTheme="minorHAnsi" w:hAnsiTheme="minorHAnsi" w:cstheme="minorHAnsi"/>
          <w:sz w:val="22"/>
          <w:szCs w:val="22"/>
        </w:rPr>
        <w:br/>
      </w:r>
      <w:r w:rsidRPr="00105875">
        <w:rPr>
          <w:rFonts w:asciiTheme="minorHAnsi" w:hAnsiTheme="minorHAnsi" w:cstheme="minorHAnsi"/>
          <w:sz w:val="22"/>
          <w:szCs w:val="22"/>
        </w:rPr>
        <w:t xml:space="preserve">Warszawy wykonującego te obowiązki jako zadania zlecone z zakresu administracji </w:t>
      </w:r>
      <w:r>
        <w:rPr>
          <w:rFonts w:asciiTheme="minorHAnsi" w:hAnsiTheme="minorHAnsi" w:cstheme="minorHAnsi"/>
          <w:sz w:val="22"/>
          <w:szCs w:val="22"/>
        </w:rPr>
        <w:br/>
      </w:r>
      <w:r w:rsidRPr="00105875">
        <w:rPr>
          <w:rFonts w:asciiTheme="minorHAnsi" w:hAnsiTheme="minorHAnsi" w:cstheme="minorHAnsi"/>
          <w:sz w:val="22"/>
          <w:szCs w:val="22"/>
        </w:rPr>
        <w:t xml:space="preserve">rządowej, na które m.st. Warszawy otrzymuje środki finansowe zgodnie z przepisami </w:t>
      </w:r>
      <w:r>
        <w:rPr>
          <w:rFonts w:asciiTheme="minorHAnsi" w:hAnsiTheme="minorHAnsi" w:cstheme="minorHAnsi"/>
          <w:sz w:val="22"/>
          <w:szCs w:val="22"/>
        </w:rPr>
        <w:br/>
      </w:r>
      <w:r w:rsidRPr="00105875">
        <w:rPr>
          <w:rFonts w:asciiTheme="minorHAnsi" w:hAnsiTheme="minorHAnsi" w:cstheme="minorHAnsi"/>
          <w:sz w:val="22"/>
          <w:szCs w:val="22"/>
        </w:rPr>
        <w:t>prawa jako dotację celową z budżetu państwa, w części której dysponentem jest</w:t>
      </w:r>
      <w:r>
        <w:rPr>
          <w:rFonts w:asciiTheme="minorHAnsi" w:hAnsiTheme="minorHAnsi" w:cstheme="minorHAnsi"/>
          <w:sz w:val="22"/>
          <w:szCs w:val="22"/>
        </w:rPr>
        <w:br/>
      </w:r>
      <w:r w:rsidRPr="00105875">
        <w:rPr>
          <w:rFonts w:asciiTheme="minorHAnsi" w:hAnsiTheme="minorHAnsi" w:cstheme="minorHAnsi"/>
          <w:sz w:val="22"/>
          <w:szCs w:val="22"/>
        </w:rPr>
        <w:t xml:space="preserve">Wojewoda Mazowiecki. </w:t>
      </w:r>
    </w:p>
    <w:p w14:paraId="32B3E773" w14:textId="4FE25D95" w:rsidR="002168DB" w:rsidRPr="00270F10" w:rsidRDefault="002168DB" w:rsidP="00270F10">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Podatki</w:t>
      </w:r>
    </w:p>
    <w:p w14:paraId="3AC2E711" w14:textId="3D220C31" w:rsidR="002168DB" w:rsidRPr="00404BA8" w:rsidRDefault="002168DB" w:rsidP="00490744">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Począwszy od dnia 1 lipca 2018 r</w:t>
      </w:r>
      <w:r w:rsidRPr="00404BA8">
        <w:rPr>
          <w:rFonts w:asciiTheme="minorHAnsi" w:hAnsiTheme="minorHAnsi" w:cstheme="minorHAnsi"/>
          <w:sz w:val="22"/>
          <w:szCs w:val="22"/>
        </w:rPr>
        <w:t xml:space="preserve">., stosownie do treści art. 108a ust. 1 ustawy z dnia 11 marca 2004 r. o podatku od towarów i usług </w:t>
      </w:r>
      <w:r w:rsidR="00404BA8" w:rsidRPr="00404BA8">
        <w:rPr>
          <w:rFonts w:asciiTheme="minorHAnsi" w:hAnsiTheme="minorHAnsi" w:cstheme="minorHAnsi"/>
          <w:sz w:val="22"/>
          <w:szCs w:val="22"/>
        </w:rPr>
        <w:t xml:space="preserve">(Dz. U. z 2021 r. poz. 685 z </w:t>
      </w:r>
      <w:proofErr w:type="spellStart"/>
      <w:r w:rsidR="00404BA8" w:rsidRPr="00404BA8">
        <w:rPr>
          <w:rFonts w:asciiTheme="minorHAnsi" w:hAnsiTheme="minorHAnsi" w:cstheme="minorHAnsi"/>
          <w:sz w:val="22"/>
          <w:szCs w:val="22"/>
        </w:rPr>
        <w:t>późn</w:t>
      </w:r>
      <w:proofErr w:type="spellEnd"/>
      <w:r w:rsidR="00404BA8" w:rsidRPr="00404BA8">
        <w:rPr>
          <w:rFonts w:asciiTheme="minorHAnsi" w:hAnsiTheme="minorHAnsi" w:cstheme="minorHAnsi"/>
          <w:sz w:val="22"/>
          <w:szCs w:val="22"/>
        </w:rPr>
        <w:t xml:space="preserve">. zm.), </w:t>
      </w:r>
      <w:r w:rsidRPr="00404BA8">
        <w:rPr>
          <w:rFonts w:asciiTheme="minorHAnsi" w:hAnsiTheme="minorHAnsi" w:cstheme="minorHAnsi"/>
          <w:sz w:val="22"/>
          <w:szCs w:val="22"/>
        </w:rPr>
        <w:t>wszystkie zobowiązania wynikające z faktur wystawionych na m.st.</w:t>
      </w:r>
      <w:r w:rsidR="00133CE9" w:rsidRPr="00404BA8">
        <w:rPr>
          <w:rFonts w:asciiTheme="minorHAnsi" w:hAnsiTheme="minorHAnsi" w:cstheme="minorHAnsi"/>
          <w:sz w:val="22"/>
          <w:szCs w:val="22"/>
        </w:rPr>
        <w:t xml:space="preserve"> </w:t>
      </w:r>
      <w:r w:rsidRPr="00404BA8">
        <w:rPr>
          <w:rFonts w:asciiTheme="minorHAnsi" w:hAnsiTheme="minorHAnsi" w:cstheme="minorHAnsi"/>
          <w:sz w:val="22"/>
          <w:szCs w:val="22"/>
        </w:rPr>
        <w:t>Warszawa, co</w:t>
      </w:r>
      <w:r w:rsidRPr="00105875">
        <w:rPr>
          <w:rFonts w:asciiTheme="minorHAnsi" w:hAnsiTheme="minorHAnsi" w:cstheme="minorHAnsi"/>
          <w:sz w:val="22"/>
          <w:szCs w:val="22"/>
        </w:rPr>
        <w:t xml:space="preserve"> do zasady,  regulowane s</w:t>
      </w:r>
      <w:r w:rsidR="00133CE9">
        <w:rPr>
          <w:rFonts w:asciiTheme="minorHAnsi" w:hAnsiTheme="minorHAnsi" w:cstheme="minorHAnsi"/>
          <w:sz w:val="22"/>
          <w:szCs w:val="22"/>
        </w:rPr>
        <w:t>ą z wykorzystaniem mechanizmu</w:t>
      </w:r>
      <w:r w:rsidRPr="00105875">
        <w:rPr>
          <w:rFonts w:asciiTheme="minorHAnsi" w:hAnsiTheme="minorHAnsi" w:cstheme="minorHAnsi"/>
          <w:sz w:val="22"/>
          <w:szCs w:val="22"/>
        </w:rPr>
        <w:t xml:space="preserve"> podzielonej płatności (</w:t>
      </w:r>
      <w:proofErr w:type="spellStart"/>
      <w:r w:rsidRPr="00105875">
        <w:rPr>
          <w:rFonts w:asciiTheme="minorHAnsi" w:hAnsiTheme="minorHAnsi" w:cstheme="minorHAnsi"/>
          <w:sz w:val="22"/>
          <w:szCs w:val="22"/>
        </w:rPr>
        <w:t>mpp</w:t>
      </w:r>
      <w:proofErr w:type="spellEnd"/>
      <w:r w:rsidRPr="00105875">
        <w:rPr>
          <w:rFonts w:asciiTheme="minorHAnsi" w:hAnsiTheme="minorHAnsi" w:cstheme="minorHAnsi"/>
          <w:sz w:val="22"/>
          <w:szCs w:val="22"/>
        </w:rPr>
        <w:t>).   Począwszy od 1 wrze</w:t>
      </w:r>
      <w:r w:rsidR="00133CE9">
        <w:rPr>
          <w:rFonts w:asciiTheme="minorHAnsi" w:hAnsiTheme="minorHAnsi" w:cstheme="minorHAnsi"/>
          <w:sz w:val="22"/>
          <w:szCs w:val="22"/>
        </w:rPr>
        <w:t xml:space="preserve">śnia 2019 r. wdrożono procedurę </w:t>
      </w:r>
      <w:r w:rsidRPr="00105875">
        <w:rPr>
          <w:rFonts w:asciiTheme="minorHAnsi" w:hAnsiTheme="minorHAnsi" w:cstheme="minorHAnsi"/>
          <w:sz w:val="22"/>
          <w:szCs w:val="22"/>
        </w:rPr>
        <w:t>weryfikacji</w:t>
      </w:r>
      <w:r w:rsidR="00133CE9">
        <w:rPr>
          <w:rFonts w:asciiTheme="minorHAnsi" w:hAnsiTheme="minorHAnsi" w:cstheme="minorHAnsi"/>
          <w:sz w:val="22"/>
          <w:szCs w:val="22"/>
        </w:rPr>
        <w:t xml:space="preserve"> kontrahentów </w:t>
      </w:r>
      <w:r w:rsidRPr="00105875">
        <w:rPr>
          <w:rFonts w:asciiTheme="minorHAnsi" w:hAnsiTheme="minorHAnsi" w:cstheme="minorHAnsi"/>
          <w:sz w:val="22"/>
          <w:szCs w:val="22"/>
        </w:rPr>
        <w:t>na tzw. „białej liście podatników”</w:t>
      </w:r>
      <w:r w:rsidR="00133CE9">
        <w:rPr>
          <w:rFonts w:asciiTheme="minorHAnsi" w:hAnsiTheme="minorHAnsi" w:cstheme="minorHAnsi"/>
          <w:sz w:val="22"/>
          <w:szCs w:val="22"/>
        </w:rPr>
        <w:t xml:space="preserve">. </w:t>
      </w:r>
      <w:r w:rsidRPr="00105875">
        <w:rPr>
          <w:rFonts w:asciiTheme="minorHAnsi" w:hAnsiTheme="minorHAnsi" w:cstheme="minorHAnsi"/>
          <w:sz w:val="22"/>
          <w:szCs w:val="22"/>
        </w:rPr>
        <w:t>Od 1 listopada 2019 r. wdrożono procedurę sto</w:t>
      </w:r>
      <w:r w:rsidR="00133CE9">
        <w:rPr>
          <w:rFonts w:asciiTheme="minorHAnsi" w:hAnsiTheme="minorHAnsi" w:cstheme="minorHAnsi"/>
          <w:sz w:val="22"/>
          <w:szCs w:val="22"/>
        </w:rPr>
        <w:t>sowania obowiązkowego (</w:t>
      </w:r>
      <w:proofErr w:type="spellStart"/>
      <w:r w:rsidR="00133CE9">
        <w:rPr>
          <w:rFonts w:asciiTheme="minorHAnsi" w:hAnsiTheme="minorHAnsi" w:cstheme="minorHAnsi"/>
          <w:sz w:val="22"/>
          <w:szCs w:val="22"/>
        </w:rPr>
        <w:t>mpp</w:t>
      </w:r>
      <w:proofErr w:type="spellEnd"/>
      <w:r w:rsidR="00133CE9">
        <w:rPr>
          <w:rFonts w:asciiTheme="minorHAnsi" w:hAnsiTheme="minorHAnsi" w:cstheme="minorHAnsi"/>
          <w:sz w:val="22"/>
          <w:szCs w:val="22"/>
        </w:rPr>
        <w:t>) dla</w:t>
      </w:r>
      <w:r w:rsidRPr="00105875">
        <w:rPr>
          <w:rFonts w:asciiTheme="minorHAnsi" w:hAnsiTheme="minorHAnsi" w:cstheme="minorHAnsi"/>
          <w:sz w:val="22"/>
          <w:szCs w:val="22"/>
        </w:rPr>
        <w:t xml:space="preserve"> towarów wymienionych w załączniku nr 15 do w</w:t>
      </w:r>
      <w:r w:rsidR="00133CE9">
        <w:rPr>
          <w:rFonts w:asciiTheme="minorHAnsi" w:hAnsiTheme="minorHAnsi" w:cstheme="minorHAnsi"/>
          <w:sz w:val="22"/>
          <w:szCs w:val="22"/>
        </w:rPr>
        <w:t xml:space="preserve">w. ustawy o podatku od towarów </w:t>
      </w:r>
      <w:r w:rsidRPr="00105875">
        <w:rPr>
          <w:rFonts w:asciiTheme="minorHAnsi" w:hAnsiTheme="minorHAnsi" w:cstheme="minorHAnsi"/>
          <w:sz w:val="22"/>
          <w:szCs w:val="22"/>
        </w:rPr>
        <w:t>usług.</w:t>
      </w:r>
    </w:p>
    <w:p w14:paraId="7BE19724" w14:textId="41BFE7D9" w:rsidR="009E20F9" w:rsidRDefault="002168DB" w:rsidP="00E92E6B">
      <w:pPr>
        <w:spacing w:after="240" w:line="300" w:lineRule="auto"/>
        <w:ind w:left="992"/>
        <w:rPr>
          <w:rFonts w:asciiTheme="minorHAnsi" w:hAnsiTheme="minorHAnsi" w:cstheme="minorHAnsi"/>
          <w:color w:val="000000"/>
          <w:sz w:val="22"/>
          <w:szCs w:val="22"/>
          <w:lang w:eastAsia="pl-PL"/>
        </w:rPr>
      </w:pPr>
      <w:r w:rsidRPr="00105875">
        <w:rPr>
          <w:rFonts w:asciiTheme="minorHAnsi" w:hAnsiTheme="minorHAnsi" w:cstheme="minorHAnsi"/>
          <w:color w:val="000000"/>
          <w:sz w:val="22"/>
          <w:szCs w:val="22"/>
          <w:lang w:eastAsia="pl-PL"/>
        </w:rPr>
        <w:t xml:space="preserve">W związku z nowelizacją ww. ustawy z dnia 11 marca 2004 r. o podatku od towarów i usług oraz wejściem w życie rozporządzenia Ministra Finansów, Inwestycji i Rozwoju z 15 października 2019 r. w sprawie szczegółowego zakresu danych zawartych w deklaracjach podatkowych i w ewidencji w zakresie podatku od towarów i usług </w:t>
      </w:r>
      <w:r w:rsidRPr="00404BA8">
        <w:rPr>
          <w:rFonts w:asciiTheme="minorHAnsi" w:hAnsiTheme="minorHAnsi" w:cstheme="minorHAnsi"/>
          <w:color w:val="000000"/>
          <w:sz w:val="22"/>
          <w:szCs w:val="22"/>
          <w:lang w:eastAsia="pl-PL"/>
        </w:rPr>
        <w:t>(Dz. U. z 2019 poz. 1988), z dniem 1 października 2020 r. wdrożono nową strukturę, że JPK_V7M, łącząca w sobie część deklaracyjną oraz ewidencyjną i zastępującą dotychczas składaną deklarację</w:t>
      </w:r>
      <w:r w:rsidRPr="00105875">
        <w:rPr>
          <w:rFonts w:asciiTheme="minorHAnsi" w:hAnsiTheme="minorHAnsi" w:cstheme="minorHAnsi"/>
          <w:color w:val="000000"/>
          <w:sz w:val="22"/>
          <w:szCs w:val="22"/>
          <w:lang w:eastAsia="pl-PL"/>
        </w:rPr>
        <w:t xml:space="preserve"> VAT-7 i plik JPK_VAT.</w:t>
      </w:r>
    </w:p>
    <w:p w14:paraId="62274B2B" w14:textId="3CADB7C4" w:rsidR="002168DB" w:rsidRPr="00D71C3E" w:rsidRDefault="002168DB" w:rsidP="00E92E6B">
      <w:pPr>
        <w:spacing w:after="240" w:line="300" w:lineRule="auto"/>
        <w:ind w:left="992"/>
        <w:rPr>
          <w:rFonts w:asciiTheme="minorHAnsi" w:hAnsiTheme="minorHAnsi" w:cstheme="minorHAnsi"/>
          <w:bCs/>
          <w:color w:val="FF0000"/>
          <w:sz w:val="22"/>
          <w:szCs w:val="22"/>
          <w:lang w:eastAsia="pl-PL"/>
        </w:rPr>
      </w:pPr>
      <w:r w:rsidRPr="00105875">
        <w:rPr>
          <w:rFonts w:asciiTheme="minorHAnsi" w:hAnsiTheme="minorHAnsi" w:cstheme="minorHAnsi"/>
          <w:sz w:val="22"/>
          <w:szCs w:val="22"/>
        </w:rPr>
        <w:t>Zgodnie z przyjętymi założeniami, stosownie do treści Aktu Założycielskiego  oraz zawartej umowy wykonawczej Miejskie Przedsiębiorstwo Oczyszczania</w:t>
      </w:r>
      <w:r w:rsidR="00D862E5">
        <w:rPr>
          <w:rFonts w:asciiTheme="minorHAnsi" w:hAnsiTheme="minorHAnsi" w:cstheme="minorHAnsi"/>
          <w:sz w:val="22"/>
          <w:szCs w:val="22"/>
        </w:rPr>
        <w:t xml:space="preserve"> </w:t>
      </w:r>
      <w:r w:rsidRPr="00105875">
        <w:rPr>
          <w:rFonts w:asciiTheme="minorHAnsi" w:hAnsiTheme="minorHAnsi" w:cstheme="minorHAnsi"/>
          <w:sz w:val="22"/>
          <w:szCs w:val="22"/>
        </w:rPr>
        <w:t xml:space="preserve"> w m.st. Warszawie Spółka z o.o. (MPO) otrzymuje, z tytułu rekompensaty za realizację powierzonych zadań, dopłaty w trybie art. 177 i 178 Kodeksu spółek handlowych. Kwota dopłat wniesionych przez m.s</w:t>
      </w:r>
      <w:r w:rsidR="00227A10">
        <w:rPr>
          <w:rFonts w:asciiTheme="minorHAnsi" w:hAnsiTheme="minorHAnsi" w:cstheme="minorHAnsi"/>
          <w:sz w:val="22"/>
          <w:szCs w:val="22"/>
        </w:rPr>
        <w:t>t. Warszawa do spółki MPO w 2022</w:t>
      </w:r>
      <w:r w:rsidRPr="00105875">
        <w:rPr>
          <w:rFonts w:asciiTheme="minorHAnsi" w:hAnsiTheme="minorHAnsi" w:cstheme="minorHAnsi"/>
          <w:sz w:val="22"/>
          <w:szCs w:val="22"/>
        </w:rPr>
        <w:t xml:space="preserve"> roku wyniosła </w:t>
      </w:r>
      <w:r w:rsidR="00204611">
        <w:rPr>
          <w:rFonts w:asciiTheme="minorHAnsi" w:hAnsiTheme="minorHAnsi" w:cstheme="minorHAnsi"/>
          <w:sz w:val="22"/>
          <w:szCs w:val="22"/>
        </w:rPr>
        <w:t xml:space="preserve"> 437.225.313,85 zł. </w:t>
      </w:r>
      <w:r w:rsidRPr="00105875">
        <w:rPr>
          <w:rFonts w:asciiTheme="minorHAnsi" w:hAnsiTheme="minorHAnsi" w:cstheme="minorHAnsi"/>
          <w:sz w:val="22"/>
          <w:szCs w:val="22"/>
        </w:rPr>
        <w:t>Dopłaty co do zasady nie podlegają opodatkowaniu VAT. W dniu 17</w:t>
      </w:r>
      <w:r w:rsidR="00F94657">
        <w:rPr>
          <w:rFonts w:asciiTheme="minorHAnsi" w:hAnsiTheme="minorHAnsi" w:cstheme="minorHAnsi"/>
          <w:sz w:val="22"/>
          <w:szCs w:val="22"/>
        </w:rPr>
        <w:t xml:space="preserve"> lipca </w:t>
      </w:r>
      <w:r w:rsidRPr="00105875">
        <w:rPr>
          <w:rFonts w:asciiTheme="minorHAnsi" w:hAnsiTheme="minorHAnsi" w:cstheme="minorHAnsi"/>
          <w:sz w:val="22"/>
          <w:szCs w:val="22"/>
        </w:rPr>
        <w:t xml:space="preserve">2018 r. MPO wystąpiło z wnioskiem </w:t>
      </w:r>
      <w:r w:rsidRPr="00105875">
        <w:rPr>
          <w:rFonts w:asciiTheme="minorHAnsi" w:hAnsiTheme="minorHAnsi" w:cstheme="minorHAnsi"/>
          <w:sz w:val="22"/>
          <w:szCs w:val="22"/>
        </w:rPr>
        <w:lastRenderedPageBreak/>
        <w:t>ORD-IN uznając otrzymywane dopłaty za niepodlegające  opodatkowaniu. W interpretacji indywidualnej nr 0114-KDIP4.454.2018.AKO z dnia 16</w:t>
      </w:r>
      <w:r w:rsidR="00F94657">
        <w:rPr>
          <w:rFonts w:asciiTheme="minorHAnsi" w:hAnsiTheme="minorHAnsi" w:cstheme="minorHAnsi"/>
          <w:sz w:val="22"/>
          <w:szCs w:val="22"/>
        </w:rPr>
        <w:t xml:space="preserve"> października </w:t>
      </w:r>
      <w:r w:rsidRPr="00105875">
        <w:rPr>
          <w:rFonts w:asciiTheme="minorHAnsi" w:hAnsiTheme="minorHAnsi" w:cstheme="minorHAnsi"/>
          <w:sz w:val="22"/>
          <w:szCs w:val="22"/>
        </w:rPr>
        <w:t xml:space="preserve">2018 r. </w:t>
      </w:r>
      <w:r w:rsidR="009E20F9">
        <w:rPr>
          <w:rFonts w:asciiTheme="minorHAnsi" w:hAnsiTheme="minorHAnsi" w:cstheme="minorHAnsi"/>
          <w:sz w:val="22"/>
          <w:szCs w:val="22"/>
        </w:rPr>
        <w:t>Dyrektor Krajowej Informacji Skarbowej</w:t>
      </w:r>
      <w:r w:rsidRPr="00105875">
        <w:rPr>
          <w:rFonts w:asciiTheme="minorHAnsi" w:hAnsiTheme="minorHAnsi" w:cstheme="minorHAnsi"/>
          <w:sz w:val="22"/>
          <w:szCs w:val="22"/>
        </w:rPr>
        <w:t xml:space="preserve">  zaprezentował stanowisko, zgodnie z którym dopłaty uznane zostały za wynagrodzenie za świadczone usługi na rzecz Miasta podlegające opodatkowaniu podatkiem VAT. Na powyższą interpretację w dniu 16</w:t>
      </w:r>
      <w:r w:rsidR="00F94657">
        <w:rPr>
          <w:rFonts w:asciiTheme="minorHAnsi" w:hAnsiTheme="minorHAnsi" w:cstheme="minorHAnsi"/>
          <w:sz w:val="22"/>
          <w:szCs w:val="22"/>
        </w:rPr>
        <w:t xml:space="preserve"> listopada </w:t>
      </w:r>
      <w:r w:rsidRPr="00105875">
        <w:rPr>
          <w:rFonts w:asciiTheme="minorHAnsi" w:hAnsiTheme="minorHAnsi" w:cstheme="minorHAnsi"/>
          <w:sz w:val="22"/>
          <w:szCs w:val="22"/>
        </w:rPr>
        <w:t>2018 r. została złożona skarga do Wojewódzkiego Sądu Administracyjnego (WSA) w Warszawie. W dniu  14</w:t>
      </w:r>
      <w:r w:rsidR="00F94657">
        <w:rPr>
          <w:rFonts w:asciiTheme="minorHAnsi" w:hAnsiTheme="minorHAnsi" w:cstheme="minorHAnsi"/>
          <w:sz w:val="22"/>
          <w:szCs w:val="22"/>
        </w:rPr>
        <w:t xml:space="preserve"> sierpnia </w:t>
      </w:r>
      <w:r w:rsidRPr="00105875">
        <w:rPr>
          <w:rFonts w:asciiTheme="minorHAnsi" w:hAnsiTheme="minorHAnsi" w:cstheme="minorHAnsi"/>
          <w:sz w:val="22"/>
          <w:szCs w:val="22"/>
        </w:rPr>
        <w:t>2019 r. WSA w Warszawie oddalił wniesioną przez MPO skargę.</w:t>
      </w:r>
      <w:r w:rsidR="000D7AB1">
        <w:rPr>
          <w:rFonts w:asciiTheme="minorHAnsi" w:hAnsiTheme="minorHAnsi" w:cstheme="minorHAnsi"/>
          <w:sz w:val="22"/>
          <w:szCs w:val="22"/>
        </w:rPr>
        <w:t xml:space="preserve"> </w:t>
      </w:r>
      <w:r w:rsidRPr="00105875">
        <w:rPr>
          <w:rFonts w:asciiTheme="minorHAnsi" w:hAnsiTheme="minorHAnsi" w:cstheme="minorHAnsi"/>
          <w:sz w:val="22"/>
          <w:szCs w:val="22"/>
        </w:rPr>
        <w:t>Od powyższego wyroku złożona została przez MPO skarga kasac</w:t>
      </w:r>
      <w:r w:rsidR="00404BA8">
        <w:rPr>
          <w:rFonts w:asciiTheme="minorHAnsi" w:hAnsiTheme="minorHAnsi" w:cstheme="minorHAnsi"/>
          <w:sz w:val="22"/>
          <w:szCs w:val="22"/>
        </w:rPr>
        <w:t>yjna</w:t>
      </w:r>
      <w:r w:rsidR="00D862E5">
        <w:rPr>
          <w:rFonts w:asciiTheme="minorHAnsi" w:hAnsiTheme="minorHAnsi" w:cstheme="minorHAnsi"/>
          <w:sz w:val="22"/>
          <w:szCs w:val="22"/>
        </w:rPr>
        <w:t xml:space="preserve"> </w:t>
      </w:r>
      <w:r w:rsidRPr="00105875">
        <w:rPr>
          <w:rFonts w:asciiTheme="minorHAnsi" w:hAnsiTheme="minorHAnsi" w:cstheme="minorHAnsi"/>
          <w:sz w:val="22"/>
          <w:szCs w:val="22"/>
        </w:rPr>
        <w:t>do Naczelnego Sądu Administracyjnego w dniu 27</w:t>
      </w:r>
      <w:r w:rsidR="00F94657">
        <w:rPr>
          <w:rFonts w:asciiTheme="minorHAnsi" w:hAnsiTheme="minorHAnsi" w:cstheme="minorHAnsi"/>
          <w:sz w:val="22"/>
          <w:szCs w:val="22"/>
        </w:rPr>
        <w:t xml:space="preserve"> września </w:t>
      </w:r>
      <w:r w:rsidRPr="00105875">
        <w:rPr>
          <w:rFonts w:asciiTheme="minorHAnsi" w:hAnsiTheme="minorHAnsi" w:cstheme="minorHAnsi"/>
          <w:sz w:val="22"/>
          <w:szCs w:val="22"/>
        </w:rPr>
        <w:t xml:space="preserve">2019 r. </w:t>
      </w:r>
      <w:r w:rsidR="003D2C57" w:rsidRPr="002C3693">
        <w:rPr>
          <w:rFonts w:asciiTheme="minorHAnsi" w:hAnsiTheme="minorHAnsi" w:cstheme="minorHAnsi"/>
          <w:sz w:val="22"/>
          <w:szCs w:val="22"/>
        </w:rPr>
        <w:t>W dniu 8</w:t>
      </w:r>
      <w:r w:rsidR="00F94657" w:rsidRPr="002C3693">
        <w:rPr>
          <w:rFonts w:asciiTheme="minorHAnsi" w:hAnsiTheme="minorHAnsi" w:cstheme="minorHAnsi"/>
          <w:sz w:val="22"/>
          <w:szCs w:val="22"/>
        </w:rPr>
        <w:t xml:space="preserve"> lutego </w:t>
      </w:r>
      <w:r w:rsidR="003D2C57" w:rsidRPr="002C3693">
        <w:rPr>
          <w:rFonts w:asciiTheme="minorHAnsi" w:hAnsiTheme="minorHAnsi" w:cstheme="minorHAnsi"/>
          <w:sz w:val="22"/>
          <w:szCs w:val="22"/>
        </w:rPr>
        <w:t xml:space="preserve">2023 r. Naczelny Sąd Administracyjny oddalił skargę podatnika MPO. </w:t>
      </w:r>
      <w:r w:rsidRPr="002C3693">
        <w:rPr>
          <w:rFonts w:asciiTheme="minorHAnsi" w:hAnsiTheme="minorHAnsi" w:cstheme="minorHAnsi"/>
          <w:sz w:val="22"/>
          <w:szCs w:val="22"/>
        </w:rPr>
        <w:t xml:space="preserve"> </w:t>
      </w:r>
      <w:r w:rsidRPr="00FF6E9E">
        <w:rPr>
          <w:rFonts w:asciiTheme="minorHAnsi" w:hAnsiTheme="minorHAnsi" w:cstheme="minorHAnsi"/>
          <w:sz w:val="22"/>
          <w:szCs w:val="22"/>
        </w:rPr>
        <w:t>W dniu 19</w:t>
      </w:r>
      <w:r w:rsidR="00F94657" w:rsidRPr="00FF6E9E">
        <w:rPr>
          <w:rFonts w:asciiTheme="minorHAnsi" w:hAnsiTheme="minorHAnsi" w:cstheme="minorHAnsi"/>
          <w:sz w:val="22"/>
          <w:szCs w:val="22"/>
        </w:rPr>
        <w:t xml:space="preserve"> kwietnia </w:t>
      </w:r>
      <w:r w:rsidRPr="00FF6E9E">
        <w:rPr>
          <w:rFonts w:asciiTheme="minorHAnsi" w:hAnsiTheme="minorHAnsi" w:cstheme="minorHAnsi"/>
          <w:sz w:val="22"/>
          <w:szCs w:val="22"/>
        </w:rPr>
        <w:t xml:space="preserve">2021 r. MPO złożyło do </w:t>
      </w:r>
      <w:r w:rsidRPr="00F92EA2">
        <w:rPr>
          <w:rFonts w:asciiTheme="minorHAnsi" w:hAnsiTheme="minorHAnsi" w:cstheme="minorHAnsi"/>
          <w:bCs/>
          <w:sz w:val="22"/>
          <w:szCs w:val="22"/>
          <w:lang w:eastAsia="pl-PL"/>
        </w:rPr>
        <w:t>Prezes</w:t>
      </w:r>
      <w:r w:rsidR="00CD2E75">
        <w:rPr>
          <w:rFonts w:asciiTheme="minorHAnsi" w:hAnsiTheme="minorHAnsi" w:cstheme="minorHAnsi"/>
          <w:bCs/>
          <w:sz w:val="22"/>
          <w:szCs w:val="22"/>
          <w:lang w:eastAsia="pl-PL"/>
        </w:rPr>
        <w:t>a</w:t>
      </w:r>
      <w:r w:rsidRPr="00F92EA2">
        <w:rPr>
          <w:rFonts w:asciiTheme="minorHAnsi" w:hAnsiTheme="minorHAnsi" w:cstheme="minorHAnsi"/>
          <w:bCs/>
          <w:sz w:val="22"/>
          <w:szCs w:val="22"/>
          <w:lang w:eastAsia="pl-PL"/>
        </w:rPr>
        <w:t xml:space="preserve"> Naczelnego Sądu Administracyjnego</w:t>
      </w:r>
      <w:r w:rsidRPr="00F92EA2">
        <w:rPr>
          <w:rFonts w:asciiTheme="minorHAnsi" w:hAnsiTheme="minorHAnsi" w:cstheme="minorHAnsi"/>
          <w:b/>
          <w:bCs/>
          <w:sz w:val="22"/>
          <w:szCs w:val="22"/>
          <w:lang w:eastAsia="pl-PL"/>
        </w:rPr>
        <w:t xml:space="preserve"> </w:t>
      </w:r>
      <w:r w:rsidR="000D7AB1" w:rsidRPr="00F92EA2">
        <w:rPr>
          <w:rFonts w:asciiTheme="minorHAnsi" w:hAnsiTheme="minorHAnsi" w:cstheme="minorHAnsi"/>
          <w:bCs/>
          <w:sz w:val="22"/>
          <w:szCs w:val="22"/>
          <w:lang w:eastAsia="pl-PL"/>
        </w:rPr>
        <w:t>wniosek o rozważenie złożenia wniosku o podjęcie uchwały abstrakcyjnej</w:t>
      </w:r>
      <w:r w:rsidRPr="00F92EA2">
        <w:rPr>
          <w:rFonts w:asciiTheme="minorHAnsi" w:hAnsiTheme="minorHAnsi" w:cstheme="minorHAnsi"/>
          <w:bCs/>
          <w:sz w:val="22"/>
          <w:szCs w:val="22"/>
          <w:lang w:eastAsia="pl-PL"/>
        </w:rPr>
        <w:t xml:space="preserve">. Jako uzasadnienie tego wniosku wskazano </w:t>
      </w:r>
      <w:r w:rsidRPr="00F92EA2">
        <w:rPr>
          <w:rFonts w:asciiTheme="minorHAnsi" w:hAnsiTheme="minorHAnsi" w:cstheme="minorHAnsi"/>
          <w:sz w:val="22"/>
          <w:szCs w:val="22"/>
        </w:rPr>
        <w:t xml:space="preserve">niedające się ze sobą pogodzić orzeczenia sądów administracyjnych dotyczące opodatkowania podatkiem od towarów i usług różnego rodzaju form dofinansowania przez jednostkę samorządu terytorialnego (np. gminę) spółki komunalnej realizującej zadania własne tego samorządu. </w:t>
      </w:r>
      <w:r w:rsidRPr="00F92EA2">
        <w:rPr>
          <w:rFonts w:asciiTheme="minorHAnsi" w:hAnsiTheme="minorHAnsi" w:cstheme="minorHAnsi"/>
          <w:b/>
          <w:bCs/>
          <w:sz w:val="22"/>
          <w:szCs w:val="22"/>
          <w:lang w:eastAsia="pl-PL"/>
        </w:rPr>
        <w:t xml:space="preserve"> </w:t>
      </w:r>
      <w:r w:rsidRPr="00FF6E9E">
        <w:rPr>
          <w:rFonts w:asciiTheme="minorHAnsi" w:hAnsiTheme="minorHAnsi" w:cstheme="minorHAnsi"/>
          <w:bCs/>
          <w:sz w:val="22"/>
          <w:szCs w:val="22"/>
          <w:lang w:eastAsia="pl-PL"/>
        </w:rPr>
        <w:t xml:space="preserve">Wniosek ten do chwili obecnej również nie został rozpatrzony. </w:t>
      </w:r>
      <w:r w:rsidRPr="00FF6E9E">
        <w:rPr>
          <w:rFonts w:asciiTheme="minorHAnsi" w:hAnsiTheme="minorHAnsi" w:cstheme="minorHAnsi"/>
          <w:sz w:val="22"/>
          <w:szCs w:val="22"/>
        </w:rPr>
        <w:t xml:space="preserve">Mając na uwadze konieczność minimalizacji  ewentualnych </w:t>
      </w:r>
      <w:proofErr w:type="spellStart"/>
      <w:r w:rsidRPr="00FF6E9E">
        <w:rPr>
          <w:rFonts w:asciiTheme="minorHAnsi" w:hAnsiTheme="minorHAnsi" w:cstheme="minorHAnsi"/>
          <w:sz w:val="22"/>
          <w:szCs w:val="22"/>
        </w:rPr>
        <w:t>ryzyk</w:t>
      </w:r>
      <w:proofErr w:type="spellEnd"/>
      <w:r w:rsidRPr="00FF6E9E">
        <w:rPr>
          <w:rFonts w:asciiTheme="minorHAnsi" w:hAnsiTheme="minorHAnsi" w:cstheme="minorHAnsi"/>
          <w:sz w:val="22"/>
          <w:szCs w:val="22"/>
        </w:rPr>
        <w:t xml:space="preserve"> podatkowych po obu stronach, podjęto decyzję, zgodnie z którą do czasu zakończenia postępowania sądowego, MPO będzie stosować się do otrzymanej interpretacji indywidualnej i w dopłatach przekazywanych przez  Miasto rozliczać należne zobowiązanie do czasu ewentualnego jej uchylenia/zmiany z zastosowaniem 23% stawki VAT. </w:t>
      </w:r>
      <w:r w:rsidR="00F90395" w:rsidRPr="00FF6E9E">
        <w:rPr>
          <w:rFonts w:asciiTheme="minorHAnsi" w:hAnsiTheme="minorHAnsi" w:cstheme="minorHAnsi"/>
          <w:sz w:val="22"/>
          <w:szCs w:val="22"/>
        </w:rPr>
        <w:t xml:space="preserve"> W dniu 21 sierpnia 2020 r., na wniosek MPO, wydana została przez Dyrektora Krajowej Informacji Skarbowej  interpretacja indywidualna  </w:t>
      </w:r>
      <w:r w:rsidR="00CD2E75">
        <w:rPr>
          <w:rFonts w:asciiTheme="minorHAnsi" w:hAnsiTheme="minorHAnsi" w:cstheme="minorHAnsi"/>
          <w:sz w:val="22"/>
          <w:szCs w:val="22"/>
        </w:rPr>
        <w:t>nr</w:t>
      </w:r>
      <w:r w:rsidR="00F90395" w:rsidRPr="00FF6E9E">
        <w:rPr>
          <w:rFonts w:asciiTheme="minorHAnsi" w:hAnsiTheme="minorHAnsi" w:cstheme="minorHAnsi"/>
          <w:sz w:val="22"/>
          <w:szCs w:val="22"/>
        </w:rPr>
        <w:t xml:space="preserve"> 0114-KDIP4-2.4012.227.2020.2.MMA, dotycząca możliwości stosowania preferencyjnej 8% stawki podatku VAT dla usług publicznych. Możliwość stosowania 8% stawki podatku VAT dla </w:t>
      </w:r>
      <w:r w:rsidR="00F90395">
        <w:rPr>
          <w:rFonts w:asciiTheme="minorHAnsi" w:hAnsiTheme="minorHAnsi" w:cstheme="minorHAnsi"/>
          <w:sz w:val="22"/>
          <w:szCs w:val="22"/>
        </w:rPr>
        <w:t>usług objętych Umową Wykonawczą</w:t>
      </w:r>
      <w:r w:rsidR="003640B3">
        <w:rPr>
          <w:rFonts w:asciiTheme="minorHAnsi" w:hAnsiTheme="minorHAnsi" w:cstheme="minorHAnsi"/>
          <w:sz w:val="22"/>
          <w:szCs w:val="22"/>
        </w:rPr>
        <w:t>, dopuszczona została również  w wydanej dla MPO</w:t>
      </w:r>
      <w:r w:rsidR="00F94657">
        <w:rPr>
          <w:rFonts w:asciiTheme="minorHAnsi" w:hAnsiTheme="minorHAnsi" w:cstheme="minorHAnsi"/>
          <w:sz w:val="22"/>
          <w:szCs w:val="22"/>
        </w:rPr>
        <w:t xml:space="preserve"> dnia 11 lutego 2021 r.</w:t>
      </w:r>
      <w:r w:rsidR="003640B3">
        <w:rPr>
          <w:rFonts w:asciiTheme="minorHAnsi" w:hAnsiTheme="minorHAnsi" w:cstheme="minorHAnsi"/>
          <w:sz w:val="22"/>
          <w:szCs w:val="22"/>
        </w:rPr>
        <w:t xml:space="preserve"> </w:t>
      </w:r>
      <w:r w:rsidR="003640B3">
        <w:rPr>
          <w:rFonts w:asciiTheme="minorHAnsi" w:hAnsiTheme="minorHAnsi" w:cstheme="minorHAnsi"/>
          <w:bCs/>
          <w:sz w:val="22"/>
          <w:szCs w:val="22"/>
          <w:lang w:eastAsia="pl-PL"/>
        </w:rPr>
        <w:t>W</w:t>
      </w:r>
      <w:r w:rsidR="003640B3" w:rsidRPr="00105875">
        <w:rPr>
          <w:rFonts w:asciiTheme="minorHAnsi" w:hAnsiTheme="minorHAnsi" w:cstheme="minorHAnsi"/>
          <w:bCs/>
          <w:sz w:val="22"/>
          <w:szCs w:val="22"/>
          <w:lang w:eastAsia="pl-PL"/>
        </w:rPr>
        <w:t>iążąc</w:t>
      </w:r>
      <w:r w:rsidR="003640B3">
        <w:rPr>
          <w:rFonts w:asciiTheme="minorHAnsi" w:hAnsiTheme="minorHAnsi" w:cstheme="minorHAnsi"/>
          <w:bCs/>
          <w:sz w:val="22"/>
          <w:szCs w:val="22"/>
          <w:lang w:eastAsia="pl-PL"/>
        </w:rPr>
        <w:t>ej</w:t>
      </w:r>
      <w:r w:rsidR="003640B3" w:rsidRPr="00105875">
        <w:rPr>
          <w:rFonts w:asciiTheme="minorHAnsi" w:hAnsiTheme="minorHAnsi" w:cstheme="minorHAnsi"/>
          <w:bCs/>
          <w:sz w:val="22"/>
          <w:szCs w:val="22"/>
          <w:lang w:eastAsia="pl-PL"/>
        </w:rPr>
        <w:t xml:space="preserve"> </w:t>
      </w:r>
      <w:r w:rsidR="003640B3">
        <w:rPr>
          <w:rFonts w:asciiTheme="minorHAnsi" w:hAnsiTheme="minorHAnsi" w:cstheme="minorHAnsi"/>
          <w:bCs/>
          <w:sz w:val="22"/>
          <w:szCs w:val="22"/>
          <w:lang w:eastAsia="pl-PL"/>
        </w:rPr>
        <w:t>I</w:t>
      </w:r>
      <w:r w:rsidR="003640B3" w:rsidRPr="00105875">
        <w:rPr>
          <w:rFonts w:asciiTheme="minorHAnsi" w:hAnsiTheme="minorHAnsi" w:cstheme="minorHAnsi"/>
          <w:bCs/>
          <w:sz w:val="22"/>
          <w:szCs w:val="22"/>
          <w:lang w:eastAsia="pl-PL"/>
        </w:rPr>
        <w:t>nformacj</w:t>
      </w:r>
      <w:r w:rsidR="003640B3">
        <w:rPr>
          <w:rFonts w:asciiTheme="minorHAnsi" w:hAnsiTheme="minorHAnsi" w:cstheme="minorHAnsi"/>
          <w:bCs/>
          <w:sz w:val="22"/>
          <w:szCs w:val="22"/>
          <w:lang w:eastAsia="pl-PL"/>
        </w:rPr>
        <w:t>i</w:t>
      </w:r>
      <w:r w:rsidR="003640B3" w:rsidRPr="00105875">
        <w:rPr>
          <w:rFonts w:asciiTheme="minorHAnsi" w:hAnsiTheme="minorHAnsi" w:cstheme="minorHAnsi"/>
          <w:bCs/>
          <w:sz w:val="22"/>
          <w:szCs w:val="22"/>
          <w:lang w:eastAsia="pl-PL"/>
        </w:rPr>
        <w:t xml:space="preserve"> </w:t>
      </w:r>
      <w:r w:rsidR="003640B3">
        <w:rPr>
          <w:rFonts w:asciiTheme="minorHAnsi" w:hAnsiTheme="minorHAnsi" w:cstheme="minorHAnsi"/>
          <w:bCs/>
          <w:sz w:val="22"/>
          <w:szCs w:val="22"/>
          <w:lang w:eastAsia="pl-PL"/>
        </w:rPr>
        <w:t>S</w:t>
      </w:r>
      <w:r w:rsidR="003640B3" w:rsidRPr="00105875">
        <w:rPr>
          <w:rFonts w:asciiTheme="minorHAnsi" w:hAnsiTheme="minorHAnsi" w:cstheme="minorHAnsi"/>
          <w:bCs/>
          <w:sz w:val="22"/>
          <w:szCs w:val="22"/>
          <w:lang w:eastAsia="pl-PL"/>
        </w:rPr>
        <w:t>tawkow</w:t>
      </w:r>
      <w:r w:rsidR="003640B3">
        <w:rPr>
          <w:rFonts w:asciiTheme="minorHAnsi" w:hAnsiTheme="minorHAnsi" w:cstheme="minorHAnsi"/>
          <w:bCs/>
          <w:sz w:val="22"/>
          <w:szCs w:val="22"/>
          <w:lang w:eastAsia="pl-PL"/>
        </w:rPr>
        <w:t>ej</w:t>
      </w:r>
      <w:r w:rsidR="003640B3" w:rsidRPr="00105875">
        <w:rPr>
          <w:rFonts w:asciiTheme="minorHAnsi" w:hAnsiTheme="minorHAnsi" w:cstheme="minorHAnsi"/>
          <w:bCs/>
          <w:sz w:val="22"/>
          <w:szCs w:val="22"/>
          <w:lang w:eastAsia="pl-PL"/>
        </w:rPr>
        <w:t xml:space="preserve"> </w:t>
      </w:r>
      <w:r w:rsidR="00CD2E75">
        <w:rPr>
          <w:rFonts w:asciiTheme="minorHAnsi" w:hAnsiTheme="minorHAnsi" w:cstheme="minorHAnsi"/>
          <w:bCs/>
          <w:sz w:val="22"/>
          <w:szCs w:val="22"/>
          <w:lang w:eastAsia="pl-PL"/>
        </w:rPr>
        <w:t>nr</w:t>
      </w:r>
      <w:r w:rsidRPr="00105875">
        <w:rPr>
          <w:rFonts w:asciiTheme="minorHAnsi" w:hAnsiTheme="minorHAnsi" w:cstheme="minorHAnsi"/>
          <w:sz w:val="22"/>
          <w:szCs w:val="22"/>
          <w:lang w:eastAsia="pl-PL"/>
        </w:rPr>
        <w:t xml:space="preserve"> 0112-KDSL1-2.450.598.2020.6.ISN</w:t>
      </w:r>
      <w:r w:rsidR="00F94657">
        <w:rPr>
          <w:rFonts w:asciiTheme="minorHAnsi" w:hAnsiTheme="minorHAnsi" w:cstheme="minorHAnsi"/>
          <w:sz w:val="22"/>
          <w:szCs w:val="22"/>
          <w:lang w:eastAsia="pl-PL"/>
        </w:rPr>
        <w:t>.</w:t>
      </w:r>
      <w:r w:rsidRPr="00105875">
        <w:rPr>
          <w:rFonts w:asciiTheme="minorHAnsi" w:hAnsiTheme="minorHAnsi" w:cstheme="minorHAnsi"/>
          <w:sz w:val="22"/>
          <w:szCs w:val="22"/>
          <w:lang w:eastAsia="pl-PL"/>
        </w:rPr>
        <w:t xml:space="preserve"> </w:t>
      </w:r>
      <w:r w:rsidR="003D2C57">
        <w:rPr>
          <w:rFonts w:asciiTheme="minorHAnsi" w:hAnsiTheme="minorHAnsi" w:cstheme="minorHAnsi"/>
          <w:bCs/>
          <w:sz w:val="22"/>
          <w:szCs w:val="22"/>
          <w:lang w:eastAsia="pl-PL"/>
        </w:rPr>
        <w:t xml:space="preserve"> </w:t>
      </w:r>
      <w:r w:rsidR="003640B3" w:rsidRPr="002C3693">
        <w:rPr>
          <w:rFonts w:asciiTheme="minorHAnsi" w:hAnsiTheme="minorHAnsi" w:cstheme="minorHAnsi"/>
          <w:bCs/>
          <w:sz w:val="22"/>
          <w:szCs w:val="22"/>
          <w:lang w:eastAsia="pl-PL"/>
        </w:rPr>
        <w:t xml:space="preserve">MPO przesłało do Biura Gospodarki Odpadami Urzędu m. st. Warszawy faktury korygujące do faktur wystawionych ze stawką 23% VAT . Na dzień </w:t>
      </w:r>
      <w:r w:rsidR="00B50812">
        <w:rPr>
          <w:rFonts w:asciiTheme="minorHAnsi" w:hAnsiTheme="minorHAnsi" w:cstheme="minorHAnsi"/>
          <w:bCs/>
          <w:sz w:val="22"/>
          <w:szCs w:val="22"/>
          <w:lang w:eastAsia="pl-PL"/>
        </w:rPr>
        <w:t>20</w:t>
      </w:r>
      <w:r w:rsidR="00CD2E75">
        <w:rPr>
          <w:rFonts w:asciiTheme="minorHAnsi" w:hAnsiTheme="minorHAnsi" w:cstheme="minorHAnsi"/>
          <w:bCs/>
          <w:sz w:val="22"/>
          <w:szCs w:val="22"/>
          <w:lang w:eastAsia="pl-PL"/>
        </w:rPr>
        <w:t xml:space="preserve"> kwietnia</w:t>
      </w:r>
      <w:r w:rsidR="003640B3" w:rsidRPr="002C3693">
        <w:rPr>
          <w:rFonts w:asciiTheme="minorHAnsi" w:hAnsiTheme="minorHAnsi" w:cstheme="minorHAnsi"/>
          <w:bCs/>
          <w:sz w:val="22"/>
          <w:szCs w:val="22"/>
          <w:lang w:eastAsia="pl-PL"/>
        </w:rPr>
        <w:t xml:space="preserve"> 2023 r. MPO nie dokonało zwrotu kwoty wynikającej z faktur korygujących </w:t>
      </w:r>
      <w:r w:rsidR="007A0B9E" w:rsidRPr="002C3693">
        <w:rPr>
          <w:rFonts w:asciiTheme="minorHAnsi" w:hAnsiTheme="minorHAnsi" w:cstheme="minorHAnsi"/>
          <w:bCs/>
          <w:sz w:val="22"/>
          <w:szCs w:val="22"/>
          <w:lang w:eastAsia="pl-PL"/>
        </w:rPr>
        <w:t>w zakresie zmiany stawki podatku VAT.</w:t>
      </w:r>
      <w:r w:rsidRPr="00D71C3E">
        <w:rPr>
          <w:rFonts w:asciiTheme="minorHAnsi" w:hAnsiTheme="minorHAnsi" w:cstheme="minorHAnsi"/>
          <w:bCs/>
          <w:color w:val="FF0000"/>
          <w:sz w:val="22"/>
          <w:szCs w:val="22"/>
          <w:lang w:eastAsia="pl-PL"/>
        </w:rPr>
        <w:t xml:space="preserve"> </w:t>
      </w:r>
    </w:p>
    <w:p w14:paraId="30957448" w14:textId="660A46E4" w:rsidR="00580496" w:rsidRPr="00270F10" w:rsidRDefault="00580496" w:rsidP="00490744">
      <w:pPr>
        <w:pStyle w:val="Nagwek3"/>
        <w:keepLines/>
        <w:widowControl w:val="0"/>
        <w:numPr>
          <w:ilvl w:val="1"/>
          <w:numId w:val="13"/>
        </w:numPr>
        <w:tabs>
          <w:tab w:val="clear" w:pos="709"/>
          <w:tab w:val="left" w:pos="1134"/>
        </w:tabs>
        <w:adjustRightInd w:val="0"/>
        <w:spacing w:after="240" w:line="300" w:lineRule="auto"/>
        <w:ind w:left="992"/>
        <w:contextualSpacing/>
        <w:textAlignment w:val="baseline"/>
        <w:rPr>
          <w:rFonts w:ascii="Calibri" w:hAnsi="Calibri" w:cs="Calibri"/>
          <w:sz w:val="22"/>
          <w:szCs w:val="22"/>
        </w:rPr>
      </w:pPr>
      <w:r w:rsidRPr="00270F10">
        <w:rPr>
          <w:rFonts w:ascii="Calibri" w:hAnsi="Calibri" w:cs="Calibri"/>
          <w:b w:val="0"/>
          <w:sz w:val="22"/>
          <w:szCs w:val="22"/>
          <w:lang w:val="pl-PL"/>
        </w:rPr>
        <w:t>Informacja w zakresie zniesienia współwłasności  w nieruchomości</w:t>
      </w:r>
    </w:p>
    <w:p w14:paraId="05815389" w14:textId="75B4D6D3" w:rsidR="00F92EA2" w:rsidRPr="00D71C3E" w:rsidRDefault="00D71C3E" w:rsidP="00490744">
      <w:pPr>
        <w:pStyle w:val="Akapitzlist"/>
        <w:spacing w:after="240" w:line="300" w:lineRule="auto"/>
        <w:ind w:left="992"/>
        <w:rPr>
          <w:rFonts w:ascii="Calibri" w:hAnsi="Calibri" w:cs="Calibri"/>
          <w:sz w:val="22"/>
          <w:szCs w:val="22"/>
        </w:rPr>
      </w:pPr>
      <w:r>
        <w:rPr>
          <w:rFonts w:ascii="Calibri" w:hAnsi="Calibri" w:cs="Calibri"/>
          <w:sz w:val="22"/>
          <w:szCs w:val="22"/>
        </w:rPr>
        <w:t>W</w:t>
      </w:r>
      <w:r w:rsidR="006E5F6B">
        <w:rPr>
          <w:rFonts w:ascii="Calibri" w:hAnsi="Calibri" w:cs="Calibri"/>
          <w:sz w:val="22"/>
          <w:szCs w:val="22"/>
        </w:rPr>
        <w:t xml:space="preserve"> </w:t>
      </w:r>
      <w:r w:rsidR="00F92EA2" w:rsidRPr="00D71C3E">
        <w:rPr>
          <w:rFonts w:ascii="Calibri" w:hAnsi="Calibri" w:cs="Calibri"/>
          <w:sz w:val="22"/>
          <w:szCs w:val="22"/>
        </w:rPr>
        <w:t xml:space="preserve">ramach realizacji zadania inwestycyjnego „Wykup nieruchomości do zasobu m.st. Warszawy” w 2021 roku wydatkowana została kwota 2.671.931,00 zł, w związku ze zobowiązaniem m.st Warszawy wynikającym z postanowienia Sądu Rejonowego dla Warszawy Śródmieścia z dnia 24.02.2021 r. o zniesieniu współwłasności działki ewidencyjnej nr 23/56 z obrębu 5-03-09, położonej przy ul. Świętokrzyskiej w dzielnicy Śródmieście. Sąd ustalił, że spłata miała nastąpić w terminie 6 miesięcy od momentu </w:t>
      </w:r>
      <w:r w:rsidR="00F92EA2" w:rsidRPr="00D71C3E">
        <w:rPr>
          <w:rFonts w:ascii="Calibri" w:hAnsi="Calibri" w:cs="Calibri"/>
          <w:sz w:val="22"/>
          <w:szCs w:val="22"/>
        </w:rPr>
        <w:lastRenderedPageBreak/>
        <w:t>uprawomocnienia się niniejszego postanowienia, tj. do dnia 30.09.2021 r. Powyższa kwota w sprawozdaniu finansowym Urzędu m.st. Warszawy widnieje w aktywach, w wierszu środki trwałe w budowie (inwestycje). Przedmiotowa kwota została wpłacona do depozytu sądowego stosownie do udziałów przypadających 8 współwłaścicielom, z uwagi na fakt, że przed Komisją do spraw reprywatyzacji nieruchomości warszawskich w dniu 31.08.2021 r. zapadły decyzje kwestionujące prawa osób fizycznych – spadkobierców dawnych właścicieli, do przedmiotowej nieruchomości.</w:t>
      </w:r>
    </w:p>
    <w:p w14:paraId="4D6E5D90" w14:textId="6D2100DF" w:rsidR="00F92EA2" w:rsidRPr="00D71C3E" w:rsidRDefault="00F92EA2" w:rsidP="00742802">
      <w:pPr>
        <w:pStyle w:val="Akapitzlist"/>
        <w:spacing w:after="240" w:line="300" w:lineRule="auto"/>
        <w:ind w:left="992"/>
        <w:rPr>
          <w:rFonts w:ascii="Calibri" w:hAnsi="Calibri" w:cs="Calibri"/>
          <w:sz w:val="22"/>
          <w:szCs w:val="22"/>
        </w:rPr>
      </w:pPr>
      <w:r w:rsidRPr="00D71C3E">
        <w:rPr>
          <w:rFonts w:ascii="Calibri" w:hAnsi="Calibri" w:cs="Calibri"/>
          <w:sz w:val="22"/>
          <w:szCs w:val="22"/>
        </w:rPr>
        <w:t xml:space="preserve">Decyzje Komisji do spraw reprywatyzacji nieruchomości warszawskich zostały zaskarżone przez następców prawnych dawnych właścicieli hipotecznych przedmiotowej nieruchomości do Wojewódzkiego Sądu Administracyjnego w Warszawie. Dopiero prawomocne zakończenie postępowania skargowego przed WSA oraz postępowań przed sądami powszechnymi w zakresie przyjęcia wpłaconych przez Urząd m.st. Warszawy kwot do depozytu sądu pozwolą ostatecznie rozliczyć nakłady poniesione i prawidłowo zaewidencjonować przedmiotową nieruchomość.  Obecnie prawomocnie zakończone zostały 3 z ośmiu postępowań o przyjęcie kwot do depozytu – w jednym przypadku sąd przyjął depozyt, w dwóch sądy odmówiły. W zaistniałej sytuacji Urząd m.st. Warszawy podejmie działania zmierzające do zwrotu środków finansowych z nieprzyjętych depozytów przez sąd. Pozostałe 5 spraw o przyjęcie środków finansowych na depozyty sądowe, nie zostało rozstrzygnięte i nadal jest w toku. Jednocześnie w księgach rachunkowych i inwentarzowych Dzielnicy Śródmieście  powyższa  działka została ujawniona w całości jako własność m.st. Warszawy na podstawie  decyzji Komisji ds. reprywatyzacji nieruchomości warszawskich  z 2021 r. w wartości historycznej w wysokości 6.834,70 zł i jest prezentowana w aktywach w wierszu środki trwałe grunty. </w:t>
      </w:r>
    </w:p>
    <w:p w14:paraId="1E0834A5" w14:textId="77777777" w:rsidR="00F92EA2" w:rsidRPr="00D71C3E" w:rsidRDefault="00F92EA2" w:rsidP="00742802">
      <w:pPr>
        <w:pStyle w:val="Akapitzlist"/>
        <w:spacing w:after="240" w:line="300" w:lineRule="auto"/>
        <w:ind w:left="992"/>
        <w:rPr>
          <w:rFonts w:ascii="Calibri" w:hAnsi="Calibri" w:cs="Calibri"/>
          <w:sz w:val="22"/>
          <w:szCs w:val="22"/>
        </w:rPr>
      </w:pPr>
      <w:r w:rsidRPr="00D71C3E">
        <w:rPr>
          <w:rFonts w:ascii="Calibri" w:hAnsi="Calibri" w:cs="Calibri"/>
          <w:sz w:val="22"/>
          <w:szCs w:val="22"/>
        </w:rPr>
        <w:t>Zniesienie współwłasności do w/w działki do momentu ostatecznych rozstrzygnięć przez sądy będzie prezentowane jako środki trwałe – grunty oraz środki trwałe w budowie.</w:t>
      </w:r>
    </w:p>
    <w:p w14:paraId="3BD85923" w14:textId="0A73505A" w:rsidR="00F92EA2" w:rsidRPr="00D71C3E" w:rsidRDefault="00F92EA2" w:rsidP="00490744">
      <w:pPr>
        <w:pStyle w:val="Akapitzlist"/>
        <w:spacing w:after="240" w:line="300" w:lineRule="auto"/>
        <w:ind w:left="992"/>
        <w:rPr>
          <w:rFonts w:ascii="Calibri" w:hAnsi="Calibri" w:cs="Calibri"/>
          <w:sz w:val="22"/>
          <w:szCs w:val="22"/>
        </w:rPr>
      </w:pPr>
      <w:r w:rsidRPr="00D71C3E">
        <w:rPr>
          <w:rFonts w:ascii="Calibri" w:hAnsi="Calibri" w:cs="Calibri"/>
          <w:sz w:val="22"/>
          <w:szCs w:val="22"/>
        </w:rPr>
        <w:t>Ponadto w należnościach krótkoterminowych jest ujęta należność od Komornika w wysokości 1.514.333,87 zł w związku z zajęciem rachunku bankowego Urzędu m.st. Warszawy w październiku  2022 r. na podstawie zajęcia wierzytelności z wniosku jednego wierzyciela w zakresie zniesienia współwłasności do w/w nieruchomości. Wniosek wierzyciela został złożony w trakcie trwania postępowania o zezwolenie na przyjęcie świadczenia do depozytu sądowego. Powyższa kwota także do momentu ostatecznych rozstrzygnięć przez sądy będzie prezentowana jako należności krótkoterminowe.</w:t>
      </w:r>
    </w:p>
    <w:p w14:paraId="187BA237" w14:textId="4107A26E" w:rsidR="007A0B9E" w:rsidRPr="00270F10" w:rsidRDefault="007A0B9E" w:rsidP="00742802">
      <w:pPr>
        <w:pStyle w:val="Nagwek3"/>
        <w:keepLines/>
        <w:widowControl w:val="0"/>
        <w:numPr>
          <w:ilvl w:val="1"/>
          <w:numId w:val="13"/>
        </w:numPr>
        <w:tabs>
          <w:tab w:val="clear" w:pos="709"/>
          <w:tab w:val="left" w:pos="1134"/>
        </w:tabs>
        <w:adjustRightInd w:val="0"/>
        <w:spacing w:after="240" w:line="300" w:lineRule="auto"/>
        <w:ind w:left="992"/>
        <w:textAlignment w:val="baseline"/>
        <w:rPr>
          <w:rFonts w:ascii="Calibri" w:hAnsi="Calibri" w:cs="Calibri"/>
          <w:sz w:val="22"/>
          <w:szCs w:val="22"/>
        </w:rPr>
      </w:pPr>
      <w:r w:rsidRPr="00270F10">
        <w:rPr>
          <w:rFonts w:ascii="Calibri" w:hAnsi="Calibri" w:cs="Calibri"/>
          <w:b w:val="0"/>
          <w:sz w:val="22"/>
          <w:szCs w:val="22"/>
          <w:lang w:val="pl-PL"/>
        </w:rPr>
        <w:lastRenderedPageBreak/>
        <w:t>Informacja na temat działań Urzędu m.st. Warszawy w związku z pandemią COVID-19</w:t>
      </w:r>
    </w:p>
    <w:p w14:paraId="73E930D4" w14:textId="290F0394" w:rsidR="00C52D1A" w:rsidRDefault="007A0B9E" w:rsidP="00D71C3E">
      <w:pPr>
        <w:pStyle w:val="Akapitzlist"/>
        <w:spacing w:after="240" w:line="300" w:lineRule="auto"/>
        <w:ind w:left="1137"/>
        <w:rPr>
          <w:rFonts w:asciiTheme="minorHAnsi" w:hAnsiTheme="minorHAnsi" w:cstheme="minorHAnsi"/>
          <w:bCs/>
          <w:sz w:val="22"/>
          <w:szCs w:val="22"/>
        </w:rPr>
      </w:pPr>
      <w:r w:rsidRPr="00F2161E">
        <w:rPr>
          <w:rFonts w:asciiTheme="minorHAnsi" w:hAnsiTheme="minorHAnsi" w:cstheme="minorHAnsi"/>
          <w:bCs/>
          <w:sz w:val="22"/>
          <w:szCs w:val="22"/>
        </w:rPr>
        <w:t>W 2022 r. Urząd m. st. Warszawy wydatkował kwotę w wysokości</w:t>
      </w:r>
      <w:r w:rsidR="00702A2A">
        <w:rPr>
          <w:rFonts w:asciiTheme="minorHAnsi" w:hAnsiTheme="minorHAnsi" w:cstheme="minorHAnsi"/>
          <w:bCs/>
          <w:sz w:val="22"/>
          <w:szCs w:val="22"/>
        </w:rPr>
        <w:t xml:space="preserve"> 20 496 204,05</w:t>
      </w:r>
      <w:r w:rsidRPr="00F2161E">
        <w:rPr>
          <w:rFonts w:asciiTheme="minorHAnsi" w:hAnsiTheme="minorHAnsi" w:cstheme="minorHAnsi"/>
          <w:bCs/>
          <w:sz w:val="22"/>
          <w:szCs w:val="22"/>
        </w:rPr>
        <w:t xml:space="preserve"> zł ze środków finansowych </w:t>
      </w:r>
      <w:r w:rsidR="003465BE">
        <w:rPr>
          <w:rFonts w:asciiTheme="minorHAnsi" w:hAnsiTheme="minorHAnsi" w:cstheme="minorHAnsi"/>
          <w:bCs/>
          <w:sz w:val="22"/>
          <w:szCs w:val="22"/>
        </w:rPr>
        <w:t xml:space="preserve">otrzymanych przez m.st. Warszawa z Funduszu pomocy COVID 19 </w:t>
      </w:r>
      <w:r w:rsidRPr="00F2161E">
        <w:rPr>
          <w:rFonts w:asciiTheme="minorHAnsi" w:hAnsiTheme="minorHAnsi" w:cstheme="minorHAnsi"/>
          <w:bCs/>
          <w:sz w:val="22"/>
          <w:szCs w:val="22"/>
        </w:rPr>
        <w:t>oraz z własnych środków finansowych</w:t>
      </w:r>
      <w:r w:rsidR="003465BE">
        <w:rPr>
          <w:rFonts w:asciiTheme="minorHAnsi" w:hAnsiTheme="minorHAnsi" w:cstheme="minorHAnsi"/>
          <w:bCs/>
          <w:sz w:val="22"/>
          <w:szCs w:val="22"/>
        </w:rPr>
        <w:t xml:space="preserve"> m.st. Warszawy</w:t>
      </w:r>
      <w:r w:rsidRPr="00F2161E">
        <w:rPr>
          <w:rFonts w:asciiTheme="minorHAnsi" w:hAnsiTheme="minorHAnsi" w:cstheme="minorHAnsi"/>
          <w:bCs/>
          <w:sz w:val="22"/>
          <w:szCs w:val="22"/>
        </w:rPr>
        <w:t>.</w:t>
      </w:r>
      <w:r w:rsidR="00E94DBE">
        <w:rPr>
          <w:rFonts w:asciiTheme="minorHAnsi" w:hAnsiTheme="minorHAnsi" w:cstheme="minorHAnsi"/>
          <w:bCs/>
          <w:sz w:val="22"/>
          <w:szCs w:val="22"/>
        </w:rPr>
        <w:t xml:space="preserve"> Powyższa kwota była wydatkowana </w:t>
      </w:r>
      <w:r w:rsidR="00EC5068">
        <w:rPr>
          <w:rFonts w:asciiTheme="minorHAnsi" w:hAnsiTheme="minorHAnsi" w:cstheme="minorHAnsi"/>
          <w:bCs/>
          <w:sz w:val="22"/>
          <w:szCs w:val="22"/>
        </w:rPr>
        <w:t>w szczególności</w:t>
      </w:r>
      <w:r w:rsidR="00702A2A">
        <w:rPr>
          <w:rFonts w:asciiTheme="minorHAnsi" w:hAnsiTheme="minorHAnsi" w:cstheme="minorHAnsi"/>
          <w:bCs/>
          <w:sz w:val="22"/>
          <w:szCs w:val="22"/>
        </w:rPr>
        <w:t>:</w:t>
      </w:r>
    </w:p>
    <w:p w14:paraId="602706CD" w14:textId="4009122B" w:rsidR="00C52D1A" w:rsidRPr="00270F10" w:rsidRDefault="00E94DBE" w:rsidP="00270F10">
      <w:pPr>
        <w:pStyle w:val="Akapitzlist"/>
        <w:numPr>
          <w:ilvl w:val="0"/>
          <w:numId w:val="20"/>
        </w:numPr>
        <w:spacing w:after="240" w:line="300" w:lineRule="auto"/>
        <w:rPr>
          <w:rFonts w:asciiTheme="minorHAnsi" w:hAnsiTheme="minorHAnsi" w:cstheme="minorHAnsi"/>
          <w:bCs/>
          <w:sz w:val="22"/>
          <w:szCs w:val="22"/>
        </w:rPr>
      </w:pPr>
      <w:r w:rsidRPr="00270F10">
        <w:rPr>
          <w:rFonts w:asciiTheme="minorHAnsi" w:hAnsiTheme="minorHAnsi" w:cstheme="minorHAnsi"/>
          <w:bCs/>
          <w:sz w:val="22"/>
          <w:szCs w:val="22"/>
        </w:rPr>
        <w:t xml:space="preserve">na </w:t>
      </w:r>
      <w:r w:rsidR="00D848A7" w:rsidRPr="00270F10">
        <w:rPr>
          <w:rFonts w:asciiTheme="minorHAnsi" w:hAnsiTheme="minorHAnsi" w:cstheme="minorHAnsi"/>
          <w:bCs/>
          <w:sz w:val="22"/>
          <w:szCs w:val="22"/>
        </w:rPr>
        <w:t>wypłatę dodatku dla gospodarstw</w:t>
      </w:r>
      <w:r w:rsidR="00B44E61" w:rsidRPr="00270F10">
        <w:rPr>
          <w:rFonts w:asciiTheme="minorHAnsi" w:hAnsiTheme="minorHAnsi" w:cstheme="minorHAnsi"/>
          <w:bCs/>
          <w:sz w:val="22"/>
          <w:szCs w:val="22"/>
        </w:rPr>
        <w:t xml:space="preserve"> domowych</w:t>
      </w:r>
      <w:r w:rsidR="000D4C34" w:rsidRPr="00270F10">
        <w:rPr>
          <w:rFonts w:asciiTheme="minorHAnsi" w:hAnsiTheme="minorHAnsi" w:cstheme="minorHAnsi"/>
          <w:bCs/>
          <w:sz w:val="22"/>
          <w:szCs w:val="22"/>
        </w:rPr>
        <w:t xml:space="preserve"> (osób uprawnionych)</w:t>
      </w:r>
      <w:r w:rsidR="00B44E61" w:rsidRPr="00270F10">
        <w:rPr>
          <w:rFonts w:asciiTheme="minorHAnsi" w:hAnsiTheme="minorHAnsi" w:cstheme="minorHAnsi"/>
          <w:bCs/>
          <w:sz w:val="22"/>
          <w:szCs w:val="22"/>
        </w:rPr>
        <w:t xml:space="preserve"> </w:t>
      </w:r>
      <w:r w:rsidR="00F2161E" w:rsidRPr="00270F10">
        <w:rPr>
          <w:rFonts w:asciiTheme="minorHAnsi" w:hAnsiTheme="minorHAnsi" w:cstheme="minorHAnsi"/>
          <w:bCs/>
          <w:sz w:val="22"/>
          <w:szCs w:val="22"/>
        </w:rPr>
        <w:t>z tytułu wykorzystania niektórych źródeł ciepła</w:t>
      </w:r>
      <w:r w:rsidR="001F66DF" w:rsidRPr="00270F10">
        <w:rPr>
          <w:rFonts w:asciiTheme="minorHAnsi" w:hAnsiTheme="minorHAnsi" w:cstheme="minorHAnsi"/>
          <w:bCs/>
          <w:sz w:val="22"/>
          <w:szCs w:val="22"/>
        </w:rPr>
        <w:t xml:space="preserve"> w wysokości</w:t>
      </w:r>
      <w:r w:rsidR="00702A2A" w:rsidRPr="00270F10">
        <w:rPr>
          <w:rFonts w:asciiTheme="minorHAnsi" w:hAnsiTheme="minorHAnsi" w:cstheme="minorHAnsi"/>
          <w:bCs/>
          <w:sz w:val="22"/>
          <w:szCs w:val="22"/>
        </w:rPr>
        <w:t xml:space="preserve">  14 065 435,50 zł</w:t>
      </w:r>
      <w:r w:rsidR="00D848A7" w:rsidRPr="00270F10">
        <w:rPr>
          <w:rFonts w:asciiTheme="minorHAnsi" w:hAnsiTheme="minorHAnsi" w:cstheme="minorHAnsi"/>
          <w:bCs/>
          <w:sz w:val="22"/>
          <w:szCs w:val="22"/>
        </w:rPr>
        <w:t xml:space="preserve">, </w:t>
      </w:r>
    </w:p>
    <w:p w14:paraId="28303320" w14:textId="41794F85" w:rsidR="00293011" w:rsidRPr="00270F10" w:rsidRDefault="00D848A7" w:rsidP="00270F10">
      <w:pPr>
        <w:pStyle w:val="Akapitzlist"/>
        <w:numPr>
          <w:ilvl w:val="0"/>
          <w:numId w:val="20"/>
        </w:numPr>
        <w:spacing w:after="240" w:line="300" w:lineRule="auto"/>
        <w:rPr>
          <w:rFonts w:asciiTheme="minorHAnsi" w:hAnsiTheme="minorHAnsi" w:cstheme="minorHAnsi"/>
          <w:bCs/>
          <w:sz w:val="22"/>
          <w:szCs w:val="22"/>
        </w:rPr>
      </w:pPr>
      <w:r w:rsidRPr="00270F10">
        <w:rPr>
          <w:rFonts w:asciiTheme="minorHAnsi" w:hAnsiTheme="minorHAnsi" w:cstheme="minorHAnsi"/>
          <w:bCs/>
          <w:sz w:val="22"/>
          <w:szCs w:val="22"/>
        </w:rPr>
        <w:t>wypłatę rekompensat dla podmiot</w:t>
      </w:r>
      <w:r w:rsidR="00F2161E" w:rsidRPr="00270F10">
        <w:rPr>
          <w:rFonts w:asciiTheme="minorHAnsi" w:hAnsiTheme="minorHAnsi" w:cstheme="minorHAnsi"/>
          <w:bCs/>
          <w:sz w:val="22"/>
          <w:szCs w:val="22"/>
        </w:rPr>
        <w:t>ów wrażliwych</w:t>
      </w:r>
      <w:r w:rsidRPr="00270F10">
        <w:rPr>
          <w:rFonts w:asciiTheme="minorHAnsi" w:hAnsiTheme="minorHAnsi" w:cstheme="minorHAnsi"/>
          <w:bCs/>
          <w:sz w:val="22"/>
          <w:szCs w:val="22"/>
        </w:rPr>
        <w:t xml:space="preserve">  oraz dla </w:t>
      </w:r>
      <w:r w:rsidR="00F2161E" w:rsidRPr="00270F10">
        <w:rPr>
          <w:rFonts w:asciiTheme="minorHAnsi" w:hAnsiTheme="minorHAnsi" w:cstheme="minorHAnsi"/>
          <w:bCs/>
          <w:sz w:val="22"/>
          <w:szCs w:val="22"/>
        </w:rPr>
        <w:t xml:space="preserve">uprawnionych </w:t>
      </w:r>
      <w:r w:rsidRPr="00270F10">
        <w:rPr>
          <w:rFonts w:asciiTheme="minorHAnsi" w:hAnsiTheme="minorHAnsi" w:cstheme="minorHAnsi"/>
          <w:bCs/>
          <w:sz w:val="22"/>
          <w:szCs w:val="22"/>
        </w:rPr>
        <w:t>przedsiębiorstw energetycznych</w:t>
      </w:r>
      <w:r w:rsidR="001F66DF" w:rsidRPr="00270F10">
        <w:rPr>
          <w:rFonts w:asciiTheme="minorHAnsi" w:hAnsiTheme="minorHAnsi" w:cstheme="minorHAnsi"/>
          <w:bCs/>
          <w:sz w:val="22"/>
          <w:szCs w:val="22"/>
        </w:rPr>
        <w:t xml:space="preserve"> w wysokości </w:t>
      </w:r>
      <w:r w:rsidR="00702A2A" w:rsidRPr="00270F10">
        <w:rPr>
          <w:rFonts w:asciiTheme="minorHAnsi" w:hAnsiTheme="minorHAnsi" w:cstheme="minorHAnsi"/>
          <w:bCs/>
          <w:sz w:val="22"/>
          <w:szCs w:val="22"/>
        </w:rPr>
        <w:t>1 319 080,89 zł</w:t>
      </w:r>
      <w:r w:rsidR="00293011" w:rsidRPr="00270F10">
        <w:rPr>
          <w:rFonts w:asciiTheme="minorHAnsi" w:hAnsiTheme="minorHAnsi" w:cstheme="minorHAnsi"/>
          <w:bCs/>
          <w:sz w:val="22"/>
          <w:szCs w:val="22"/>
        </w:rPr>
        <w:t>,</w:t>
      </w:r>
    </w:p>
    <w:p w14:paraId="48A5C466" w14:textId="339259B9" w:rsidR="00DA64F8" w:rsidRDefault="00293011" w:rsidP="00270F10">
      <w:pPr>
        <w:pStyle w:val="Akapitzlist"/>
        <w:numPr>
          <w:ilvl w:val="0"/>
          <w:numId w:val="20"/>
        </w:numPr>
        <w:spacing w:after="240" w:line="300" w:lineRule="auto"/>
        <w:rPr>
          <w:rFonts w:asciiTheme="minorHAnsi" w:hAnsiTheme="minorHAnsi" w:cstheme="minorHAnsi"/>
          <w:bCs/>
          <w:sz w:val="22"/>
          <w:szCs w:val="22"/>
        </w:rPr>
      </w:pPr>
      <w:r w:rsidRPr="00185CD2">
        <w:rPr>
          <w:rFonts w:asciiTheme="minorHAnsi" w:hAnsiTheme="minorHAnsi" w:cstheme="minorHAnsi"/>
          <w:bCs/>
          <w:sz w:val="22"/>
          <w:szCs w:val="22"/>
        </w:rPr>
        <w:t>na wypłatę dotacji celowej</w:t>
      </w:r>
      <w:r w:rsidR="00AF4CBC" w:rsidRPr="00185CD2">
        <w:rPr>
          <w:rFonts w:asciiTheme="minorHAnsi" w:hAnsiTheme="minorHAnsi" w:cstheme="minorHAnsi"/>
          <w:bCs/>
          <w:sz w:val="22"/>
          <w:szCs w:val="22"/>
        </w:rPr>
        <w:t xml:space="preserve"> w wysokości 3 867 863,</w:t>
      </w:r>
      <w:r w:rsidR="00CD2E75">
        <w:rPr>
          <w:rFonts w:asciiTheme="minorHAnsi" w:hAnsiTheme="minorHAnsi" w:cstheme="minorHAnsi"/>
          <w:bCs/>
          <w:sz w:val="22"/>
          <w:szCs w:val="22"/>
        </w:rPr>
        <w:t xml:space="preserve">00 </w:t>
      </w:r>
      <w:r w:rsidR="00AF4CBC" w:rsidRPr="00185CD2">
        <w:rPr>
          <w:rFonts w:asciiTheme="minorHAnsi" w:hAnsiTheme="minorHAnsi" w:cstheme="minorHAnsi"/>
          <w:bCs/>
          <w:sz w:val="22"/>
          <w:szCs w:val="22"/>
        </w:rPr>
        <w:t>zł dla Muzeum Sztuki Nowoczesnej na realizacje zadania</w:t>
      </w:r>
      <w:r w:rsidR="00185CD2" w:rsidRPr="00185CD2">
        <w:rPr>
          <w:rFonts w:asciiTheme="minorHAnsi" w:hAnsiTheme="minorHAnsi" w:cstheme="minorHAnsi"/>
          <w:bCs/>
          <w:sz w:val="22"/>
          <w:szCs w:val="22"/>
        </w:rPr>
        <w:t xml:space="preserve"> inwestycyjnego ze</w:t>
      </w:r>
      <w:r w:rsidR="00AF4CBC" w:rsidRPr="00185CD2">
        <w:rPr>
          <w:rFonts w:asciiTheme="minorHAnsi" w:hAnsiTheme="minorHAnsi" w:cstheme="minorHAnsi"/>
          <w:bCs/>
          <w:sz w:val="22"/>
          <w:szCs w:val="22"/>
        </w:rPr>
        <w:t xml:space="preserve"> środków otrzymanych przez m.st. Warszawy z</w:t>
      </w:r>
      <w:r w:rsidRPr="00185CD2">
        <w:rPr>
          <w:rFonts w:asciiTheme="minorHAnsi" w:hAnsiTheme="minorHAnsi" w:cstheme="minorHAnsi"/>
          <w:bCs/>
          <w:sz w:val="22"/>
          <w:szCs w:val="22"/>
        </w:rPr>
        <w:t xml:space="preserve"> Rządowego Funduszu Inwestycji Lokalnych</w:t>
      </w:r>
      <w:r w:rsidR="00185CD2">
        <w:rPr>
          <w:rFonts w:asciiTheme="minorHAnsi" w:hAnsiTheme="minorHAnsi" w:cstheme="minorHAnsi"/>
          <w:bCs/>
          <w:sz w:val="22"/>
          <w:szCs w:val="22"/>
        </w:rPr>
        <w:t>.</w:t>
      </w:r>
      <w:r w:rsidRPr="00185CD2">
        <w:rPr>
          <w:rFonts w:asciiTheme="minorHAnsi" w:hAnsiTheme="minorHAnsi" w:cstheme="minorHAnsi"/>
          <w:bCs/>
          <w:sz w:val="22"/>
          <w:szCs w:val="22"/>
        </w:rPr>
        <w:t xml:space="preserve"> </w:t>
      </w:r>
    </w:p>
    <w:p w14:paraId="352AF7B5" w14:textId="611C178F" w:rsidR="00101812" w:rsidRPr="00270F10" w:rsidRDefault="00293011" w:rsidP="00270F10">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 xml:space="preserve"> </w:t>
      </w:r>
      <w:r w:rsidR="00101812" w:rsidRPr="00270F10">
        <w:rPr>
          <w:rFonts w:ascii="Calibri" w:hAnsi="Calibri" w:cs="Calibri"/>
          <w:b w:val="0"/>
          <w:sz w:val="22"/>
          <w:szCs w:val="22"/>
          <w:lang w:val="pl-PL"/>
        </w:rPr>
        <w:t xml:space="preserve">Informacja na temat działań Urzędu m. st. Warszawy związanych z dystrybucją węgla </w:t>
      </w:r>
    </w:p>
    <w:p w14:paraId="5A0AD98B" w14:textId="13CB6BD4" w:rsidR="007A0B9E" w:rsidRPr="008E3586" w:rsidRDefault="000D4C34" w:rsidP="00885C86">
      <w:pPr>
        <w:pStyle w:val="Akapitzlist"/>
        <w:spacing w:after="240" w:line="300" w:lineRule="auto"/>
        <w:ind w:left="1137"/>
        <w:rPr>
          <w:rFonts w:asciiTheme="minorHAnsi" w:hAnsiTheme="minorHAnsi" w:cstheme="minorHAnsi"/>
          <w:bCs/>
          <w:sz w:val="22"/>
          <w:szCs w:val="22"/>
        </w:rPr>
      </w:pPr>
      <w:r w:rsidRPr="00101812">
        <w:rPr>
          <w:rFonts w:asciiTheme="minorHAnsi" w:hAnsiTheme="minorHAnsi" w:cstheme="minorHAnsi"/>
          <w:bCs/>
          <w:sz w:val="22"/>
          <w:szCs w:val="22"/>
        </w:rPr>
        <w:t>Urząd m.st. Warszawy realizował w imieniu m.st. Warszawy zakup i sprzedaż węgla kamiennego po cenach preferencyjnych dla gospodarstw domowych (osób uprawnionych). W imieniu Miasta i na rzecz m.st. Warszawy powyższa sprzedaż węgla kamiennego dla gospodarstw domowych (osób uprawnionych) była</w:t>
      </w:r>
      <w:r w:rsidR="00DA64F8">
        <w:rPr>
          <w:rFonts w:asciiTheme="minorHAnsi" w:hAnsiTheme="minorHAnsi" w:cstheme="minorHAnsi"/>
          <w:bCs/>
          <w:sz w:val="22"/>
          <w:szCs w:val="22"/>
        </w:rPr>
        <w:t xml:space="preserve"> i jest nadal</w:t>
      </w:r>
      <w:r w:rsidRPr="00101812">
        <w:rPr>
          <w:rFonts w:asciiTheme="minorHAnsi" w:hAnsiTheme="minorHAnsi" w:cstheme="minorHAnsi"/>
          <w:bCs/>
          <w:sz w:val="22"/>
          <w:szCs w:val="22"/>
        </w:rPr>
        <w:t xml:space="preserve"> realizowana przez Miejskie Przedsiębiorstwo Oczyszczania  w m.st. Warszawie  </w:t>
      </w:r>
      <w:r w:rsidR="00CD2E75">
        <w:rPr>
          <w:rFonts w:asciiTheme="minorHAnsi" w:hAnsiTheme="minorHAnsi" w:cstheme="minorHAnsi"/>
          <w:bCs/>
          <w:sz w:val="22"/>
          <w:szCs w:val="22"/>
        </w:rPr>
        <w:t>S</w:t>
      </w:r>
      <w:r w:rsidRPr="00101812">
        <w:rPr>
          <w:rFonts w:asciiTheme="minorHAnsi" w:hAnsiTheme="minorHAnsi" w:cstheme="minorHAnsi"/>
          <w:bCs/>
          <w:sz w:val="22"/>
          <w:szCs w:val="22"/>
        </w:rPr>
        <w:t>p</w:t>
      </w:r>
      <w:r w:rsidR="00CD2E75">
        <w:rPr>
          <w:rFonts w:asciiTheme="minorHAnsi" w:hAnsiTheme="minorHAnsi" w:cstheme="minorHAnsi"/>
          <w:bCs/>
          <w:sz w:val="22"/>
          <w:szCs w:val="22"/>
        </w:rPr>
        <w:t>.</w:t>
      </w:r>
      <w:r w:rsidRPr="00101812">
        <w:rPr>
          <w:rFonts w:asciiTheme="minorHAnsi" w:hAnsiTheme="minorHAnsi" w:cstheme="minorHAnsi"/>
          <w:bCs/>
          <w:sz w:val="22"/>
          <w:szCs w:val="22"/>
        </w:rPr>
        <w:t xml:space="preserve"> z o</w:t>
      </w:r>
      <w:r w:rsidR="00CD2E75">
        <w:rPr>
          <w:rFonts w:asciiTheme="minorHAnsi" w:hAnsiTheme="minorHAnsi" w:cstheme="minorHAnsi"/>
          <w:bCs/>
          <w:sz w:val="22"/>
          <w:szCs w:val="22"/>
        </w:rPr>
        <w:t>.</w:t>
      </w:r>
      <w:r w:rsidRPr="00101812">
        <w:rPr>
          <w:rFonts w:asciiTheme="minorHAnsi" w:hAnsiTheme="minorHAnsi" w:cstheme="minorHAnsi"/>
          <w:bCs/>
          <w:sz w:val="22"/>
          <w:szCs w:val="22"/>
        </w:rPr>
        <w:t>o</w:t>
      </w:r>
      <w:r w:rsidR="00CD2E75">
        <w:rPr>
          <w:rFonts w:asciiTheme="minorHAnsi" w:hAnsiTheme="minorHAnsi" w:cstheme="minorHAnsi"/>
          <w:bCs/>
          <w:sz w:val="22"/>
          <w:szCs w:val="22"/>
        </w:rPr>
        <w:t>.</w:t>
      </w:r>
      <w:r w:rsidRPr="00101812">
        <w:rPr>
          <w:rFonts w:asciiTheme="minorHAnsi" w:hAnsiTheme="minorHAnsi" w:cstheme="minorHAnsi"/>
          <w:bCs/>
          <w:sz w:val="22"/>
          <w:szCs w:val="22"/>
        </w:rPr>
        <w:t xml:space="preserve"> na podstawie zawartej umowy</w:t>
      </w:r>
      <w:r w:rsidR="00DA64F8">
        <w:rPr>
          <w:rFonts w:asciiTheme="minorHAnsi" w:hAnsiTheme="minorHAnsi" w:cstheme="minorHAnsi"/>
          <w:bCs/>
          <w:sz w:val="22"/>
          <w:szCs w:val="22"/>
        </w:rPr>
        <w:t>.</w:t>
      </w:r>
    </w:p>
    <w:p w14:paraId="4E818013" w14:textId="61335283" w:rsidR="00DA64F8" w:rsidRPr="00270F10" w:rsidRDefault="007A0B9E" w:rsidP="00270F10">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 xml:space="preserve">Informacja na temat działań Urzędu m.st. Warszawy </w:t>
      </w:r>
      <w:r w:rsidR="00E94DBE" w:rsidRPr="00270F10">
        <w:rPr>
          <w:rFonts w:ascii="Calibri" w:hAnsi="Calibri" w:cs="Calibri"/>
          <w:b w:val="0"/>
          <w:sz w:val="22"/>
          <w:szCs w:val="22"/>
          <w:lang w:val="pl-PL"/>
        </w:rPr>
        <w:t xml:space="preserve">w zakresie pomocy obywatelom </w:t>
      </w:r>
      <w:r w:rsidRPr="00270F10">
        <w:rPr>
          <w:rFonts w:ascii="Calibri" w:hAnsi="Calibri" w:cs="Calibri"/>
          <w:b w:val="0"/>
          <w:sz w:val="22"/>
          <w:szCs w:val="22"/>
          <w:lang w:val="pl-PL"/>
        </w:rPr>
        <w:t xml:space="preserve"> Ukrainy</w:t>
      </w:r>
      <w:r w:rsidR="00E94DBE" w:rsidRPr="00270F10">
        <w:rPr>
          <w:rFonts w:ascii="Calibri" w:hAnsi="Calibri" w:cs="Calibri"/>
          <w:b w:val="0"/>
          <w:sz w:val="22"/>
          <w:szCs w:val="22"/>
          <w:lang w:val="pl-PL"/>
        </w:rPr>
        <w:t xml:space="preserve"> w związku z konfliktem zbrojnym na terytorium tego państwa </w:t>
      </w:r>
      <w:r w:rsidR="00DA64F8" w:rsidRPr="00270F10">
        <w:rPr>
          <w:rFonts w:ascii="Calibri" w:hAnsi="Calibri" w:cs="Calibri"/>
          <w:b w:val="0"/>
          <w:sz w:val="22"/>
          <w:szCs w:val="22"/>
          <w:lang w:val="pl-PL"/>
        </w:rPr>
        <w:t>w</w:t>
      </w:r>
      <w:r w:rsidR="00E94DBE" w:rsidRPr="00270F10">
        <w:rPr>
          <w:rFonts w:ascii="Calibri" w:hAnsi="Calibri" w:cs="Calibri"/>
          <w:b w:val="0"/>
          <w:sz w:val="22"/>
          <w:szCs w:val="22"/>
          <w:lang w:val="pl-PL"/>
        </w:rPr>
        <w:t xml:space="preserve"> 2022 r. </w:t>
      </w:r>
    </w:p>
    <w:p w14:paraId="27E993A2" w14:textId="384E004D" w:rsidR="008D6EB5" w:rsidRPr="00D71C3E" w:rsidRDefault="00E94DBE" w:rsidP="00D71C3E">
      <w:pPr>
        <w:pStyle w:val="Akapitzlist"/>
        <w:spacing w:after="240" w:line="300" w:lineRule="auto"/>
        <w:ind w:left="1137"/>
        <w:rPr>
          <w:rFonts w:asciiTheme="minorHAnsi" w:hAnsiTheme="minorHAnsi" w:cstheme="minorHAnsi"/>
          <w:sz w:val="22"/>
          <w:szCs w:val="22"/>
        </w:rPr>
      </w:pPr>
      <w:r w:rsidRPr="00D71C3E">
        <w:rPr>
          <w:rFonts w:asciiTheme="minorHAnsi" w:hAnsiTheme="minorHAnsi" w:cstheme="minorHAnsi"/>
          <w:bCs/>
          <w:sz w:val="22"/>
          <w:szCs w:val="22"/>
        </w:rPr>
        <w:t xml:space="preserve">Urząd m.st. Warszawy wydatkował kwotę w wysokości  </w:t>
      </w:r>
      <w:r w:rsidR="00546C28" w:rsidRPr="00D71C3E">
        <w:rPr>
          <w:rFonts w:asciiTheme="minorHAnsi" w:hAnsiTheme="minorHAnsi" w:cstheme="minorHAnsi"/>
          <w:bCs/>
          <w:sz w:val="22"/>
          <w:szCs w:val="22"/>
        </w:rPr>
        <w:t>36 878 963,26</w:t>
      </w:r>
      <w:r w:rsidR="00CD2E75">
        <w:rPr>
          <w:rFonts w:asciiTheme="minorHAnsi" w:hAnsiTheme="minorHAnsi" w:cstheme="minorHAnsi"/>
          <w:bCs/>
          <w:sz w:val="22"/>
          <w:szCs w:val="22"/>
        </w:rPr>
        <w:t xml:space="preserve"> </w:t>
      </w:r>
      <w:r w:rsidRPr="00D71C3E">
        <w:rPr>
          <w:rFonts w:asciiTheme="minorHAnsi" w:hAnsiTheme="minorHAnsi" w:cstheme="minorHAnsi"/>
          <w:bCs/>
          <w:sz w:val="22"/>
          <w:szCs w:val="22"/>
        </w:rPr>
        <w:t xml:space="preserve">zł ze środków </w:t>
      </w:r>
      <w:r w:rsidR="003465BE" w:rsidRPr="00D71C3E">
        <w:rPr>
          <w:rFonts w:asciiTheme="minorHAnsi" w:hAnsiTheme="minorHAnsi" w:cstheme="minorHAnsi"/>
          <w:bCs/>
          <w:sz w:val="22"/>
          <w:szCs w:val="22"/>
        </w:rPr>
        <w:t xml:space="preserve">finansowych otrzymanych przez m.st. Warszawy </w:t>
      </w:r>
      <w:r w:rsidRPr="00D71C3E">
        <w:rPr>
          <w:rFonts w:asciiTheme="minorHAnsi" w:hAnsiTheme="minorHAnsi" w:cstheme="minorHAnsi"/>
          <w:bCs/>
          <w:sz w:val="22"/>
          <w:szCs w:val="22"/>
        </w:rPr>
        <w:t>z Funduszu Pomocy, darowizn</w:t>
      </w:r>
      <w:r w:rsidR="00546C28" w:rsidRPr="00D71C3E">
        <w:rPr>
          <w:rFonts w:asciiTheme="minorHAnsi" w:hAnsiTheme="minorHAnsi" w:cstheme="minorHAnsi"/>
          <w:bCs/>
          <w:sz w:val="22"/>
          <w:szCs w:val="22"/>
        </w:rPr>
        <w:t>, dotacji</w:t>
      </w:r>
      <w:r w:rsidR="001F66DF" w:rsidRPr="00D71C3E">
        <w:rPr>
          <w:rFonts w:asciiTheme="minorHAnsi" w:hAnsiTheme="minorHAnsi" w:cstheme="minorHAnsi"/>
          <w:bCs/>
          <w:sz w:val="22"/>
          <w:szCs w:val="22"/>
        </w:rPr>
        <w:t xml:space="preserve"> </w:t>
      </w:r>
      <w:r w:rsidRPr="00D71C3E">
        <w:rPr>
          <w:rFonts w:asciiTheme="minorHAnsi" w:hAnsiTheme="minorHAnsi" w:cstheme="minorHAnsi"/>
          <w:bCs/>
          <w:sz w:val="22"/>
          <w:szCs w:val="22"/>
        </w:rPr>
        <w:t xml:space="preserve">w tym z UNICEF oraz </w:t>
      </w:r>
      <w:r w:rsidR="003465BE" w:rsidRPr="00D71C3E">
        <w:rPr>
          <w:rFonts w:asciiTheme="minorHAnsi" w:hAnsiTheme="minorHAnsi" w:cstheme="minorHAnsi"/>
          <w:bCs/>
          <w:sz w:val="22"/>
          <w:szCs w:val="22"/>
        </w:rPr>
        <w:t xml:space="preserve">z </w:t>
      </w:r>
      <w:r w:rsidRPr="00D71C3E">
        <w:rPr>
          <w:rFonts w:asciiTheme="minorHAnsi" w:hAnsiTheme="minorHAnsi" w:cstheme="minorHAnsi"/>
          <w:bCs/>
          <w:sz w:val="22"/>
          <w:szCs w:val="22"/>
        </w:rPr>
        <w:t>własnych</w:t>
      </w:r>
      <w:r w:rsidR="003465BE" w:rsidRPr="00D71C3E">
        <w:rPr>
          <w:rFonts w:asciiTheme="minorHAnsi" w:hAnsiTheme="minorHAnsi" w:cstheme="minorHAnsi"/>
          <w:bCs/>
          <w:sz w:val="22"/>
          <w:szCs w:val="22"/>
        </w:rPr>
        <w:t xml:space="preserve"> środków finansowych m.st. Warszawy</w:t>
      </w:r>
      <w:r w:rsidRPr="00D71C3E">
        <w:rPr>
          <w:rFonts w:asciiTheme="minorHAnsi" w:hAnsiTheme="minorHAnsi" w:cstheme="minorHAnsi"/>
          <w:bCs/>
          <w:sz w:val="22"/>
          <w:szCs w:val="22"/>
        </w:rPr>
        <w:t>. Powyższa kwota była wydatkowan</w:t>
      </w:r>
      <w:r w:rsidR="00AD3285" w:rsidRPr="00D71C3E">
        <w:rPr>
          <w:rFonts w:asciiTheme="minorHAnsi" w:hAnsiTheme="minorHAnsi" w:cstheme="minorHAnsi"/>
          <w:bCs/>
          <w:sz w:val="22"/>
          <w:szCs w:val="22"/>
        </w:rPr>
        <w:t>a</w:t>
      </w:r>
      <w:r w:rsidRPr="00D71C3E">
        <w:rPr>
          <w:rFonts w:asciiTheme="minorHAnsi" w:hAnsiTheme="minorHAnsi" w:cstheme="minorHAnsi"/>
          <w:bCs/>
          <w:sz w:val="22"/>
          <w:szCs w:val="22"/>
        </w:rPr>
        <w:t xml:space="preserve"> m.in. na zakwaterowanie i wyżywienie uchodźców z Ukrainy, zakup środków czystości</w:t>
      </w:r>
      <w:r w:rsidR="00AD3285" w:rsidRPr="00D71C3E">
        <w:rPr>
          <w:rFonts w:asciiTheme="minorHAnsi" w:hAnsiTheme="minorHAnsi" w:cstheme="minorHAnsi"/>
          <w:bCs/>
          <w:sz w:val="22"/>
          <w:szCs w:val="22"/>
        </w:rPr>
        <w:t xml:space="preserve"> i higieny osobistej</w:t>
      </w:r>
      <w:r w:rsidRPr="00D71C3E">
        <w:rPr>
          <w:rFonts w:asciiTheme="minorHAnsi" w:hAnsiTheme="minorHAnsi" w:cstheme="minorHAnsi"/>
          <w:bCs/>
          <w:sz w:val="22"/>
          <w:szCs w:val="22"/>
        </w:rPr>
        <w:t xml:space="preserve">, </w:t>
      </w:r>
      <w:r w:rsidR="00AD3285" w:rsidRPr="00D71C3E">
        <w:rPr>
          <w:rFonts w:asciiTheme="minorHAnsi" w:hAnsiTheme="minorHAnsi" w:cstheme="minorHAnsi"/>
          <w:sz w:val="22"/>
          <w:szCs w:val="22"/>
        </w:rPr>
        <w:t>kształceni</w:t>
      </w:r>
      <w:r w:rsidR="008E3586" w:rsidRPr="00D71C3E">
        <w:rPr>
          <w:rFonts w:asciiTheme="minorHAnsi" w:hAnsiTheme="minorHAnsi" w:cstheme="minorHAnsi"/>
          <w:sz w:val="22"/>
          <w:szCs w:val="22"/>
        </w:rPr>
        <w:t>e</w:t>
      </w:r>
      <w:r w:rsidR="00AD3285" w:rsidRPr="00D71C3E">
        <w:rPr>
          <w:rFonts w:asciiTheme="minorHAnsi" w:hAnsiTheme="minorHAnsi" w:cstheme="minorHAnsi"/>
          <w:sz w:val="22"/>
          <w:szCs w:val="22"/>
        </w:rPr>
        <w:t xml:space="preserve"> uczniów będących obywatelami Ukrainy, których pobyt na terytorium RP jest uznawany za legalny</w:t>
      </w:r>
      <w:r w:rsidR="008E3586" w:rsidRPr="00D71C3E">
        <w:rPr>
          <w:rFonts w:asciiTheme="minorHAnsi" w:hAnsiTheme="minorHAnsi" w:cstheme="minorHAnsi"/>
          <w:sz w:val="22"/>
          <w:szCs w:val="22"/>
        </w:rPr>
        <w:t xml:space="preserve">, </w:t>
      </w:r>
      <w:r w:rsidRPr="00D71C3E">
        <w:rPr>
          <w:rFonts w:asciiTheme="minorHAnsi" w:hAnsiTheme="minorHAnsi" w:cstheme="minorHAnsi"/>
          <w:bCs/>
          <w:sz w:val="22"/>
          <w:szCs w:val="22"/>
        </w:rPr>
        <w:t>nadawanie nr PESEL</w:t>
      </w:r>
      <w:r w:rsidR="00AD3285" w:rsidRPr="00D71C3E">
        <w:rPr>
          <w:rFonts w:asciiTheme="minorHAnsi" w:hAnsiTheme="minorHAnsi" w:cstheme="minorHAnsi"/>
          <w:sz w:val="22"/>
          <w:szCs w:val="22"/>
        </w:rPr>
        <w:t xml:space="preserve"> w tym na wykonanie fotografii osobie ubiegającej się o nadanie numeru PESEL oraz </w:t>
      </w:r>
      <w:r w:rsidR="00AD3285" w:rsidRPr="00D71C3E">
        <w:rPr>
          <w:rFonts w:asciiTheme="minorHAnsi" w:hAnsiTheme="minorHAnsi" w:cstheme="minorHAnsi"/>
          <w:bCs/>
          <w:sz w:val="22"/>
          <w:szCs w:val="22"/>
        </w:rPr>
        <w:t xml:space="preserve"> </w:t>
      </w:r>
      <w:r w:rsidR="00AD3285" w:rsidRPr="00D71C3E">
        <w:rPr>
          <w:rFonts w:asciiTheme="minorHAnsi" w:hAnsiTheme="minorHAnsi" w:cstheme="minorHAnsi"/>
          <w:sz w:val="22"/>
          <w:szCs w:val="22"/>
        </w:rPr>
        <w:t>na utrzymanie punktów nadawania PESEL na Stadionie Narodowym w Warszawie</w:t>
      </w:r>
      <w:r w:rsidR="008E3586" w:rsidRPr="00D71C3E">
        <w:rPr>
          <w:rFonts w:asciiTheme="minorHAnsi" w:hAnsiTheme="minorHAnsi" w:cstheme="minorHAnsi"/>
          <w:sz w:val="22"/>
          <w:szCs w:val="22"/>
        </w:rPr>
        <w:t>,  na wsparcie realizacji działań związanych z kryzysem ukraińskim i reagowaniem na uchodźców w Warszawie w obszarze związanym z dziećmi</w:t>
      </w:r>
      <w:r w:rsidR="00702A2A" w:rsidRPr="00D71C3E">
        <w:rPr>
          <w:rFonts w:asciiTheme="minorHAnsi" w:hAnsiTheme="minorHAnsi" w:cstheme="minorHAnsi"/>
          <w:sz w:val="22"/>
          <w:szCs w:val="22"/>
        </w:rPr>
        <w:t xml:space="preserve"> (wydatkowane środki UNICEF w wysokości 22 057 778,69 zł</w:t>
      </w:r>
      <w:r w:rsidR="00CD2E75">
        <w:rPr>
          <w:rFonts w:asciiTheme="minorHAnsi" w:hAnsiTheme="minorHAnsi" w:cstheme="minorHAnsi"/>
          <w:sz w:val="22"/>
          <w:szCs w:val="22"/>
        </w:rPr>
        <w:t>,</w:t>
      </w:r>
      <w:r w:rsidR="00702A2A" w:rsidRPr="00D71C3E">
        <w:rPr>
          <w:rFonts w:asciiTheme="minorHAnsi" w:hAnsiTheme="minorHAnsi" w:cstheme="minorHAnsi"/>
          <w:sz w:val="22"/>
          <w:szCs w:val="22"/>
        </w:rPr>
        <w:t xml:space="preserve"> w tym udzielone dotacje w wysokości 20 136 217,54 zł)</w:t>
      </w:r>
      <w:r w:rsidR="008E3586" w:rsidRPr="00D71C3E">
        <w:rPr>
          <w:rFonts w:asciiTheme="minorHAnsi" w:hAnsiTheme="minorHAnsi" w:cstheme="minorHAnsi"/>
          <w:bCs/>
          <w:sz w:val="22"/>
          <w:szCs w:val="22"/>
        </w:rPr>
        <w:t>.</w:t>
      </w:r>
      <w:r w:rsidR="00A66B57" w:rsidRPr="00D71C3E">
        <w:rPr>
          <w:rFonts w:asciiTheme="minorHAnsi" w:hAnsiTheme="minorHAnsi" w:cstheme="minorHAnsi"/>
          <w:bCs/>
          <w:sz w:val="22"/>
          <w:szCs w:val="22"/>
        </w:rPr>
        <w:t xml:space="preserve"> </w:t>
      </w:r>
      <w:r w:rsidR="00A66B57" w:rsidRPr="00D71C3E">
        <w:rPr>
          <w:rFonts w:asciiTheme="minorHAnsi" w:hAnsiTheme="minorHAnsi" w:cstheme="minorHAnsi"/>
          <w:bCs/>
          <w:sz w:val="22"/>
          <w:szCs w:val="22"/>
        </w:rPr>
        <w:lastRenderedPageBreak/>
        <w:t>Ponadto m.st. Warszawy otrzymywało darowizny</w:t>
      </w:r>
      <w:r w:rsidR="008D6EB5" w:rsidRPr="00D71C3E">
        <w:rPr>
          <w:rFonts w:asciiTheme="minorHAnsi" w:hAnsiTheme="minorHAnsi" w:cstheme="minorHAnsi"/>
          <w:bCs/>
          <w:sz w:val="22"/>
          <w:szCs w:val="22"/>
        </w:rPr>
        <w:t xml:space="preserve"> </w:t>
      </w:r>
      <w:r w:rsidR="008D6EB5" w:rsidRPr="00D71C3E">
        <w:rPr>
          <w:rFonts w:asciiTheme="minorHAnsi" w:hAnsiTheme="minorHAnsi" w:cstheme="minorHAnsi"/>
          <w:sz w:val="22"/>
          <w:szCs w:val="22"/>
        </w:rPr>
        <w:t>m.in. produkty higieniczne, chemia gospodarcza, sprzęt AGD i IT, pościel, materace, łóżka polowe, artykuły medyczne. Darowizny trafiały do wyznaczonych w Warszawie miejsc pomocy uchodźcom z Ukrainy</w:t>
      </w:r>
      <w:r w:rsidR="00CD2E75">
        <w:rPr>
          <w:rFonts w:asciiTheme="minorHAnsi" w:hAnsiTheme="minorHAnsi" w:cstheme="minorHAnsi"/>
          <w:sz w:val="22"/>
          <w:szCs w:val="22"/>
        </w:rPr>
        <w:t>,</w:t>
      </w:r>
      <w:r w:rsidR="008D6EB5" w:rsidRPr="00D71C3E">
        <w:rPr>
          <w:rFonts w:asciiTheme="minorHAnsi" w:hAnsiTheme="minorHAnsi" w:cstheme="minorHAnsi"/>
          <w:sz w:val="22"/>
          <w:szCs w:val="22"/>
        </w:rPr>
        <w:t xml:space="preserve"> w tym do miejsc zakwaterowania lub do pomieszczeń w Warszawie, z których odbywa się dalsza dystrybucja w ramach potrzeb</w:t>
      </w:r>
      <w:r w:rsidR="001132F3" w:rsidRPr="00D71C3E">
        <w:rPr>
          <w:rFonts w:asciiTheme="minorHAnsi" w:hAnsiTheme="minorHAnsi" w:cstheme="minorHAnsi"/>
          <w:sz w:val="22"/>
          <w:szCs w:val="22"/>
        </w:rPr>
        <w:t xml:space="preserve"> na terenie m.st. Warszawy.</w:t>
      </w:r>
    </w:p>
    <w:p w14:paraId="7A418575" w14:textId="77777777" w:rsidR="00CF5F24" w:rsidRPr="002168DB" w:rsidRDefault="00CF5F24" w:rsidP="00490744">
      <w:pPr>
        <w:pStyle w:val="Akapitzlist"/>
        <w:ind w:left="1137"/>
        <w:rPr>
          <w:rFonts w:ascii="Calibri" w:hAnsi="Calibri" w:cs="Calibri"/>
          <w:sz w:val="22"/>
          <w:szCs w:val="22"/>
        </w:rPr>
      </w:pPr>
    </w:p>
    <w:sectPr w:rsidR="00CF5F24" w:rsidRPr="002168DB" w:rsidSect="00270F10">
      <w:footerReference w:type="default" r:id="rId10"/>
      <w:pgSz w:w="11907" w:h="16840" w:code="9"/>
      <w:pgMar w:top="1418" w:right="1134" w:bottom="851" w:left="1701" w:header="851" w:footer="851" w:gutter="0"/>
      <w:pgNumType w:start="2"/>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2B439" w14:textId="77777777" w:rsidR="00BE456D" w:rsidRDefault="00BE456D">
      <w:r>
        <w:separator/>
      </w:r>
    </w:p>
  </w:endnote>
  <w:endnote w:type="continuationSeparator" w:id="0">
    <w:p w14:paraId="444FDB20" w14:textId="77777777" w:rsidR="00BE456D" w:rsidRDefault="00BE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25998"/>
      <w:docPartObj>
        <w:docPartGallery w:val="Page Numbers (Bottom of Page)"/>
        <w:docPartUnique/>
      </w:docPartObj>
    </w:sdtPr>
    <w:sdtEndPr/>
    <w:sdtContent>
      <w:p w14:paraId="52469F8A" w14:textId="43F7138B" w:rsidR="00546042" w:rsidRDefault="00546042" w:rsidP="00270F10">
        <w:pPr>
          <w:pStyle w:val="Stopka"/>
        </w:pPr>
        <w:r w:rsidRPr="00CF0979">
          <w:rPr>
            <w:rFonts w:ascii="Calibri" w:hAnsi="Calibri" w:cs="Calibri"/>
            <w:sz w:val="22"/>
            <w:szCs w:val="22"/>
            <w:lang w:val="pl-PL"/>
          </w:rPr>
          <w:t>Wprowadzenie oraz dodatkowe informacje i objaśnienia stanowią integralną część sprawozdania finansowego</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070315"/>
      <w:docPartObj>
        <w:docPartGallery w:val="Page Numbers (Bottom of Page)"/>
        <w:docPartUnique/>
      </w:docPartObj>
    </w:sdtPr>
    <w:sdtEndPr/>
    <w:sdtContent>
      <w:p w14:paraId="3CAA5B86" w14:textId="6BE7E23E" w:rsidR="00A94331" w:rsidRPr="00CF0979" w:rsidRDefault="00A94331" w:rsidP="00761A6B">
        <w:pPr>
          <w:pStyle w:val="Stopka"/>
          <w:spacing w:after="120" w:line="300" w:lineRule="auto"/>
          <w:rPr>
            <w:rFonts w:ascii="Calibri" w:hAnsi="Calibri" w:cs="Calibri"/>
            <w:sz w:val="22"/>
            <w:szCs w:val="22"/>
            <w:lang w:val="pl-PL"/>
          </w:rPr>
        </w:pPr>
        <w:r w:rsidRPr="00CF0979">
          <w:rPr>
            <w:rFonts w:ascii="Calibri" w:hAnsi="Calibri" w:cs="Calibri"/>
            <w:sz w:val="22"/>
            <w:szCs w:val="22"/>
            <w:lang w:val="pl-PL"/>
          </w:rPr>
          <w:t>Wprowadzenie oraz dodatkowe informacje i objaśnienia stanowią integralną część sprawozdania finansowego</w:t>
        </w:r>
      </w:p>
      <w:p w14:paraId="26475E63" w14:textId="0D334B02" w:rsidR="00A94331" w:rsidRDefault="00A94331" w:rsidP="00B602B4">
        <w:pPr>
          <w:pStyle w:val="Stopka"/>
          <w:jc w:val="right"/>
        </w:pPr>
        <w:r>
          <w:fldChar w:fldCharType="begin"/>
        </w:r>
        <w:r>
          <w:instrText>PAGE   \* MERGEFORMAT</w:instrText>
        </w:r>
        <w:r>
          <w:fldChar w:fldCharType="separate"/>
        </w:r>
        <w:r w:rsidR="00F70C7B" w:rsidRPr="00F70C7B">
          <w:rPr>
            <w:noProof/>
            <w:lang w:val="pl-PL"/>
          </w:rPr>
          <w:t>11</w:t>
        </w:r>
        <w:r>
          <w:fldChar w:fldCharType="end"/>
        </w:r>
        <w:r>
          <w:t>/11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35B7" w14:textId="77777777" w:rsidR="00BE456D" w:rsidRDefault="00BE456D">
      <w:r>
        <w:separator/>
      </w:r>
    </w:p>
  </w:footnote>
  <w:footnote w:type="continuationSeparator" w:id="0">
    <w:p w14:paraId="024F7850" w14:textId="77777777" w:rsidR="00BE456D" w:rsidRDefault="00BE4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A65D" w14:textId="3C621DC6" w:rsidR="00A905BD" w:rsidRPr="00A841BB" w:rsidRDefault="00566E59" w:rsidP="009D1313">
    <w:pPr>
      <w:pStyle w:val="Nagwek"/>
      <w:tabs>
        <w:tab w:val="clear" w:pos="8306"/>
      </w:tabs>
      <w:ind w:right="360"/>
      <w:rPr>
        <w:rFonts w:ascii="Calibri" w:hAnsi="Calibri" w:cs="Calibri"/>
        <w:b/>
        <w:sz w:val="28"/>
        <w:lang w:val="pl-PL"/>
      </w:rPr>
    </w:pPr>
    <w:r>
      <w:rPr>
        <w:rFonts w:ascii="Calibri" w:hAnsi="Calibri" w:cs="Calibri"/>
        <w:b/>
        <w:color w:val="000000"/>
        <w:sz w:val="28"/>
        <w:lang w:val="pl-PL"/>
      </w:rPr>
      <w:t>Urząd m.st. Warszawy</w:t>
    </w:r>
  </w:p>
  <w:p w14:paraId="0C1C0FE9" w14:textId="77777777" w:rsidR="00A905BD" w:rsidRPr="00A841BB" w:rsidRDefault="001C1428" w:rsidP="009D1313">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Informacja dodatkowa do sprawozdania</w:t>
    </w:r>
    <w:r w:rsidR="00A905BD" w:rsidRPr="00A841BB">
      <w:rPr>
        <w:rFonts w:ascii="Calibri" w:hAnsi="Calibri" w:cs="Calibri"/>
        <w:b/>
        <w:sz w:val="24"/>
        <w:lang w:val="pl-PL"/>
      </w:rPr>
      <w:t xml:space="preserve"> finansowe</w:t>
    </w:r>
    <w:r w:rsidRPr="00A841BB">
      <w:rPr>
        <w:rFonts w:ascii="Calibri" w:hAnsi="Calibri" w:cs="Calibri"/>
        <w:b/>
        <w:sz w:val="24"/>
        <w:lang w:val="pl-PL"/>
      </w:rPr>
      <w:t>go</w:t>
    </w:r>
    <w:r w:rsidR="00A905BD" w:rsidRPr="00A841BB">
      <w:rPr>
        <w:rFonts w:ascii="Calibri" w:hAnsi="Calibri" w:cs="Calibri"/>
        <w:b/>
        <w:sz w:val="24"/>
        <w:lang w:val="pl-PL"/>
      </w:rPr>
      <w:t xml:space="preserve"> za rok obrotowy zakończony 31</w:t>
    </w:r>
    <w:r w:rsidR="00013FD1" w:rsidRPr="00A841BB">
      <w:rPr>
        <w:rFonts w:ascii="Calibri" w:hAnsi="Calibri" w:cs="Calibri"/>
        <w:b/>
        <w:sz w:val="24"/>
        <w:lang w:val="pl-PL"/>
      </w:rPr>
      <w:t> </w:t>
    </w:r>
    <w:r w:rsidR="00D71F0D" w:rsidRPr="00A841BB">
      <w:rPr>
        <w:rFonts w:ascii="Calibri" w:hAnsi="Calibri" w:cs="Calibri"/>
        <w:b/>
        <w:sz w:val="24"/>
        <w:lang w:val="pl-PL"/>
      </w:rPr>
      <w:t>grudnia 20</w:t>
    </w:r>
    <w:r w:rsidR="00566E59">
      <w:rPr>
        <w:rFonts w:ascii="Calibri" w:hAnsi="Calibri" w:cs="Calibri"/>
        <w:b/>
        <w:sz w:val="24"/>
        <w:lang w:val="pl-PL"/>
      </w:rPr>
      <w:t>2</w:t>
    </w:r>
    <w:r w:rsidR="005D245D">
      <w:rPr>
        <w:rFonts w:ascii="Calibri" w:hAnsi="Calibri" w:cs="Calibri"/>
        <w:b/>
        <w:sz w:val="24"/>
        <w:lang w:val="pl-PL"/>
      </w:rPr>
      <w:t>2</w:t>
    </w:r>
    <w:r w:rsidR="00A905BD" w:rsidRPr="00A841BB">
      <w:rPr>
        <w:rFonts w:ascii="Calibri" w:hAnsi="Calibri" w:cs="Calibri"/>
        <w:b/>
        <w:sz w:val="24"/>
        <w:lang w:val="pl-PL"/>
      </w:rPr>
      <w:t xml:space="preserve"> r.</w:t>
    </w:r>
  </w:p>
  <w:p w14:paraId="2B9B141E" w14:textId="3DC757A8" w:rsidR="00CF5F24" w:rsidRPr="00A841BB" w:rsidRDefault="00CF5F24" w:rsidP="00B602B4">
    <w:pPr>
      <w:pStyle w:val="Nagwek"/>
      <w:numPr>
        <w:ilvl w:val="0"/>
        <w:numId w:val="7"/>
      </w:numPr>
      <w:pBdr>
        <w:bottom w:val="single" w:sz="6" w:space="1" w:color="auto"/>
      </w:pBdr>
      <w:tabs>
        <w:tab w:val="clear" w:pos="4153"/>
        <w:tab w:val="clear" w:pos="8306"/>
        <w:tab w:val="center" w:pos="284"/>
        <w:tab w:val="left" w:pos="7655"/>
      </w:tabs>
      <w:ind w:left="426" w:right="45" w:hanging="426"/>
      <w:rPr>
        <w:rFonts w:ascii="Calibri" w:hAnsi="Calibri" w:cs="Calibri"/>
        <w:b/>
        <w:sz w:val="24"/>
        <w:lang w:val="pl-PL"/>
      </w:rPr>
    </w:pPr>
    <w:r w:rsidRPr="00A841BB">
      <w:rPr>
        <w:rFonts w:ascii="Calibri" w:hAnsi="Calibri" w:cs="Calibri"/>
        <w:b/>
        <w:sz w:val="24"/>
        <w:lang w:val="pl-PL"/>
      </w:rPr>
      <w:t>Wprowadzenie do sprawozdania finansowego</w:t>
    </w:r>
    <w:r w:rsidR="0037337D">
      <w:rPr>
        <w:rFonts w:ascii="Calibri" w:hAnsi="Calibri" w:cs="Calibri"/>
        <w:b/>
        <w:sz w:val="24"/>
        <w:lang w:val="pl-PL"/>
      </w:rPr>
      <w:tab/>
      <w:t>KOREKTA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53164"/>
    <w:multiLevelType w:val="multilevel"/>
    <w:tmpl w:val="127A1D4C"/>
    <w:lvl w:ilvl="0">
      <w:start w:val="4"/>
      <w:numFmt w:val="decimal"/>
      <w:lvlText w:val="%1"/>
      <w:lvlJc w:val="left"/>
      <w:pPr>
        <w:ind w:left="360" w:hanging="360"/>
      </w:pPr>
      <w:rPr>
        <w:rFonts w:ascii="Calibri" w:hAnsi="Calibri" w:cs="Calibri" w:hint="default"/>
        <w:b w:val="0"/>
        <w:color w:val="auto"/>
      </w:rPr>
    </w:lvl>
    <w:lvl w:ilvl="1">
      <w:start w:val="2"/>
      <w:numFmt w:val="decimal"/>
      <w:lvlText w:val="%1.%2"/>
      <w:lvlJc w:val="left"/>
      <w:pPr>
        <w:ind w:left="360" w:hanging="360"/>
      </w:pPr>
      <w:rPr>
        <w:rFonts w:ascii="Calibri" w:hAnsi="Calibri" w:cs="Calibri" w:hint="default"/>
        <w:b w:val="0"/>
        <w:color w:val="auto"/>
      </w:rPr>
    </w:lvl>
    <w:lvl w:ilvl="2">
      <w:start w:val="1"/>
      <w:numFmt w:val="decimal"/>
      <w:lvlText w:val="%1.%2.%3"/>
      <w:lvlJc w:val="left"/>
      <w:pPr>
        <w:ind w:left="720" w:hanging="720"/>
      </w:pPr>
      <w:rPr>
        <w:rFonts w:ascii="Calibri" w:hAnsi="Calibri" w:cs="Calibri" w:hint="default"/>
        <w:b w:val="0"/>
        <w:color w:val="auto"/>
      </w:rPr>
    </w:lvl>
    <w:lvl w:ilvl="3">
      <w:start w:val="1"/>
      <w:numFmt w:val="decimal"/>
      <w:lvlText w:val="%1.%2.%3.%4"/>
      <w:lvlJc w:val="left"/>
      <w:pPr>
        <w:ind w:left="720" w:hanging="720"/>
      </w:pPr>
      <w:rPr>
        <w:rFonts w:ascii="Calibri" w:hAnsi="Calibri" w:cs="Calibri" w:hint="default"/>
        <w:b w:val="0"/>
        <w:color w:val="auto"/>
      </w:rPr>
    </w:lvl>
    <w:lvl w:ilvl="4">
      <w:start w:val="1"/>
      <w:numFmt w:val="decimal"/>
      <w:lvlText w:val="%1.%2.%3.%4.%5"/>
      <w:lvlJc w:val="left"/>
      <w:pPr>
        <w:ind w:left="1080" w:hanging="1080"/>
      </w:pPr>
      <w:rPr>
        <w:rFonts w:ascii="Calibri" w:hAnsi="Calibri" w:cs="Calibri" w:hint="default"/>
        <w:b w:val="0"/>
        <w:color w:val="auto"/>
      </w:rPr>
    </w:lvl>
    <w:lvl w:ilvl="5">
      <w:start w:val="1"/>
      <w:numFmt w:val="decimal"/>
      <w:lvlText w:val="%1.%2.%3.%4.%5.%6"/>
      <w:lvlJc w:val="left"/>
      <w:pPr>
        <w:ind w:left="1080" w:hanging="1080"/>
      </w:pPr>
      <w:rPr>
        <w:rFonts w:ascii="Calibri" w:hAnsi="Calibri" w:cs="Calibri" w:hint="default"/>
        <w:b w:val="0"/>
        <w:color w:val="auto"/>
      </w:rPr>
    </w:lvl>
    <w:lvl w:ilvl="6">
      <w:start w:val="1"/>
      <w:numFmt w:val="decimal"/>
      <w:lvlText w:val="%1.%2.%3.%4.%5.%6.%7"/>
      <w:lvlJc w:val="left"/>
      <w:pPr>
        <w:ind w:left="1440" w:hanging="1440"/>
      </w:pPr>
      <w:rPr>
        <w:rFonts w:ascii="Calibri" w:hAnsi="Calibri" w:cs="Calibri" w:hint="default"/>
        <w:b w:val="0"/>
        <w:color w:val="auto"/>
      </w:rPr>
    </w:lvl>
    <w:lvl w:ilvl="7">
      <w:start w:val="1"/>
      <w:numFmt w:val="decimal"/>
      <w:lvlText w:val="%1.%2.%3.%4.%5.%6.%7.%8"/>
      <w:lvlJc w:val="left"/>
      <w:pPr>
        <w:ind w:left="1440" w:hanging="1440"/>
      </w:pPr>
      <w:rPr>
        <w:rFonts w:ascii="Calibri" w:hAnsi="Calibri" w:cs="Calibri" w:hint="default"/>
        <w:b w:val="0"/>
        <w:color w:val="auto"/>
      </w:rPr>
    </w:lvl>
    <w:lvl w:ilvl="8">
      <w:start w:val="1"/>
      <w:numFmt w:val="decimal"/>
      <w:lvlText w:val="%1.%2.%3.%4.%5.%6.%7.%8.%9"/>
      <w:lvlJc w:val="left"/>
      <w:pPr>
        <w:ind w:left="1800" w:hanging="1800"/>
      </w:pPr>
      <w:rPr>
        <w:rFonts w:ascii="Calibri" w:hAnsi="Calibri" w:cs="Calibri" w:hint="default"/>
        <w:b w:val="0"/>
        <w:color w:val="auto"/>
      </w:rPr>
    </w:lvl>
  </w:abstractNum>
  <w:abstractNum w:abstractNumId="2" w15:restartNumberingAfterBreak="0">
    <w:nsid w:val="0C6B1CC5"/>
    <w:multiLevelType w:val="multilevel"/>
    <w:tmpl w:val="21EE0A06"/>
    <w:lvl w:ilvl="0">
      <w:start w:val="1"/>
      <w:numFmt w:val="lowerLetter"/>
      <w:lvlText w:val="%1)"/>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none"/>
      <w:lvlText w:val="5.1"/>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 w15:restartNumberingAfterBreak="0">
    <w:nsid w:val="1CC731BF"/>
    <w:multiLevelType w:val="hybridMultilevel"/>
    <w:tmpl w:val="6D54AE22"/>
    <w:lvl w:ilvl="0" w:tplc="631A5BF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2CF85EE2"/>
    <w:multiLevelType w:val="hybridMultilevel"/>
    <w:tmpl w:val="E57A26A4"/>
    <w:lvl w:ilvl="0" w:tplc="F28097AA">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5" w15:restartNumberingAfterBreak="0">
    <w:nsid w:val="3220441F"/>
    <w:multiLevelType w:val="multilevel"/>
    <w:tmpl w:val="56C65206"/>
    <w:lvl w:ilvl="0">
      <w:start w:val="4"/>
      <w:numFmt w:val="decimal"/>
      <w:lvlText w:val="%1"/>
      <w:lvlJc w:val="left"/>
      <w:pPr>
        <w:ind w:left="360" w:hanging="360"/>
      </w:pPr>
      <w:rPr>
        <w:rFonts w:hint="default"/>
      </w:rPr>
    </w:lvl>
    <w:lvl w:ilvl="1">
      <w:start w:val="6"/>
      <w:numFmt w:val="decimal"/>
      <w:lvlText w:val="%1.%2"/>
      <w:lvlJc w:val="left"/>
      <w:pPr>
        <w:ind w:left="3195"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6"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399B2430"/>
    <w:multiLevelType w:val="hybridMultilevel"/>
    <w:tmpl w:val="1DF24568"/>
    <w:lvl w:ilvl="0" w:tplc="F28097AA">
      <w:start w:val="1"/>
      <w:numFmt w:val="bullet"/>
      <w:lvlText w:val=""/>
      <w:lvlJc w:val="left"/>
      <w:pPr>
        <w:ind w:left="2137" w:hanging="360"/>
      </w:pPr>
      <w:rPr>
        <w:rFonts w:ascii="Symbol" w:hAnsi="Symbol"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8" w15:restartNumberingAfterBreak="0">
    <w:nsid w:val="3E5878A3"/>
    <w:multiLevelType w:val="hybridMultilevel"/>
    <w:tmpl w:val="CFEE7A8C"/>
    <w:lvl w:ilvl="0" w:tplc="F28097AA">
      <w:start w:val="1"/>
      <w:numFmt w:val="bullet"/>
      <w:lvlText w:val=""/>
      <w:lvlJc w:val="left"/>
      <w:pPr>
        <w:ind w:left="2137" w:hanging="360"/>
      </w:pPr>
      <w:rPr>
        <w:rFonts w:ascii="Symbol" w:hAnsi="Symbol"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9"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0" w15:restartNumberingAfterBreak="0">
    <w:nsid w:val="4D2E139A"/>
    <w:multiLevelType w:val="hybridMultilevel"/>
    <w:tmpl w:val="6A244F1E"/>
    <w:lvl w:ilvl="0" w:tplc="631A5BFC">
      <w:start w:val="1"/>
      <w:numFmt w:val="bullet"/>
      <w:lvlText w:val=""/>
      <w:lvlJc w:val="left"/>
      <w:pPr>
        <w:ind w:left="1857" w:hanging="360"/>
      </w:pPr>
      <w:rPr>
        <w:rFonts w:ascii="Symbol" w:hAnsi="Symbol" w:hint="default"/>
      </w:rPr>
    </w:lvl>
    <w:lvl w:ilvl="1" w:tplc="04150003" w:tentative="1">
      <w:start w:val="1"/>
      <w:numFmt w:val="bullet"/>
      <w:lvlText w:val="o"/>
      <w:lvlJc w:val="left"/>
      <w:pPr>
        <w:ind w:left="2577" w:hanging="360"/>
      </w:pPr>
      <w:rPr>
        <w:rFonts w:ascii="Courier New" w:hAnsi="Courier New" w:cs="Courier New" w:hint="default"/>
      </w:rPr>
    </w:lvl>
    <w:lvl w:ilvl="2" w:tplc="04150005" w:tentative="1">
      <w:start w:val="1"/>
      <w:numFmt w:val="bullet"/>
      <w:lvlText w:val=""/>
      <w:lvlJc w:val="left"/>
      <w:pPr>
        <w:ind w:left="3297" w:hanging="360"/>
      </w:pPr>
      <w:rPr>
        <w:rFonts w:ascii="Wingdings" w:hAnsi="Wingdings" w:hint="default"/>
      </w:rPr>
    </w:lvl>
    <w:lvl w:ilvl="3" w:tplc="04150001" w:tentative="1">
      <w:start w:val="1"/>
      <w:numFmt w:val="bullet"/>
      <w:lvlText w:val=""/>
      <w:lvlJc w:val="left"/>
      <w:pPr>
        <w:ind w:left="4017" w:hanging="360"/>
      </w:pPr>
      <w:rPr>
        <w:rFonts w:ascii="Symbol" w:hAnsi="Symbol" w:hint="default"/>
      </w:rPr>
    </w:lvl>
    <w:lvl w:ilvl="4" w:tplc="04150003" w:tentative="1">
      <w:start w:val="1"/>
      <w:numFmt w:val="bullet"/>
      <w:lvlText w:val="o"/>
      <w:lvlJc w:val="left"/>
      <w:pPr>
        <w:ind w:left="4737" w:hanging="360"/>
      </w:pPr>
      <w:rPr>
        <w:rFonts w:ascii="Courier New" w:hAnsi="Courier New" w:cs="Courier New" w:hint="default"/>
      </w:rPr>
    </w:lvl>
    <w:lvl w:ilvl="5" w:tplc="04150005" w:tentative="1">
      <w:start w:val="1"/>
      <w:numFmt w:val="bullet"/>
      <w:lvlText w:val=""/>
      <w:lvlJc w:val="left"/>
      <w:pPr>
        <w:ind w:left="5457" w:hanging="360"/>
      </w:pPr>
      <w:rPr>
        <w:rFonts w:ascii="Wingdings" w:hAnsi="Wingdings" w:hint="default"/>
      </w:rPr>
    </w:lvl>
    <w:lvl w:ilvl="6" w:tplc="04150001" w:tentative="1">
      <w:start w:val="1"/>
      <w:numFmt w:val="bullet"/>
      <w:lvlText w:val=""/>
      <w:lvlJc w:val="left"/>
      <w:pPr>
        <w:ind w:left="6177" w:hanging="360"/>
      </w:pPr>
      <w:rPr>
        <w:rFonts w:ascii="Symbol" w:hAnsi="Symbol" w:hint="default"/>
      </w:rPr>
    </w:lvl>
    <w:lvl w:ilvl="7" w:tplc="04150003" w:tentative="1">
      <w:start w:val="1"/>
      <w:numFmt w:val="bullet"/>
      <w:lvlText w:val="o"/>
      <w:lvlJc w:val="left"/>
      <w:pPr>
        <w:ind w:left="6897" w:hanging="360"/>
      </w:pPr>
      <w:rPr>
        <w:rFonts w:ascii="Courier New" w:hAnsi="Courier New" w:cs="Courier New" w:hint="default"/>
      </w:rPr>
    </w:lvl>
    <w:lvl w:ilvl="8" w:tplc="04150005" w:tentative="1">
      <w:start w:val="1"/>
      <w:numFmt w:val="bullet"/>
      <w:lvlText w:val=""/>
      <w:lvlJc w:val="left"/>
      <w:pPr>
        <w:ind w:left="7617" w:hanging="360"/>
      </w:pPr>
      <w:rPr>
        <w:rFonts w:ascii="Wingdings" w:hAnsi="Wingdings" w:hint="default"/>
      </w:rPr>
    </w:lvl>
  </w:abstractNum>
  <w:abstractNum w:abstractNumId="11"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3" w15:restartNumberingAfterBreak="0">
    <w:nsid w:val="61F71F60"/>
    <w:multiLevelType w:val="multilevel"/>
    <w:tmpl w:val="AEF2E7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63D53B3B"/>
    <w:multiLevelType w:val="hybridMultilevel"/>
    <w:tmpl w:val="4A9460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abstractNumId w:val="12"/>
  </w:num>
  <w:num w:numId="2">
    <w:abstractNumId w:val="15"/>
  </w:num>
  <w:num w:numId="3">
    <w:abstractNumId w:val="6"/>
  </w:num>
  <w:num w:numId="4">
    <w:abstractNumId w:val="0"/>
  </w:num>
  <w:num w:numId="5">
    <w:abstractNumId w:val="9"/>
  </w:num>
  <w:num w:numId="6">
    <w:abstractNumId w:val="2"/>
  </w:num>
  <w:num w:numId="7">
    <w:abstractNumId w:val="11"/>
  </w:num>
  <w:num w:numId="8">
    <w:abstractNumId w:val="1"/>
  </w:num>
  <w:num w:numId="9">
    <w:abstractNumId w:val="14"/>
  </w:num>
  <w:num w:numId="10">
    <w:abstractNumId w:val="5"/>
  </w:num>
  <w:num w:numId="11">
    <w:abstractNumId w:val="10"/>
  </w:num>
  <w:num w:numId="12">
    <w:abstractNumId w:val="2"/>
  </w:num>
  <w:num w:numId="13">
    <w:abstractNumId w:val="13"/>
  </w:num>
  <w:num w:numId="14">
    <w:abstractNumId w:val="6"/>
  </w:num>
  <w:num w:numId="15">
    <w:abstractNumId w:val="6"/>
  </w:num>
  <w:num w:numId="16">
    <w:abstractNumId w:val="6"/>
  </w:num>
  <w:num w:numId="17">
    <w:abstractNumId w:val="6"/>
  </w:num>
  <w:num w:numId="18">
    <w:abstractNumId w:val="6"/>
  </w:num>
  <w:num w:numId="19">
    <w:abstractNumId w:val="6"/>
  </w:num>
  <w:num w:numId="20">
    <w:abstractNumId w:val="3"/>
  </w:num>
  <w:num w:numId="21">
    <w:abstractNumId w:val="7"/>
  </w:num>
  <w:num w:numId="22">
    <w:abstractNumId w:val="4"/>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37B47"/>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4D09"/>
    <w:rsid w:val="000953B8"/>
    <w:rsid w:val="000968D9"/>
    <w:rsid w:val="00096AC9"/>
    <w:rsid w:val="00096C54"/>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7B9"/>
    <w:rsid w:val="000C18E9"/>
    <w:rsid w:val="000C19E7"/>
    <w:rsid w:val="000C1CB2"/>
    <w:rsid w:val="000C20F3"/>
    <w:rsid w:val="000C21D5"/>
    <w:rsid w:val="000C22B8"/>
    <w:rsid w:val="000C24D2"/>
    <w:rsid w:val="000C2D5E"/>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0A06"/>
    <w:rsid w:val="000D12AE"/>
    <w:rsid w:val="000D26CF"/>
    <w:rsid w:val="000D2ECF"/>
    <w:rsid w:val="000D2EFF"/>
    <w:rsid w:val="000D3C34"/>
    <w:rsid w:val="000D4C34"/>
    <w:rsid w:val="000D571D"/>
    <w:rsid w:val="000D5FAA"/>
    <w:rsid w:val="000D68FB"/>
    <w:rsid w:val="000D6B7C"/>
    <w:rsid w:val="000D7AB1"/>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3D7"/>
    <w:rsid w:val="000F597C"/>
    <w:rsid w:val="000F5F3A"/>
    <w:rsid w:val="000F6298"/>
    <w:rsid w:val="000F64E3"/>
    <w:rsid w:val="000F6695"/>
    <w:rsid w:val="000F7889"/>
    <w:rsid w:val="000F78A0"/>
    <w:rsid w:val="000F7E43"/>
    <w:rsid w:val="001000EE"/>
    <w:rsid w:val="001002C5"/>
    <w:rsid w:val="001003AE"/>
    <w:rsid w:val="00101274"/>
    <w:rsid w:val="001012E4"/>
    <w:rsid w:val="00101812"/>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2F3"/>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3CE9"/>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CD2"/>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2D9D"/>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2F6"/>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6DF"/>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611"/>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8DB"/>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A10"/>
    <w:rsid w:val="00227B37"/>
    <w:rsid w:val="00227F73"/>
    <w:rsid w:val="0023078F"/>
    <w:rsid w:val="002310B7"/>
    <w:rsid w:val="0023176A"/>
    <w:rsid w:val="002317B9"/>
    <w:rsid w:val="00232021"/>
    <w:rsid w:val="002321C9"/>
    <w:rsid w:val="002329CF"/>
    <w:rsid w:val="0023358A"/>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0F10"/>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9CC"/>
    <w:rsid w:val="00286A6B"/>
    <w:rsid w:val="00286DB5"/>
    <w:rsid w:val="00287CFD"/>
    <w:rsid w:val="00287EF6"/>
    <w:rsid w:val="00290AC8"/>
    <w:rsid w:val="0029110D"/>
    <w:rsid w:val="002916E7"/>
    <w:rsid w:val="002919F6"/>
    <w:rsid w:val="002923E3"/>
    <w:rsid w:val="00292FAB"/>
    <w:rsid w:val="00293011"/>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450"/>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693"/>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288"/>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5BE"/>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0B3"/>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37D"/>
    <w:rsid w:val="00373EED"/>
    <w:rsid w:val="00373EF5"/>
    <w:rsid w:val="003741A7"/>
    <w:rsid w:val="00374231"/>
    <w:rsid w:val="00374D1D"/>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C57"/>
    <w:rsid w:val="003D2D8C"/>
    <w:rsid w:val="003D3274"/>
    <w:rsid w:val="003D34D4"/>
    <w:rsid w:val="003D3557"/>
    <w:rsid w:val="003D4141"/>
    <w:rsid w:val="003D4535"/>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3D"/>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4BA8"/>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2E2"/>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056"/>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5D3"/>
    <w:rsid w:val="00487642"/>
    <w:rsid w:val="004879E9"/>
    <w:rsid w:val="00490081"/>
    <w:rsid w:val="00490744"/>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0"/>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042"/>
    <w:rsid w:val="00546C28"/>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6E59"/>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9CA"/>
    <w:rsid w:val="00575A1D"/>
    <w:rsid w:val="00576402"/>
    <w:rsid w:val="00576491"/>
    <w:rsid w:val="005766ED"/>
    <w:rsid w:val="00576A20"/>
    <w:rsid w:val="00576EB5"/>
    <w:rsid w:val="005777BC"/>
    <w:rsid w:val="00577A9C"/>
    <w:rsid w:val="00580496"/>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291"/>
    <w:rsid w:val="005B79F7"/>
    <w:rsid w:val="005C005C"/>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45D"/>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5C7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24"/>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C2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5F6B"/>
    <w:rsid w:val="006E75FC"/>
    <w:rsid w:val="006E7C0B"/>
    <w:rsid w:val="006F0CED"/>
    <w:rsid w:val="006F0DBD"/>
    <w:rsid w:val="006F1ACF"/>
    <w:rsid w:val="006F1E7B"/>
    <w:rsid w:val="006F327F"/>
    <w:rsid w:val="006F366E"/>
    <w:rsid w:val="006F3DF6"/>
    <w:rsid w:val="006F4DE4"/>
    <w:rsid w:val="006F5D2B"/>
    <w:rsid w:val="006F5EA8"/>
    <w:rsid w:val="006F609B"/>
    <w:rsid w:val="006F7518"/>
    <w:rsid w:val="006F7BD2"/>
    <w:rsid w:val="00700E10"/>
    <w:rsid w:val="0070135C"/>
    <w:rsid w:val="007014B9"/>
    <w:rsid w:val="007020F6"/>
    <w:rsid w:val="007021AE"/>
    <w:rsid w:val="00702513"/>
    <w:rsid w:val="007026CD"/>
    <w:rsid w:val="007029DE"/>
    <w:rsid w:val="00702A04"/>
    <w:rsid w:val="00702A2A"/>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02"/>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A6B"/>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77C4D"/>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B9E"/>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6B83"/>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DF9"/>
    <w:rsid w:val="00803F75"/>
    <w:rsid w:val="00804002"/>
    <w:rsid w:val="00804445"/>
    <w:rsid w:val="008044B6"/>
    <w:rsid w:val="008047FE"/>
    <w:rsid w:val="0080595E"/>
    <w:rsid w:val="00805D08"/>
    <w:rsid w:val="008060A2"/>
    <w:rsid w:val="008060AD"/>
    <w:rsid w:val="00806B33"/>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8FA"/>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706"/>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5C86"/>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6E90"/>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8D1"/>
    <w:rsid w:val="008D593D"/>
    <w:rsid w:val="008D5DD2"/>
    <w:rsid w:val="008D682E"/>
    <w:rsid w:val="008D6D81"/>
    <w:rsid w:val="008D6EB5"/>
    <w:rsid w:val="008D725F"/>
    <w:rsid w:val="008D7925"/>
    <w:rsid w:val="008D7967"/>
    <w:rsid w:val="008D7A08"/>
    <w:rsid w:val="008D7EF2"/>
    <w:rsid w:val="008E0416"/>
    <w:rsid w:val="008E06E9"/>
    <w:rsid w:val="008E0F03"/>
    <w:rsid w:val="008E190B"/>
    <w:rsid w:val="008E2339"/>
    <w:rsid w:val="008E3071"/>
    <w:rsid w:val="008E32D3"/>
    <w:rsid w:val="008E34E8"/>
    <w:rsid w:val="008E3586"/>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5F9"/>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1BE"/>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0F9"/>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1B"/>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B57"/>
    <w:rsid w:val="00A66D1C"/>
    <w:rsid w:val="00A671BD"/>
    <w:rsid w:val="00A671C5"/>
    <w:rsid w:val="00A70749"/>
    <w:rsid w:val="00A708E4"/>
    <w:rsid w:val="00A70A9B"/>
    <w:rsid w:val="00A7123A"/>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331"/>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233"/>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3285"/>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2737"/>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4CBC"/>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10BE"/>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4E61"/>
    <w:rsid w:val="00B45176"/>
    <w:rsid w:val="00B46C3F"/>
    <w:rsid w:val="00B4733C"/>
    <w:rsid w:val="00B4751B"/>
    <w:rsid w:val="00B479D5"/>
    <w:rsid w:val="00B5059E"/>
    <w:rsid w:val="00B5075E"/>
    <w:rsid w:val="00B50812"/>
    <w:rsid w:val="00B50BB2"/>
    <w:rsid w:val="00B523F3"/>
    <w:rsid w:val="00B530EC"/>
    <w:rsid w:val="00B535A3"/>
    <w:rsid w:val="00B5383D"/>
    <w:rsid w:val="00B538AC"/>
    <w:rsid w:val="00B53D01"/>
    <w:rsid w:val="00B53E4E"/>
    <w:rsid w:val="00B53F43"/>
    <w:rsid w:val="00B54412"/>
    <w:rsid w:val="00B547BF"/>
    <w:rsid w:val="00B55008"/>
    <w:rsid w:val="00B556E8"/>
    <w:rsid w:val="00B56849"/>
    <w:rsid w:val="00B56AD4"/>
    <w:rsid w:val="00B56E02"/>
    <w:rsid w:val="00B5736C"/>
    <w:rsid w:val="00B5739E"/>
    <w:rsid w:val="00B57483"/>
    <w:rsid w:val="00B57A74"/>
    <w:rsid w:val="00B602B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0D8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56D"/>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D1C"/>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517"/>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D1A"/>
    <w:rsid w:val="00C52F68"/>
    <w:rsid w:val="00C53730"/>
    <w:rsid w:val="00C53927"/>
    <w:rsid w:val="00C54376"/>
    <w:rsid w:val="00C55589"/>
    <w:rsid w:val="00C56C7D"/>
    <w:rsid w:val="00C57047"/>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64B"/>
    <w:rsid w:val="00C908BF"/>
    <w:rsid w:val="00C90A12"/>
    <w:rsid w:val="00C911A1"/>
    <w:rsid w:val="00C912D3"/>
    <w:rsid w:val="00C91B46"/>
    <w:rsid w:val="00C931A0"/>
    <w:rsid w:val="00C9356E"/>
    <w:rsid w:val="00C93EA9"/>
    <w:rsid w:val="00C943E9"/>
    <w:rsid w:val="00C9492F"/>
    <w:rsid w:val="00C95C29"/>
    <w:rsid w:val="00C9692E"/>
    <w:rsid w:val="00C96A21"/>
    <w:rsid w:val="00C96FB4"/>
    <w:rsid w:val="00C97829"/>
    <w:rsid w:val="00CA04B5"/>
    <w:rsid w:val="00CA072B"/>
    <w:rsid w:val="00CA08A3"/>
    <w:rsid w:val="00CA0C3D"/>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2E75"/>
    <w:rsid w:val="00CD3D63"/>
    <w:rsid w:val="00CD47C8"/>
    <w:rsid w:val="00CD488E"/>
    <w:rsid w:val="00CD49B5"/>
    <w:rsid w:val="00CD4E8A"/>
    <w:rsid w:val="00CD5636"/>
    <w:rsid w:val="00CD581D"/>
    <w:rsid w:val="00CD5F2A"/>
    <w:rsid w:val="00CD5FFC"/>
    <w:rsid w:val="00CD60E1"/>
    <w:rsid w:val="00CD638D"/>
    <w:rsid w:val="00CD6392"/>
    <w:rsid w:val="00CD6901"/>
    <w:rsid w:val="00CD7780"/>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272"/>
    <w:rsid w:val="00CF3307"/>
    <w:rsid w:val="00CF3798"/>
    <w:rsid w:val="00CF3914"/>
    <w:rsid w:val="00CF42A5"/>
    <w:rsid w:val="00CF44F3"/>
    <w:rsid w:val="00CF4709"/>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288"/>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6B6"/>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C3E"/>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8A7"/>
    <w:rsid w:val="00D84A26"/>
    <w:rsid w:val="00D84B39"/>
    <w:rsid w:val="00D850AF"/>
    <w:rsid w:val="00D85D2F"/>
    <w:rsid w:val="00D861F3"/>
    <w:rsid w:val="00D862E5"/>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4F8"/>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29D8"/>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564"/>
    <w:rsid w:val="00E40B91"/>
    <w:rsid w:val="00E41535"/>
    <w:rsid w:val="00E416A4"/>
    <w:rsid w:val="00E4172B"/>
    <w:rsid w:val="00E42206"/>
    <w:rsid w:val="00E4222A"/>
    <w:rsid w:val="00E42373"/>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2E6B"/>
    <w:rsid w:val="00E93280"/>
    <w:rsid w:val="00E93A0B"/>
    <w:rsid w:val="00E93BD2"/>
    <w:rsid w:val="00E93C57"/>
    <w:rsid w:val="00E94331"/>
    <w:rsid w:val="00E94A01"/>
    <w:rsid w:val="00E94CA4"/>
    <w:rsid w:val="00E94DBE"/>
    <w:rsid w:val="00E94E73"/>
    <w:rsid w:val="00E959D1"/>
    <w:rsid w:val="00E95AA1"/>
    <w:rsid w:val="00E96016"/>
    <w:rsid w:val="00E963F5"/>
    <w:rsid w:val="00E96F39"/>
    <w:rsid w:val="00E97018"/>
    <w:rsid w:val="00E97841"/>
    <w:rsid w:val="00E97CBF"/>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4FB2"/>
    <w:rsid w:val="00EB5DB3"/>
    <w:rsid w:val="00EB65CD"/>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068"/>
    <w:rsid w:val="00EC59B5"/>
    <w:rsid w:val="00EC5FDC"/>
    <w:rsid w:val="00EC6F9A"/>
    <w:rsid w:val="00EC7735"/>
    <w:rsid w:val="00EC7861"/>
    <w:rsid w:val="00EC7F1D"/>
    <w:rsid w:val="00ED056F"/>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61E"/>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22"/>
    <w:rsid w:val="00F30B98"/>
    <w:rsid w:val="00F30F6B"/>
    <w:rsid w:val="00F321EF"/>
    <w:rsid w:val="00F32837"/>
    <w:rsid w:val="00F32CEA"/>
    <w:rsid w:val="00F33CB7"/>
    <w:rsid w:val="00F34190"/>
    <w:rsid w:val="00F347C8"/>
    <w:rsid w:val="00F35930"/>
    <w:rsid w:val="00F359F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0C7B"/>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E30"/>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395"/>
    <w:rsid w:val="00F9072F"/>
    <w:rsid w:val="00F908A8"/>
    <w:rsid w:val="00F90BCD"/>
    <w:rsid w:val="00F9108D"/>
    <w:rsid w:val="00F91727"/>
    <w:rsid w:val="00F919AA"/>
    <w:rsid w:val="00F91FC5"/>
    <w:rsid w:val="00F925ED"/>
    <w:rsid w:val="00F926DB"/>
    <w:rsid w:val="00F92EA2"/>
    <w:rsid w:val="00F93580"/>
    <w:rsid w:val="00F935ED"/>
    <w:rsid w:val="00F93D1E"/>
    <w:rsid w:val="00F940A6"/>
    <w:rsid w:val="00F94221"/>
    <w:rsid w:val="00F9462C"/>
    <w:rsid w:val="00F94657"/>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34D"/>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E9E"/>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B52CC"/>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56F"/>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uiPriority w:val="99"/>
    <w:semiHidden/>
    <w:rsid w:val="009D1313"/>
    <w:rPr>
      <w:lang w:val="en-GB"/>
    </w:rPr>
  </w:style>
  <w:style w:type="character" w:customStyle="1" w:styleId="TekstkomentarzaZnak">
    <w:name w:val="Tekst komentarza Znak"/>
    <w:link w:val="Tekstkomentarza"/>
    <w:uiPriority w:val="99"/>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character" w:styleId="Odwoaniedokomentarza">
    <w:name w:val="annotation reference"/>
    <w:uiPriority w:val="99"/>
    <w:rsid w:val="00651624"/>
    <w:rPr>
      <w:sz w:val="16"/>
      <w:szCs w:val="16"/>
    </w:rPr>
  </w:style>
  <w:style w:type="paragraph" w:styleId="Poprawka">
    <w:name w:val="Revision"/>
    <w:hidden/>
    <w:uiPriority w:val="99"/>
    <w:semiHidden/>
    <w:rsid w:val="00EB4FB2"/>
    <w:rPr>
      <w:lang w:eastAsia="en-US"/>
    </w:rPr>
  </w:style>
  <w:style w:type="character" w:customStyle="1" w:styleId="hgkelc">
    <w:name w:val="hgkelc"/>
    <w:basedOn w:val="Domylnaczcionkaakapitu"/>
    <w:rsid w:val="00AF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76216975">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09351">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12969851">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BC62D-3F53-4B6A-826D-87988052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3086</Words>
  <Characters>18519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Wprowadzenie do Sprawozdania finansowego Korekta</vt:lpstr>
    </vt:vector>
  </TitlesOfParts>
  <Company>UMSTW</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Wprowadzenie do Sprawozdania finansowego Korekta</dc:title>
  <dc:subject/>
  <dc:creator>esemeniuk</dc:creator>
  <cp:keywords/>
  <cp:lastModifiedBy>Wełnicka Dorota</cp:lastModifiedBy>
  <cp:revision>14</cp:revision>
  <cp:lastPrinted>2023-04-21T05:38:00Z</cp:lastPrinted>
  <dcterms:created xsi:type="dcterms:W3CDTF">2023-04-21T05:39:00Z</dcterms:created>
  <dcterms:modified xsi:type="dcterms:W3CDTF">2023-05-08T12:57:00Z</dcterms:modified>
</cp:coreProperties>
</file>