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0787" w:rsidRPr="0012041D" w:rsidRDefault="00C90787" w:rsidP="00656AFD">
      <w:pPr>
        <w:pStyle w:val="Nagwek1"/>
        <w:spacing w:before="9000"/>
      </w:pPr>
      <w:bookmarkStart w:id="0" w:name="_Toc91140292"/>
      <w:bookmarkStart w:id="1" w:name="_Toc122424853"/>
      <w:r w:rsidRPr="0012041D">
        <w:t>1.</w:t>
      </w:r>
      <w:r>
        <w:t xml:space="preserve"> </w:t>
      </w:r>
      <w:r>
        <w:tab/>
        <w:t>OBJAŚNIENIA DO WIELOLETNIEJ PROGNOZY FINANSOWEJ MIASTA STOŁECZNEGO WARSZAWY</w:t>
      </w:r>
      <w:r>
        <w:br/>
        <w:t>NA</w:t>
      </w:r>
      <w:r>
        <w:rPr>
          <w:rFonts w:ascii="Verdana" w:hAnsi="Verdana" w:cs="Verdana"/>
          <w:spacing w:val="-6"/>
          <w:sz w:val="18"/>
          <w:szCs w:val="18"/>
        </w:rPr>
        <w:t> </w:t>
      </w:r>
      <w:r>
        <w:t>LATA</w:t>
      </w:r>
      <w:r>
        <w:rPr>
          <w:rFonts w:ascii="Verdana" w:hAnsi="Verdana" w:cs="Verdana"/>
          <w:spacing w:val="-6"/>
          <w:sz w:val="18"/>
          <w:szCs w:val="18"/>
        </w:rPr>
        <w:t> </w:t>
      </w:r>
      <w:r>
        <w:t>2023-2050 WRAZ Z POLITYKĄ DŁUGU</w:t>
      </w:r>
      <w:r>
        <w:br/>
        <w:t>MIASTA STOŁECZNEGO WARSZAWY</w:t>
      </w:r>
      <w:r>
        <w:br/>
        <w:t>EDYCJA</w:t>
      </w:r>
      <w:r>
        <w:rPr>
          <w:rFonts w:ascii="Verdana" w:hAnsi="Verdana" w:cs="Verdana"/>
          <w:spacing w:val="-6"/>
          <w:sz w:val="18"/>
          <w:szCs w:val="18"/>
        </w:rPr>
        <w:t> </w:t>
      </w:r>
      <w:r>
        <w:t>202</w:t>
      </w:r>
      <w:r w:rsidR="00AC226B">
        <w:t>3</w:t>
      </w:r>
      <w:r>
        <w:t xml:space="preserve"> ROK</w:t>
      </w:r>
      <w:bookmarkEnd w:id="0"/>
      <w:bookmarkEnd w:id="1"/>
    </w:p>
    <w:p w:rsidR="00996DFC" w:rsidRDefault="00996DFC" w:rsidP="008E7C03"/>
    <w:p w:rsidR="00996DFC" w:rsidRDefault="00996DFC" w:rsidP="008E7C03">
      <w:pPr>
        <w:sectPr w:rsidR="00996DFC" w:rsidSect="00492B3A">
          <w:footerReference w:type="even" r:id="rId8"/>
          <w:footerReference w:type="default" r:id="rId9"/>
          <w:type w:val="oddPage"/>
          <w:pgSz w:w="11907" w:h="16840" w:code="9"/>
          <w:pgMar w:top="1417" w:right="1417" w:bottom="1417" w:left="1417" w:header="708" w:footer="708" w:gutter="0"/>
          <w:cols w:space="708"/>
          <w:titlePg/>
          <w:docGrid w:linePitch="360"/>
        </w:sectPr>
      </w:pPr>
    </w:p>
    <w:p w:rsidR="00996DFC" w:rsidRPr="00E04065" w:rsidRDefault="00996DFC" w:rsidP="00996DFC">
      <w:pPr>
        <w:jc w:val="center"/>
        <w:rPr>
          <w:b/>
          <w:sz w:val="20"/>
          <w:szCs w:val="20"/>
        </w:rPr>
      </w:pPr>
      <w:r w:rsidRPr="00E04065">
        <w:rPr>
          <w:b/>
          <w:sz w:val="20"/>
          <w:szCs w:val="20"/>
        </w:rPr>
        <w:lastRenderedPageBreak/>
        <w:t>SPIS TREŚCI</w:t>
      </w:r>
    </w:p>
    <w:p w:rsidR="00996DFC" w:rsidRPr="00E04065" w:rsidRDefault="00996DFC" w:rsidP="00E04065">
      <w:pPr>
        <w:jc w:val="center"/>
        <w:rPr>
          <w:sz w:val="20"/>
          <w:szCs w:val="20"/>
        </w:rPr>
      </w:pPr>
    </w:p>
    <w:p w:rsidR="00B649A8" w:rsidRDefault="00503606">
      <w:pPr>
        <w:pStyle w:val="Spistreci1"/>
        <w:rPr>
          <w:rFonts w:asciiTheme="minorHAnsi" w:eastAsiaTheme="minorEastAsia" w:hAnsiTheme="minorHAnsi" w:cstheme="minorBidi"/>
          <w:b w:val="0"/>
          <w:sz w:val="22"/>
          <w:szCs w:val="22"/>
        </w:rPr>
      </w:pPr>
      <w:r>
        <w:rPr>
          <w:b w:val="0"/>
        </w:rPr>
        <w:fldChar w:fldCharType="begin"/>
      </w:r>
      <w:r>
        <w:rPr>
          <w:b w:val="0"/>
        </w:rPr>
        <w:instrText xml:space="preserve"> TOC \o "1-7" \h \z \u </w:instrText>
      </w:r>
      <w:r>
        <w:rPr>
          <w:b w:val="0"/>
        </w:rPr>
        <w:fldChar w:fldCharType="separate"/>
      </w:r>
      <w:hyperlink w:anchor="_Toc122424853" w:history="1">
        <w:r w:rsidR="00B649A8" w:rsidRPr="003D339B">
          <w:rPr>
            <w:rStyle w:val="Hipercze"/>
          </w:rPr>
          <w:t xml:space="preserve">1. </w:t>
        </w:r>
        <w:r w:rsidR="00B649A8">
          <w:rPr>
            <w:rFonts w:asciiTheme="minorHAnsi" w:eastAsiaTheme="minorEastAsia" w:hAnsiTheme="minorHAnsi" w:cstheme="minorBidi"/>
            <w:b w:val="0"/>
            <w:sz w:val="22"/>
            <w:szCs w:val="22"/>
          </w:rPr>
          <w:tab/>
        </w:r>
        <w:r w:rsidR="00B649A8" w:rsidRPr="003D339B">
          <w:rPr>
            <w:rStyle w:val="Hipercze"/>
          </w:rPr>
          <w:t>OBJAŚNIENIA DO WIELOLETNIEJ PROGNOZY FINANSOWEJ MIASTA STOŁECZNEGO WARSZAWY NA</w:t>
        </w:r>
        <w:r w:rsidR="00B649A8" w:rsidRPr="003D339B">
          <w:rPr>
            <w:rStyle w:val="Hipercze"/>
            <w:rFonts w:ascii="Verdana" w:hAnsi="Verdana" w:cs="Verdana"/>
            <w:spacing w:val="-6"/>
          </w:rPr>
          <w:t> </w:t>
        </w:r>
        <w:r w:rsidR="00B649A8" w:rsidRPr="003D339B">
          <w:rPr>
            <w:rStyle w:val="Hipercze"/>
          </w:rPr>
          <w:t>LATA</w:t>
        </w:r>
        <w:r w:rsidR="00B649A8" w:rsidRPr="003D339B">
          <w:rPr>
            <w:rStyle w:val="Hipercze"/>
            <w:rFonts w:ascii="Verdana" w:hAnsi="Verdana" w:cs="Verdana"/>
            <w:spacing w:val="-6"/>
          </w:rPr>
          <w:t> </w:t>
        </w:r>
        <w:r w:rsidR="00B649A8" w:rsidRPr="003D339B">
          <w:rPr>
            <w:rStyle w:val="Hipercze"/>
          </w:rPr>
          <w:t>2023-2050 WRAZ Z POLITYKĄ DŁUGU MIASTA STOŁECZNEGO WARSZAWY EDYCJA</w:t>
        </w:r>
        <w:r w:rsidR="00B649A8" w:rsidRPr="003D339B">
          <w:rPr>
            <w:rStyle w:val="Hipercze"/>
            <w:rFonts w:ascii="Verdana" w:hAnsi="Verdana" w:cs="Verdana"/>
            <w:spacing w:val="-6"/>
          </w:rPr>
          <w:t> </w:t>
        </w:r>
        <w:r w:rsidR="00B649A8" w:rsidRPr="003D339B">
          <w:rPr>
            <w:rStyle w:val="Hipercze"/>
          </w:rPr>
          <w:t>2023 ROK</w:t>
        </w:r>
        <w:r w:rsidR="00B649A8">
          <w:rPr>
            <w:webHidden/>
          </w:rPr>
          <w:tab/>
        </w:r>
        <w:r w:rsidR="00B649A8">
          <w:rPr>
            <w:webHidden/>
          </w:rPr>
          <w:fldChar w:fldCharType="begin"/>
        </w:r>
        <w:r w:rsidR="00B649A8">
          <w:rPr>
            <w:webHidden/>
          </w:rPr>
          <w:instrText xml:space="preserve"> PAGEREF _Toc122424853 \h </w:instrText>
        </w:r>
        <w:r w:rsidR="00B649A8">
          <w:rPr>
            <w:webHidden/>
          </w:rPr>
        </w:r>
        <w:r w:rsidR="00B649A8">
          <w:rPr>
            <w:webHidden/>
          </w:rPr>
          <w:fldChar w:fldCharType="separate"/>
        </w:r>
        <w:r w:rsidR="00DB2126">
          <w:rPr>
            <w:webHidden/>
          </w:rPr>
          <w:t>1</w:t>
        </w:r>
        <w:r w:rsidR="00B649A8">
          <w:rPr>
            <w:webHidden/>
          </w:rPr>
          <w:fldChar w:fldCharType="end"/>
        </w:r>
      </w:hyperlink>
    </w:p>
    <w:p w:rsidR="00B649A8" w:rsidRDefault="00B649A8">
      <w:pPr>
        <w:pStyle w:val="Spistreci4"/>
        <w:rPr>
          <w:rFonts w:asciiTheme="minorHAnsi" w:eastAsiaTheme="minorEastAsia" w:hAnsiTheme="minorHAnsi" w:cstheme="minorBidi"/>
          <w:sz w:val="22"/>
          <w:szCs w:val="22"/>
        </w:rPr>
      </w:pPr>
      <w:hyperlink w:anchor="_Toc122424854" w:history="1">
        <w:r w:rsidRPr="003D339B">
          <w:rPr>
            <w:rStyle w:val="Hipercze"/>
          </w:rPr>
          <w:t>1.1. OBJAŚNIENIA DO WIELOLETNIEJ PROGNOZY FINANSOWEJ MIASTA STOŁECZNEGO WARSZAWY NA</w:t>
        </w:r>
        <w:r w:rsidRPr="003D339B">
          <w:rPr>
            <w:rStyle w:val="Hipercze"/>
            <w:rFonts w:ascii="Verdana" w:hAnsi="Verdana" w:cs="Verdana"/>
            <w:spacing w:val="-6"/>
          </w:rPr>
          <w:t> </w:t>
        </w:r>
        <w:r w:rsidRPr="003D339B">
          <w:rPr>
            <w:rStyle w:val="Hipercze"/>
          </w:rPr>
          <w:t>LATA</w:t>
        </w:r>
        <w:r w:rsidRPr="003D339B">
          <w:rPr>
            <w:rStyle w:val="Hipercze"/>
            <w:rFonts w:ascii="Verdana" w:hAnsi="Verdana" w:cs="Verdana"/>
            <w:spacing w:val="-6"/>
          </w:rPr>
          <w:t> </w:t>
        </w:r>
        <w:r w:rsidRPr="003D339B">
          <w:rPr>
            <w:rStyle w:val="Hipercze"/>
          </w:rPr>
          <w:t>2023-2050</w:t>
        </w:r>
        <w:r>
          <w:rPr>
            <w:webHidden/>
          </w:rPr>
          <w:tab/>
        </w:r>
        <w:r>
          <w:rPr>
            <w:webHidden/>
          </w:rPr>
          <w:fldChar w:fldCharType="begin"/>
        </w:r>
        <w:r>
          <w:rPr>
            <w:webHidden/>
          </w:rPr>
          <w:instrText xml:space="preserve"> PAGEREF _Toc122424854 \h </w:instrText>
        </w:r>
        <w:r>
          <w:rPr>
            <w:webHidden/>
          </w:rPr>
        </w:r>
        <w:r>
          <w:rPr>
            <w:webHidden/>
          </w:rPr>
          <w:fldChar w:fldCharType="separate"/>
        </w:r>
        <w:r w:rsidR="00DB2126">
          <w:rPr>
            <w:webHidden/>
          </w:rPr>
          <w:t>5</w:t>
        </w:r>
        <w:r>
          <w:rPr>
            <w:webHidden/>
          </w:rPr>
          <w:fldChar w:fldCharType="end"/>
        </w:r>
      </w:hyperlink>
    </w:p>
    <w:p w:rsidR="00B649A8" w:rsidRDefault="00B649A8">
      <w:pPr>
        <w:pStyle w:val="Spistreci4"/>
        <w:rPr>
          <w:rFonts w:asciiTheme="minorHAnsi" w:eastAsiaTheme="minorEastAsia" w:hAnsiTheme="minorHAnsi" w:cstheme="minorBidi"/>
          <w:sz w:val="22"/>
          <w:szCs w:val="22"/>
        </w:rPr>
      </w:pPr>
      <w:hyperlink w:anchor="_Toc122424855" w:history="1">
        <w:r w:rsidRPr="003D339B">
          <w:rPr>
            <w:rStyle w:val="Hipercze"/>
          </w:rPr>
          <w:t>1.2. POLITYKA DŁUGU MIASTA ST</w:t>
        </w:r>
        <w:r w:rsidRPr="003D339B">
          <w:rPr>
            <w:rStyle w:val="Hipercze"/>
          </w:rPr>
          <w:t>O</w:t>
        </w:r>
        <w:r w:rsidRPr="003D339B">
          <w:rPr>
            <w:rStyle w:val="Hipercze"/>
          </w:rPr>
          <w:t>ŁECZNEGO WARSZAWY EDYCJA 2023 ROK</w:t>
        </w:r>
        <w:r>
          <w:rPr>
            <w:webHidden/>
          </w:rPr>
          <w:tab/>
        </w:r>
        <w:r>
          <w:rPr>
            <w:webHidden/>
          </w:rPr>
          <w:fldChar w:fldCharType="begin"/>
        </w:r>
        <w:r>
          <w:rPr>
            <w:webHidden/>
          </w:rPr>
          <w:instrText xml:space="preserve"> PAGEREF _Toc122424855 \h </w:instrText>
        </w:r>
        <w:r>
          <w:rPr>
            <w:webHidden/>
          </w:rPr>
        </w:r>
        <w:r>
          <w:rPr>
            <w:webHidden/>
          </w:rPr>
          <w:fldChar w:fldCharType="separate"/>
        </w:r>
        <w:r w:rsidR="00DB2126">
          <w:rPr>
            <w:webHidden/>
          </w:rPr>
          <w:t>81</w:t>
        </w:r>
        <w:r>
          <w:rPr>
            <w:webHidden/>
          </w:rPr>
          <w:fldChar w:fldCharType="end"/>
        </w:r>
      </w:hyperlink>
    </w:p>
    <w:p w:rsidR="00996DFC" w:rsidRDefault="00503606" w:rsidP="008E7C03">
      <w:r>
        <w:rPr>
          <w:b/>
          <w:noProof/>
          <w:sz w:val="16"/>
        </w:rPr>
        <w:fldChar w:fldCharType="end"/>
      </w:r>
    </w:p>
    <w:p w:rsidR="00996DFC" w:rsidRDefault="00996DFC" w:rsidP="008E7C03">
      <w:pPr>
        <w:sectPr w:rsidR="00996DFC" w:rsidSect="00492B3A">
          <w:headerReference w:type="default" r:id="rId10"/>
          <w:type w:val="oddPage"/>
          <w:pgSz w:w="11907" w:h="16840" w:code="9"/>
          <w:pgMar w:top="1417" w:right="1417" w:bottom="1417" w:left="1417" w:header="708" w:footer="708" w:gutter="0"/>
          <w:cols w:space="708"/>
          <w:docGrid w:linePitch="360"/>
        </w:sectPr>
      </w:pPr>
    </w:p>
    <w:p w:rsidR="008D4CD7" w:rsidRPr="0012041D" w:rsidRDefault="008D4CD7" w:rsidP="00656AFD">
      <w:pPr>
        <w:pStyle w:val="Nagwek4"/>
        <w:spacing w:before="9000"/>
      </w:pPr>
      <w:bookmarkStart w:id="2" w:name="_Toc122424854"/>
      <w:r w:rsidRPr="0012041D">
        <w:lastRenderedPageBreak/>
        <w:t>1.</w:t>
      </w:r>
      <w:r>
        <w:t>1. OBJAŚNIENIA DO</w:t>
      </w:r>
      <w:r w:rsidR="00C52CC0">
        <w:br/>
      </w:r>
      <w:r>
        <w:t>WIELOLETNIEJ PROGNOZY FINANSOWEJ</w:t>
      </w:r>
      <w:r w:rsidR="00C52CC0">
        <w:br/>
      </w:r>
      <w:r>
        <w:t>MIASTA STOŁECZNEGO WARSZAWY</w:t>
      </w:r>
      <w:r>
        <w:br/>
        <w:t>NA</w:t>
      </w:r>
      <w:r>
        <w:rPr>
          <w:rFonts w:ascii="Verdana" w:hAnsi="Verdana" w:cs="Verdana"/>
          <w:spacing w:val="-6"/>
          <w:sz w:val="18"/>
          <w:szCs w:val="18"/>
        </w:rPr>
        <w:t> </w:t>
      </w:r>
      <w:r>
        <w:t>LATA</w:t>
      </w:r>
      <w:r>
        <w:rPr>
          <w:rFonts w:ascii="Verdana" w:hAnsi="Verdana" w:cs="Verdana"/>
          <w:spacing w:val="-6"/>
          <w:sz w:val="18"/>
          <w:szCs w:val="18"/>
        </w:rPr>
        <w:t> </w:t>
      </w:r>
      <w:r w:rsidR="004D10EE">
        <w:t>2023-2050</w:t>
      </w:r>
      <w:bookmarkEnd w:id="2"/>
    </w:p>
    <w:p w:rsidR="008D4CD7" w:rsidRDefault="008D4CD7" w:rsidP="008D4CD7"/>
    <w:p w:rsidR="008D4CD7" w:rsidRDefault="008D4CD7" w:rsidP="008D4CD7">
      <w:pPr>
        <w:sectPr w:rsidR="008D4CD7" w:rsidSect="00492B3A">
          <w:headerReference w:type="default" r:id="rId11"/>
          <w:type w:val="oddPage"/>
          <w:pgSz w:w="11907" w:h="16840" w:code="9"/>
          <w:pgMar w:top="1417" w:right="1417" w:bottom="1417" w:left="1417" w:header="708" w:footer="708" w:gutter="0"/>
          <w:cols w:space="708"/>
          <w:docGrid w:linePitch="360"/>
        </w:sectPr>
      </w:pPr>
    </w:p>
    <w:p w:rsidR="008A572A" w:rsidRPr="00EC1297" w:rsidRDefault="008A572A" w:rsidP="008A572A">
      <w:pPr>
        <w:spacing w:before="120" w:after="120"/>
        <w:rPr>
          <w:rFonts w:ascii="Verdana" w:hAnsi="Verdana"/>
          <w:sz w:val="22"/>
          <w:szCs w:val="22"/>
        </w:rPr>
      </w:pPr>
      <w:r w:rsidRPr="00EC1297">
        <w:rPr>
          <w:rFonts w:ascii="Verdana" w:hAnsi="Verdana"/>
          <w:b/>
          <w:bCs/>
          <w:sz w:val="22"/>
          <w:szCs w:val="22"/>
        </w:rPr>
        <w:lastRenderedPageBreak/>
        <w:t>1. Wstęp</w:t>
      </w:r>
    </w:p>
    <w:p w:rsidR="008A572A" w:rsidRPr="000A6485" w:rsidRDefault="008A572A" w:rsidP="008A572A">
      <w:pPr>
        <w:spacing w:before="60" w:after="60"/>
        <w:ind w:firstLine="539"/>
        <w:jc w:val="both"/>
        <w:rPr>
          <w:rFonts w:ascii="Verdana" w:hAnsi="Verdana" w:cs="Arial"/>
          <w:iCs/>
          <w:sz w:val="16"/>
          <w:szCs w:val="16"/>
        </w:rPr>
      </w:pPr>
      <w:r w:rsidRPr="009C3288">
        <w:rPr>
          <w:rFonts w:ascii="Verdana" w:hAnsi="Verdana"/>
          <w:sz w:val="16"/>
          <w:szCs w:val="16"/>
        </w:rPr>
        <w:t xml:space="preserve">Wieloletnia </w:t>
      </w:r>
      <w:r>
        <w:rPr>
          <w:rFonts w:ascii="Verdana" w:hAnsi="Verdana"/>
          <w:sz w:val="16"/>
          <w:szCs w:val="16"/>
        </w:rPr>
        <w:t>P</w:t>
      </w:r>
      <w:r w:rsidRPr="009C3288">
        <w:rPr>
          <w:rFonts w:ascii="Verdana" w:hAnsi="Verdana"/>
          <w:sz w:val="16"/>
          <w:szCs w:val="16"/>
        </w:rPr>
        <w:t xml:space="preserve">rognoza </w:t>
      </w:r>
      <w:r>
        <w:rPr>
          <w:rFonts w:ascii="Verdana" w:hAnsi="Verdana"/>
          <w:sz w:val="16"/>
          <w:szCs w:val="16"/>
        </w:rPr>
        <w:t>F</w:t>
      </w:r>
      <w:r w:rsidRPr="009C3288">
        <w:rPr>
          <w:rFonts w:ascii="Verdana" w:hAnsi="Verdana"/>
          <w:sz w:val="16"/>
          <w:szCs w:val="16"/>
        </w:rPr>
        <w:t>inansowa</w:t>
      </w:r>
      <w:r>
        <w:rPr>
          <w:rFonts w:ascii="Verdana" w:hAnsi="Verdana"/>
          <w:sz w:val="16"/>
          <w:szCs w:val="16"/>
        </w:rPr>
        <w:t xml:space="preserve"> (WPF)</w:t>
      </w:r>
      <w:r w:rsidRPr="009C3288">
        <w:rPr>
          <w:rFonts w:ascii="Verdana" w:hAnsi="Verdana"/>
          <w:sz w:val="16"/>
          <w:szCs w:val="16"/>
        </w:rPr>
        <w:t xml:space="preserve"> stanowi</w:t>
      </w:r>
      <w:r>
        <w:rPr>
          <w:rFonts w:ascii="Verdana" w:hAnsi="Verdana"/>
          <w:sz w:val="16"/>
          <w:szCs w:val="16"/>
        </w:rPr>
        <w:t>ąca</w:t>
      </w:r>
      <w:r w:rsidRPr="009C3288">
        <w:rPr>
          <w:rFonts w:ascii="Verdana" w:hAnsi="Verdana"/>
          <w:sz w:val="16"/>
          <w:szCs w:val="16"/>
        </w:rPr>
        <w:t xml:space="preserve"> instrument zarządzania finansami </w:t>
      </w:r>
      <w:r>
        <w:rPr>
          <w:rFonts w:ascii="Verdana" w:hAnsi="Verdana"/>
          <w:sz w:val="16"/>
          <w:szCs w:val="16"/>
        </w:rPr>
        <w:t>m.st. Warszawy</w:t>
      </w:r>
      <w:r w:rsidRPr="009C3288">
        <w:rPr>
          <w:rFonts w:ascii="Verdana" w:hAnsi="Verdana"/>
          <w:sz w:val="16"/>
          <w:szCs w:val="16"/>
        </w:rPr>
        <w:t xml:space="preserve"> </w:t>
      </w:r>
      <w:r>
        <w:rPr>
          <w:rFonts w:ascii="Verdana" w:hAnsi="Verdana"/>
          <w:sz w:val="16"/>
          <w:szCs w:val="16"/>
        </w:rPr>
        <w:t>opracowywana jest</w:t>
      </w:r>
      <w:r w:rsidRPr="000A6485">
        <w:rPr>
          <w:rFonts w:ascii="Verdana" w:hAnsi="Verdana"/>
          <w:sz w:val="16"/>
          <w:szCs w:val="16"/>
        </w:rPr>
        <w:t xml:space="preserve"> zgodnie z przepisami</w:t>
      </w:r>
      <w:r>
        <w:rPr>
          <w:rFonts w:ascii="Verdana" w:hAnsi="Verdana"/>
          <w:sz w:val="16"/>
          <w:szCs w:val="16"/>
        </w:rPr>
        <w:t xml:space="preserve"> ustawy z </w:t>
      </w:r>
      <w:r w:rsidRPr="000A6485">
        <w:rPr>
          <w:rFonts w:ascii="Verdana" w:hAnsi="Verdana"/>
          <w:sz w:val="16"/>
          <w:szCs w:val="16"/>
        </w:rPr>
        <w:t xml:space="preserve">27 sierpnia 2009 r. </w:t>
      </w:r>
      <w:r w:rsidRPr="00494813">
        <w:rPr>
          <w:rFonts w:ascii="Verdana" w:hAnsi="Verdana" w:cs="Arial"/>
          <w:i/>
          <w:iCs/>
          <w:sz w:val="16"/>
          <w:szCs w:val="16"/>
        </w:rPr>
        <w:t>o finansach publicznych</w:t>
      </w:r>
      <w:r w:rsidRPr="000A6485">
        <w:rPr>
          <w:rFonts w:ascii="Verdana" w:hAnsi="Verdana" w:cs="Arial"/>
          <w:iCs/>
          <w:sz w:val="16"/>
          <w:szCs w:val="16"/>
        </w:rPr>
        <w:t xml:space="preserve"> (</w:t>
      </w:r>
      <w:r w:rsidRPr="0010494C">
        <w:rPr>
          <w:rFonts w:ascii="Verdana" w:hAnsi="Verdana"/>
          <w:iCs/>
          <w:sz w:val="16"/>
          <w:szCs w:val="16"/>
        </w:rPr>
        <w:t>Dz. U. z 2022 r. poz.</w:t>
      </w:r>
      <w:r>
        <w:rPr>
          <w:rFonts w:ascii="Verdana" w:hAnsi="Verdana"/>
          <w:iCs/>
          <w:sz w:val="16"/>
          <w:szCs w:val="16"/>
        </w:rPr>
        <w:t xml:space="preserve"> 1634, 1692, 1725, 1747, 1768, </w:t>
      </w:r>
      <w:r w:rsidRPr="0010494C">
        <w:rPr>
          <w:rFonts w:ascii="Verdana" w:hAnsi="Verdana"/>
          <w:iCs/>
          <w:sz w:val="16"/>
          <w:szCs w:val="16"/>
        </w:rPr>
        <w:t>1964</w:t>
      </w:r>
      <w:r>
        <w:rPr>
          <w:rFonts w:ascii="Verdana" w:hAnsi="Verdana"/>
          <w:iCs/>
          <w:sz w:val="16"/>
          <w:szCs w:val="16"/>
        </w:rPr>
        <w:t xml:space="preserve"> i 2414</w:t>
      </w:r>
      <w:r w:rsidRPr="000A6485">
        <w:rPr>
          <w:rFonts w:ascii="Verdana" w:hAnsi="Verdana"/>
          <w:sz w:val="16"/>
          <w:szCs w:val="16"/>
        </w:rPr>
        <w:t>)</w:t>
      </w:r>
      <w:r w:rsidRPr="000A6485">
        <w:rPr>
          <w:rFonts w:ascii="Verdana" w:hAnsi="Verdana" w:cs="Arial"/>
          <w:iCs/>
          <w:sz w:val="16"/>
          <w:szCs w:val="16"/>
        </w:rPr>
        <w:t xml:space="preserve"> – zwanej dalej </w:t>
      </w:r>
      <w:r w:rsidRPr="000A6485">
        <w:rPr>
          <w:rFonts w:ascii="Verdana" w:hAnsi="Verdana" w:cs="Arial"/>
          <w:i/>
          <w:iCs/>
          <w:sz w:val="16"/>
          <w:szCs w:val="16"/>
        </w:rPr>
        <w:t>ustawą o finansach publicznych</w:t>
      </w:r>
      <w:r w:rsidRPr="000A6485">
        <w:rPr>
          <w:rFonts w:ascii="Verdana" w:hAnsi="Verdana" w:cs="Arial"/>
          <w:iCs/>
          <w:sz w:val="16"/>
          <w:szCs w:val="16"/>
        </w:rPr>
        <w:t xml:space="preserve">. </w:t>
      </w:r>
    </w:p>
    <w:p w:rsidR="008A572A" w:rsidRPr="000A6485" w:rsidRDefault="008A572A" w:rsidP="008A572A">
      <w:pPr>
        <w:spacing w:before="60" w:after="60"/>
        <w:ind w:firstLine="539"/>
        <w:jc w:val="both"/>
        <w:rPr>
          <w:rFonts w:ascii="Verdana" w:hAnsi="Verdana" w:cs="Arial"/>
          <w:iCs/>
          <w:sz w:val="16"/>
          <w:szCs w:val="16"/>
        </w:rPr>
      </w:pPr>
      <w:r w:rsidRPr="000A6485">
        <w:rPr>
          <w:rFonts w:ascii="Verdana" w:hAnsi="Verdana"/>
          <w:sz w:val="16"/>
          <w:szCs w:val="16"/>
        </w:rPr>
        <w:t xml:space="preserve">WPF jest dokumentem strategicznym służącym ocenie długoterminowego potencjału m.st. Warszawy, </w:t>
      </w:r>
      <w:r w:rsidRPr="000A6485">
        <w:rPr>
          <w:rFonts w:ascii="Verdana" w:hAnsi="Verdana"/>
          <w:sz w:val="16"/>
          <w:szCs w:val="16"/>
        </w:rPr>
        <w:br/>
        <w:t>tworzonym w celu opracowania prognozy niezbędnych wydatków bieżących oraz ustalenia możliwości inwestycyjnych w kontekście efektywnego zarządzania środkami zwrotnymi, finansującymi potrzeby rozwojowe.</w:t>
      </w:r>
    </w:p>
    <w:p w:rsidR="008A572A" w:rsidRPr="000A6485" w:rsidRDefault="008A572A" w:rsidP="008A572A">
      <w:pPr>
        <w:spacing w:before="60" w:after="60"/>
        <w:ind w:firstLine="539"/>
        <w:jc w:val="both"/>
        <w:rPr>
          <w:rFonts w:ascii="Verdana" w:hAnsi="Verdana"/>
          <w:sz w:val="16"/>
          <w:szCs w:val="16"/>
        </w:rPr>
      </w:pPr>
      <w:r w:rsidRPr="000A6485">
        <w:rPr>
          <w:rFonts w:ascii="Verdana" w:hAnsi="Verdana"/>
          <w:sz w:val="16"/>
          <w:szCs w:val="16"/>
        </w:rPr>
        <w:t xml:space="preserve">WPF to także dokument podnoszący poziom transparentności, przejrzystości i jawności finansów </w:t>
      </w:r>
      <w:r w:rsidRPr="000A6485">
        <w:rPr>
          <w:rFonts w:ascii="Verdana" w:hAnsi="Verdana"/>
          <w:sz w:val="16"/>
          <w:szCs w:val="16"/>
        </w:rPr>
        <w:br/>
        <w:t xml:space="preserve">m.st. Warszawy, służący między innymi ocenie jej </w:t>
      </w:r>
      <w:r>
        <w:rPr>
          <w:rFonts w:ascii="Verdana" w:hAnsi="Verdana"/>
          <w:sz w:val="16"/>
          <w:szCs w:val="16"/>
        </w:rPr>
        <w:t>sytuacji finansowej</w:t>
      </w:r>
      <w:r w:rsidRPr="000A6485">
        <w:rPr>
          <w:rFonts w:ascii="Verdana" w:hAnsi="Verdana"/>
          <w:sz w:val="16"/>
          <w:szCs w:val="16"/>
        </w:rPr>
        <w:t xml:space="preserve"> i zdolności kredytowej.</w:t>
      </w:r>
    </w:p>
    <w:p w:rsidR="008A572A" w:rsidRPr="000A6485" w:rsidRDefault="008A572A" w:rsidP="008A572A">
      <w:pPr>
        <w:spacing w:before="60" w:after="60"/>
        <w:jc w:val="both"/>
        <w:rPr>
          <w:rFonts w:ascii="Verdana" w:hAnsi="Verdana" w:cs="Arial"/>
          <w:iCs/>
          <w:sz w:val="16"/>
          <w:szCs w:val="16"/>
        </w:rPr>
      </w:pPr>
      <w:r w:rsidRPr="000A6485">
        <w:rPr>
          <w:rFonts w:ascii="Verdana" w:hAnsi="Verdana" w:cs="Arial"/>
          <w:iCs/>
          <w:sz w:val="16"/>
          <w:szCs w:val="16"/>
        </w:rPr>
        <w:t>Załączniki do WPF</w:t>
      </w:r>
      <w:r>
        <w:rPr>
          <w:rFonts w:ascii="Verdana" w:hAnsi="Verdana" w:cs="Arial"/>
          <w:iCs/>
          <w:sz w:val="16"/>
          <w:szCs w:val="16"/>
        </w:rPr>
        <w:t xml:space="preserve"> m.st. Warszawy na lata </w:t>
      </w:r>
      <w:r w:rsidRPr="00932633">
        <w:rPr>
          <w:rFonts w:ascii="Verdana" w:eastAsiaTheme="minorEastAsia" w:hAnsi="Verdana" w:cs="Verdana"/>
          <w:color w:val="000000"/>
          <w:sz w:val="16"/>
          <w:szCs w:val="16"/>
        </w:rPr>
        <w:t>2023</w:t>
      </w:r>
      <w:r w:rsidRPr="000A6485">
        <w:rPr>
          <w:rFonts w:ascii="Verdana" w:hAnsi="Verdana" w:cs="Arial"/>
          <w:iCs/>
          <w:sz w:val="16"/>
          <w:szCs w:val="16"/>
        </w:rPr>
        <w:t>-2050, tj.:</w:t>
      </w:r>
    </w:p>
    <w:p w:rsidR="008A572A" w:rsidRPr="000A6485" w:rsidRDefault="008A572A" w:rsidP="008A572A">
      <w:pPr>
        <w:pStyle w:val="Akapitzlist"/>
        <w:numPr>
          <w:ilvl w:val="0"/>
          <w:numId w:val="35"/>
        </w:numPr>
        <w:spacing w:before="60" w:after="60"/>
        <w:ind w:left="567" w:hanging="207"/>
        <w:contextualSpacing w:val="0"/>
        <w:rPr>
          <w:rFonts w:ascii="Verdana" w:hAnsi="Verdana" w:cs="Arial"/>
          <w:i/>
          <w:iCs/>
          <w:sz w:val="16"/>
          <w:szCs w:val="16"/>
        </w:rPr>
      </w:pPr>
      <w:r w:rsidRPr="000A6485">
        <w:rPr>
          <w:rFonts w:ascii="Verdana" w:hAnsi="Verdana" w:cs="Arial"/>
          <w:iCs/>
          <w:sz w:val="16"/>
          <w:szCs w:val="16"/>
        </w:rPr>
        <w:t>załącznik nr 1 –</w:t>
      </w:r>
      <w:r>
        <w:rPr>
          <w:rFonts w:ascii="Verdana" w:hAnsi="Verdana" w:cs="Arial"/>
          <w:iCs/>
          <w:sz w:val="16"/>
          <w:szCs w:val="16"/>
        </w:rPr>
        <w:t xml:space="preserve"> </w:t>
      </w:r>
      <w:r>
        <w:rPr>
          <w:rFonts w:ascii="Verdana" w:hAnsi="Verdana" w:cs="Arial"/>
          <w:i/>
          <w:iCs/>
          <w:sz w:val="16"/>
          <w:szCs w:val="16"/>
        </w:rPr>
        <w:t>Wieloletnia Prognoza</w:t>
      </w:r>
      <w:r w:rsidRPr="000A6485">
        <w:rPr>
          <w:rFonts w:ascii="Verdana" w:hAnsi="Verdana" w:cs="Arial"/>
          <w:i/>
          <w:iCs/>
          <w:sz w:val="16"/>
          <w:szCs w:val="16"/>
        </w:rPr>
        <w:t xml:space="preserve"> Finan</w:t>
      </w:r>
      <w:r>
        <w:rPr>
          <w:rFonts w:ascii="Verdana" w:hAnsi="Verdana" w:cs="Arial"/>
          <w:i/>
          <w:iCs/>
          <w:sz w:val="16"/>
          <w:szCs w:val="16"/>
        </w:rPr>
        <w:t xml:space="preserve">sowa m.st. Warszawy na lata </w:t>
      </w:r>
      <w:r w:rsidRPr="00932633">
        <w:rPr>
          <w:rFonts w:ascii="Verdana" w:eastAsiaTheme="minorEastAsia" w:hAnsi="Verdana" w:cs="Verdana"/>
          <w:i/>
          <w:color w:val="000000"/>
          <w:sz w:val="16"/>
          <w:szCs w:val="16"/>
        </w:rPr>
        <w:t>2023</w:t>
      </w:r>
      <w:r w:rsidRPr="000A6485">
        <w:rPr>
          <w:rFonts w:ascii="Verdana" w:hAnsi="Verdana" w:cs="Arial"/>
          <w:i/>
          <w:iCs/>
          <w:sz w:val="16"/>
          <w:szCs w:val="16"/>
        </w:rPr>
        <w:t>-2050</w:t>
      </w:r>
      <w:r w:rsidRPr="000A6485">
        <w:rPr>
          <w:rFonts w:ascii="Verdana" w:hAnsi="Verdana" w:cs="Arial"/>
          <w:iCs/>
          <w:sz w:val="16"/>
          <w:szCs w:val="16"/>
        </w:rPr>
        <w:t xml:space="preserve"> </w:t>
      </w:r>
      <w:r>
        <w:rPr>
          <w:rFonts w:ascii="Verdana" w:hAnsi="Verdana" w:cs="Arial"/>
          <w:iCs/>
          <w:sz w:val="16"/>
          <w:szCs w:val="16"/>
        </w:rPr>
        <w:br/>
        <w:t xml:space="preserve">                       </w:t>
      </w:r>
      <w:r w:rsidRPr="000A6485">
        <w:rPr>
          <w:rFonts w:ascii="Verdana" w:hAnsi="Verdana" w:cs="Arial"/>
          <w:iCs/>
          <w:sz w:val="16"/>
          <w:szCs w:val="16"/>
        </w:rPr>
        <w:t>(układ formalny WPF)</w:t>
      </w:r>
      <w:r w:rsidRPr="000A6485">
        <w:rPr>
          <w:rFonts w:ascii="Verdana" w:hAnsi="Verdana" w:cs="Arial"/>
          <w:i/>
          <w:iCs/>
          <w:sz w:val="16"/>
          <w:szCs w:val="16"/>
        </w:rPr>
        <w:t>;</w:t>
      </w:r>
    </w:p>
    <w:p w:rsidR="008A572A" w:rsidRPr="000A6485" w:rsidRDefault="008A572A" w:rsidP="008A572A">
      <w:pPr>
        <w:pStyle w:val="Akapitzlist"/>
        <w:numPr>
          <w:ilvl w:val="0"/>
          <w:numId w:val="35"/>
        </w:numPr>
        <w:spacing w:before="60" w:after="60"/>
        <w:ind w:left="567" w:hanging="207"/>
        <w:contextualSpacing w:val="0"/>
        <w:jc w:val="both"/>
        <w:rPr>
          <w:rFonts w:ascii="Verdana" w:hAnsi="Verdana" w:cs="Arial"/>
          <w:i/>
          <w:iCs/>
          <w:sz w:val="16"/>
          <w:szCs w:val="16"/>
        </w:rPr>
      </w:pPr>
      <w:r w:rsidRPr="000A6485">
        <w:rPr>
          <w:rFonts w:ascii="Verdana" w:hAnsi="Verdana" w:cs="Arial"/>
          <w:iCs/>
          <w:sz w:val="16"/>
          <w:szCs w:val="16"/>
        </w:rPr>
        <w:t xml:space="preserve">załącznik nr 2 – </w:t>
      </w:r>
      <w:r w:rsidRPr="000A6485">
        <w:rPr>
          <w:rFonts w:ascii="Verdana" w:hAnsi="Verdana" w:cs="Arial"/>
          <w:i/>
          <w:iCs/>
          <w:sz w:val="16"/>
          <w:szCs w:val="16"/>
        </w:rPr>
        <w:t>Wykaz przedsięwzięć wielolet</w:t>
      </w:r>
      <w:r>
        <w:rPr>
          <w:rFonts w:ascii="Verdana" w:hAnsi="Verdana" w:cs="Arial"/>
          <w:i/>
          <w:iCs/>
          <w:sz w:val="16"/>
          <w:szCs w:val="16"/>
        </w:rPr>
        <w:t xml:space="preserve">nich m.st. Warszawy na lata </w:t>
      </w:r>
      <w:r w:rsidRPr="00932633">
        <w:rPr>
          <w:rFonts w:ascii="Verdana" w:eastAsiaTheme="minorEastAsia" w:hAnsi="Verdana" w:cs="Verdana"/>
          <w:i/>
          <w:color w:val="000000"/>
          <w:sz w:val="16"/>
          <w:szCs w:val="16"/>
        </w:rPr>
        <w:t>2023</w:t>
      </w:r>
      <w:r w:rsidRPr="000A6485">
        <w:rPr>
          <w:rFonts w:ascii="Verdana" w:hAnsi="Verdana" w:cs="Arial"/>
          <w:i/>
          <w:iCs/>
          <w:sz w:val="16"/>
          <w:szCs w:val="16"/>
        </w:rPr>
        <w:t>-2050;</w:t>
      </w:r>
    </w:p>
    <w:p w:rsidR="008A572A" w:rsidRPr="000A6485" w:rsidRDefault="008A572A" w:rsidP="008A572A">
      <w:pPr>
        <w:spacing w:before="60" w:after="60"/>
        <w:jc w:val="both"/>
        <w:rPr>
          <w:rFonts w:ascii="Verdana" w:hAnsi="Verdana" w:cs="Arial"/>
          <w:iCs/>
          <w:sz w:val="16"/>
          <w:szCs w:val="16"/>
        </w:rPr>
      </w:pPr>
      <w:r w:rsidRPr="000A6485">
        <w:rPr>
          <w:rFonts w:ascii="Verdana" w:hAnsi="Verdana"/>
          <w:sz w:val="16"/>
          <w:szCs w:val="16"/>
        </w:rPr>
        <w:t xml:space="preserve">są zgodne co do formy z wzorami powyższych załączników określonymi w rozporządzeniu Ministra Finansów </w:t>
      </w:r>
      <w:r w:rsidRPr="000A6485">
        <w:rPr>
          <w:rFonts w:ascii="Verdana" w:hAnsi="Verdana"/>
          <w:sz w:val="16"/>
          <w:szCs w:val="16"/>
        </w:rPr>
        <w:br/>
      </w:r>
      <w:r>
        <w:rPr>
          <w:rFonts w:ascii="Verdana" w:hAnsi="Verdana"/>
          <w:sz w:val="16"/>
          <w:szCs w:val="16"/>
        </w:rPr>
        <w:t xml:space="preserve">z </w:t>
      </w:r>
      <w:r w:rsidRPr="000A6485">
        <w:rPr>
          <w:rFonts w:ascii="Verdana" w:hAnsi="Verdana"/>
          <w:sz w:val="16"/>
          <w:szCs w:val="16"/>
        </w:rPr>
        <w:t xml:space="preserve">10 stycznia 2013 r. </w:t>
      </w:r>
      <w:r w:rsidRPr="00494813">
        <w:rPr>
          <w:rFonts w:ascii="Verdana" w:hAnsi="Verdana"/>
          <w:i/>
          <w:sz w:val="16"/>
          <w:szCs w:val="16"/>
        </w:rPr>
        <w:t>w sprawie wieloletniej prognozy finansowej jednostki samorządu terytorialnego</w:t>
      </w:r>
      <w:r w:rsidRPr="000A6485">
        <w:rPr>
          <w:rFonts w:ascii="Verdana" w:hAnsi="Verdana"/>
          <w:sz w:val="16"/>
          <w:szCs w:val="16"/>
        </w:rPr>
        <w:t xml:space="preserve"> </w:t>
      </w:r>
      <w:r w:rsidRPr="000A6485">
        <w:rPr>
          <w:rFonts w:ascii="Verdana" w:hAnsi="Verdana"/>
          <w:sz w:val="16"/>
          <w:szCs w:val="16"/>
        </w:rPr>
        <w:br/>
      </w:r>
      <w:r>
        <w:rPr>
          <w:rFonts w:ascii="Verdana" w:hAnsi="Verdana"/>
          <w:sz w:val="16"/>
          <w:szCs w:val="16"/>
        </w:rPr>
        <w:t>(Dz. U. z 2021</w:t>
      </w:r>
      <w:r w:rsidRPr="000A6485">
        <w:rPr>
          <w:rFonts w:ascii="Verdana" w:hAnsi="Verdana"/>
          <w:sz w:val="16"/>
          <w:szCs w:val="16"/>
        </w:rPr>
        <w:t xml:space="preserve"> r. poz. </w:t>
      </w:r>
      <w:r>
        <w:rPr>
          <w:rFonts w:ascii="Verdana" w:hAnsi="Verdana"/>
          <w:sz w:val="16"/>
          <w:szCs w:val="16"/>
        </w:rPr>
        <w:t>83</w:t>
      </w:r>
      <w:r w:rsidRPr="000A6485">
        <w:rPr>
          <w:rFonts w:ascii="Verdana" w:hAnsi="Verdana"/>
          <w:sz w:val="16"/>
          <w:szCs w:val="16"/>
        </w:rPr>
        <w:t>), wydanym na podstawie art. 230b ustawy o finansach publicznych, który został wprowadz</w:t>
      </w:r>
      <w:r>
        <w:rPr>
          <w:rFonts w:ascii="Verdana" w:hAnsi="Verdana"/>
          <w:sz w:val="16"/>
          <w:szCs w:val="16"/>
        </w:rPr>
        <w:t xml:space="preserve">ony art. 8 ust. 9 ustawy z </w:t>
      </w:r>
      <w:r w:rsidRPr="000A6485">
        <w:rPr>
          <w:rFonts w:ascii="Verdana" w:hAnsi="Verdana"/>
          <w:sz w:val="16"/>
          <w:szCs w:val="16"/>
        </w:rPr>
        <w:t xml:space="preserve">7 grudnia 2012 r. </w:t>
      </w:r>
      <w:r w:rsidRPr="00D14800">
        <w:rPr>
          <w:rFonts w:ascii="Verdana" w:hAnsi="Verdana"/>
          <w:i/>
          <w:sz w:val="16"/>
          <w:szCs w:val="16"/>
        </w:rPr>
        <w:t>o zmianie niektórych ustaw w związku z realizacją ustawy budżetowej</w:t>
      </w:r>
      <w:r>
        <w:rPr>
          <w:rFonts w:ascii="Verdana" w:hAnsi="Verdana"/>
          <w:sz w:val="16"/>
          <w:szCs w:val="16"/>
        </w:rPr>
        <w:t xml:space="preserve"> (Dz. </w:t>
      </w:r>
      <w:r w:rsidRPr="000A6485">
        <w:rPr>
          <w:rFonts w:ascii="Verdana" w:hAnsi="Verdana"/>
          <w:sz w:val="16"/>
          <w:szCs w:val="16"/>
        </w:rPr>
        <w:t xml:space="preserve">U. z 2012 r. poz. 1456 oraz z 2013 r. poz. 1199). </w:t>
      </w:r>
    </w:p>
    <w:p w:rsidR="008A572A" w:rsidRDefault="008A572A" w:rsidP="008A572A">
      <w:pPr>
        <w:spacing w:before="60" w:after="60"/>
        <w:ind w:firstLine="539"/>
        <w:jc w:val="both"/>
        <w:rPr>
          <w:rFonts w:ascii="Verdana" w:hAnsi="Verdana"/>
          <w:sz w:val="16"/>
          <w:szCs w:val="16"/>
        </w:rPr>
      </w:pPr>
      <w:r>
        <w:rPr>
          <w:rFonts w:ascii="Verdana" w:hAnsi="Verdana" w:cs="Arial"/>
          <w:iCs/>
          <w:sz w:val="16"/>
          <w:szCs w:val="16"/>
        </w:rPr>
        <w:t xml:space="preserve">Wieloletnia Prognoza Finansowa </w:t>
      </w:r>
      <w:r w:rsidRPr="00DD26A6">
        <w:rPr>
          <w:rFonts w:ascii="Verdana" w:hAnsi="Verdana" w:cs="Arial"/>
          <w:iCs/>
          <w:sz w:val="16"/>
          <w:szCs w:val="16"/>
        </w:rPr>
        <w:t xml:space="preserve">m.st. Warszawy na lata </w:t>
      </w:r>
      <w:r w:rsidRPr="00932633">
        <w:rPr>
          <w:rFonts w:ascii="Verdana" w:eastAsiaTheme="minorEastAsia" w:hAnsi="Verdana" w:cs="Verdana"/>
          <w:color w:val="000000"/>
          <w:sz w:val="16"/>
          <w:szCs w:val="16"/>
        </w:rPr>
        <w:t>2023</w:t>
      </w:r>
      <w:r w:rsidRPr="00DD26A6">
        <w:rPr>
          <w:rFonts w:ascii="Verdana" w:hAnsi="Verdana" w:cs="Arial"/>
          <w:iCs/>
          <w:sz w:val="16"/>
          <w:szCs w:val="16"/>
        </w:rPr>
        <w:t>-2050 został</w:t>
      </w:r>
      <w:r>
        <w:rPr>
          <w:rFonts w:ascii="Verdana" w:hAnsi="Verdana" w:cs="Arial"/>
          <w:iCs/>
          <w:sz w:val="16"/>
          <w:szCs w:val="16"/>
        </w:rPr>
        <w:t>a opracowana</w:t>
      </w:r>
      <w:r w:rsidRPr="00DD26A6">
        <w:rPr>
          <w:rFonts w:ascii="Verdana" w:hAnsi="Verdana" w:cs="Arial"/>
          <w:iCs/>
          <w:sz w:val="16"/>
          <w:szCs w:val="16"/>
        </w:rPr>
        <w:t xml:space="preserve"> w oparciu o istotne elementy Wieloletniej Prognozy Finansow</w:t>
      </w:r>
      <w:r>
        <w:rPr>
          <w:rFonts w:ascii="Verdana" w:hAnsi="Verdana" w:cs="Arial"/>
          <w:iCs/>
          <w:sz w:val="16"/>
          <w:szCs w:val="16"/>
        </w:rPr>
        <w:t xml:space="preserve">ej m.st. Warszawy edycji </w:t>
      </w:r>
      <w:r w:rsidRPr="00932633">
        <w:rPr>
          <w:rFonts w:ascii="Verdana" w:eastAsiaTheme="minorEastAsia" w:hAnsi="Verdana" w:cs="Verdana"/>
          <w:color w:val="000000"/>
          <w:sz w:val="16"/>
          <w:szCs w:val="16"/>
        </w:rPr>
        <w:t>2022</w:t>
      </w:r>
      <w:r>
        <w:rPr>
          <w:rFonts w:ascii="Verdana" w:hAnsi="Verdana" w:cs="Arial"/>
          <w:iCs/>
          <w:sz w:val="16"/>
          <w:szCs w:val="16"/>
        </w:rPr>
        <w:t>-2050</w:t>
      </w:r>
      <w:r w:rsidRPr="00DD26A6">
        <w:rPr>
          <w:rFonts w:ascii="Verdana" w:hAnsi="Verdana" w:cs="Arial"/>
          <w:iCs/>
          <w:sz w:val="16"/>
          <w:szCs w:val="16"/>
        </w:rPr>
        <w:t xml:space="preserve"> </w:t>
      </w:r>
      <w:r>
        <w:rPr>
          <w:rFonts w:ascii="Verdana" w:hAnsi="Verdana"/>
          <w:sz w:val="16"/>
          <w:szCs w:val="16"/>
        </w:rPr>
        <w:t>i powiązana</w:t>
      </w:r>
      <w:r w:rsidRPr="00DD26A6">
        <w:rPr>
          <w:rFonts w:ascii="Verdana" w:hAnsi="Verdana"/>
          <w:sz w:val="16"/>
          <w:szCs w:val="16"/>
        </w:rPr>
        <w:t xml:space="preserve"> jest </w:t>
      </w:r>
      <w:r>
        <w:rPr>
          <w:rFonts w:ascii="Verdana" w:hAnsi="Verdana"/>
          <w:sz w:val="16"/>
          <w:szCs w:val="16"/>
        </w:rPr>
        <w:t xml:space="preserve">z budżetem </w:t>
      </w:r>
      <w:r>
        <w:rPr>
          <w:rFonts w:ascii="Verdana" w:hAnsi="Verdana"/>
          <w:sz w:val="16"/>
          <w:szCs w:val="16"/>
        </w:rPr>
        <w:br/>
      </w:r>
      <w:r w:rsidRPr="00DD26A6">
        <w:rPr>
          <w:rFonts w:ascii="Verdana" w:hAnsi="Verdana"/>
          <w:sz w:val="16"/>
          <w:szCs w:val="16"/>
        </w:rPr>
        <w:t xml:space="preserve">m.st. Warszawy na </w:t>
      </w:r>
      <w:r w:rsidRPr="00932633">
        <w:rPr>
          <w:rFonts w:ascii="Verdana" w:eastAsiaTheme="minorEastAsia" w:hAnsi="Verdana" w:cs="Verdana"/>
          <w:color w:val="000000"/>
          <w:sz w:val="16"/>
          <w:szCs w:val="16"/>
        </w:rPr>
        <w:t>2023</w:t>
      </w:r>
      <w:r w:rsidRPr="00DD26A6">
        <w:rPr>
          <w:rFonts w:ascii="Verdana" w:hAnsi="Verdana"/>
          <w:sz w:val="16"/>
          <w:szCs w:val="16"/>
        </w:rPr>
        <w:t xml:space="preserve"> r. </w:t>
      </w:r>
    </w:p>
    <w:p w:rsidR="008A572A" w:rsidRPr="000F322D" w:rsidRDefault="008A572A" w:rsidP="008A572A">
      <w:pPr>
        <w:spacing w:before="60" w:after="60"/>
        <w:ind w:firstLine="567"/>
        <w:jc w:val="both"/>
        <w:rPr>
          <w:rFonts w:ascii="Verdana" w:hAnsi="Verdana" w:cs="Arial"/>
          <w:b/>
          <w:i/>
          <w:sz w:val="16"/>
          <w:szCs w:val="16"/>
        </w:rPr>
      </w:pPr>
      <w:r>
        <w:rPr>
          <w:rFonts w:ascii="Verdana" w:hAnsi="Verdana" w:cs="Arial"/>
          <w:iCs/>
          <w:sz w:val="16"/>
          <w:szCs w:val="16"/>
        </w:rPr>
        <w:t xml:space="preserve">Wieloletnia Prognoza Finansowa </w:t>
      </w:r>
      <w:r w:rsidRPr="00DD26A6">
        <w:rPr>
          <w:rFonts w:ascii="Verdana" w:hAnsi="Verdana" w:cs="Arial"/>
          <w:iCs/>
          <w:sz w:val="16"/>
          <w:szCs w:val="16"/>
        </w:rPr>
        <w:t xml:space="preserve">m.st. Warszawy na lata </w:t>
      </w:r>
      <w:r w:rsidRPr="00932633">
        <w:rPr>
          <w:rFonts w:ascii="Verdana" w:eastAsiaTheme="minorEastAsia" w:hAnsi="Verdana" w:cs="Verdana"/>
          <w:color w:val="000000"/>
          <w:sz w:val="16"/>
          <w:szCs w:val="16"/>
        </w:rPr>
        <w:t>2023</w:t>
      </w:r>
      <w:r w:rsidRPr="00DD26A6">
        <w:rPr>
          <w:rFonts w:ascii="Verdana" w:hAnsi="Verdana" w:cs="Arial"/>
          <w:iCs/>
          <w:sz w:val="16"/>
          <w:szCs w:val="16"/>
        </w:rPr>
        <w:t>-2050</w:t>
      </w:r>
      <w:r>
        <w:rPr>
          <w:rFonts w:ascii="Verdana" w:hAnsi="Verdana"/>
          <w:sz w:val="16"/>
          <w:szCs w:val="16"/>
        </w:rPr>
        <w:t xml:space="preserve"> została opracowana</w:t>
      </w:r>
      <w:r w:rsidRPr="00AC083A">
        <w:rPr>
          <w:rFonts w:ascii="Verdana" w:hAnsi="Verdana"/>
          <w:sz w:val="16"/>
          <w:szCs w:val="16"/>
        </w:rPr>
        <w:t xml:space="preserve"> z uwzględnieniem planowanych </w:t>
      </w:r>
      <w:r>
        <w:rPr>
          <w:rFonts w:ascii="Verdana" w:hAnsi="Verdana"/>
          <w:sz w:val="16"/>
          <w:szCs w:val="16"/>
        </w:rPr>
        <w:t xml:space="preserve">na </w:t>
      </w:r>
      <w:r w:rsidRPr="00932633">
        <w:rPr>
          <w:rFonts w:ascii="Verdana" w:eastAsiaTheme="minorEastAsia" w:hAnsi="Verdana" w:cs="Verdana"/>
          <w:color w:val="000000"/>
          <w:sz w:val="16"/>
          <w:szCs w:val="16"/>
        </w:rPr>
        <w:t>2023</w:t>
      </w:r>
      <w:r>
        <w:rPr>
          <w:rFonts w:ascii="Verdana" w:hAnsi="Verdana"/>
          <w:sz w:val="16"/>
          <w:szCs w:val="16"/>
        </w:rPr>
        <w:t xml:space="preserve"> r. </w:t>
      </w:r>
      <w:r w:rsidRPr="00AC083A">
        <w:rPr>
          <w:rFonts w:ascii="Verdana" w:hAnsi="Verdana"/>
          <w:sz w:val="16"/>
          <w:szCs w:val="16"/>
        </w:rPr>
        <w:t xml:space="preserve">dochodów z podatków dochodowych od osób fizycznych (PIT) i osób prawnych (CIT) </w:t>
      </w:r>
      <w:r>
        <w:rPr>
          <w:rFonts w:ascii="Verdana" w:hAnsi="Verdana"/>
          <w:sz w:val="16"/>
          <w:szCs w:val="16"/>
        </w:rPr>
        <w:t>oraz dochodów z subwencji ogólnej, a także</w:t>
      </w:r>
      <w:r w:rsidRPr="00AC083A">
        <w:rPr>
          <w:rFonts w:ascii="Verdana" w:hAnsi="Verdana"/>
          <w:sz w:val="16"/>
          <w:szCs w:val="16"/>
        </w:rPr>
        <w:t xml:space="preserve"> </w:t>
      </w:r>
      <w:r>
        <w:rPr>
          <w:rFonts w:ascii="Verdana" w:hAnsi="Verdana"/>
          <w:sz w:val="16"/>
          <w:szCs w:val="16"/>
        </w:rPr>
        <w:t xml:space="preserve">wysokości </w:t>
      </w:r>
      <w:r w:rsidRPr="00AC083A">
        <w:rPr>
          <w:rFonts w:ascii="Verdana" w:hAnsi="Verdana"/>
          <w:sz w:val="16"/>
          <w:szCs w:val="16"/>
        </w:rPr>
        <w:t xml:space="preserve">wpłaty do budżetu państwa na rzecz subwencji ogólnej w części równoważącej (tzw. Janosikowe) na poziomie zgodnym z kwotami podanymi przez Ministerstwo </w:t>
      </w:r>
      <w:r>
        <w:rPr>
          <w:rFonts w:ascii="Verdana" w:hAnsi="Verdana"/>
          <w:sz w:val="16"/>
          <w:szCs w:val="16"/>
        </w:rPr>
        <w:t xml:space="preserve">Finansów </w:t>
      </w:r>
      <w:r>
        <w:rPr>
          <w:rFonts w:ascii="Verdana" w:hAnsi="Verdana"/>
          <w:sz w:val="16"/>
          <w:szCs w:val="16"/>
        </w:rPr>
        <w:br/>
      </w:r>
      <w:r w:rsidRPr="00AC083A">
        <w:rPr>
          <w:rFonts w:ascii="Verdana" w:hAnsi="Verdana"/>
          <w:sz w:val="16"/>
          <w:szCs w:val="16"/>
        </w:rPr>
        <w:t xml:space="preserve">w pismach z </w:t>
      </w:r>
      <w:r>
        <w:rPr>
          <w:rFonts w:ascii="Verdana" w:hAnsi="Verdana"/>
          <w:sz w:val="16"/>
          <w:szCs w:val="16"/>
        </w:rPr>
        <w:t xml:space="preserve">13 października </w:t>
      </w:r>
      <w:r w:rsidRPr="0075325A">
        <w:rPr>
          <w:rFonts w:ascii="Verdana" w:eastAsiaTheme="minorEastAsia" w:hAnsi="Verdana" w:cs="Verdana"/>
          <w:color w:val="000000"/>
          <w:sz w:val="16"/>
          <w:szCs w:val="16"/>
        </w:rPr>
        <w:t>2022</w:t>
      </w:r>
      <w:r w:rsidRPr="00AC083A">
        <w:rPr>
          <w:rFonts w:ascii="Verdana" w:hAnsi="Verdana"/>
          <w:sz w:val="16"/>
          <w:szCs w:val="16"/>
        </w:rPr>
        <w:t xml:space="preserve"> r. znak: ST3.4750.</w:t>
      </w:r>
      <w:r>
        <w:rPr>
          <w:rFonts w:ascii="Verdana" w:hAnsi="Verdana"/>
          <w:sz w:val="16"/>
          <w:szCs w:val="16"/>
        </w:rPr>
        <w:t>23</w:t>
      </w:r>
      <w:r w:rsidRPr="00AC083A">
        <w:rPr>
          <w:rFonts w:ascii="Verdana" w:hAnsi="Verdana"/>
          <w:sz w:val="16"/>
          <w:szCs w:val="16"/>
        </w:rPr>
        <w:t>.202</w:t>
      </w:r>
      <w:r>
        <w:rPr>
          <w:rFonts w:ascii="Verdana" w:hAnsi="Verdana"/>
          <w:sz w:val="16"/>
          <w:szCs w:val="16"/>
        </w:rPr>
        <w:t>2</w:t>
      </w:r>
      <w:r w:rsidRPr="00AC083A">
        <w:rPr>
          <w:rFonts w:ascii="Verdana" w:hAnsi="Verdana"/>
          <w:sz w:val="16"/>
          <w:szCs w:val="16"/>
        </w:rPr>
        <w:t xml:space="preserve"> i ST</w:t>
      </w:r>
      <w:r>
        <w:rPr>
          <w:rFonts w:ascii="Verdana" w:hAnsi="Verdana"/>
          <w:sz w:val="16"/>
          <w:szCs w:val="16"/>
        </w:rPr>
        <w:t>3</w:t>
      </w:r>
      <w:r w:rsidRPr="00AC083A">
        <w:rPr>
          <w:rFonts w:ascii="Verdana" w:hAnsi="Verdana"/>
          <w:sz w:val="16"/>
          <w:szCs w:val="16"/>
        </w:rPr>
        <w:t>.4750.</w:t>
      </w:r>
      <w:r>
        <w:rPr>
          <w:rFonts w:ascii="Verdana" w:hAnsi="Verdana"/>
          <w:sz w:val="16"/>
          <w:szCs w:val="16"/>
        </w:rPr>
        <w:t>24.2022</w:t>
      </w:r>
      <w:r w:rsidRPr="00AC083A">
        <w:rPr>
          <w:rFonts w:ascii="Verdana" w:hAnsi="Verdana"/>
          <w:sz w:val="16"/>
          <w:szCs w:val="16"/>
        </w:rPr>
        <w:t xml:space="preserve">. </w:t>
      </w:r>
      <w:r>
        <w:rPr>
          <w:rFonts w:ascii="Verdana" w:hAnsi="Verdana"/>
          <w:sz w:val="16"/>
          <w:szCs w:val="16"/>
        </w:rPr>
        <w:t xml:space="preserve">W zakresie dochodów </w:t>
      </w:r>
      <w:r>
        <w:rPr>
          <w:rFonts w:ascii="Verdana" w:hAnsi="Verdana"/>
          <w:sz w:val="16"/>
          <w:szCs w:val="16"/>
        </w:rPr>
        <w:br/>
        <w:t xml:space="preserve">z subwencji ogólnej w części równoważącej oraz wpłaty </w:t>
      </w:r>
      <w:r w:rsidRPr="00AC083A">
        <w:rPr>
          <w:rFonts w:ascii="Verdana" w:hAnsi="Verdana"/>
          <w:sz w:val="16"/>
          <w:szCs w:val="16"/>
        </w:rPr>
        <w:t>do budżetu państwa na rzecz subwencji ogólnej w części równoważącej (tzw. Janosikowe)</w:t>
      </w:r>
      <w:r>
        <w:rPr>
          <w:rFonts w:ascii="Verdana" w:hAnsi="Verdana"/>
          <w:sz w:val="16"/>
          <w:szCs w:val="16"/>
        </w:rPr>
        <w:t xml:space="preserve"> uwzględniono dodatkowo skutki finansowe wynikające z art. 35 ustawy </w:t>
      </w:r>
      <w:r>
        <w:rPr>
          <w:rFonts w:ascii="Verdana" w:hAnsi="Verdana"/>
          <w:sz w:val="16"/>
          <w:szCs w:val="16"/>
        </w:rPr>
        <w:br/>
        <w:t xml:space="preserve">z 1 grudnia 2022 r. </w:t>
      </w:r>
      <w:r w:rsidRPr="0022307F">
        <w:rPr>
          <w:rFonts w:ascii="Verdana" w:hAnsi="Verdana"/>
          <w:i/>
          <w:sz w:val="16"/>
          <w:szCs w:val="16"/>
        </w:rPr>
        <w:t>o szczególnych rozwiązaniach służących realizacji ustawy budżetowej na rok 2023</w:t>
      </w:r>
      <w:r>
        <w:rPr>
          <w:rFonts w:ascii="Verdana" w:hAnsi="Verdana"/>
          <w:sz w:val="16"/>
          <w:szCs w:val="16"/>
        </w:rPr>
        <w:t xml:space="preserve">. Ponadto na podstawie pism Ministerstwa Finansów z 30 września 2022 r. znak: ST3.4753.9.2022 i ST3.4753.10.2022 </w:t>
      </w:r>
      <w:r>
        <w:rPr>
          <w:rFonts w:ascii="Verdana" w:hAnsi="Verdana"/>
          <w:sz w:val="16"/>
          <w:szCs w:val="16"/>
        </w:rPr>
        <w:br/>
        <w:t xml:space="preserve">w ramach przychodów pochodzących z przelewów z rachunków lokat uwzględniono kwotę </w:t>
      </w:r>
      <w:bookmarkStart w:id="3" w:name="OLE_LINK2"/>
      <w:r>
        <w:rPr>
          <w:rFonts w:ascii="Verdana" w:hAnsi="Verdana"/>
          <w:sz w:val="16"/>
          <w:szCs w:val="16"/>
        </w:rPr>
        <w:t>851.903.975,39</w:t>
      </w:r>
      <w:bookmarkEnd w:id="3"/>
      <w:r>
        <w:rPr>
          <w:rFonts w:ascii="Verdana" w:hAnsi="Verdana"/>
          <w:sz w:val="16"/>
          <w:szCs w:val="16"/>
        </w:rPr>
        <w:t xml:space="preserve"> zł wynikającą </w:t>
      </w:r>
      <w:r w:rsidRPr="003F0A8E">
        <w:rPr>
          <w:rFonts w:ascii="Verdana" w:hAnsi="Verdana"/>
          <w:sz w:val="16"/>
          <w:szCs w:val="16"/>
        </w:rPr>
        <w:t xml:space="preserve">z </w:t>
      </w:r>
      <w:r>
        <w:rPr>
          <w:rFonts w:ascii="Verdana" w:hAnsi="Verdana"/>
          <w:sz w:val="16"/>
          <w:szCs w:val="16"/>
        </w:rPr>
        <w:t xml:space="preserve">przesunięcia z </w:t>
      </w:r>
      <w:r w:rsidRPr="003F0A8E">
        <w:rPr>
          <w:rFonts w:ascii="Verdana" w:hAnsi="Verdana"/>
          <w:sz w:val="16"/>
          <w:szCs w:val="16"/>
        </w:rPr>
        <w:t xml:space="preserve">2023 r. na 2022 r. przekazania subwencji rozwojowej należnej w 2023 r. </w:t>
      </w:r>
      <w:r>
        <w:rPr>
          <w:rFonts w:ascii="Verdana" w:hAnsi="Verdana"/>
          <w:sz w:val="16"/>
          <w:szCs w:val="16"/>
        </w:rPr>
        <w:br/>
      </w:r>
      <w:r w:rsidRPr="003F0A8E">
        <w:rPr>
          <w:rFonts w:ascii="Verdana" w:hAnsi="Verdana"/>
          <w:sz w:val="16"/>
          <w:szCs w:val="16"/>
        </w:rPr>
        <w:t xml:space="preserve">z jednoczesną zmianą kwalifikacji źródła dochodów z subwencji rozwojowej na udział w PIT i brakiem przekazania subwencji rozwojowej w 2023 r., zgodnie </w:t>
      </w:r>
      <w:r>
        <w:rPr>
          <w:rFonts w:ascii="Verdana" w:hAnsi="Verdana"/>
          <w:sz w:val="16"/>
          <w:szCs w:val="16"/>
        </w:rPr>
        <w:t xml:space="preserve">z ustawą z 15 września </w:t>
      </w:r>
      <w:r w:rsidRPr="003F0A8E">
        <w:rPr>
          <w:rFonts w:ascii="Verdana" w:hAnsi="Verdana"/>
          <w:sz w:val="16"/>
          <w:szCs w:val="16"/>
        </w:rPr>
        <w:t xml:space="preserve">2022 r. </w:t>
      </w:r>
      <w:r w:rsidRPr="008172E4">
        <w:rPr>
          <w:rFonts w:ascii="Verdana" w:hAnsi="Verdana"/>
          <w:i/>
          <w:sz w:val="16"/>
          <w:szCs w:val="16"/>
        </w:rPr>
        <w:t>o zmianie ustawy o dochodach jednostek samorządu terytorialnego oraz niektórych innych ustaw</w:t>
      </w:r>
      <w:r w:rsidRPr="003F0A8E">
        <w:rPr>
          <w:rFonts w:ascii="Verdana" w:hAnsi="Verdana"/>
          <w:sz w:val="16"/>
          <w:szCs w:val="16"/>
        </w:rPr>
        <w:t xml:space="preserve"> (Dz. U. poz. 1964)</w:t>
      </w:r>
      <w:r>
        <w:rPr>
          <w:rFonts w:ascii="Verdana" w:hAnsi="Verdana"/>
          <w:sz w:val="16"/>
          <w:szCs w:val="16"/>
        </w:rPr>
        <w:t xml:space="preserve">. </w:t>
      </w:r>
    </w:p>
    <w:p w:rsidR="008A572A" w:rsidRDefault="008A572A" w:rsidP="008A572A">
      <w:pPr>
        <w:spacing w:before="60" w:after="60"/>
        <w:ind w:firstLine="567"/>
        <w:jc w:val="both"/>
        <w:rPr>
          <w:rFonts w:ascii="Verdana" w:hAnsi="Verdana" w:cs="Arial"/>
          <w:b/>
          <w:sz w:val="16"/>
          <w:szCs w:val="16"/>
        </w:rPr>
      </w:pPr>
      <w:r>
        <w:rPr>
          <w:rFonts w:ascii="Verdana" w:hAnsi="Verdana" w:cs="Arial"/>
          <w:sz w:val="16"/>
          <w:szCs w:val="16"/>
        </w:rPr>
        <w:t>Ustawa</w:t>
      </w:r>
      <w:r w:rsidRPr="00006222">
        <w:rPr>
          <w:rFonts w:ascii="Verdana" w:hAnsi="Verdana" w:cs="Arial"/>
          <w:sz w:val="16"/>
          <w:szCs w:val="16"/>
        </w:rPr>
        <w:t xml:space="preserve"> z </w:t>
      </w:r>
      <w:r>
        <w:rPr>
          <w:rFonts w:ascii="Verdana" w:hAnsi="Verdana" w:cs="Arial"/>
          <w:sz w:val="16"/>
          <w:szCs w:val="16"/>
        </w:rPr>
        <w:t>14 października</w:t>
      </w:r>
      <w:r w:rsidRPr="00006222">
        <w:rPr>
          <w:rFonts w:ascii="Verdana" w:hAnsi="Verdana" w:cs="Arial"/>
          <w:sz w:val="16"/>
          <w:szCs w:val="16"/>
        </w:rPr>
        <w:t xml:space="preserve"> 2021 r. </w:t>
      </w:r>
      <w:r w:rsidRPr="00006222">
        <w:rPr>
          <w:rFonts w:ascii="Verdana" w:hAnsi="Verdana" w:cs="Arial"/>
          <w:i/>
          <w:sz w:val="16"/>
          <w:szCs w:val="16"/>
        </w:rPr>
        <w:t xml:space="preserve">o zmianie ustawy o dochodach jednostek samorządu terytorialnego oraz niektórych innych </w:t>
      </w:r>
      <w:r w:rsidRPr="00E7313D">
        <w:rPr>
          <w:rFonts w:ascii="Verdana" w:hAnsi="Verdana" w:cs="Arial"/>
          <w:i/>
          <w:sz w:val="16"/>
          <w:szCs w:val="16"/>
        </w:rPr>
        <w:t>ustaw</w:t>
      </w:r>
      <w:r w:rsidRPr="00E7313D">
        <w:rPr>
          <w:rFonts w:ascii="Verdana" w:hAnsi="Verdana" w:cs="Arial"/>
          <w:sz w:val="16"/>
          <w:szCs w:val="16"/>
        </w:rPr>
        <w:t xml:space="preserve"> </w:t>
      </w:r>
      <w:r>
        <w:rPr>
          <w:rFonts w:ascii="Verdana" w:hAnsi="Verdana" w:cs="Arial"/>
          <w:sz w:val="16"/>
          <w:szCs w:val="16"/>
        </w:rPr>
        <w:t xml:space="preserve">(Dz. U. </w:t>
      </w:r>
      <w:r w:rsidRPr="00E7313D">
        <w:rPr>
          <w:rFonts w:ascii="Verdana" w:hAnsi="Verdana" w:cs="Arial"/>
          <w:sz w:val="16"/>
          <w:szCs w:val="16"/>
        </w:rPr>
        <w:t>poz. 1927</w:t>
      </w:r>
      <w:r>
        <w:rPr>
          <w:rFonts w:ascii="Verdana" w:hAnsi="Verdana" w:cs="Arial"/>
          <w:sz w:val="16"/>
          <w:szCs w:val="16"/>
        </w:rPr>
        <w:t xml:space="preserve"> i 2427</w:t>
      </w:r>
      <w:r w:rsidRPr="00E7313D">
        <w:rPr>
          <w:rFonts w:ascii="Verdana" w:hAnsi="Verdana" w:cs="Arial"/>
          <w:sz w:val="16"/>
          <w:szCs w:val="16"/>
        </w:rPr>
        <w:t>)</w:t>
      </w:r>
      <w:r>
        <w:rPr>
          <w:rFonts w:ascii="Verdana" w:hAnsi="Verdana" w:cs="Arial"/>
          <w:sz w:val="16"/>
          <w:szCs w:val="16"/>
        </w:rPr>
        <w:t xml:space="preserve"> w odniesieniu do reguły indywidualnego limitu obsługi długu, określonej w art. 243 </w:t>
      </w:r>
      <w:r w:rsidRPr="00E7313D">
        <w:rPr>
          <w:rFonts w:ascii="Verdana" w:hAnsi="Verdana" w:cs="Arial"/>
          <w:sz w:val="16"/>
          <w:szCs w:val="16"/>
        </w:rPr>
        <w:t>ustawy o finansach</w:t>
      </w:r>
      <w:r>
        <w:rPr>
          <w:rFonts w:ascii="Verdana" w:hAnsi="Verdana" w:cs="Arial"/>
          <w:i/>
          <w:sz w:val="16"/>
          <w:szCs w:val="16"/>
        </w:rPr>
        <w:t xml:space="preserve"> </w:t>
      </w:r>
      <w:r w:rsidRPr="00B11B2B">
        <w:rPr>
          <w:rFonts w:ascii="Verdana" w:hAnsi="Verdana" w:cs="Arial"/>
          <w:sz w:val="16"/>
          <w:szCs w:val="16"/>
        </w:rPr>
        <w:t>publicznych</w:t>
      </w:r>
      <w:r>
        <w:rPr>
          <w:rFonts w:ascii="Verdana" w:hAnsi="Verdana" w:cs="Arial"/>
          <w:sz w:val="16"/>
          <w:szCs w:val="16"/>
        </w:rPr>
        <w:t>, poprzez</w:t>
      </w:r>
      <w:r w:rsidRPr="00006222">
        <w:rPr>
          <w:rFonts w:ascii="Verdana" w:hAnsi="Verdana" w:cs="Arial"/>
          <w:sz w:val="16"/>
          <w:szCs w:val="16"/>
        </w:rPr>
        <w:t xml:space="preserve"> art. 7 </w:t>
      </w:r>
      <w:r w:rsidRPr="00AC1B12">
        <w:rPr>
          <w:rFonts w:ascii="Verdana" w:hAnsi="Verdana" w:cs="Arial"/>
          <w:b/>
          <w:sz w:val="16"/>
          <w:szCs w:val="16"/>
        </w:rPr>
        <w:t xml:space="preserve">zobowiązała organ wykonawczy jednostki samorządu terytorialnego do dokonania </w:t>
      </w:r>
      <w:r>
        <w:rPr>
          <w:rFonts w:ascii="Verdana" w:hAnsi="Verdana" w:cs="Arial"/>
          <w:b/>
          <w:sz w:val="16"/>
          <w:szCs w:val="16"/>
        </w:rPr>
        <w:t xml:space="preserve">w terminie do 31 grudnia 2021 r. </w:t>
      </w:r>
      <w:r w:rsidRPr="00AC1B12">
        <w:rPr>
          <w:rFonts w:ascii="Verdana" w:hAnsi="Verdana" w:cs="Arial"/>
          <w:b/>
          <w:sz w:val="16"/>
          <w:szCs w:val="16"/>
        </w:rPr>
        <w:t>wyboru dla lat 2022-2025 długości okresu stosowanego w badaniu spełnienia reguły indywidualnego limitu obsługi długu JST</w:t>
      </w:r>
      <w:r w:rsidRPr="00006222">
        <w:rPr>
          <w:rFonts w:ascii="Verdana" w:hAnsi="Verdana" w:cs="Arial"/>
          <w:sz w:val="16"/>
          <w:szCs w:val="16"/>
        </w:rPr>
        <w:t xml:space="preserve"> </w:t>
      </w:r>
      <w:r>
        <w:rPr>
          <w:rFonts w:ascii="Verdana" w:hAnsi="Verdana" w:cs="Arial"/>
          <w:sz w:val="16"/>
          <w:szCs w:val="16"/>
        </w:rPr>
        <w:t>i następnie przekazania informacji</w:t>
      </w:r>
      <w:r w:rsidRPr="00006222">
        <w:rPr>
          <w:rFonts w:ascii="Verdana" w:hAnsi="Verdana" w:cs="Arial"/>
          <w:sz w:val="16"/>
          <w:szCs w:val="16"/>
        </w:rPr>
        <w:t xml:space="preserve"> w tym </w:t>
      </w:r>
      <w:r>
        <w:rPr>
          <w:rFonts w:ascii="Verdana" w:hAnsi="Verdana" w:cs="Arial"/>
          <w:sz w:val="16"/>
          <w:szCs w:val="16"/>
        </w:rPr>
        <w:t>względzie</w:t>
      </w:r>
      <w:r w:rsidRPr="00006222">
        <w:rPr>
          <w:rFonts w:ascii="Verdana" w:hAnsi="Verdana" w:cs="Arial"/>
          <w:sz w:val="16"/>
          <w:szCs w:val="16"/>
        </w:rPr>
        <w:t xml:space="preserve"> właściwej regionalnej izbie obrachunkowej oraz organowi stanowiącemu. Zgodnie z </w:t>
      </w:r>
      <w:r>
        <w:rPr>
          <w:rFonts w:ascii="Verdana" w:hAnsi="Verdana" w:cs="Arial"/>
          <w:sz w:val="16"/>
          <w:szCs w:val="16"/>
        </w:rPr>
        <w:t xml:space="preserve">uchwalonym </w:t>
      </w:r>
      <w:r w:rsidRPr="00006222">
        <w:rPr>
          <w:rFonts w:ascii="Verdana" w:hAnsi="Verdana" w:cs="Arial"/>
          <w:sz w:val="16"/>
          <w:szCs w:val="16"/>
        </w:rPr>
        <w:t xml:space="preserve">przepisem okres ten, na podstawie którego wyznaczany jest indywidualny limit obsługi długu dla danego roku, dla lat 2022-2025 może obejmować tak jak </w:t>
      </w:r>
      <w:r>
        <w:rPr>
          <w:rFonts w:ascii="Verdana" w:hAnsi="Verdana" w:cs="Arial"/>
          <w:sz w:val="16"/>
          <w:szCs w:val="16"/>
        </w:rPr>
        <w:t>przed zmianą przepisów</w:t>
      </w:r>
      <w:r w:rsidRPr="00006222">
        <w:rPr>
          <w:rFonts w:ascii="Verdana" w:hAnsi="Verdana" w:cs="Arial"/>
          <w:sz w:val="16"/>
          <w:szCs w:val="16"/>
        </w:rPr>
        <w:t xml:space="preserve"> trzy wcześniejsze lata lub </w:t>
      </w:r>
      <w:r>
        <w:rPr>
          <w:rFonts w:ascii="Verdana" w:hAnsi="Verdana" w:cs="Arial"/>
          <w:sz w:val="16"/>
          <w:szCs w:val="16"/>
        </w:rPr>
        <w:t>mógł</w:t>
      </w:r>
      <w:r w:rsidRPr="00006222">
        <w:rPr>
          <w:rFonts w:ascii="Verdana" w:hAnsi="Verdana" w:cs="Arial"/>
          <w:sz w:val="16"/>
          <w:szCs w:val="16"/>
        </w:rPr>
        <w:t xml:space="preserve"> zostać </w:t>
      </w:r>
      <w:r>
        <w:rPr>
          <w:rFonts w:ascii="Verdana" w:hAnsi="Verdana" w:cs="Arial"/>
          <w:sz w:val="16"/>
          <w:szCs w:val="16"/>
        </w:rPr>
        <w:t xml:space="preserve">wydłużony na siedem poprzedzających lat. </w:t>
      </w:r>
      <w:r w:rsidRPr="00E339B7">
        <w:rPr>
          <w:rFonts w:ascii="Verdana" w:hAnsi="Verdana" w:cs="Arial"/>
          <w:b/>
          <w:sz w:val="16"/>
          <w:szCs w:val="16"/>
        </w:rPr>
        <w:t xml:space="preserve">Prezydent </w:t>
      </w:r>
      <w:r>
        <w:rPr>
          <w:rFonts w:ascii="Verdana" w:hAnsi="Verdana" w:cs="Arial"/>
          <w:b/>
          <w:sz w:val="16"/>
          <w:szCs w:val="16"/>
        </w:rPr>
        <w:br/>
      </w:r>
      <w:r w:rsidRPr="00E339B7">
        <w:rPr>
          <w:rFonts w:ascii="Verdana" w:hAnsi="Verdana" w:cs="Arial"/>
          <w:b/>
          <w:sz w:val="16"/>
          <w:szCs w:val="16"/>
        </w:rPr>
        <w:t xml:space="preserve">m.st. Warszawy jako organ wykonawczy dokonał dla lat 2022-2025 wyboru 7-letniego okresu </w:t>
      </w:r>
      <w:r w:rsidRPr="00E339B7">
        <w:rPr>
          <w:rFonts w:ascii="Verdana" w:hAnsi="Verdana" w:cs="Arial"/>
          <w:b/>
          <w:sz w:val="16"/>
          <w:szCs w:val="16"/>
        </w:rPr>
        <w:lastRenderedPageBreak/>
        <w:t>stosowanego do wyliczenia relacji, o której mowa w art. 243 ustawy o finansach publicznych</w:t>
      </w:r>
      <w:r w:rsidRPr="00011AAA">
        <w:rPr>
          <w:rStyle w:val="Odwoanieprzypisudolnego"/>
          <w:rFonts w:ascii="Verdana" w:hAnsi="Verdana"/>
          <w:bCs/>
          <w:iCs/>
          <w:color w:val="000000"/>
          <w:sz w:val="16"/>
          <w:szCs w:val="16"/>
        </w:rPr>
        <w:footnoteReference w:id="1"/>
      </w:r>
      <w:r>
        <w:rPr>
          <w:rFonts w:ascii="Verdana" w:hAnsi="Verdana" w:cs="Arial"/>
          <w:b/>
          <w:sz w:val="16"/>
          <w:szCs w:val="16"/>
        </w:rPr>
        <w:t xml:space="preserve"> oraz poinformował o wyborze Regionalną Izbę Obrachunkową w Warszawie w piśmie z 26 listopada </w:t>
      </w:r>
      <w:r>
        <w:rPr>
          <w:rFonts w:ascii="Verdana" w:hAnsi="Verdana" w:cs="Arial"/>
          <w:b/>
          <w:sz w:val="16"/>
          <w:szCs w:val="16"/>
        </w:rPr>
        <w:br/>
        <w:t xml:space="preserve">2021 r. nr GP-OR.0050.1795.2021 i Radę m.st. Warszawy w piśmie z 26 listopada 2021 r. </w:t>
      </w:r>
      <w:r>
        <w:rPr>
          <w:rFonts w:ascii="Verdana" w:hAnsi="Verdana" w:cs="Arial"/>
          <w:b/>
          <w:sz w:val="16"/>
          <w:szCs w:val="16"/>
        </w:rPr>
        <w:br/>
        <w:t>nr DR-7-OW.3150.6.2021.KPI</w:t>
      </w:r>
      <w:r w:rsidRPr="00E339B7">
        <w:rPr>
          <w:rFonts w:ascii="Verdana" w:hAnsi="Verdana" w:cs="Arial"/>
          <w:b/>
          <w:sz w:val="16"/>
          <w:szCs w:val="16"/>
        </w:rPr>
        <w:t>.</w:t>
      </w:r>
    </w:p>
    <w:p w:rsidR="008A572A" w:rsidRPr="000A6485" w:rsidRDefault="008A572A" w:rsidP="008A572A">
      <w:pPr>
        <w:spacing w:before="240" w:after="120" w:line="240" w:lineRule="auto"/>
        <w:ind w:left="284" w:hanging="284"/>
        <w:rPr>
          <w:rFonts w:ascii="Verdana" w:hAnsi="Verdana"/>
          <w:sz w:val="22"/>
          <w:szCs w:val="22"/>
        </w:rPr>
      </w:pPr>
      <w:r w:rsidRPr="000A6485">
        <w:rPr>
          <w:rFonts w:ascii="Verdana" w:hAnsi="Verdana"/>
          <w:b/>
          <w:bCs/>
          <w:sz w:val="22"/>
          <w:szCs w:val="22"/>
        </w:rPr>
        <w:t xml:space="preserve">2. Źródła danych i informacji wykorzystanych do opracowania  </w:t>
      </w:r>
      <w:r w:rsidRPr="000A6485">
        <w:rPr>
          <w:rFonts w:ascii="Verdana" w:hAnsi="Verdana"/>
          <w:b/>
          <w:bCs/>
          <w:sz w:val="22"/>
          <w:szCs w:val="22"/>
        </w:rPr>
        <w:br/>
        <w:t xml:space="preserve">Wieloletniej Prognozy Finansowej m.st. Warszawy na lata </w:t>
      </w:r>
      <w:r w:rsidRPr="00932633">
        <w:rPr>
          <w:rFonts w:ascii="Verdana" w:hAnsi="Verdana"/>
          <w:b/>
          <w:bCs/>
          <w:sz w:val="22"/>
          <w:szCs w:val="22"/>
        </w:rPr>
        <w:t>2023</w:t>
      </w:r>
      <w:r w:rsidRPr="000A6485">
        <w:rPr>
          <w:rFonts w:ascii="Verdana" w:hAnsi="Verdana"/>
          <w:b/>
          <w:bCs/>
          <w:sz w:val="22"/>
          <w:szCs w:val="22"/>
        </w:rPr>
        <w:t>-2050</w:t>
      </w:r>
    </w:p>
    <w:p w:rsidR="008A572A" w:rsidRPr="000A6485" w:rsidRDefault="008A572A" w:rsidP="008A572A">
      <w:pPr>
        <w:spacing w:before="240" w:after="60"/>
        <w:ind w:firstLine="567"/>
        <w:jc w:val="both"/>
        <w:rPr>
          <w:rFonts w:ascii="Verdana" w:hAnsi="Verdana"/>
          <w:sz w:val="16"/>
          <w:szCs w:val="16"/>
        </w:rPr>
      </w:pPr>
      <w:r>
        <w:rPr>
          <w:rFonts w:ascii="Verdana" w:hAnsi="Verdana" w:cs="Arial"/>
          <w:iCs/>
          <w:sz w:val="16"/>
          <w:szCs w:val="16"/>
        </w:rPr>
        <w:t xml:space="preserve">Wieloletnia Prognoza Finansowa </w:t>
      </w:r>
      <w:r w:rsidRPr="00DD26A6">
        <w:rPr>
          <w:rFonts w:ascii="Verdana" w:hAnsi="Verdana" w:cs="Arial"/>
          <w:iCs/>
          <w:sz w:val="16"/>
          <w:szCs w:val="16"/>
        </w:rPr>
        <w:t xml:space="preserve">m.st. Warszawy na lata </w:t>
      </w:r>
      <w:r w:rsidRPr="00932633">
        <w:rPr>
          <w:rFonts w:ascii="Verdana" w:eastAsiaTheme="minorEastAsia" w:hAnsi="Verdana" w:cs="Verdana"/>
          <w:color w:val="000000"/>
          <w:sz w:val="16"/>
          <w:szCs w:val="16"/>
        </w:rPr>
        <w:t>2023</w:t>
      </w:r>
      <w:r w:rsidRPr="00DD26A6">
        <w:rPr>
          <w:rFonts w:ascii="Verdana" w:hAnsi="Verdana" w:cs="Arial"/>
          <w:iCs/>
          <w:sz w:val="16"/>
          <w:szCs w:val="16"/>
        </w:rPr>
        <w:t>-2050</w:t>
      </w:r>
      <w:r w:rsidRPr="000A6485">
        <w:rPr>
          <w:rFonts w:ascii="Verdana" w:hAnsi="Verdana"/>
          <w:sz w:val="16"/>
          <w:szCs w:val="16"/>
        </w:rPr>
        <w:t>, zwan</w:t>
      </w:r>
      <w:r>
        <w:rPr>
          <w:rFonts w:ascii="Verdana" w:hAnsi="Verdana"/>
          <w:sz w:val="16"/>
          <w:szCs w:val="16"/>
        </w:rPr>
        <w:t>a</w:t>
      </w:r>
      <w:r w:rsidRPr="000A6485">
        <w:rPr>
          <w:rFonts w:ascii="Verdana" w:hAnsi="Verdana"/>
          <w:sz w:val="16"/>
          <w:szCs w:val="16"/>
        </w:rPr>
        <w:t xml:space="preserve"> dalej WPF </w:t>
      </w:r>
      <w:r w:rsidRPr="00932633">
        <w:rPr>
          <w:rFonts w:ascii="Verdana" w:eastAsiaTheme="minorEastAsia" w:hAnsi="Verdana" w:cs="Verdana"/>
          <w:color w:val="000000"/>
          <w:sz w:val="16"/>
          <w:szCs w:val="16"/>
        </w:rPr>
        <w:t>2023</w:t>
      </w:r>
      <w:r w:rsidRPr="000A6485">
        <w:rPr>
          <w:rFonts w:ascii="Verdana" w:hAnsi="Verdana"/>
          <w:sz w:val="16"/>
          <w:szCs w:val="16"/>
        </w:rPr>
        <w:t>-2050, został</w:t>
      </w:r>
      <w:r>
        <w:rPr>
          <w:rFonts w:ascii="Verdana" w:hAnsi="Verdana"/>
          <w:sz w:val="16"/>
          <w:szCs w:val="16"/>
        </w:rPr>
        <w:t>a</w:t>
      </w:r>
      <w:r w:rsidRPr="000A6485">
        <w:rPr>
          <w:rFonts w:ascii="Verdana" w:hAnsi="Verdana"/>
          <w:sz w:val="16"/>
          <w:szCs w:val="16"/>
        </w:rPr>
        <w:t xml:space="preserve"> opracowan</w:t>
      </w:r>
      <w:r>
        <w:rPr>
          <w:rFonts w:ascii="Verdana" w:hAnsi="Verdana"/>
          <w:sz w:val="16"/>
          <w:szCs w:val="16"/>
        </w:rPr>
        <w:t>a</w:t>
      </w:r>
      <w:r w:rsidRPr="000A6485">
        <w:rPr>
          <w:rFonts w:ascii="Verdana" w:hAnsi="Verdana"/>
          <w:sz w:val="16"/>
          <w:szCs w:val="16"/>
        </w:rPr>
        <w:t xml:space="preserve"> w szczególności w oparciu o następujące dokumenty:</w:t>
      </w:r>
    </w:p>
    <w:p w:rsidR="008A572A" w:rsidRPr="000A6485" w:rsidRDefault="008A572A" w:rsidP="008A572A">
      <w:pPr>
        <w:numPr>
          <w:ilvl w:val="0"/>
          <w:numId w:val="4"/>
        </w:numPr>
        <w:tabs>
          <w:tab w:val="clear" w:pos="720"/>
          <w:tab w:val="num" w:pos="540"/>
        </w:tabs>
        <w:spacing w:before="60" w:after="60"/>
        <w:ind w:left="540" w:hanging="180"/>
        <w:jc w:val="both"/>
        <w:rPr>
          <w:rFonts w:ascii="Verdana" w:hAnsi="Verdana"/>
          <w:sz w:val="16"/>
          <w:szCs w:val="16"/>
        </w:rPr>
      </w:pPr>
      <w:r w:rsidRPr="000A6485">
        <w:rPr>
          <w:rFonts w:ascii="Verdana" w:hAnsi="Verdana"/>
          <w:i/>
          <w:sz w:val="16"/>
          <w:szCs w:val="16"/>
        </w:rPr>
        <w:t xml:space="preserve">Program </w:t>
      </w:r>
      <w:r>
        <w:rPr>
          <w:rFonts w:ascii="Verdana" w:hAnsi="Verdana"/>
          <w:i/>
          <w:sz w:val="16"/>
          <w:szCs w:val="16"/>
        </w:rPr>
        <w:t>Konwergencji – aktualizacja 2022</w:t>
      </w:r>
      <w:r w:rsidRPr="000A6485">
        <w:rPr>
          <w:rFonts w:ascii="Verdana" w:hAnsi="Verdana"/>
          <w:i/>
          <w:sz w:val="16"/>
          <w:szCs w:val="16"/>
        </w:rPr>
        <w:t xml:space="preserve">, </w:t>
      </w:r>
      <w:r w:rsidRPr="000A6485">
        <w:rPr>
          <w:rFonts w:ascii="Verdana" w:hAnsi="Verdana"/>
          <w:sz w:val="16"/>
          <w:szCs w:val="16"/>
        </w:rPr>
        <w:t>k</w:t>
      </w:r>
      <w:r>
        <w:rPr>
          <w:rFonts w:ascii="Verdana" w:hAnsi="Verdana"/>
          <w:sz w:val="16"/>
          <w:szCs w:val="16"/>
        </w:rPr>
        <w:t>wiecień 2022</w:t>
      </w:r>
      <w:r w:rsidRPr="000A6485">
        <w:rPr>
          <w:rFonts w:ascii="Verdana" w:hAnsi="Verdana"/>
          <w:sz w:val="16"/>
          <w:szCs w:val="16"/>
        </w:rPr>
        <w:t xml:space="preserve"> r.;</w:t>
      </w:r>
    </w:p>
    <w:p w:rsidR="008A572A" w:rsidRPr="000A6485" w:rsidRDefault="008A572A" w:rsidP="008A572A">
      <w:pPr>
        <w:numPr>
          <w:ilvl w:val="0"/>
          <w:numId w:val="4"/>
        </w:numPr>
        <w:tabs>
          <w:tab w:val="clear" w:pos="720"/>
          <w:tab w:val="num" w:pos="540"/>
        </w:tabs>
        <w:spacing w:before="60" w:after="60"/>
        <w:ind w:left="540" w:hanging="180"/>
        <w:jc w:val="both"/>
        <w:rPr>
          <w:rFonts w:ascii="Verdana" w:hAnsi="Verdana"/>
          <w:sz w:val="16"/>
          <w:szCs w:val="16"/>
        </w:rPr>
      </w:pPr>
      <w:r w:rsidRPr="00C86707">
        <w:rPr>
          <w:rFonts w:ascii="Verdana" w:hAnsi="Verdana"/>
          <w:i/>
          <w:sz w:val="16"/>
          <w:szCs w:val="16"/>
        </w:rPr>
        <w:t xml:space="preserve">Wytyczne dotyczące stosowania jednolitych wskaźników makroekonomicznych będących podstawą oszacowania skutków finansowych projektowanych ustaw – aktualizacja </w:t>
      </w:r>
      <w:r>
        <w:rPr>
          <w:rFonts w:ascii="Verdana" w:hAnsi="Verdana"/>
          <w:i/>
          <w:sz w:val="16"/>
          <w:szCs w:val="16"/>
        </w:rPr>
        <w:t>październik 2022</w:t>
      </w:r>
      <w:r w:rsidRPr="00C86707">
        <w:rPr>
          <w:rFonts w:ascii="Verdana" w:hAnsi="Verdana"/>
          <w:i/>
          <w:sz w:val="16"/>
          <w:szCs w:val="16"/>
        </w:rPr>
        <w:t xml:space="preserve"> r</w:t>
      </w:r>
      <w:r w:rsidRPr="000A6485">
        <w:rPr>
          <w:rFonts w:ascii="Verdana" w:hAnsi="Verdana"/>
          <w:i/>
          <w:sz w:val="16"/>
          <w:szCs w:val="16"/>
        </w:rPr>
        <w:t>.</w:t>
      </w:r>
      <w:r w:rsidRPr="000A6485">
        <w:rPr>
          <w:rFonts w:ascii="Verdana" w:hAnsi="Verdana"/>
          <w:iCs/>
          <w:sz w:val="16"/>
          <w:szCs w:val="16"/>
        </w:rPr>
        <w:t xml:space="preserve">, Ministerstwo Finansów </w:t>
      </w:r>
      <w:r>
        <w:rPr>
          <w:rFonts w:ascii="Verdana" w:hAnsi="Verdana"/>
          <w:iCs/>
          <w:sz w:val="16"/>
          <w:szCs w:val="16"/>
        </w:rPr>
        <w:t>październik 2022</w:t>
      </w:r>
      <w:r w:rsidRPr="000A6485">
        <w:rPr>
          <w:rFonts w:ascii="Verdana" w:hAnsi="Verdana"/>
          <w:iCs/>
          <w:sz w:val="16"/>
          <w:szCs w:val="16"/>
        </w:rPr>
        <w:t xml:space="preserve"> r.;</w:t>
      </w:r>
    </w:p>
    <w:p w:rsidR="008A572A" w:rsidRPr="000A6485" w:rsidRDefault="008A572A" w:rsidP="008A572A">
      <w:pPr>
        <w:numPr>
          <w:ilvl w:val="0"/>
          <w:numId w:val="4"/>
        </w:numPr>
        <w:tabs>
          <w:tab w:val="clear" w:pos="720"/>
          <w:tab w:val="num" w:pos="540"/>
        </w:tabs>
        <w:spacing w:before="60" w:after="60"/>
        <w:ind w:left="540" w:hanging="180"/>
        <w:jc w:val="both"/>
        <w:rPr>
          <w:rFonts w:ascii="Verdana" w:hAnsi="Verdana"/>
          <w:sz w:val="16"/>
          <w:szCs w:val="16"/>
        </w:rPr>
      </w:pPr>
      <w:r w:rsidRPr="000A6485">
        <w:rPr>
          <w:rFonts w:ascii="Verdana" w:hAnsi="Verdana"/>
          <w:i/>
          <w:sz w:val="16"/>
          <w:szCs w:val="16"/>
        </w:rPr>
        <w:t>Informacja kwartalna o stanie finansów publicznych</w:t>
      </w:r>
      <w:r>
        <w:rPr>
          <w:rFonts w:ascii="Verdana" w:hAnsi="Verdana"/>
          <w:i/>
          <w:sz w:val="16"/>
          <w:szCs w:val="16"/>
        </w:rPr>
        <w:t xml:space="preserve"> w II kwartale 2022</w:t>
      </w:r>
      <w:r w:rsidRPr="000A6485">
        <w:rPr>
          <w:rFonts w:ascii="Verdana" w:hAnsi="Verdana"/>
          <w:i/>
          <w:sz w:val="16"/>
          <w:szCs w:val="16"/>
        </w:rPr>
        <w:t xml:space="preserve"> r.</w:t>
      </w:r>
      <w:r w:rsidRPr="000A6485">
        <w:rPr>
          <w:rFonts w:ascii="Verdana" w:hAnsi="Verdana"/>
          <w:sz w:val="16"/>
          <w:szCs w:val="16"/>
        </w:rPr>
        <w:t>, Ministerstwo Finansów sierpień</w:t>
      </w:r>
      <w:r>
        <w:rPr>
          <w:rFonts w:ascii="Verdana" w:hAnsi="Verdana"/>
          <w:sz w:val="16"/>
          <w:szCs w:val="16"/>
        </w:rPr>
        <w:t xml:space="preserve"> 2022</w:t>
      </w:r>
      <w:r w:rsidRPr="000A6485">
        <w:rPr>
          <w:rFonts w:ascii="Verdana" w:hAnsi="Verdana"/>
          <w:sz w:val="16"/>
          <w:szCs w:val="16"/>
        </w:rPr>
        <w:t xml:space="preserve"> r.;</w:t>
      </w:r>
    </w:p>
    <w:p w:rsidR="008A572A" w:rsidRDefault="008A572A" w:rsidP="008A572A">
      <w:pPr>
        <w:numPr>
          <w:ilvl w:val="0"/>
          <w:numId w:val="4"/>
        </w:numPr>
        <w:tabs>
          <w:tab w:val="clear" w:pos="720"/>
          <w:tab w:val="num" w:pos="540"/>
        </w:tabs>
        <w:spacing w:before="60" w:after="60"/>
        <w:ind w:left="540" w:hanging="180"/>
        <w:jc w:val="both"/>
        <w:rPr>
          <w:rFonts w:ascii="Verdana" w:hAnsi="Verdana"/>
          <w:sz w:val="16"/>
          <w:szCs w:val="16"/>
        </w:rPr>
      </w:pPr>
      <w:r w:rsidRPr="000A6485">
        <w:rPr>
          <w:rFonts w:ascii="Verdana" w:hAnsi="Verdana"/>
          <w:i/>
          <w:sz w:val="16"/>
          <w:szCs w:val="16"/>
        </w:rPr>
        <w:t>Projekt ustawy budżetowej na rok 20</w:t>
      </w:r>
      <w:r>
        <w:rPr>
          <w:rFonts w:ascii="Verdana" w:hAnsi="Verdana"/>
          <w:i/>
          <w:sz w:val="16"/>
          <w:szCs w:val="16"/>
        </w:rPr>
        <w:t>23</w:t>
      </w:r>
      <w:r w:rsidRPr="000A6485">
        <w:rPr>
          <w:rFonts w:ascii="Verdana" w:hAnsi="Verdana"/>
          <w:i/>
          <w:sz w:val="16"/>
          <w:szCs w:val="16"/>
        </w:rPr>
        <w:t>,</w:t>
      </w:r>
      <w:r>
        <w:rPr>
          <w:rFonts w:ascii="Verdana" w:hAnsi="Verdana"/>
          <w:sz w:val="16"/>
          <w:szCs w:val="16"/>
        </w:rPr>
        <w:t xml:space="preserve"> wrzesień 2022</w:t>
      </w:r>
      <w:r w:rsidRPr="000A6485">
        <w:rPr>
          <w:rFonts w:ascii="Verdana" w:hAnsi="Verdana"/>
          <w:sz w:val="16"/>
          <w:szCs w:val="16"/>
        </w:rPr>
        <w:t xml:space="preserve"> r.;</w:t>
      </w:r>
    </w:p>
    <w:p w:rsidR="008A572A" w:rsidRPr="005B01FC" w:rsidRDefault="008A572A" w:rsidP="008A572A">
      <w:pPr>
        <w:numPr>
          <w:ilvl w:val="0"/>
          <w:numId w:val="4"/>
        </w:numPr>
        <w:tabs>
          <w:tab w:val="clear" w:pos="720"/>
          <w:tab w:val="num" w:pos="540"/>
        </w:tabs>
        <w:spacing w:before="60" w:after="60"/>
        <w:ind w:left="540" w:hanging="180"/>
        <w:jc w:val="both"/>
        <w:rPr>
          <w:rFonts w:ascii="Verdana" w:hAnsi="Verdana"/>
          <w:sz w:val="16"/>
          <w:szCs w:val="16"/>
        </w:rPr>
      </w:pPr>
      <w:r w:rsidRPr="00841EE5">
        <w:rPr>
          <w:rFonts w:ascii="Verdana" w:hAnsi="Verdana"/>
          <w:iCs/>
          <w:sz w:val="16"/>
          <w:szCs w:val="16"/>
        </w:rPr>
        <w:t xml:space="preserve">Informacje </w:t>
      </w:r>
      <w:r>
        <w:rPr>
          <w:rFonts w:ascii="Verdana" w:hAnsi="Verdana"/>
          <w:iCs/>
          <w:sz w:val="16"/>
          <w:szCs w:val="16"/>
        </w:rPr>
        <w:t xml:space="preserve">o </w:t>
      </w:r>
      <w:r>
        <w:rPr>
          <w:rFonts w:ascii="Verdana" w:hAnsi="Verdana"/>
          <w:sz w:val="16"/>
          <w:szCs w:val="16"/>
        </w:rPr>
        <w:t xml:space="preserve">przesunięciu z </w:t>
      </w:r>
      <w:r w:rsidRPr="003F0A8E">
        <w:rPr>
          <w:rFonts w:ascii="Verdana" w:hAnsi="Verdana"/>
          <w:sz w:val="16"/>
          <w:szCs w:val="16"/>
        </w:rPr>
        <w:t xml:space="preserve">2023 r. na 2022 r. przekazania subwencji rozwojowej należnej w 2023 r. </w:t>
      </w:r>
      <w:r>
        <w:rPr>
          <w:rFonts w:ascii="Verdana" w:hAnsi="Verdana"/>
          <w:sz w:val="16"/>
          <w:szCs w:val="16"/>
        </w:rPr>
        <w:br/>
      </w:r>
      <w:r w:rsidRPr="003F0A8E">
        <w:rPr>
          <w:rFonts w:ascii="Verdana" w:hAnsi="Verdana"/>
          <w:sz w:val="16"/>
          <w:szCs w:val="16"/>
        </w:rPr>
        <w:t>z jednoczesną zmianą kwalifikacji źródła dochodów z subwencji rozwojowej na udział w PIT i brakiem przekazania subwencji rozwojowej w 2023 r.</w:t>
      </w:r>
      <w:r>
        <w:rPr>
          <w:rFonts w:ascii="Verdana" w:hAnsi="Verdana"/>
          <w:sz w:val="16"/>
          <w:szCs w:val="16"/>
        </w:rPr>
        <w:t xml:space="preserve"> </w:t>
      </w:r>
      <w:r>
        <w:rPr>
          <w:rFonts w:ascii="Verdana" w:hAnsi="Verdana"/>
          <w:iCs/>
          <w:sz w:val="16"/>
          <w:szCs w:val="16"/>
        </w:rPr>
        <w:t>wynikające z pism Ministerstwa</w:t>
      </w:r>
      <w:r w:rsidRPr="00841EE5">
        <w:rPr>
          <w:rFonts w:ascii="Verdana" w:hAnsi="Verdana"/>
          <w:iCs/>
          <w:sz w:val="16"/>
          <w:szCs w:val="16"/>
        </w:rPr>
        <w:t xml:space="preserve"> Finansów</w:t>
      </w:r>
      <w:r w:rsidRPr="00AC083A">
        <w:rPr>
          <w:rFonts w:ascii="Verdana" w:hAnsi="Verdana"/>
          <w:sz w:val="16"/>
          <w:szCs w:val="16"/>
        </w:rPr>
        <w:t xml:space="preserve"> </w:t>
      </w:r>
      <w:r>
        <w:rPr>
          <w:rFonts w:ascii="Verdana" w:hAnsi="Verdana"/>
          <w:sz w:val="16"/>
          <w:szCs w:val="16"/>
        </w:rPr>
        <w:t>znak: ST3.4753.9.2022 i ST3.4753.10.2022 z 30 września 2022 r.</w:t>
      </w:r>
      <w:r w:rsidRPr="00841EE5">
        <w:rPr>
          <w:rFonts w:ascii="Verdana" w:hAnsi="Verdana"/>
          <w:iCs/>
          <w:sz w:val="16"/>
          <w:szCs w:val="16"/>
        </w:rPr>
        <w:t>;</w:t>
      </w:r>
    </w:p>
    <w:p w:rsidR="008A572A" w:rsidRPr="00841EE5" w:rsidRDefault="008A572A" w:rsidP="008A572A">
      <w:pPr>
        <w:numPr>
          <w:ilvl w:val="0"/>
          <w:numId w:val="4"/>
        </w:numPr>
        <w:tabs>
          <w:tab w:val="clear" w:pos="720"/>
          <w:tab w:val="num" w:pos="540"/>
        </w:tabs>
        <w:spacing w:before="60" w:after="60"/>
        <w:ind w:left="540" w:hanging="180"/>
        <w:jc w:val="both"/>
        <w:rPr>
          <w:rFonts w:ascii="Verdana" w:hAnsi="Verdana"/>
          <w:iCs/>
          <w:sz w:val="16"/>
          <w:szCs w:val="16"/>
        </w:rPr>
      </w:pPr>
      <w:r w:rsidRPr="00841EE5">
        <w:rPr>
          <w:rFonts w:ascii="Verdana" w:hAnsi="Verdana"/>
          <w:iCs/>
          <w:sz w:val="16"/>
          <w:szCs w:val="16"/>
        </w:rPr>
        <w:t xml:space="preserve">Informacje o wysokości subwencji oraz </w:t>
      </w:r>
      <w:r>
        <w:rPr>
          <w:rFonts w:ascii="Verdana" w:hAnsi="Verdana"/>
          <w:iCs/>
          <w:sz w:val="16"/>
          <w:szCs w:val="16"/>
        </w:rPr>
        <w:t>dochodach z tytułu udziału w podatkach dochodowych</w:t>
      </w:r>
      <w:r w:rsidRPr="00841EE5">
        <w:rPr>
          <w:rFonts w:ascii="Verdana" w:hAnsi="Verdana"/>
          <w:iCs/>
          <w:sz w:val="16"/>
          <w:szCs w:val="16"/>
        </w:rPr>
        <w:t xml:space="preserve"> od osób fizycznych</w:t>
      </w:r>
      <w:r>
        <w:rPr>
          <w:rFonts w:ascii="Verdana" w:hAnsi="Verdana"/>
          <w:iCs/>
          <w:sz w:val="16"/>
          <w:szCs w:val="16"/>
        </w:rPr>
        <w:t xml:space="preserve"> (PIT) i prawnych (CIT)</w:t>
      </w:r>
      <w:r w:rsidRPr="00841EE5">
        <w:rPr>
          <w:rFonts w:ascii="Verdana" w:hAnsi="Verdana"/>
          <w:iCs/>
          <w:sz w:val="16"/>
          <w:szCs w:val="16"/>
        </w:rPr>
        <w:t xml:space="preserve"> przekazane przez Ministerstwo Finansów w pismach:</w:t>
      </w:r>
      <w:r w:rsidRPr="00AC083A">
        <w:rPr>
          <w:rFonts w:ascii="Verdana" w:hAnsi="Verdana"/>
          <w:sz w:val="16"/>
          <w:szCs w:val="16"/>
        </w:rPr>
        <w:t xml:space="preserve"> ST3.4750.</w:t>
      </w:r>
      <w:r>
        <w:rPr>
          <w:rFonts w:ascii="Verdana" w:hAnsi="Verdana"/>
          <w:sz w:val="16"/>
          <w:szCs w:val="16"/>
        </w:rPr>
        <w:t>23</w:t>
      </w:r>
      <w:r w:rsidRPr="00AC083A">
        <w:rPr>
          <w:rFonts w:ascii="Verdana" w:hAnsi="Verdana"/>
          <w:sz w:val="16"/>
          <w:szCs w:val="16"/>
        </w:rPr>
        <w:t>.202</w:t>
      </w:r>
      <w:r>
        <w:rPr>
          <w:rFonts w:ascii="Verdana" w:hAnsi="Verdana"/>
          <w:sz w:val="16"/>
          <w:szCs w:val="16"/>
        </w:rPr>
        <w:t>2</w:t>
      </w:r>
      <w:r w:rsidRPr="00AC083A">
        <w:rPr>
          <w:rFonts w:ascii="Verdana" w:hAnsi="Verdana"/>
          <w:sz w:val="16"/>
          <w:szCs w:val="16"/>
        </w:rPr>
        <w:t xml:space="preserve"> i ST</w:t>
      </w:r>
      <w:r>
        <w:rPr>
          <w:rFonts w:ascii="Verdana" w:hAnsi="Verdana"/>
          <w:sz w:val="16"/>
          <w:szCs w:val="16"/>
        </w:rPr>
        <w:t>3</w:t>
      </w:r>
      <w:r w:rsidRPr="00AC083A">
        <w:rPr>
          <w:rFonts w:ascii="Verdana" w:hAnsi="Verdana"/>
          <w:sz w:val="16"/>
          <w:szCs w:val="16"/>
        </w:rPr>
        <w:t>.4750.</w:t>
      </w:r>
      <w:r>
        <w:rPr>
          <w:rFonts w:ascii="Verdana" w:hAnsi="Verdana"/>
          <w:sz w:val="16"/>
          <w:szCs w:val="16"/>
        </w:rPr>
        <w:t>24.2022</w:t>
      </w:r>
      <w:r>
        <w:rPr>
          <w:rFonts w:ascii="Verdana" w:hAnsi="Verdana"/>
          <w:iCs/>
          <w:sz w:val="16"/>
          <w:szCs w:val="16"/>
        </w:rPr>
        <w:t xml:space="preserve"> z 13 października 2022</w:t>
      </w:r>
      <w:r w:rsidRPr="00841EE5">
        <w:rPr>
          <w:rFonts w:ascii="Verdana" w:hAnsi="Verdana"/>
          <w:iCs/>
          <w:sz w:val="16"/>
          <w:szCs w:val="16"/>
        </w:rPr>
        <w:t xml:space="preserve"> r.;</w:t>
      </w:r>
    </w:p>
    <w:p w:rsidR="008A572A" w:rsidRDefault="008A572A" w:rsidP="008A572A">
      <w:pPr>
        <w:numPr>
          <w:ilvl w:val="0"/>
          <w:numId w:val="4"/>
        </w:numPr>
        <w:tabs>
          <w:tab w:val="clear" w:pos="720"/>
          <w:tab w:val="num" w:pos="540"/>
        </w:tabs>
        <w:spacing w:before="60" w:after="60"/>
        <w:ind w:left="540" w:hanging="180"/>
        <w:jc w:val="both"/>
        <w:rPr>
          <w:rFonts w:ascii="Verdana" w:hAnsi="Verdana"/>
          <w:sz w:val="16"/>
          <w:szCs w:val="16"/>
        </w:rPr>
      </w:pPr>
      <w:r w:rsidRPr="000A6485">
        <w:rPr>
          <w:rFonts w:ascii="Verdana" w:hAnsi="Verdana"/>
          <w:i/>
          <w:iCs/>
          <w:sz w:val="16"/>
          <w:szCs w:val="16"/>
        </w:rPr>
        <w:t>Wieloletnia Prognoza Finansowa</w:t>
      </w:r>
      <w:r>
        <w:rPr>
          <w:rFonts w:ascii="Verdana" w:hAnsi="Verdana"/>
          <w:i/>
          <w:iCs/>
          <w:sz w:val="16"/>
          <w:szCs w:val="16"/>
        </w:rPr>
        <w:t xml:space="preserve"> m.st. Warszawy na lata 2022</w:t>
      </w:r>
      <w:r w:rsidRPr="000A6485">
        <w:rPr>
          <w:rFonts w:ascii="Verdana" w:hAnsi="Verdana"/>
          <w:i/>
          <w:iCs/>
          <w:sz w:val="16"/>
          <w:szCs w:val="16"/>
        </w:rPr>
        <w:t>-2050</w:t>
      </w:r>
      <w:r w:rsidRPr="000A6485">
        <w:rPr>
          <w:rFonts w:ascii="Verdana" w:hAnsi="Verdana"/>
          <w:sz w:val="16"/>
          <w:szCs w:val="16"/>
        </w:rPr>
        <w:t xml:space="preserve">, </w:t>
      </w:r>
      <w:r>
        <w:rPr>
          <w:rFonts w:ascii="Verdana" w:hAnsi="Verdana"/>
          <w:sz w:val="16"/>
          <w:szCs w:val="16"/>
        </w:rPr>
        <w:t>grudzień 2021</w:t>
      </w:r>
      <w:r w:rsidRPr="000A6485">
        <w:rPr>
          <w:rFonts w:ascii="Verdana" w:hAnsi="Verdana"/>
          <w:sz w:val="16"/>
          <w:szCs w:val="16"/>
        </w:rPr>
        <w:t xml:space="preserve"> r. z </w:t>
      </w:r>
      <w:proofErr w:type="spellStart"/>
      <w:r w:rsidRPr="000A6485">
        <w:rPr>
          <w:rFonts w:ascii="Verdana" w:hAnsi="Verdana"/>
          <w:sz w:val="16"/>
          <w:szCs w:val="16"/>
        </w:rPr>
        <w:t>późn</w:t>
      </w:r>
      <w:proofErr w:type="spellEnd"/>
      <w:r w:rsidRPr="000A6485">
        <w:rPr>
          <w:rFonts w:ascii="Verdana" w:hAnsi="Verdana"/>
          <w:sz w:val="16"/>
          <w:szCs w:val="16"/>
        </w:rPr>
        <w:t>. zm.</w:t>
      </w:r>
      <w:r>
        <w:rPr>
          <w:rFonts w:ascii="Verdana" w:hAnsi="Verdana"/>
          <w:sz w:val="16"/>
          <w:szCs w:val="16"/>
        </w:rPr>
        <w:t>;</w:t>
      </w:r>
    </w:p>
    <w:p w:rsidR="008A572A" w:rsidRDefault="008A572A" w:rsidP="008A572A">
      <w:pPr>
        <w:numPr>
          <w:ilvl w:val="0"/>
          <w:numId w:val="4"/>
        </w:numPr>
        <w:tabs>
          <w:tab w:val="clear" w:pos="720"/>
          <w:tab w:val="num" w:pos="540"/>
        </w:tabs>
        <w:spacing w:before="60" w:after="60"/>
        <w:ind w:left="540" w:hanging="180"/>
        <w:jc w:val="both"/>
        <w:rPr>
          <w:rFonts w:ascii="Verdana" w:hAnsi="Verdana" w:cs="Arial"/>
          <w:sz w:val="16"/>
          <w:szCs w:val="16"/>
        </w:rPr>
      </w:pPr>
      <w:r>
        <w:rPr>
          <w:rFonts w:ascii="Verdana" w:hAnsi="Verdana" w:cs="Arial"/>
          <w:sz w:val="16"/>
          <w:szCs w:val="16"/>
        </w:rPr>
        <w:t>ustawa</w:t>
      </w:r>
      <w:r w:rsidRPr="00B83F87">
        <w:rPr>
          <w:rFonts w:ascii="Verdana" w:hAnsi="Verdana" w:cs="Arial"/>
          <w:sz w:val="16"/>
          <w:szCs w:val="16"/>
        </w:rPr>
        <w:t xml:space="preserve"> z 17 września 2021 r. </w:t>
      </w:r>
      <w:r w:rsidRPr="00B83F87">
        <w:rPr>
          <w:rFonts w:ascii="Verdana" w:hAnsi="Verdana" w:cs="Arial"/>
          <w:i/>
          <w:sz w:val="16"/>
          <w:szCs w:val="16"/>
        </w:rPr>
        <w:t>o zmianie ustawy o pomocy państwa w wychowaniu dzieci oraz niektórych innych ustaw</w:t>
      </w:r>
      <w:r>
        <w:rPr>
          <w:rFonts w:ascii="Verdana" w:hAnsi="Verdana" w:cs="Arial"/>
          <w:sz w:val="16"/>
          <w:szCs w:val="16"/>
        </w:rPr>
        <w:t xml:space="preserve"> </w:t>
      </w:r>
      <w:r w:rsidRPr="00AC083A">
        <w:rPr>
          <w:rFonts w:ascii="Verdana" w:hAnsi="Verdana" w:cs="Arial"/>
          <w:sz w:val="16"/>
          <w:szCs w:val="16"/>
        </w:rPr>
        <w:t>(</w:t>
      </w:r>
      <w:r>
        <w:rPr>
          <w:rFonts w:ascii="Verdana" w:hAnsi="Verdana" w:cs="Arial"/>
          <w:iCs/>
          <w:sz w:val="16"/>
          <w:szCs w:val="16"/>
        </w:rPr>
        <w:t>Dz. U. poz. 1981</w:t>
      </w:r>
      <w:r w:rsidRPr="00AC083A">
        <w:rPr>
          <w:rFonts w:ascii="Verdana" w:hAnsi="Verdana" w:cs="Arial"/>
          <w:sz w:val="16"/>
          <w:szCs w:val="16"/>
        </w:rPr>
        <w:t>)</w:t>
      </w:r>
      <w:r>
        <w:rPr>
          <w:rFonts w:ascii="Verdana" w:hAnsi="Verdana" w:cs="Arial"/>
          <w:sz w:val="16"/>
          <w:szCs w:val="16"/>
        </w:rPr>
        <w:t>;</w:t>
      </w:r>
    </w:p>
    <w:p w:rsidR="008A572A" w:rsidRDefault="008A572A" w:rsidP="008A572A">
      <w:pPr>
        <w:numPr>
          <w:ilvl w:val="0"/>
          <w:numId w:val="4"/>
        </w:numPr>
        <w:tabs>
          <w:tab w:val="clear" w:pos="720"/>
          <w:tab w:val="num" w:pos="540"/>
        </w:tabs>
        <w:spacing w:before="60" w:after="60"/>
        <w:ind w:left="540" w:hanging="180"/>
        <w:jc w:val="both"/>
        <w:rPr>
          <w:rFonts w:ascii="Verdana" w:hAnsi="Verdana" w:cs="Arial"/>
          <w:sz w:val="16"/>
          <w:szCs w:val="16"/>
        </w:rPr>
      </w:pPr>
      <w:r w:rsidRPr="00841EE5">
        <w:rPr>
          <w:rFonts w:ascii="Verdana" w:hAnsi="Verdana"/>
          <w:iCs/>
          <w:sz w:val="16"/>
          <w:szCs w:val="16"/>
        </w:rPr>
        <w:t xml:space="preserve">Informacje o wysokości subwencji oraz </w:t>
      </w:r>
      <w:r>
        <w:rPr>
          <w:rFonts w:ascii="Verdana" w:hAnsi="Verdana"/>
          <w:iCs/>
          <w:sz w:val="16"/>
          <w:szCs w:val="16"/>
        </w:rPr>
        <w:t>dochodach z tytułu udziału w podatkach dochodowych</w:t>
      </w:r>
      <w:r w:rsidRPr="00841EE5">
        <w:rPr>
          <w:rFonts w:ascii="Verdana" w:hAnsi="Verdana"/>
          <w:iCs/>
          <w:sz w:val="16"/>
          <w:szCs w:val="16"/>
        </w:rPr>
        <w:t xml:space="preserve"> od osób fizycznych</w:t>
      </w:r>
      <w:r>
        <w:rPr>
          <w:rFonts w:ascii="Verdana" w:hAnsi="Verdana"/>
          <w:iCs/>
          <w:sz w:val="16"/>
          <w:szCs w:val="16"/>
        </w:rPr>
        <w:t xml:space="preserve"> (PIT) i prawnych (CIT)</w:t>
      </w:r>
      <w:r w:rsidRPr="00841EE5">
        <w:rPr>
          <w:rFonts w:ascii="Verdana" w:hAnsi="Verdana"/>
          <w:iCs/>
          <w:sz w:val="16"/>
          <w:szCs w:val="16"/>
        </w:rPr>
        <w:t xml:space="preserve"> przekazane przez Ministerstwo Finansów w pismach:</w:t>
      </w:r>
      <w:r w:rsidRPr="00AC083A">
        <w:rPr>
          <w:rFonts w:ascii="Verdana" w:hAnsi="Verdana"/>
          <w:sz w:val="16"/>
          <w:szCs w:val="16"/>
        </w:rPr>
        <w:t xml:space="preserve"> ST3.4750.</w:t>
      </w:r>
      <w:r>
        <w:rPr>
          <w:rFonts w:ascii="Verdana" w:hAnsi="Verdana"/>
          <w:sz w:val="16"/>
          <w:szCs w:val="16"/>
        </w:rPr>
        <w:t>23</w:t>
      </w:r>
      <w:r w:rsidRPr="00AC083A">
        <w:rPr>
          <w:rFonts w:ascii="Verdana" w:hAnsi="Verdana"/>
          <w:sz w:val="16"/>
          <w:szCs w:val="16"/>
        </w:rPr>
        <w:t>.202</w:t>
      </w:r>
      <w:r>
        <w:rPr>
          <w:rFonts w:ascii="Verdana" w:hAnsi="Verdana"/>
          <w:sz w:val="16"/>
          <w:szCs w:val="16"/>
        </w:rPr>
        <w:t>2</w:t>
      </w:r>
      <w:r w:rsidRPr="00AC083A">
        <w:rPr>
          <w:rFonts w:ascii="Verdana" w:hAnsi="Verdana"/>
          <w:sz w:val="16"/>
          <w:szCs w:val="16"/>
        </w:rPr>
        <w:t xml:space="preserve"> i ST</w:t>
      </w:r>
      <w:r>
        <w:rPr>
          <w:rFonts w:ascii="Verdana" w:hAnsi="Verdana"/>
          <w:sz w:val="16"/>
          <w:szCs w:val="16"/>
        </w:rPr>
        <w:t>3</w:t>
      </w:r>
      <w:r w:rsidRPr="00AC083A">
        <w:rPr>
          <w:rFonts w:ascii="Verdana" w:hAnsi="Verdana"/>
          <w:sz w:val="16"/>
          <w:szCs w:val="16"/>
        </w:rPr>
        <w:t>.4750.</w:t>
      </w:r>
      <w:r>
        <w:rPr>
          <w:rFonts w:ascii="Verdana" w:hAnsi="Verdana"/>
          <w:sz w:val="16"/>
          <w:szCs w:val="16"/>
        </w:rPr>
        <w:t>24.2022</w:t>
      </w:r>
      <w:r>
        <w:rPr>
          <w:rFonts w:ascii="Verdana" w:hAnsi="Verdana"/>
          <w:iCs/>
          <w:sz w:val="16"/>
          <w:szCs w:val="16"/>
        </w:rPr>
        <w:t xml:space="preserve"> z 13 października 2022</w:t>
      </w:r>
      <w:r w:rsidRPr="00841EE5">
        <w:rPr>
          <w:rFonts w:ascii="Verdana" w:hAnsi="Verdana"/>
          <w:iCs/>
          <w:sz w:val="16"/>
          <w:szCs w:val="16"/>
        </w:rPr>
        <w:t xml:space="preserve"> r.;</w:t>
      </w:r>
    </w:p>
    <w:p w:rsidR="008A572A" w:rsidRPr="00187595" w:rsidRDefault="008A572A" w:rsidP="008A572A">
      <w:pPr>
        <w:numPr>
          <w:ilvl w:val="0"/>
          <w:numId w:val="4"/>
        </w:numPr>
        <w:tabs>
          <w:tab w:val="clear" w:pos="720"/>
          <w:tab w:val="num" w:pos="567"/>
        </w:tabs>
        <w:spacing w:before="60" w:after="60"/>
        <w:ind w:left="567" w:hanging="218"/>
        <w:jc w:val="both"/>
        <w:rPr>
          <w:rFonts w:ascii="Verdana" w:hAnsi="Verdana"/>
          <w:sz w:val="16"/>
          <w:szCs w:val="16"/>
        </w:rPr>
      </w:pPr>
      <w:r>
        <w:rPr>
          <w:rFonts w:ascii="Verdana" w:hAnsi="Verdana" w:cs="Arial"/>
          <w:sz w:val="16"/>
          <w:szCs w:val="16"/>
        </w:rPr>
        <w:t>ustawa</w:t>
      </w:r>
      <w:r w:rsidRPr="00AC083A">
        <w:rPr>
          <w:rFonts w:ascii="Verdana" w:hAnsi="Verdana" w:cs="Arial"/>
          <w:sz w:val="16"/>
          <w:szCs w:val="16"/>
        </w:rPr>
        <w:t xml:space="preserve"> z 14 października 2021 r. </w:t>
      </w:r>
      <w:r w:rsidRPr="00AC083A">
        <w:rPr>
          <w:rFonts w:ascii="Verdana" w:hAnsi="Verdana" w:cs="Arial"/>
          <w:i/>
          <w:sz w:val="16"/>
          <w:szCs w:val="16"/>
        </w:rPr>
        <w:t>o zmianie ustawy o dochodach jednostek samorządu terytorialnego oraz niektórych innych ustaw</w:t>
      </w:r>
      <w:r w:rsidRPr="00AC083A">
        <w:rPr>
          <w:rFonts w:ascii="Verdana" w:hAnsi="Verdana" w:cs="Arial"/>
          <w:sz w:val="16"/>
          <w:szCs w:val="16"/>
        </w:rPr>
        <w:t xml:space="preserve"> (</w:t>
      </w:r>
      <w:r>
        <w:rPr>
          <w:rFonts w:ascii="Verdana" w:hAnsi="Verdana" w:cs="Arial"/>
          <w:iCs/>
          <w:sz w:val="16"/>
          <w:szCs w:val="16"/>
        </w:rPr>
        <w:t xml:space="preserve">Dz.U. </w:t>
      </w:r>
      <w:r w:rsidRPr="00AC083A">
        <w:rPr>
          <w:rFonts w:ascii="Verdana" w:hAnsi="Verdana" w:cs="Arial"/>
          <w:iCs/>
          <w:sz w:val="16"/>
          <w:szCs w:val="16"/>
        </w:rPr>
        <w:t>poz. 1927</w:t>
      </w:r>
      <w:r>
        <w:rPr>
          <w:rFonts w:ascii="Verdana" w:hAnsi="Verdana" w:cs="Arial"/>
          <w:sz w:val="16"/>
          <w:szCs w:val="16"/>
        </w:rPr>
        <w:t>);</w:t>
      </w:r>
    </w:p>
    <w:p w:rsidR="008A572A" w:rsidRPr="006F1F01" w:rsidRDefault="008A572A" w:rsidP="008A572A">
      <w:pPr>
        <w:pStyle w:val="Akapitzlist"/>
        <w:numPr>
          <w:ilvl w:val="0"/>
          <w:numId w:val="4"/>
        </w:numPr>
        <w:tabs>
          <w:tab w:val="clear" w:pos="720"/>
          <w:tab w:val="num" w:pos="567"/>
        </w:tabs>
        <w:spacing w:before="60" w:after="60"/>
        <w:ind w:left="567" w:hanging="218"/>
        <w:contextualSpacing w:val="0"/>
        <w:jc w:val="both"/>
        <w:rPr>
          <w:rFonts w:ascii="Verdana" w:hAnsi="Verdana" w:cs="Arial"/>
          <w:i/>
          <w:sz w:val="16"/>
          <w:szCs w:val="16"/>
        </w:rPr>
      </w:pPr>
      <w:r>
        <w:rPr>
          <w:rFonts w:ascii="Verdana" w:hAnsi="Verdana" w:cs="Arial"/>
          <w:sz w:val="16"/>
          <w:szCs w:val="16"/>
        </w:rPr>
        <w:t>ustawa z 29</w:t>
      </w:r>
      <w:r w:rsidRPr="00AC083A">
        <w:rPr>
          <w:rFonts w:ascii="Verdana" w:hAnsi="Verdana" w:cs="Arial"/>
          <w:sz w:val="16"/>
          <w:szCs w:val="16"/>
        </w:rPr>
        <w:t xml:space="preserve"> października 2021 r. </w:t>
      </w:r>
      <w:r w:rsidRPr="00AC083A">
        <w:rPr>
          <w:rFonts w:ascii="Verdana" w:hAnsi="Verdana" w:cs="Arial"/>
          <w:i/>
          <w:sz w:val="16"/>
          <w:szCs w:val="16"/>
        </w:rPr>
        <w:t xml:space="preserve">o zmianie ustawy o podatku dochodowym od osób fizycznych, ustawy </w:t>
      </w:r>
      <w:r>
        <w:rPr>
          <w:rFonts w:ascii="Verdana" w:hAnsi="Verdana" w:cs="Arial"/>
          <w:i/>
          <w:sz w:val="16"/>
          <w:szCs w:val="16"/>
        </w:rPr>
        <w:br/>
      </w:r>
      <w:r w:rsidRPr="00AC083A">
        <w:rPr>
          <w:rFonts w:ascii="Verdana" w:hAnsi="Verdana" w:cs="Arial"/>
          <w:i/>
          <w:sz w:val="16"/>
          <w:szCs w:val="16"/>
        </w:rPr>
        <w:t>o podatku dochodowym od osób prawnych oraz niektórych innych ustaw</w:t>
      </w:r>
      <w:r>
        <w:rPr>
          <w:rFonts w:ascii="Verdana" w:hAnsi="Verdana" w:cs="Arial"/>
          <w:sz w:val="16"/>
          <w:szCs w:val="16"/>
        </w:rPr>
        <w:t xml:space="preserve"> (Dz. U. z 2021 r. poz. 2105, 2349, 2427 i 2469 oraz z 2022 r. poz. 1265, 1301, 1719 i 2180);</w:t>
      </w:r>
    </w:p>
    <w:p w:rsidR="008A572A" w:rsidRDefault="008A572A" w:rsidP="008A572A">
      <w:pPr>
        <w:numPr>
          <w:ilvl w:val="0"/>
          <w:numId w:val="4"/>
        </w:numPr>
        <w:tabs>
          <w:tab w:val="clear" w:pos="720"/>
          <w:tab w:val="num" w:pos="567"/>
        </w:tabs>
        <w:spacing w:before="60" w:after="60"/>
        <w:ind w:left="567" w:hanging="283"/>
        <w:jc w:val="both"/>
        <w:rPr>
          <w:rFonts w:ascii="Verdana" w:hAnsi="Verdana"/>
          <w:iCs/>
          <w:sz w:val="16"/>
          <w:szCs w:val="16"/>
        </w:rPr>
      </w:pPr>
      <w:r>
        <w:rPr>
          <w:rFonts w:ascii="Verdana" w:hAnsi="Verdana"/>
          <w:iCs/>
          <w:sz w:val="16"/>
          <w:szCs w:val="16"/>
        </w:rPr>
        <w:t>ustawa</w:t>
      </w:r>
      <w:r w:rsidRPr="008B2941">
        <w:rPr>
          <w:rFonts w:ascii="Verdana" w:hAnsi="Verdana"/>
          <w:iCs/>
          <w:sz w:val="16"/>
          <w:szCs w:val="16"/>
        </w:rPr>
        <w:t xml:space="preserve"> z 9 czerwca 2022 r. </w:t>
      </w:r>
      <w:r w:rsidRPr="008B2941">
        <w:rPr>
          <w:rFonts w:ascii="Verdana" w:hAnsi="Verdana"/>
          <w:i/>
          <w:iCs/>
          <w:sz w:val="16"/>
          <w:szCs w:val="16"/>
        </w:rPr>
        <w:t>o zmianie ustawy o podatku dochodowym od osób fizycznych oraz niektórych innych ustaw</w:t>
      </w:r>
      <w:r w:rsidRPr="008B2941">
        <w:rPr>
          <w:rFonts w:ascii="Verdana" w:hAnsi="Verdana"/>
          <w:iCs/>
          <w:sz w:val="16"/>
          <w:szCs w:val="16"/>
        </w:rPr>
        <w:t xml:space="preserve"> (</w:t>
      </w:r>
      <w:r>
        <w:rPr>
          <w:rFonts w:ascii="Verdana" w:hAnsi="Verdana"/>
          <w:iCs/>
          <w:sz w:val="16"/>
          <w:szCs w:val="16"/>
        </w:rPr>
        <w:t>Dz. U. poz. 1265, 1964 i 2180</w:t>
      </w:r>
      <w:r w:rsidRPr="008B2941">
        <w:rPr>
          <w:rFonts w:ascii="Verdana" w:hAnsi="Verdana"/>
          <w:iCs/>
          <w:sz w:val="16"/>
          <w:szCs w:val="16"/>
        </w:rPr>
        <w:t>)</w:t>
      </w:r>
      <w:r>
        <w:rPr>
          <w:rFonts w:ascii="Verdana" w:hAnsi="Verdana"/>
          <w:iCs/>
          <w:sz w:val="16"/>
          <w:szCs w:val="16"/>
        </w:rPr>
        <w:t>;</w:t>
      </w:r>
    </w:p>
    <w:p w:rsidR="008A572A" w:rsidRPr="003113E4" w:rsidRDefault="008A572A" w:rsidP="008A572A">
      <w:pPr>
        <w:pStyle w:val="Akapitzlist"/>
        <w:numPr>
          <w:ilvl w:val="0"/>
          <w:numId w:val="4"/>
        </w:numPr>
        <w:tabs>
          <w:tab w:val="clear" w:pos="720"/>
          <w:tab w:val="num" w:pos="567"/>
        </w:tabs>
        <w:spacing w:before="60" w:after="60"/>
        <w:ind w:left="567" w:hanging="283"/>
        <w:contextualSpacing w:val="0"/>
        <w:jc w:val="both"/>
        <w:rPr>
          <w:rFonts w:ascii="Verdana" w:hAnsi="Verdana" w:cs="Arial"/>
          <w:i/>
          <w:sz w:val="16"/>
          <w:szCs w:val="16"/>
        </w:rPr>
      </w:pPr>
      <w:r>
        <w:rPr>
          <w:rFonts w:ascii="Verdana" w:hAnsi="Verdana"/>
          <w:iCs/>
          <w:sz w:val="16"/>
          <w:szCs w:val="16"/>
        </w:rPr>
        <w:t>ustawa</w:t>
      </w:r>
      <w:r w:rsidRPr="008B2941">
        <w:rPr>
          <w:rFonts w:ascii="Verdana" w:hAnsi="Verdana"/>
          <w:iCs/>
          <w:sz w:val="16"/>
          <w:szCs w:val="16"/>
        </w:rPr>
        <w:t xml:space="preserve"> z 15 września 2022 r. </w:t>
      </w:r>
      <w:r w:rsidRPr="008B2941">
        <w:rPr>
          <w:rFonts w:ascii="Verdana" w:hAnsi="Verdana"/>
          <w:i/>
          <w:iCs/>
          <w:sz w:val="16"/>
          <w:szCs w:val="16"/>
        </w:rPr>
        <w:t xml:space="preserve">o zmianie ustawy o dochodach jednostek samorządu terytorialnego </w:t>
      </w:r>
      <w:r w:rsidRPr="008B2941">
        <w:rPr>
          <w:rFonts w:ascii="Verdana" w:hAnsi="Verdana"/>
          <w:i/>
          <w:iCs/>
          <w:sz w:val="16"/>
          <w:szCs w:val="16"/>
        </w:rPr>
        <w:br/>
        <w:t>oraz niektórych innych ustaw</w:t>
      </w:r>
      <w:r w:rsidRPr="008B2941">
        <w:rPr>
          <w:rFonts w:ascii="Verdana" w:hAnsi="Verdana"/>
          <w:iCs/>
          <w:sz w:val="16"/>
          <w:szCs w:val="16"/>
        </w:rPr>
        <w:t xml:space="preserve"> (</w:t>
      </w:r>
      <w:r>
        <w:rPr>
          <w:rFonts w:ascii="Verdana" w:hAnsi="Verdana"/>
          <w:iCs/>
          <w:sz w:val="16"/>
          <w:szCs w:val="16"/>
        </w:rPr>
        <w:t>Dz. U. poz. 1964</w:t>
      </w:r>
      <w:r w:rsidRPr="008B2941">
        <w:rPr>
          <w:rFonts w:ascii="Verdana" w:hAnsi="Verdana"/>
          <w:iCs/>
          <w:sz w:val="16"/>
          <w:szCs w:val="16"/>
        </w:rPr>
        <w:t>)</w:t>
      </w:r>
      <w:r>
        <w:rPr>
          <w:rFonts w:ascii="Verdana" w:hAnsi="Verdana"/>
          <w:iCs/>
          <w:sz w:val="16"/>
          <w:szCs w:val="16"/>
        </w:rPr>
        <w:t>;</w:t>
      </w:r>
    </w:p>
    <w:p w:rsidR="008A572A" w:rsidRPr="00AC083A" w:rsidRDefault="008A572A" w:rsidP="008A572A">
      <w:pPr>
        <w:pStyle w:val="Akapitzlist"/>
        <w:numPr>
          <w:ilvl w:val="0"/>
          <w:numId w:val="4"/>
        </w:numPr>
        <w:tabs>
          <w:tab w:val="clear" w:pos="720"/>
          <w:tab w:val="num" w:pos="567"/>
        </w:tabs>
        <w:spacing w:before="60" w:after="60"/>
        <w:ind w:left="567" w:hanging="283"/>
        <w:contextualSpacing w:val="0"/>
        <w:jc w:val="both"/>
        <w:rPr>
          <w:rFonts w:ascii="Verdana" w:hAnsi="Verdana" w:cs="Arial"/>
          <w:i/>
          <w:sz w:val="16"/>
          <w:szCs w:val="16"/>
        </w:rPr>
      </w:pPr>
      <w:r>
        <w:rPr>
          <w:rFonts w:ascii="Verdana" w:hAnsi="Verdana"/>
          <w:sz w:val="16"/>
          <w:szCs w:val="16"/>
        </w:rPr>
        <w:t xml:space="preserve">ustawa z 1 grudnia 2022 r. </w:t>
      </w:r>
      <w:r w:rsidRPr="0022307F">
        <w:rPr>
          <w:rFonts w:ascii="Verdana" w:hAnsi="Verdana"/>
          <w:i/>
          <w:sz w:val="16"/>
          <w:szCs w:val="16"/>
        </w:rPr>
        <w:t>o szczególnych rozwiązaniach służących realizacji ustawy budżetowej na rok 2023</w:t>
      </w:r>
      <w:r>
        <w:rPr>
          <w:rFonts w:ascii="Verdana" w:hAnsi="Verdana"/>
          <w:sz w:val="16"/>
          <w:szCs w:val="16"/>
        </w:rPr>
        <w:t>.</w:t>
      </w:r>
    </w:p>
    <w:p w:rsidR="008A572A" w:rsidRPr="000A6485" w:rsidRDefault="008A572A" w:rsidP="008A572A">
      <w:pPr>
        <w:spacing w:before="60" w:after="60"/>
        <w:jc w:val="both"/>
        <w:rPr>
          <w:rFonts w:ascii="Verdana" w:hAnsi="Verdana"/>
          <w:sz w:val="16"/>
          <w:szCs w:val="16"/>
        </w:rPr>
      </w:pPr>
      <w:r w:rsidRPr="000A6485">
        <w:rPr>
          <w:rFonts w:ascii="Verdana" w:hAnsi="Verdana"/>
          <w:sz w:val="16"/>
          <w:szCs w:val="16"/>
        </w:rPr>
        <w:lastRenderedPageBreak/>
        <w:t xml:space="preserve">W WPF </w:t>
      </w:r>
      <w:r w:rsidRPr="00932633">
        <w:rPr>
          <w:rFonts w:ascii="Verdana" w:eastAsiaTheme="minorEastAsia" w:hAnsi="Verdana" w:cs="Verdana"/>
          <w:color w:val="000000"/>
          <w:sz w:val="16"/>
          <w:szCs w:val="16"/>
        </w:rPr>
        <w:t>2023</w:t>
      </w:r>
      <w:r w:rsidRPr="000A6485">
        <w:rPr>
          <w:rFonts w:ascii="Verdana" w:hAnsi="Verdana"/>
          <w:sz w:val="16"/>
          <w:szCs w:val="16"/>
        </w:rPr>
        <w:t>-2050</w:t>
      </w:r>
      <w:r>
        <w:rPr>
          <w:rFonts w:ascii="Verdana" w:hAnsi="Verdana"/>
          <w:sz w:val="16"/>
          <w:szCs w:val="16"/>
        </w:rPr>
        <w:t xml:space="preserve"> </w:t>
      </w:r>
      <w:r w:rsidRPr="000A6485">
        <w:rPr>
          <w:rFonts w:ascii="Verdana" w:hAnsi="Verdana"/>
          <w:sz w:val="16"/>
          <w:szCs w:val="16"/>
        </w:rPr>
        <w:t>uwzględniono również analizy własne obejmujące:</w:t>
      </w:r>
    </w:p>
    <w:p w:rsidR="008A572A" w:rsidRPr="000A6485" w:rsidRDefault="008A572A" w:rsidP="008A572A">
      <w:pPr>
        <w:numPr>
          <w:ilvl w:val="0"/>
          <w:numId w:val="69"/>
        </w:numPr>
        <w:tabs>
          <w:tab w:val="clear" w:pos="1080"/>
          <w:tab w:val="num" w:pos="567"/>
        </w:tabs>
        <w:spacing w:before="60" w:after="60"/>
        <w:ind w:left="567" w:hanging="283"/>
        <w:jc w:val="both"/>
        <w:rPr>
          <w:rFonts w:ascii="Verdana" w:hAnsi="Verdana"/>
          <w:sz w:val="16"/>
          <w:szCs w:val="16"/>
        </w:rPr>
      </w:pPr>
      <w:r w:rsidRPr="000A6485">
        <w:rPr>
          <w:rFonts w:ascii="Verdana" w:hAnsi="Verdana"/>
          <w:sz w:val="16"/>
          <w:szCs w:val="16"/>
        </w:rPr>
        <w:t>tendencje w zakresie kształtowania się dochodów m.st. Warszawy z poszczególnych źródeł i wpływu na ich wysokość zmieniających się uwarunkowań wewnętrznych i zmian warunków w otoczeniu zewnętrznym,</w:t>
      </w:r>
    </w:p>
    <w:p w:rsidR="008A572A" w:rsidRPr="000A6485" w:rsidRDefault="008A572A" w:rsidP="008A572A">
      <w:pPr>
        <w:numPr>
          <w:ilvl w:val="0"/>
          <w:numId w:val="69"/>
        </w:numPr>
        <w:tabs>
          <w:tab w:val="clear" w:pos="1080"/>
          <w:tab w:val="num" w:pos="567"/>
        </w:tabs>
        <w:spacing w:before="60" w:after="60"/>
        <w:ind w:left="567" w:hanging="283"/>
        <w:jc w:val="both"/>
        <w:rPr>
          <w:rFonts w:ascii="Verdana" w:hAnsi="Verdana"/>
          <w:sz w:val="16"/>
          <w:szCs w:val="16"/>
        </w:rPr>
      </w:pPr>
      <w:r w:rsidRPr="000A6485">
        <w:rPr>
          <w:rFonts w:ascii="Verdana" w:hAnsi="Verdana"/>
          <w:sz w:val="16"/>
          <w:szCs w:val="16"/>
        </w:rPr>
        <w:t>uwarunkowania w kształtowaniu wydatków Miasta,</w:t>
      </w:r>
    </w:p>
    <w:p w:rsidR="008A572A" w:rsidRPr="000A6485" w:rsidRDefault="008A572A" w:rsidP="008A572A">
      <w:pPr>
        <w:spacing w:before="60" w:after="60"/>
        <w:jc w:val="both"/>
        <w:rPr>
          <w:rFonts w:ascii="Verdana" w:hAnsi="Verdana"/>
          <w:sz w:val="16"/>
          <w:szCs w:val="16"/>
        </w:rPr>
      </w:pPr>
      <w:r w:rsidRPr="000A6485">
        <w:rPr>
          <w:rFonts w:ascii="Verdana" w:hAnsi="Verdana"/>
          <w:sz w:val="16"/>
          <w:szCs w:val="16"/>
        </w:rPr>
        <w:t xml:space="preserve">z uwzględnieniem negatywnych dla możliwości </w:t>
      </w:r>
      <w:r>
        <w:rPr>
          <w:rFonts w:ascii="Verdana" w:hAnsi="Verdana"/>
          <w:sz w:val="16"/>
          <w:szCs w:val="16"/>
        </w:rPr>
        <w:t>budżetowych</w:t>
      </w:r>
      <w:r w:rsidRPr="000A6485">
        <w:rPr>
          <w:rFonts w:ascii="Verdana" w:hAnsi="Verdana"/>
          <w:sz w:val="16"/>
          <w:szCs w:val="16"/>
        </w:rPr>
        <w:t xml:space="preserve"> </w:t>
      </w:r>
      <w:r>
        <w:rPr>
          <w:rFonts w:ascii="Verdana" w:hAnsi="Verdana"/>
          <w:sz w:val="16"/>
          <w:szCs w:val="16"/>
        </w:rPr>
        <w:t xml:space="preserve">m.st. Warszawy utrzymujących się konsekwencji społeczno-gospodarczych pandemii </w:t>
      </w:r>
      <w:proofErr w:type="spellStart"/>
      <w:r>
        <w:rPr>
          <w:rFonts w:ascii="Verdana" w:hAnsi="Verdana"/>
          <w:sz w:val="16"/>
          <w:szCs w:val="16"/>
        </w:rPr>
        <w:t>koronawirusa</w:t>
      </w:r>
      <w:proofErr w:type="spellEnd"/>
      <w:r>
        <w:rPr>
          <w:rFonts w:ascii="Verdana" w:hAnsi="Verdana"/>
          <w:sz w:val="16"/>
          <w:szCs w:val="16"/>
        </w:rPr>
        <w:t xml:space="preserve"> SARS-Cov-2 wywołującego chorobę COVID-19, które nałożyły się na niekorzystne dla dochodów samorządów</w:t>
      </w:r>
      <w:r w:rsidRPr="000A6485">
        <w:rPr>
          <w:rFonts w:ascii="Verdana" w:hAnsi="Verdana"/>
          <w:sz w:val="16"/>
          <w:szCs w:val="16"/>
        </w:rPr>
        <w:t xml:space="preserve"> zmian</w:t>
      </w:r>
      <w:r>
        <w:rPr>
          <w:rFonts w:ascii="Verdana" w:hAnsi="Verdana"/>
          <w:sz w:val="16"/>
          <w:szCs w:val="16"/>
        </w:rPr>
        <w:t>y prawne wprowadzone w latach 2018-2019</w:t>
      </w:r>
      <w:r w:rsidRPr="000A6485">
        <w:rPr>
          <w:rFonts w:ascii="Verdana" w:hAnsi="Verdana"/>
          <w:sz w:val="16"/>
          <w:szCs w:val="16"/>
        </w:rPr>
        <w:t xml:space="preserve"> w zakresie podatku doch</w:t>
      </w:r>
      <w:r>
        <w:rPr>
          <w:rFonts w:ascii="Verdana" w:hAnsi="Verdana"/>
          <w:sz w:val="16"/>
          <w:szCs w:val="16"/>
        </w:rPr>
        <w:t xml:space="preserve">odowego od osób fizycznych PIT </w:t>
      </w:r>
      <w:r w:rsidRPr="000A6485">
        <w:rPr>
          <w:rFonts w:ascii="Verdana" w:hAnsi="Verdana"/>
          <w:sz w:val="16"/>
          <w:szCs w:val="16"/>
        </w:rPr>
        <w:t xml:space="preserve">oraz </w:t>
      </w:r>
      <w:r>
        <w:rPr>
          <w:rFonts w:ascii="Verdana" w:hAnsi="Verdana"/>
          <w:sz w:val="16"/>
          <w:szCs w:val="16"/>
        </w:rPr>
        <w:t>dotyczące</w:t>
      </w:r>
      <w:r w:rsidRPr="000A6485">
        <w:rPr>
          <w:rFonts w:ascii="Verdana" w:hAnsi="Verdana"/>
          <w:sz w:val="16"/>
          <w:szCs w:val="16"/>
        </w:rPr>
        <w:t xml:space="preserve"> przekształcenia prawa użytkowania wieczystego gruntów </w:t>
      </w:r>
      <w:r>
        <w:rPr>
          <w:rFonts w:ascii="Verdana" w:hAnsi="Verdana"/>
          <w:sz w:val="16"/>
          <w:szCs w:val="16"/>
        </w:rPr>
        <w:t xml:space="preserve">przeznaczonych </w:t>
      </w:r>
      <w:r w:rsidRPr="000A6485">
        <w:rPr>
          <w:rFonts w:ascii="Verdana" w:hAnsi="Verdana"/>
          <w:sz w:val="16"/>
          <w:szCs w:val="16"/>
        </w:rPr>
        <w:t>na cele mieszkaniowe w prawo własnoś</w:t>
      </w:r>
      <w:r>
        <w:rPr>
          <w:rFonts w:ascii="Verdana" w:hAnsi="Verdana"/>
          <w:sz w:val="16"/>
          <w:szCs w:val="16"/>
        </w:rPr>
        <w:t>ci (z bonifikatami) powodujące</w:t>
      </w:r>
      <w:r w:rsidRPr="000A6485">
        <w:rPr>
          <w:rFonts w:ascii="Verdana" w:hAnsi="Verdana"/>
          <w:sz w:val="16"/>
          <w:szCs w:val="16"/>
        </w:rPr>
        <w:t xml:space="preserve"> utratę dochodów związanych </w:t>
      </w:r>
      <w:r>
        <w:rPr>
          <w:rFonts w:ascii="Verdana" w:hAnsi="Verdana"/>
          <w:sz w:val="16"/>
          <w:szCs w:val="16"/>
        </w:rPr>
        <w:t>z użytkowaniem wieczystym, a także z uwzględnieniem rozwiązań prawnych</w:t>
      </w:r>
      <w:r w:rsidRPr="000270E2">
        <w:rPr>
          <w:rFonts w:ascii="Verdana" w:hAnsi="Verdana"/>
          <w:sz w:val="16"/>
          <w:szCs w:val="16"/>
        </w:rPr>
        <w:t xml:space="preserve"> </w:t>
      </w:r>
      <w:r>
        <w:rPr>
          <w:rFonts w:ascii="Verdana" w:hAnsi="Verdana"/>
          <w:sz w:val="16"/>
          <w:szCs w:val="16"/>
        </w:rPr>
        <w:t>przewidzianych</w:t>
      </w:r>
      <w:r w:rsidRPr="000270E2">
        <w:rPr>
          <w:rFonts w:ascii="Verdana" w:hAnsi="Verdana"/>
          <w:sz w:val="16"/>
          <w:szCs w:val="16"/>
        </w:rPr>
        <w:t xml:space="preserve"> </w:t>
      </w:r>
      <w:r>
        <w:rPr>
          <w:rFonts w:ascii="Verdana" w:hAnsi="Verdana"/>
          <w:sz w:val="16"/>
          <w:szCs w:val="16"/>
        </w:rPr>
        <w:br/>
        <w:t xml:space="preserve">w rządowym programie Polski Ład, które wprowadziły </w:t>
      </w:r>
      <w:r w:rsidRPr="000270E2">
        <w:rPr>
          <w:rFonts w:ascii="Verdana" w:hAnsi="Verdana"/>
          <w:sz w:val="16"/>
          <w:szCs w:val="16"/>
        </w:rPr>
        <w:t xml:space="preserve">w finansach samorządów zasadnicze zmiany systemowe </w:t>
      </w:r>
      <w:r>
        <w:rPr>
          <w:rFonts w:ascii="Verdana" w:hAnsi="Verdana"/>
          <w:sz w:val="16"/>
          <w:szCs w:val="16"/>
        </w:rPr>
        <w:br/>
      </w:r>
      <w:r w:rsidRPr="000270E2">
        <w:rPr>
          <w:rFonts w:ascii="Verdana" w:hAnsi="Verdana"/>
          <w:sz w:val="16"/>
          <w:szCs w:val="16"/>
        </w:rPr>
        <w:t>w trwały sposób negatywnie oddziałujące na potencjał dochodowy m.st. Warszawy, bez adekwatnych rozwiązań kompensacyjnych.</w:t>
      </w:r>
    </w:p>
    <w:p w:rsidR="008A572A" w:rsidRDefault="008A572A" w:rsidP="008A572A">
      <w:pPr>
        <w:spacing w:before="60" w:after="60"/>
        <w:jc w:val="both"/>
        <w:rPr>
          <w:rFonts w:ascii="Verdana" w:hAnsi="Verdana"/>
          <w:sz w:val="16"/>
          <w:szCs w:val="16"/>
        </w:rPr>
      </w:pPr>
      <w:r w:rsidRPr="000A6485">
        <w:rPr>
          <w:rFonts w:ascii="Verdana" w:hAnsi="Verdana"/>
          <w:sz w:val="16"/>
          <w:szCs w:val="16"/>
        </w:rPr>
        <w:t xml:space="preserve">W </w:t>
      </w:r>
      <w:r>
        <w:rPr>
          <w:rFonts w:ascii="Verdana" w:hAnsi="Verdana"/>
          <w:sz w:val="16"/>
          <w:szCs w:val="16"/>
        </w:rPr>
        <w:t xml:space="preserve">WPF </w:t>
      </w:r>
      <w:r w:rsidRPr="00932633">
        <w:rPr>
          <w:rFonts w:ascii="Verdana" w:eastAsiaTheme="minorEastAsia" w:hAnsi="Verdana" w:cs="Verdana"/>
          <w:color w:val="000000"/>
          <w:sz w:val="16"/>
          <w:szCs w:val="16"/>
        </w:rPr>
        <w:t>2023</w:t>
      </w:r>
      <w:r w:rsidRPr="000A6485">
        <w:rPr>
          <w:rFonts w:ascii="Verdana" w:hAnsi="Verdana"/>
          <w:sz w:val="16"/>
          <w:szCs w:val="16"/>
        </w:rPr>
        <w:t>-2050 ujęto planowane do uzyskania środki z unijnej perspektywy finansowej obejmującej lata 2014-2020</w:t>
      </w:r>
      <w:r>
        <w:rPr>
          <w:rFonts w:ascii="Verdana" w:hAnsi="Verdana"/>
          <w:sz w:val="16"/>
          <w:szCs w:val="16"/>
        </w:rPr>
        <w:t xml:space="preserve"> (z okresem rozliczeniowym do 2025 r.)</w:t>
      </w:r>
      <w:r w:rsidRPr="000A6485">
        <w:rPr>
          <w:rFonts w:ascii="Verdana" w:hAnsi="Verdana"/>
          <w:sz w:val="16"/>
          <w:szCs w:val="16"/>
        </w:rPr>
        <w:t>.</w:t>
      </w:r>
    </w:p>
    <w:p w:rsidR="008A572A" w:rsidRPr="000A6485" w:rsidRDefault="008A572A" w:rsidP="008A572A">
      <w:pPr>
        <w:spacing w:before="240" w:after="120" w:line="240" w:lineRule="auto"/>
        <w:ind w:left="425" w:hanging="425"/>
        <w:rPr>
          <w:rFonts w:ascii="Verdana" w:hAnsi="Verdana"/>
          <w:b/>
          <w:bCs/>
          <w:sz w:val="22"/>
          <w:szCs w:val="22"/>
        </w:rPr>
      </w:pPr>
      <w:r w:rsidRPr="000A6485">
        <w:rPr>
          <w:rFonts w:ascii="Verdana" w:hAnsi="Verdana"/>
          <w:b/>
          <w:bCs/>
          <w:sz w:val="22"/>
          <w:szCs w:val="22"/>
        </w:rPr>
        <w:t>3.  Cele opracowania Wieloletniej Prognozy Finansowej m.st. Warszawy</w:t>
      </w:r>
    </w:p>
    <w:p w:rsidR="008A572A" w:rsidRPr="000A6485" w:rsidRDefault="008A572A" w:rsidP="008A572A">
      <w:pPr>
        <w:spacing w:before="240" w:after="240" w:line="240" w:lineRule="auto"/>
        <w:rPr>
          <w:rFonts w:ascii="Verdana" w:hAnsi="Verdana"/>
          <w:b/>
          <w:bCs/>
          <w:sz w:val="20"/>
          <w:szCs w:val="20"/>
        </w:rPr>
      </w:pPr>
      <w:r w:rsidRPr="000A6485">
        <w:rPr>
          <w:rFonts w:ascii="Verdana" w:hAnsi="Verdana"/>
          <w:b/>
          <w:bCs/>
          <w:sz w:val="20"/>
          <w:szCs w:val="20"/>
        </w:rPr>
        <w:t xml:space="preserve">3.1 Ograniczenie ryzyka w zarządzaniu finansami m.st. Warszawy </w:t>
      </w:r>
      <w:r w:rsidRPr="000A6485">
        <w:rPr>
          <w:rFonts w:ascii="Verdana" w:hAnsi="Verdana"/>
          <w:b/>
          <w:bCs/>
          <w:sz w:val="20"/>
          <w:szCs w:val="20"/>
        </w:rPr>
        <w:br/>
        <w:t xml:space="preserve">      w perspektywie wieloletniej</w:t>
      </w:r>
    </w:p>
    <w:p w:rsidR="008A572A" w:rsidRPr="000A6485" w:rsidRDefault="008A572A" w:rsidP="008A572A">
      <w:pPr>
        <w:spacing w:before="60" w:after="60"/>
        <w:ind w:firstLine="540"/>
        <w:jc w:val="both"/>
        <w:rPr>
          <w:rFonts w:ascii="Verdana" w:hAnsi="Verdana"/>
          <w:iCs/>
          <w:sz w:val="16"/>
          <w:szCs w:val="16"/>
        </w:rPr>
      </w:pPr>
      <w:r w:rsidRPr="000A6485">
        <w:rPr>
          <w:rFonts w:ascii="Verdana" w:hAnsi="Verdana"/>
          <w:iCs/>
          <w:sz w:val="16"/>
          <w:szCs w:val="16"/>
        </w:rPr>
        <w:t>Prognozowanie i planowanie w perspektywie wieloletniej podyktowane jest w głównej mierze charakterem prowadzonej działalności:</w:t>
      </w:r>
    </w:p>
    <w:p w:rsidR="008A572A" w:rsidRPr="000A6485" w:rsidRDefault="008A572A" w:rsidP="008A572A">
      <w:pPr>
        <w:numPr>
          <w:ilvl w:val="0"/>
          <w:numId w:val="1"/>
        </w:numPr>
        <w:tabs>
          <w:tab w:val="left" w:pos="567"/>
        </w:tabs>
        <w:spacing w:before="60" w:after="60"/>
        <w:ind w:left="567" w:hanging="283"/>
        <w:jc w:val="both"/>
        <w:rPr>
          <w:rFonts w:ascii="Verdana" w:hAnsi="Verdana"/>
          <w:iCs/>
          <w:sz w:val="16"/>
          <w:szCs w:val="16"/>
        </w:rPr>
      </w:pPr>
      <w:r w:rsidRPr="000A6485">
        <w:rPr>
          <w:rFonts w:ascii="Verdana" w:hAnsi="Verdana"/>
          <w:iCs/>
          <w:sz w:val="16"/>
          <w:szCs w:val="16"/>
        </w:rPr>
        <w:t>ciągłością funkcjonowania jednostek organizacyjnych,</w:t>
      </w:r>
    </w:p>
    <w:p w:rsidR="008A572A" w:rsidRPr="000A6485" w:rsidRDefault="008A572A" w:rsidP="008A572A">
      <w:pPr>
        <w:numPr>
          <w:ilvl w:val="0"/>
          <w:numId w:val="1"/>
        </w:numPr>
        <w:tabs>
          <w:tab w:val="left" w:pos="567"/>
        </w:tabs>
        <w:spacing w:before="60" w:after="60"/>
        <w:ind w:left="567" w:hanging="283"/>
        <w:jc w:val="both"/>
        <w:rPr>
          <w:rFonts w:ascii="Verdana" w:hAnsi="Verdana"/>
          <w:iCs/>
          <w:sz w:val="16"/>
          <w:szCs w:val="16"/>
        </w:rPr>
      </w:pPr>
      <w:r w:rsidRPr="000A6485">
        <w:rPr>
          <w:rFonts w:ascii="Verdana" w:hAnsi="Verdana"/>
          <w:iCs/>
          <w:sz w:val="16"/>
          <w:szCs w:val="16"/>
        </w:rPr>
        <w:t>realizacją zadań inwestycyjnych w okresach przekraczających rok budżetowy,</w:t>
      </w:r>
    </w:p>
    <w:p w:rsidR="008A572A" w:rsidRPr="000A6485" w:rsidRDefault="008A572A" w:rsidP="008A572A">
      <w:pPr>
        <w:numPr>
          <w:ilvl w:val="0"/>
          <w:numId w:val="1"/>
        </w:numPr>
        <w:tabs>
          <w:tab w:val="left" w:pos="567"/>
        </w:tabs>
        <w:spacing w:before="60" w:after="60"/>
        <w:ind w:left="567" w:hanging="283"/>
        <w:jc w:val="both"/>
        <w:rPr>
          <w:rFonts w:ascii="Verdana" w:hAnsi="Verdana"/>
          <w:iCs/>
          <w:sz w:val="16"/>
          <w:szCs w:val="16"/>
        </w:rPr>
      </w:pPr>
      <w:r w:rsidRPr="000A6485">
        <w:rPr>
          <w:rFonts w:ascii="Verdana" w:hAnsi="Verdana"/>
          <w:iCs/>
          <w:sz w:val="16"/>
          <w:szCs w:val="16"/>
        </w:rPr>
        <w:t>wieloletnimi skutkami decyzji finansowych podejmowanych w danym roku budżetowym.</w:t>
      </w:r>
    </w:p>
    <w:p w:rsidR="008A572A" w:rsidRPr="000A6485" w:rsidRDefault="008A572A" w:rsidP="008A572A">
      <w:pPr>
        <w:spacing w:before="60" w:after="60"/>
        <w:ind w:firstLine="540"/>
        <w:jc w:val="both"/>
        <w:rPr>
          <w:rFonts w:ascii="Verdana" w:hAnsi="Verdana"/>
          <w:iCs/>
          <w:sz w:val="16"/>
          <w:szCs w:val="16"/>
        </w:rPr>
      </w:pPr>
      <w:r w:rsidRPr="000A6485">
        <w:rPr>
          <w:rFonts w:ascii="Verdana" w:hAnsi="Verdana"/>
          <w:iCs/>
          <w:sz w:val="16"/>
          <w:szCs w:val="16"/>
        </w:rPr>
        <w:t>Ponadto wśród wydatków m.st. Warszawy znajdują się wydatki obligatoryjne zdeterminowane ustawami bądź zawartymi przez Miasto umowami długookresowymi (</w:t>
      </w:r>
      <w:r>
        <w:rPr>
          <w:rFonts w:ascii="Verdana" w:hAnsi="Verdana"/>
          <w:iCs/>
          <w:sz w:val="16"/>
          <w:szCs w:val="16"/>
        </w:rPr>
        <w:t xml:space="preserve">m.in. </w:t>
      </w:r>
      <w:r w:rsidRPr="000A6485">
        <w:rPr>
          <w:rFonts w:ascii="Verdana" w:hAnsi="Verdana"/>
          <w:iCs/>
          <w:sz w:val="16"/>
          <w:szCs w:val="16"/>
        </w:rPr>
        <w:t xml:space="preserve">wpłata do budżetu państwa z przeznaczeniem </w:t>
      </w:r>
      <w:r w:rsidRPr="000A6485">
        <w:rPr>
          <w:rFonts w:ascii="Verdana" w:hAnsi="Verdana"/>
          <w:iCs/>
          <w:sz w:val="16"/>
          <w:szCs w:val="16"/>
        </w:rPr>
        <w:br/>
        <w:t>na subwencję równoważącą dla gmin i powiatów</w:t>
      </w:r>
      <w:r>
        <w:rPr>
          <w:rFonts w:ascii="Verdana" w:hAnsi="Verdana"/>
          <w:iCs/>
          <w:sz w:val="16"/>
          <w:szCs w:val="16"/>
        </w:rPr>
        <w:t>, tj. tzw. Janosikowe</w:t>
      </w:r>
      <w:r w:rsidRPr="000A6485">
        <w:rPr>
          <w:rFonts w:ascii="Verdana" w:hAnsi="Verdana"/>
          <w:iCs/>
          <w:sz w:val="16"/>
          <w:szCs w:val="16"/>
        </w:rPr>
        <w:t xml:space="preserve">, zakup usług komunikacji miejskiej </w:t>
      </w:r>
      <w:r>
        <w:rPr>
          <w:rFonts w:ascii="Verdana" w:hAnsi="Verdana"/>
          <w:iCs/>
          <w:sz w:val="16"/>
          <w:szCs w:val="16"/>
        </w:rPr>
        <w:br/>
      </w:r>
      <w:r w:rsidRPr="000A6485">
        <w:rPr>
          <w:rFonts w:ascii="Verdana" w:hAnsi="Verdana"/>
          <w:iCs/>
          <w:sz w:val="16"/>
          <w:szCs w:val="16"/>
        </w:rPr>
        <w:t>na podstawie wieloletnich umów, koszty obsługi długu).</w:t>
      </w:r>
    </w:p>
    <w:p w:rsidR="008A572A" w:rsidRPr="000A6485" w:rsidRDefault="008A572A" w:rsidP="008A572A">
      <w:pPr>
        <w:spacing w:before="240" w:after="240"/>
        <w:rPr>
          <w:rFonts w:ascii="Verdana" w:hAnsi="Verdana"/>
          <w:b/>
          <w:bCs/>
          <w:sz w:val="20"/>
          <w:szCs w:val="20"/>
        </w:rPr>
      </w:pPr>
      <w:r w:rsidRPr="000A6485">
        <w:rPr>
          <w:rFonts w:ascii="Verdana" w:hAnsi="Verdana"/>
          <w:b/>
          <w:bCs/>
          <w:sz w:val="20"/>
          <w:szCs w:val="20"/>
        </w:rPr>
        <w:t>3.2 Podstawa do zaciągania zobowiązań wieloletnich</w:t>
      </w:r>
    </w:p>
    <w:p w:rsidR="008A572A" w:rsidRPr="000A6485" w:rsidRDefault="008A572A" w:rsidP="008A572A">
      <w:pPr>
        <w:spacing w:before="120" w:after="120"/>
        <w:ind w:firstLine="539"/>
        <w:jc w:val="both"/>
        <w:rPr>
          <w:rFonts w:ascii="Verdana" w:hAnsi="Verdana"/>
          <w:iCs/>
          <w:sz w:val="16"/>
          <w:szCs w:val="16"/>
        </w:rPr>
      </w:pPr>
      <w:r w:rsidRPr="000A6485">
        <w:rPr>
          <w:rFonts w:ascii="Verdana" w:hAnsi="Verdana"/>
          <w:iCs/>
          <w:sz w:val="16"/>
          <w:szCs w:val="16"/>
        </w:rPr>
        <w:t xml:space="preserve">WPF wytycza długookresowe ramy finansowe działalności m.st. Warszawy ustalając m.in. możliwości finansowania nowych zadań, dając podstawę do zaciągania długoterminowych zobowiązań. WPF umożliwia dokonywanie weryfikacji możliwości sfinansowania długoterminowych przedsięwzięć. Parametry budżetowe ujęte w WPF stanowią podstawę projektowania kolejnych rocznych budżetów. Prognozowana dostępność środków </w:t>
      </w:r>
      <w:r w:rsidRPr="000A6485">
        <w:rPr>
          <w:rFonts w:ascii="Verdana" w:hAnsi="Verdana"/>
          <w:iCs/>
          <w:sz w:val="16"/>
          <w:szCs w:val="16"/>
        </w:rPr>
        <w:br/>
        <w:t xml:space="preserve">w planach finansowych dysponentów jest przesłanką do określenia pułapu nowo zaciąganych zobowiązań wieloletnich, zapewniając zachowanie bezpieczeństwa budżetowego. W efekcie zgodnie z ustawą </w:t>
      </w:r>
      <w:r w:rsidRPr="000A6485">
        <w:rPr>
          <w:rFonts w:ascii="Verdana" w:hAnsi="Verdana"/>
          <w:iCs/>
          <w:sz w:val="16"/>
          <w:szCs w:val="16"/>
        </w:rPr>
        <w:br/>
        <w:t xml:space="preserve">o finansach publicznych uchwała w sprawie WPF zawiera upoważnienie dla Prezydenta Miasta do zaciągania zobowiązań związanych z realizacją zamieszczonych w niej przedsięwzięć. </w:t>
      </w:r>
    </w:p>
    <w:p w:rsidR="008A572A" w:rsidRPr="000A6485" w:rsidRDefault="008A572A" w:rsidP="008A572A">
      <w:pPr>
        <w:spacing w:before="240" w:after="240"/>
        <w:rPr>
          <w:rFonts w:ascii="Verdana" w:hAnsi="Verdana"/>
          <w:b/>
          <w:bCs/>
          <w:sz w:val="20"/>
          <w:szCs w:val="20"/>
        </w:rPr>
      </w:pPr>
      <w:r w:rsidRPr="000A6485">
        <w:rPr>
          <w:rFonts w:ascii="Verdana" w:hAnsi="Verdana"/>
          <w:b/>
          <w:bCs/>
          <w:sz w:val="20"/>
          <w:szCs w:val="20"/>
        </w:rPr>
        <w:t>3.3 Wypełnienie zapisów ustawowych</w:t>
      </w:r>
    </w:p>
    <w:p w:rsidR="008A572A" w:rsidRPr="000A6485" w:rsidRDefault="008A572A" w:rsidP="008A572A">
      <w:pPr>
        <w:spacing w:before="60" w:after="60"/>
        <w:ind w:firstLine="540"/>
        <w:jc w:val="both"/>
        <w:rPr>
          <w:rFonts w:ascii="Verdana" w:hAnsi="Verdana"/>
          <w:sz w:val="16"/>
          <w:szCs w:val="16"/>
        </w:rPr>
      </w:pPr>
      <w:r w:rsidRPr="000A6485">
        <w:rPr>
          <w:rFonts w:ascii="Verdana" w:hAnsi="Verdana"/>
          <w:sz w:val="16"/>
          <w:szCs w:val="16"/>
        </w:rPr>
        <w:t xml:space="preserve">Zgodnie z ustawą o finansach publicznych WPF obejmuje okres roku budżetowego oraz co najmniej trzech kolejnych lat. Okres objęty WPF nie może być krótszy niż okres, na który przyjęto limity wydatków </w:t>
      </w:r>
      <w:r w:rsidRPr="000A6485">
        <w:rPr>
          <w:rFonts w:ascii="Verdana" w:hAnsi="Verdana"/>
          <w:sz w:val="16"/>
          <w:szCs w:val="16"/>
        </w:rPr>
        <w:br/>
      </w:r>
      <w:r w:rsidRPr="000A6485">
        <w:rPr>
          <w:rFonts w:ascii="Verdana" w:hAnsi="Verdana"/>
          <w:sz w:val="16"/>
          <w:szCs w:val="16"/>
        </w:rPr>
        <w:lastRenderedPageBreak/>
        <w:t>na tzw. przedsięwzięcia. W warunkach m.st. Warszawy horyzont czasowy WPF wyznaczają planowane zobowiązania z tytułu obsługi przewidywanych do zaciągnięcia zobowiązań dłużnych.</w:t>
      </w:r>
    </w:p>
    <w:p w:rsidR="008A572A" w:rsidRPr="000A6485" w:rsidRDefault="008A572A" w:rsidP="008A572A">
      <w:pPr>
        <w:spacing w:before="60" w:after="60"/>
        <w:ind w:firstLine="567"/>
        <w:jc w:val="both"/>
        <w:rPr>
          <w:rFonts w:ascii="Verdana" w:hAnsi="Verdana"/>
          <w:sz w:val="16"/>
          <w:szCs w:val="16"/>
        </w:rPr>
      </w:pPr>
      <w:r w:rsidRPr="000A6485">
        <w:rPr>
          <w:rFonts w:ascii="Verdana" w:hAnsi="Verdana"/>
          <w:sz w:val="16"/>
          <w:szCs w:val="16"/>
        </w:rPr>
        <w:t>Na podstawie delegacji zawartej w art. 230b ustawy</w:t>
      </w:r>
      <w:r>
        <w:rPr>
          <w:rFonts w:ascii="Verdana" w:hAnsi="Verdana"/>
          <w:sz w:val="16"/>
          <w:szCs w:val="16"/>
        </w:rPr>
        <w:t xml:space="preserve"> o finansach publicznych</w:t>
      </w:r>
      <w:r w:rsidRPr="000A6485">
        <w:rPr>
          <w:rFonts w:ascii="Verdana" w:hAnsi="Verdana"/>
          <w:sz w:val="16"/>
          <w:szCs w:val="16"/>
        </w:rPr>
        <w:t xml:space="preserve"> Minister Finansów w dniu </w:t>
      </w:r>
      <w:r>
        <w:rPr>
          <w:rFonts w:ascii="Verdana" w:hAnsi="Verdana"/>
          <w:sz w:val="16"/>
          <w:szCs w:val="16"/>
        </w:rPr>
        <w:br/>
      </w:r>
      <w:r w:rsidRPr="000A6485">
        <w:rPr>
          <w:rFonts w:ascii="Verdana" w:hAnsi="Verdana"/>
          <w:sz w:val="16"/>
          <w:szCs w:val="16"/>
        </w:rPr>
        <w:t xml:space="preserve">10 stycznia 2013 r. wydał rozporządzenie </w:t>
      </w:r>
      <w:r w:rsidRPr="00494813">
        <w:rPr>
          <w:rFonts w:ascii="Verdana" w:hAnsi="Verdana"/>
          <w:i/>
          <w:sz w:val="16"/>
          <w:szCs w:val="16"/>
        </w:rPr>
        <w:t>w sprawie wieloletniej prognozy finansowej jednostki samorządu terytorialnego</w:t>
      </w:r>
      <w:r w:rsidRPr="000A6485">
        <w:rPr>
          <w:rFonts w:ascii="Verdana" w:hAnsi="Verdana"/>
          <w:sz w:val="16"/>
          <w:szCs w:val="16"/>
        </w:rPr>
        <w:t xml:space="preserve"> (</w:t>
      </w:r>
      <w:r>
        <w:rPr>
          <w:rFonts w:ascii="Verdana" w:hAnsi="Verdana"/>
          <w:sz w:val="16"/>
          <w:szCs w:val="16"/>
        </w:rPr>
        <w:t>Dz. U. z 2021</w:t>
      </w:r>
      <w:r w:rsidRPr="000A6485">
        <w:rPr>
          <w:rFonts w:ascii="Verdana" w:hAnsi="Verdana"/>
          <w:sz w:val="16"/>
          <w:szCs w:val="16"/>
        </w:rPr>
        <w:t xml:space="preserve"> r. poz. </w:t>
      </w:r>
      <w:r>
        <w:rPr>
          <w:rFonts w:ascii="Verdana" w:hAnsi="Verdana"/>
          <w:sz w:val="16"/>
          <w:szCs w:val="16"/>
        </w:rPr>
        <w:t>83</w:t>
      </w:r>
      <w:r w:rsidRPr="000A6485">
        <w:rPr>
          <w:rFonts w:ascii="Verdana" w:hAnsi="Verdana"/>
          <w:sz w:val="16"/>
          <w:szCs w:val="16"/>
        </w:rPr>
        <w:t xml:space="preserve">). W Rozporządzeniu określono m.in. wzór wieloletniej prognozy finansowej jednostki samorządu terytorialnego (załącznik nr 1) oraz wzór wykazu przedsięwzięć wieloletnich (załącznik nr 2). WPF </w:t>
      </w:r>
      <w:r w:rsidRPr="00932633">
        <w:rPr>
          <w:rFonts w:ascii="Verdana" w:eastAsiaTheme="minorEastAsia" w:hAnsi="Verdana" w:cs="Verdana"/>
          <w:color w:val="000000"/>
          <w:sz w:val="16"/>
          <w:szCs w:val="16"/>
        </w:rPr>
        <w:t>2023</w:t>
      </w:r>
      <w:r w:rsidRPr="000A6485">
        <w:rPr>
          <w:rFonts w:ascii="Verdana" w:hAnsi="Verdana"/>
          <w:sz w:val="16"/>
          <w:szCs w:val="16"/>
        </w:rPr>
        <w:t>-2050 ujmuje</w:t>
      </w:r>
      <w:r>
        <w:rPr>
          <w:rFonts w:ascii="Verdana" w:hAnsi="Verdana"/>
          <w:sz w:val="16"/>
          <w:szCs w:val="16"/>
        </w:rPr>
        <w:t>,</w:t>
      </w:r>
      <w:r w:rsidRPr="000A6485">
        <w:rPr>
          <w:rFonts w:ascii="Verdana" w:hAnsi="Verdana"/>
          <w:sz w:val="16"/>
          <w:szCs w:val="16"/>
        </w:rPr>
        <w:t xml:space="preserve"> zgodnie z właściwymi przepisami</w:t>
      </w:r>
      <w:r>
        <w:rPr>
          <w:rFonts w:ascii="Verdana" w:hAnsi="Verdana"/>
          <w:sz w:val="16"/>
          <w:szCs w:val="16"/>
        </w:rPr>
        <w:t>,</w:t>
      </w:r>
      <w:r w:rsidRPr="000A6485">
        <w:rPr>
          <w:rFonts w:ascii="Verdana" w:hAnsi="Verdana"/>
          <w:sz w:val="16"/>
          <w:szCs w:val="16"/>
        </w:rPr>
        <w:t xml:space="preserve"> dochody i wydatki z zakresu finansowania programów, projektów lub zadań z udziałem środków unijnych. Uwzględnia informacje odnoszące się do długu </w:t>
      </w:r>
      <w:r>
        <w:rPr>
          <w:rFonts w:ascii="Verdana" w:hAnsi="Verdana"/>
          <w:sz w:val="16"/>
          <w:szCs w:val="16"/>
        </w:rPr>
        <w:t>jednostki samorządu terytorialnego</w:t>
      </w:r>
      <w:r w:rsidRPr="000A6485">
        <w:rPr>
          <w:rFonts w:ascii="Verdana" w:hAnsi="Verdana"/>
          <w:sz w:val="16"/>
          <w:szCs w:val="16"/>
        </w:rPr>
        <w:t xml:space="preserve"> i jego spłat. Zawiera informacje o stopniu wypełnienia relacji określonych w art. 242-243 ustawy o finansach publicznych (reguła dopuszczalnego poziomu wydatków bieżących i reguła indywidualnego limitu obsługi długu). W wykazie przedsięwzięć wieloletnich ujęte </w:t>
      </w:r>
      <w:r w:rsidRPr="00576682">
        <w:rPr>
          <w:rFonts w:ascii="Verdana" w:hAnsi="Verdana"/>
          <w:sz w:val="16"/>
          <w:szCs w:val="16"/>
        </w:rPr>
        <w:t xml:space="preserve">zostały przedsięwzięcia dotyczące programów, projektów lub zadań realizowanych z udziałem środków unijnych oraz związane </w:t>
      </w:r>
      <w:r>
        <w:rPr>
          <w:rFonts w:ascii="Verdana" w:hAnsi="Verdana"/>
          <w:sz w:val="16"/>
          <w:szCs w:val="16"/>
        </w:rPr>
        <w:br/>
      </w:r>
      <w:r w:rsidRPr="00576682">
        <w:rPr>
          <w:rFonts w:ascii="Verdana" w:hAnsi="Verdana"/>
          <w:sz w:val="16"/>
          <w:szCs w:val="16"/>
        </w:rPr>
        <w:t>z umowami partnerstwa publiczno-prywatnego</w:t>
      </w:r>
      <w:r>
        <w:rPr>
          <w:rFonts w:ascii="Verdana" w:hAnsi="Verdana"/>
          <w:sz w:val="16"/>
          <w:szCs w:val="16"/>
        </w:rPr>
        <w:t>.</w:t>
      </w:r>
    </w:p>
    <w:p w:rsidR="008A572A" w:rsidRPr="000A6485" w:rsidRDefault="008A572A" w:rsidP="008A572A">
      <w:pPr>
        <w:spacing w:before="60" w:after="60"/>
        <w:ind w:firstLine="540"/>
        <w:jc w:val="both"/>
        <w:rPr>
          <w:rFonts w:ascii="Verdana" w:hAnsi="Verdana"/>
          <w:sz w:val="16"/>
          <w:szCs w:val="16"/>
        </w:rPr>
      </w:pPr>
      <w:r w:rsidRPr="000A6485">
        <w:rPr>
          <w:rFonts w:ascii="Verdana" w:hAnsi="Verdana"/>
          <w:sz w:val="16"/>
          <w:szCs w:val="16"/>
        </w:rPr>
        <w:t xml:space="preserve">Wartości przyjęte w WPF powinny być zgodne z budżetem co najmniej w zakresie wyniku budżetu </w:t>
      </w:r>
      <w:r w:rsidRPr="000A6485">
        <w:rPr>
          <w:rFonts w:ascii="Verdana" w:hAnsi="Verdana"/>
          <w:sz w:val="16"/>
          <w:szCs w:val="16"/>
        </w:rPr>
        <w:br/>
        <w:t xml:space="preserve">i związanych z nim kwot przychodów i rozchodów oraz długu. W WPF </w:t>
      </w:r>
      <w:r w:rsidRPr="00932633">
        <w:rPr>
          <w:rFonts w:ascii="Verdana" w:eastAsiaTheme="minorEastAsia" w:hAnsi="Verdana" w:cs="Verdana"/>
          <w:color w:val="000000"/>
          <w:sz w:val="16"/>
          <w:szCs w:val="16"/>
        </w:rPr>
        <w:t>2023</w:t>
      </w:r>
      <w:r w:rsidRPr="000A6485">
        <w:rPr>
          <w:rFonts w:ascii="Verdana" w:hAnsi="Verdana"/>
          <w:sz w:val="16"/>
          <w:szCs w:val="16"/>
        </w:rPr>
        <w:t>-2050 zapewniona została pełna zgodność z</w:t>
      </w:r>
      <w:r>
        <w:rPr>
          <w:rFonts w:ascii="Verdana" w:hAnsi="Verdana"/>
          <w:sz w:val="16"/>
          <w:szCs w:val="16"/>
        </w:rPr>
        <w:t xml:space="preserve"> budżetem</w:t>
      </w:r>
      <w:r w:rsidRPr="000A6485">
        <w:rPr>
          <w:rFonts w:ascii="Verdana" w:hAnsi="Verdana"/>
          <w:sz w:val="16"/>
          <w:szCs w:val="16"/>
        </w:rPr>
        <w:t xml:space="preserve"> </w:t>
      </w:r>
      <w:r>
        <w:rPr>
          <w:rFonts w:ascii="Verdana" w:hAnsi="Verdana"/>
          <w:sz w:val="16"/>
          <w:szCs w:val="16"/>
        </w:rPr>
        <w:t xml:space="preserve">m.st. Warszawy na </w:t>
      </w:r>
      <w:r w:rsidRPr="00932633">
        <w:rPr>
          <w:rFonts w:ascii="Verdana" w:eastAsiaTheme="minorEastAsia" w:hAnsi="Verdana" w:cs="Verdana"/>
          <w:color w:val="000000"/>
          <w:sz w:val="16"/>
          <w:szCs w:val="16"/>
        </w:rPr>
        <w:t>2023</w:t>
      </w:r>
      <w:r w:rsidRPr="000A6485">
        <w:rPr>
          <w:rFonts w:ascii="Verdana" w:hAnsi="Verdana"/>
          <w:sz w:val="16"/>
          <w:szCs w:val="16"/>
        </w:rPr>
        <w:t xml:space="preserve"> r.</w:t>
      </w:r>
    </w:p>
    <w:p w:rsidR="008A572A" w:rsidRPr="000A6485" w:rsidRDefault="008A572A" w:rsidP="008A572A">
      <w:pPr>
        <w:spacing w:before="60" w:after="60"/>
        <w:ind w:firstLine="540"/>
        <w:jc w:val="both"/>
        <w:rPr>
          <w:rFonts w:ascii="Verdana" w:hAnsi="Verdana"/>
          <w:sz w:val="16"/>
          <w:szCs w:val="16"/>
        </w:rPr>
      </w:pPr>
      <w:r w:rsidRPr="000A6485">
        <w:rPr>
          <w:rFonts w:ascii="Verdana" w:hAnsi="Verdana"/>
          <w:sz w:val="16"/>
          <w:szCs w:val="16"/>
        </w:rPr>
        <w:t xml:space="preserve">Projekt uchwały w sprawie WPF wraz z projektem uchwały budżetowej Prezydent Miasta przedstawia </w:t>
      </w:r>
      <w:r w:rsidRPr="000A6485">
        <w:rPr>
          <w:rFonts w:ascii="Verdana" w:hAnsi="Verdana"/>
          <w:sz w:val="16"/>
          <w:szCs w:val="16"/>
        </w:rPr>
        <w:br/>
        <w:t>w terminie do 15 listopada Radzie Miasta oraz Regionalnej Izbie Obrachunkowej celem zaopiniowania.</w:t>
      </w:r>
    </w:p>
    <w:p w:rsidR="008A572A" w:rsidRPr="000A6485" w:rsidRDefault="008A572A" w:rsidP="008A572A">
      <w:pPr>
        <w:spacing w:before="60" w:after="60"/>
        <w:ind w:firstLine="540"/>
        <w:jc w:val="both"/>
        <w:rPr>
          <w:rFonts w:ascii="Verdana" w:hAnsi="Verdana"/>
          <w:b/>
          <w:bCs/>
          <w:sz w:val="16"/>
          <w:szCs w:val="16"/>
        </w:rPr>
      </w:pPr>
      <w:r w:rsidRPr="000A6485">
        <w:rPr>
          <w:rFonts w:ascii="Verdana" w:hAnsi="Verdana"/>
          <w:sz w:val="16"/>
          <w:szCs w:val="16"/>
        </w:rPr>
        <w:t>Rada Miasta uchwala WPF przed uchwaleniem budżetu, w terminie do 31 grudnia roku, w szczególnych przypadkach nie później niż do 31 stycznia roku budżetowego.</w:t>
      </w:r>
    </w:p>
    <w:p w:rsidR="008A572A" w:rsidRPr="000A6485" w:rsidRDefault="008A572A" w:rsidP="008A572A">
      <w:pPr>
        <w:spacing w:before="240" w:after="240"/>
        <w:rPr>
          <w:rFonts w:ascii="Verdana" w:hAnsi="Verdana"/>
          <w:b/>
          <w:bCs/>
          <w:sz w:val="20"/>
          <w:szCs w:val="20"/>
        </w:rPr>
      </w:pPr>
      <w:r w:rsidRPr="000A6485">
        <w:rPr>
          <w:rFonts w:ascii="Verdana" w:hAnsi="Verdana"/>
          <w:b/>
          <w:bCs/>
          <w:sz w:val="20"/>
          <w:szCs w:val="20"/>
        </w:rPr>
        <w:t>3.4 Spełnienie zasady jawności i przejrzystości finansów publicznych</w:t>
      </w:r>
    </w:p>
    <w:p w:rsidR="008A572A" w:rsidRPr="000A6485" w:rsidRDefault="008A572A" w:rsidP="008A572A">
      <w:pPr>
        <w:spacing w:before="60" w:after="60"/>
        <w:ind w:firstLine="539"/>
        <w:jc w:val="both"/>
        <w:rPr>
          <w:rFonts w:ascii="Verdana" w:hAnsi="Verdana" w:cs="Arial"/>
          <w:iCs/>
          <w:sz w:val="16"/>
          <w:szCs w:val="16"/>
        </w:rPr>
      </w:pPr>
      <w:r w:rsidRPr="000A6485">
        <w:rPr>
          <w:rFonts w:ascii="Verdana" w:hAnsi="Verdana"/>
          <w:sz w:val="16"/>
          <w:szCs w:val="16"/>
        </w:rPr>
        <w:t xml:space="preserve">Zgodnie z art. 33 ustawy </w:t>
      </w:r>
      <w:r w:rsidRPr="000A6485">
        <w:rPr>
          <w:rFonts w:ascii="Verdana" w:hAnsi="Verdana" w:cs="Arial"/>
          <w:iCs/>
          <w:sz w:val="16"/>
          <w:szCs w:val="16"/>
        </w:rPr>
        <w:t xml:space="preserve">o finansach publicznych gospodarka środkami publicznymi jest jawna. </w:t>
      </w:r>
      <w:r w:rsidRPr="000A6485">
        <w:rPr>
          <w:rFonts w:ascii="Verdana" w:hAnsi="Verdana" w:cs="Arial"/>
          <w:iCs/>
          <w:sz w:val="16"/>
          <w:szCs w:val="16"/>
        </w:rPr>
        <w:br/>
        <w:t>W praktyce oznacza to dostęp mieszkańców do informacji o działalności finansowej jednostki samorządu terytorialnego.</w:t>
      </w:r>
    </w:p>
    <w:p w:rsidR="008A572A" w:rsidRPr="000A6485" w:rsidRDefault="008A572A" w:rsidP="008A572A">
      <w:pPr>
        <w:spacing w:before="60" w:after="60"/>
        <w:ind w:firstLine="539"/>
        <w:jc w:val="both"/>
        <w:rPr>
          <w:rFonts w:ascii="Verdana" w:hAnsi="Verdana" w:cs="Arial"/>
          <w:iCs/>
          <w:sz w:val="16"/>
          <w:szCs w:val="16"/>
        </w:rPr>
      </w:pPr>
      <w:r w:rsidRPr="000A6485">
        <w:rPr>
          <w:rFonts w:ascii="Verdana" w:hAnsi="Verdana" w:cs="Arial"/>
          <w:iCs/>
          <w:sz w:val="16"/>
          <w:szCs w:val="16"/>
        </w:rPr>
        <w:t xml:space="preserve">Jasne i przejrzyste zasady zarządzania finansami mają istotne znaczenie m.in. dla pozyskiwania zewnętrznego finansowania działalności m.st. Warszawy. Przejrzyste finanse wzmacniają wiarygodność kredytową Miasta i wpływają pozytywnie na oceny ratingowe.  </w:t>
      </w:r>
    </w:p>
    <w:p w:rsidR="008A572A" w:rsidRPr="000A6485" w:rsidRDefault="008A572A" w:rsidP="008A572A">
      <w:pPr>
        <w:spacing w:before="60" w:after="60"/>
        <w:ind w:firstLine="539"/>
        <w:jc w:val="both"/>
        <w:rPr>
          <w:rFonts w:ascii="Verdana" w:hAnsi="Verdana" w:cs="Arial"/>
          <w:iCs/>
          <w:sz w:val="16"/>
          <w:szCs w:val="16"/>
        </w:rPr>
      </w:pPr>
      <w:r w:rsidRPr="000A6485">
        <w:rPr>
          <w:rFonts w:ascii="Verdana" w:hAnsi="Verdana" w:cs="Arial"/>
          <w:iCs/>
          <w:sz w:val="16"/>
          <w:szCs w:val="16"/>
        </w:rPr>
        <w:t xml:space="preserve">Zarówno zakres, jak i forma prezentacji </w:t>
      </w:r>
      <w:r w:rsidRPr="000A6485">
        <w:rPr>
          <w:rFonts w:ascii="Verdana" w:hAnsi="Verdana"/>
          <w:sz w:val="16"/>
          <w:szCs w:val="16"/>
        </w:rPr>
        <w:t xml:space="preserve">WPF </w:t>
      </w:r>
      <w:r w:rsidRPr="00932633">
        <w:rPr>
          <w:rFonts w:ascii="Verdana" w:eastAsiaTheme="minorEastAsia" w:hAnsi="Verdana" w:cs="Verdana"/>
          <w:color w:val="000000"/>
          <w:sz w:val="16"/>
          <w:szCs w:val="16"/>
        </w:rPr>
        <w:t>2023</w:t>
      </w:r>
      <w:r w:rsidRPr="000A6485">
        <w:rPr>
          <w:rFonts w:ascii="Verdana" w:hAnsi="Verdana"/>
          <w:sz w:val="16"/>
          <w:szCs w:val="16"/>
        </w:rPr>
        <w:t xml:space="preserve">-2050 </w:t>
      </w:r>
      <w:r w:rsidRPr="000A6485">
        <w:rPr>
          <w:rFonts w:ascii="Verdana" w:hAnsi="Verdana" w:cs="Arial"/>
          <w:iCs/>
          <w:sz w:val="16"/>
          <w:szCs w:val="16"/>
        </w:rPr>
        <w:t xml:space="preserve">wypełniają standardy w obszarze jawności </w:t>
      </w:r>
      <w:r>
        <w:rPr>
          <w:rFonts w:ascii="Verdana" w:hAnsi="Verdana" w:cs="Arial"/>
          <w:iCs/>
          <w:sz w:val="16"/>
          <w:szCs w:val="16"/>
        </w:rPr>
        <w:br/>
      </w:r>
      <w:r w:rsidRPr="000A6485">
        <w:rPr>
          <w:rFonts w:ascii="Verdana" w:hAnsi="Verdana" w:cs="Arial"/>
          <w:iCs/>
          <w:sz w:val="16"/>
          <w:szCs w:val="16"/>
        </w:rPr>
        <w:t>i przejrzystości finansów m.st. Warszawy, zwłaszcza poprzez nakreślenie szczegółowej pespektywy finansowej Miasta w horyzoncie przekraczającym rok budżetowy.</w:t>
      </w:r>
    </w:p>
    <w:p w:rsidR="008A572A" w:rsidRPr="000A6485" w:rsidRDefault="008A572A" w:rsidP="008A572A">
      <w:pPr>
        <w:spacing w:before="240" w:after="120" w:line="240" w:lineRule="auto"/>
        <w:ind w:left="284" w:hanging="284"/>
        <w:rPr>
          <w:rFonts w:ascii="Verdana" w:hAnsi="Verdana"/>
          <w:b/>
          <w:bCs/>
          <w:sz w:val="22"/>
          <w:szCs w:val="22"/>
        </w:rPr>
      </w:pPr>
      <w:r w:rsidRPr="000A6485">
        <w:rPr>
          <w:rFonts w:ascii="Verdana" w:hAnsi="Verdana"/>
          <w:b/>
          <w:bCs/>
          <w:sz w:val="22"/>
          <w:szCs w:val="22"/>
        </w:rPr>
        <w:t xml:space="preserve">4. Uwarunkowania prawno-budżetowe Wieloletniej Prognozy Finansowej  </w:t>
      </w:r>
      <w:r w:rsidRPr="000A6485">
        <w:rPr>
          <w:rFonts w:ascii="Verdana" w:hAnsi="Verdana"/>
          <w:b/>
          <w:bCs/>
          <w:sz w:val="22"/>
          <w:szCs w:val="22"/>
        </w:rPr>
        <w:br/>
        <w:t xml:space="preserve"> m.st. Warszawy</w:t>
      </w:r>
    </w:p>
    <w:p w:rsidR="008A572A" w:rsidRPr="000A6485" w:rsidRDefault="008A572A" w:rsidP="008A572A">
      <w:pPr>
        <w:spacing w:before="240" w:after="240" w:line="240" w:lineRule="auto"/>
        <w:ind w:left="567" w:hanging="567"/>
        <w:rPr>
          <w:rFonts w:ascii="Verdana" w:hAnsi="Verdana"/>
          <w:b/>
          <w:bCs/>
          <w:sz w:val="20"/>
          <w:szCs w:val="20"/>
        </w:rPr>
      </w:pPr>
      <w:r w:rsidRPr="000A6485">
        <w:rPr>
          <w:rFonts w:ascii="Verdana" w:hAnsi="Verdana"/>
          <w:b/>
          <w:bCs/>
          <w:sz w:val="20"/>
          <w:szCs w:val="20"/>
        </w:rPr>
        <w:t>4.1 Unormowania ustawy o finansach publicznych</w:t>
      </w:r>
    </w:p>
    <w:p w:rsidR="008A572A" w:rsidRPr="000A6485" w:rsidRDefault="008A572A" w:rsidP="008A572A">
      <w:pPr>
        <w:spacing w:before="240" w:after="240"/>
        <w:rPr>
          <w:rFonts w:ascii="Verdana" w:hAnsi="Verdana"/>
          <w:b/>
          <w:bCs/>
          <w:sz w:val="18"/>
          <w:szCs w:val="18"/>
        </w:rPr>
      </w:pPr>
      <w:r w:rsidRPr="000A6485">
        <w:rPr>
          <w:rFonts w:ascii="Verdana" w:hAnsi="Verdana"/>
          <w:b/>
          <w:bCs/>
          <w:sz w:val="18"/>
          <w:szCs w:val="18"/>
        </w:rPr>
        <w:t>4.1.1 Reguła wydatkowa w zakresie wydatków bieżących</w:t>
      </w:r>
    </w:p>
    <w:p w:rsidR="008A572A" w:rsidRPr="0085401F" w:rsidRDefault="008A572A" w:rsidP="008A572A">
      <w:pPr>
        <w:pStyle w:val="Akapitzlist"/>
        <w:numPr>
          <w:ilvl w:val="0"/>
          <w:numId w:val="53"/>
        </w:numPr>
        <w:spacing w:before="240" w:after="60"/>
        <w:ind w:left="426" w:hanging="284"/>
        <w:contextualSpacing w:val="0"/>
        <w:jc w:val="both"/>
        <w:rPr>
          <w:rFonts w:ascii="Verdana" w:hAnsi="Verdana" w:cs="Verdana"/>
          <w:b/>
          <w:color w:val="000000"/>
          <w:sz w:val="16"/>
          <w:szCs w:val="16"/>
        </w:rPr>
      </w:pPr>
      <w:r>
        <w:rPr>
          <w:rFonts w:ascii="Verdana" w:hAnsi="Verdana" w:cs="Verdana"/>
          <w:b/>
          <w:color w:val="000000"/>
          <w:sz w:val="16"/>
          <w:szCs w:val="16"/>
        </w:rPr>
        <w:t>Kluczowe założenia reguły</w:t>
      </w:r>
    </w:p>
    <w:p w:rsidR="008A572A" w:rsidRPr="000A6485" w:rsidRDefault="008A572A" w:rsidP="008A572A">
      <w:pPr>
        <w:spacing w:before="120" w:after="120"/>
        <w:ind w:firstLine="540"/>
        <w:jc w:val="both"/>
        <w:rPr>
          <w:rFonts w:ascii="Verdana" w:hAnsi="Verdana"/>
          <w:sz w:val="16"/>
          <w:szCs w:val="16"/>
        </w:rPr>
      </w:pPr>
      <w:r w:rsidRPr="000A6485">
        <w:rPr>
          <w:rFonts w:ascii="Verdana" w:hAnsi="Verdana" w:cs="Arial"/>
          <w:sz w:val="16"/>
          <w:szCs w:val="16"/>
        </w:rPr>
        <w:t>U</w:t>
      </w:r>
      <w:r w:rsidRPr="000A6485">
        <w:rPr>
          <w:rFonts w:ascii="Verdana" w:hAnsi="Verdana"/>
          <w:sz w:val="16"/>
          <w:szCs w:val="16"/>
        </w:rPr>
        <w:t xml:space="preserve">stawa o finansach publicznych w art. 242 ustanawia rygor finansowy polegający na tym, że </w:t>
      </w:r>
      <w:r w:rsidRPr="000A6485">
        <w:rPr>
          <w:rFonts w:ascii="Verdana" w:hAnsi="Verdana"/>
          <w:b/>
          <w:sz w:val="16"/>
          <w:szCs w:val="16"/>
        </w:rPr>
        <w:t>w danym roku budżetowym jednostka samorządu terytorialnego nie może planować większych wydatków bieżących niż dochody bieżące</w:t>
      </w:r>
      <w:r w:rsidRPr="000A6485">
        <w:rPr>
          <w:rFonts w:ascii="Verdana" w:hAnsi="Verdana"/>
          <w:sz w:val="16"/>
          <w:szCs w:val="16"/>
        </w:rPr>
        <w:t xml:space="preserve"> powiększone o</w:t>
      </w:r>
      <w:r>
        <w:rPr>
          <w:rFonts w:ascii="Verdana" w:hAnsi="Verdana"/>
          <w:sz w:val="16"/>
          <w:szCs w:val="16"/>
        </w:rPr>
        <w:t xml:space="preserve"> </w:t>
      </w:r>
      <w:r w:rsidRPr="000A6485">
        <w:rPr>
          <w:rFonts w:ascii="Verdana" w:hAnsi="Verdana"/>
          <w:b/>
          <w:sz w:val="16"/>
          <w:szCs w:val="16"/>
        </w:rPr>
        <w:t>nadwyżki budżetu z lat ubiegłych</w:t>
      </w:r>
      <w:r w:rsidRPr="000A6485">
        <w:rPr>
          <w:rFonts w:ascii="Verdana" w:hAnsi="Verdana"/>
          <w:sz w:val="16"/>
          <w:szCs w:val="16"/>
        </w:rPr>
        <w:t xml:space="preserve">, w tym niewykorzystane środki pieniężne na rachunku bieżącym budżetu, wynikające z rozliczenia dochodów i wydatków nimi finansowanych związanych ze szczególnymi zasadami wykonywania budżetu określonymi w odrębnych ustawach </w:t>
      </w:r>
      <w:r w:rsidRPr="000A6485">
        <w:rPr>
          <w:rFonts w:ascii="Verdana" w:hAnsi="Verdana"/>
          <w:sz w:val="16"/>
          <w:szCs w:val="16"/>
        </w:rPr>
        <w:br/>
      </w:r>
      <w:r w:rsidRPr="000A6485">
        <w:rPr>
          <w:rFonts w:ascii="Verdana" w:hAnsi="Verdana"/>
          <w:sz w:val="16"/>
          <w:szCs w:val="16"/>
        </w:rPr>
        <w:lastRenderedPageBreak/>
        <w:t xml:space="preserve">i wynikające z rozliczenia środków unijnych oraz </w:t>
      </w:r>
      <w:r w:rsidRPr="000A6485">
        <w:rPr>
          <w:rFonts w:ascii="Verdana" w:hAnsi="Verdana"/>
          <w:b/>
          <w:sz w:val="16"/>
          <w:szCs w:val="16"/>
        </w:rPr>
        <w:t>spłaty udzielonych pożyczek w latach ubiegłych</w:t>
      </w:r>
      <w:r>
        <w:rPr>
          <w:rFonts w:ascii="Verdana" w:hAnsi="Verdana"/>
          <w:b/>
          <w:sz w:val="16"/>
          <w:szCs w:val="16"/>
        </w:rPr>
        <w:t xml:space="preserve"> </w:t>
      </w:r>
      <w:r>
        <w:rPr>
          <w:rFonts w:ascii="Verdana" w:hAnsi="Verdana"/>
          <w:sz w:val="16"/>
          <w:szCs w:val="16"/>
        </w:rPr>
        <w:t>i</w:t>
      </w:r>
      <w:r>
        <w:rPr>
          <w:rFonts w:ascii="Verdana" w:hAnsi="Verdana"/>
          <w:b/>
          <w:sz w:val="16"/>
          <w:szCs w:val="16"/>
        </w:rPr>
        <w:t xml:space="preserve"> </w:t>
      </w:r>
      <w:r w:rsidRPr="00777B22">
        <w:rPr>
          <w:rFonts w:ascii="Verdana" w:hAnsi="Verdana"/>
          <w:b/>
          <w:sz w:val="16"/>
          <w:szCs w:val="16"/>
        </w:rPr>
        <w:t>środki pochodzące z lokat</w:t>
      </w:r>
      <w:r>
        <w:rPr>
          <w:rFonts w:ascii="Verdana" w:hAnsi="Verdana"/>
          <w:b/>
          <w:sz w:val="16"/>
          <w:szCs w:val="16"/>
        </w:rPr>
        <w:t xml:space="preserve"> dokonanych w latach ubiegłych</w:t>
      </w:r>
      <w:r w:rsidRPr="000A6485">
        <w:rPr>
          <w:rFonts w:ascii="Verdana" w:hAnsi="Verdana"/>
          <w:sz w:val="16"/>
          <w:szCs w:val="16"/>
        </w:rPr>
        <w:t>.</w:t>
      </w:r>
    </w:p>
    <w:p w:rsidR="008A572A" w:rsidRPr="0085401F" w:rsidRDefault="008A572A" w:rsidP="008A572A">
      <w:pPr>
        <w:pStyle w:val="Akapitzlist"/>
        <w:numPr>
          <w:ilvl w:val="0"/>
          <w:numId w:val="53"/>
        </w:numPr>
        <w:autoSpaceDE w:val="0"/>
        <w:autoSpaceDN w:val="0"/>
        <w:adjustRightInd w:val="0"/>
        <w:spacing w:before="240" w:after="60"/>
        <w:ind w:left="426" w:hanging="284"/>
        <w:contextualSpacing w:val="0"/>
        <w:jc w:val="both"/>
        <w:rPr>
          <w:rFonts w:ascii="Verdana" w:hAnsi="Verdana" w:cs="Verdana"/>
          <w:b/>
          <w:color w:val="000000"/>
          <w:sz w:val="16"/>
          <w:szCs w:val="16"/>
        </w:rPr>
      </w:pPr>
      <w:r w:rsidRPr="0085401F">
        <w:rPr>
          <w:rFonts w:ascii="Verdana" w:hAnsi="Verdana" w:cs="Verdana"/>
          <w:b/>
          <w:color w:val="000000"/>
          <w:sz w:val="16"/>
          <w:szCs w:val="16"/>
        </w:rPr>
        <w:t>Zm</w:t>
      </w:r>
      <w:r>
        <w:rPr>
          <w:rFonts w:ascii="Verdana" w:hAnsi="Verdana" w:cs="Verdana"/>
          <w:b/>
          <w:color w:val="000000"/>
          <w:sz w:val="16"/>
          <w:szCs w:val="16"/>
        </w:rPr>
        <w:t>iany w regule wprowadzone w 2021</w:t>
      </w:r>
      <w:r w:rsidRPr="0085401F">
        <w:rPr>
          <w:rFonts w:ascii="Verdana" w:hAnsi="Verdana" w:cs="Verdana"/>
          <w:b/>
          <w:color w:val="000000"/>
          <w:sz w:val="16"/>
          <w:szCs w:val="16"/>
        </w:rPr>
        <w:t xml:space="preserve"> r. w związku z </w:t>
      </w:r>
      <w:r>
        <w:rPr>
          <w:rFonts w:ascii="Verdana" w:hAnsi="Verdana" w:cs="Verdana"/>
          <w:b/>
          <w:color w:val="000000"/>
          <w:sz w:val="16"/>
          <w:szCs w:val="16"/>
        </w:rPr>
        <w:t>pakietem rozwiązań legislacyjnych wchodzących w skład rządowego tzw. Programu Polski Ład</w:t>
      </w:r>
    </w:p>
    <w:p w:rsidR="008A572A" w:rsidRDefault="008A572A" w:rsidP="008A572A">
      <w:pPr>
        <w:spacing w:before="120" w:after="120"/>
        <w:jc w:val="both"/>
        <w:rPr>
          <w:rFonts w:ascii="Verdana" w:hAnsi="Verdana"/>
          <w:iCs/>
          <w:sz w:val="16"/>
          <w:szCs w:val="16"/>
        </w:rPr>
      </w:pPr>
      <w:r>
        <w:rPr>
          <w:rFonts w:ascii="Verdana" w:hAnsi="Verdana" w:cs="Arial"/>
          <w:sz w:val="16"/>
          <w:szCs w:val="16"/>
        </w:rPr>
        <w:t>W myśl art. 9 ustawy</w:t>
      </w:r>
      <w:r w:rsidRPr="00006222">
        <w:rPr>
          <w:rFonts w:ascii="Verdana" w:hAnsi="Verdana" w:cs="Arial"/>
          <w:sz w:val="16"/>
          <w:szCs w:val="16"/>
        </w:rPr>
        <w:t xml:space="preserve"> z </w:t>
      </w:r>
      <w:r>
        <w:rPr>
          <w:rFonts w:ascii="Verdana" w:hAnsi="Verdana" w:cs="Arial"/>
          <w:sz w:val="16"/>
          <w:szCs w:val="16"/>
        </w:rPr>
        <w:t>14 października</w:t>
      </w:r>
      <w:r w:rsidRPr="00006222">
        <w:rPr>
          <w:rFonts w:ascii="Verdana" w:hAnsi="Verdana" w:cs="Arial"/>
          <w:sz w:val="16"/>
          <w:szCs w:val="16"/>
        </w:rPr>
        <w:t xml:space="preserve"> 2021 r. </w:t>
      </w:r>
      <w:r w:rsidRPr="00006222">
        <w:rPr>
          <w:rFonts w:ascii="Verdana" w:hAnsi="Verdana" w:cs="Arial"/>
          <w:i/>
          <w:sz w:val="16"/>
          <w:szCs w:val="16"/>
        </w:rPr>
        <w:t xml:space="preserve">o zmianie ustawy o dochodach jednostek samorządu terytorialnego oraz niektórych innych </w:t>
      </w:r>
      <w:r w:rsidRPr="00E7313D">
        <w:rPr>
          <w:rFonts w:ascii="Verdana" w:hAnsi="Verdana" w:cs="Arial"/>
          <w:i/>
          <w:sz w:val="16"/>
          <w:szCs w:val="16"/>
        </w:rPr>
        <w:t>ustaw</w:t>
      </w:r>
      <w:r w:rsidRPr="00E7313D">
        <w:rPr>
          <w:rFonts w:ascii="Verdana" w:hAnsi="Verdana" w:cs="Arial"/>
          <w:sz w:val="16"/>
          <w:szCs w:val="16"/>
        </w:rPr>
        <w:t xml:space="preserve"> </w:t>
      </w:r>
      <w:r>
        <w:rPr>
          <w:rFonts w:ascii="Verdana" w:hAnsi="Verdana" w:cs="Arial"/>
          <w:sz w:val="16"/>
          <w:szCs w:val="16"/>
        </w:rPr>
        <w:t xml:space="preserve">(Dz. U. </w:t>
      </w:r>
      <w:r w:rsidRPr="00E7313D">
        <w:rPr>
          <w:rFonts w:ascii="Verdana" w:hAnsi="Verdana" w:cs="Arial"/>
          <w:sz w:val="16"/>
          <w:szCs w:val="16"/>
        </w:rPr>
        <w:t>poz. 1927)</w:t>
      </w:r>
      <w:r>
        <w:rPr>
          <w:rFonts w:ascii="Verdana" w:hAnsi="Verdana" w:cs="Arial"/>
          <w:sz w:val="16"/>
          <w:szCs w:val="16"/>
        </w:rPr>
        <w:t xml:space="preserve"> </w:t>
      </w:r>
      <w:r w:rsidRPr="00016858">
        <w:rPr>
          <w:rFonts w:ascii="Verdana" w:hAnsi="Verdana" w:cs="Arial"/>
          <w:b/>
          <w:sz w:val="16"/>
          <w:szCs w:val="16"/>
        </w:rPr>
        <w:t>l</w:t>
      </w:r>
      <w:r w:rsidRPr="00016858">
        <w:rPr>
          <w:rFonts w:ascii="Verdana" w:hAnsi="Verdana"/>
          <w:b/>
          <w:iCs/>
          <w:sz w:val="16"/>
          <w:szCs w:val="16"/>
        </w:rPr>
        <w:t xml:space="preserve">imit wydatków bieżących w 2022 r., co do zasady wyznaczany poziomem dochodów bieżących, </w:t>
      </w:r>
      <w:r>
        <w:rPr>
          <w:rFonts w:ascii="Verdana" w:hAnsi="Verdana"/>
          <w:b/>
          <w:iCs/>
          <w:sz w:val="16"/>
          <w:szCs w:val="16"/>
        </w:rPr>
        <w:t>został</w:t>
      </w:r>
      <w:r w:rsidRPr="00016858">
        <w:rPr>
          <w:rFonts w:ascii="Verdana" w:hAnsi="Verdana"/>
          <w:b/>
          <w:iCs/>
          <w:sz w:val="16"/>
          <w:szCs w:val="16"/>
        </w:rPr>
        <w:t xml:space="preserve"> podwyższony o kwotę tzw. wolnych środków</w:t>
      </w:r>
      <w:r>
        <w:rPr>
          <w:rFonts w:ascii="Verdana" w:hAnsi="Verdana"/>
          <w:iCs/>
          <w:sz w:val="16"/>
          <w:szCs w:val="16"/>
        </w:rPr>
        <w:t xml:space="preserve"> stanowiących nadwyżki środków pieniężnych budżetu JST, wynikających z rozliczeń wyemitowanych papierów wartościowych, kredytów i pożyczek z lat ubiegłych. Ponadto </w:t>
      </w:r>
      <w:r w:rsidRPr="00016858">
        <w:rPr>
          <w:rFonts w:ascii="Verdana" w:hAnsi="Verdana"/>
          <w:b/>
          <w:iCs/>
          <w:sz w:val="16"/>
          <w:szCs w:val="16"/>
        </w:rPr>
        <w:t xml:space="preserve">badanie spełnienia reguły </w:t>
      </w:r>
      <w:r>
        <w:rPr>
          <w:rFonts w:ascii="Verdana" w:hAnsi="Verdana"/>
          <w:b/>
          <w:iCs/>
          <w:sz w:val="16"/>
          <w:szCs w:val="16"/>
        </w:rPr>
        <w:t>jest</w:t>
      </w:r>
      <w:r w:rsidRPr="00016858">
        <w:rPr>
          <w:rFonts w:ascii="Verdana" w:hAnsi="Verdana"/>
          <w:b/>
          <w:iCs/>
          <w:sz w:val="16"/>
          <w:szCs w:val="16"/>
        </w:rPr>
        <w:t xml:space="preserve"> prowadzone łącznie dla lat 2022-2025</w:t>
      </w:r>
      <w:r>
        <w:rPr>
          <w:rFonts w:ascii="Verdana" w:hAnsi="Verdana"/>
          <w:iCs/>
          <w:sz w:val="16"/>
          <w:szCs w:val="16"/>
        </w:rPr>
        <w:t>, co oznacza że niespełnienie reguły w danym roku lub latach musi zostać co najmniej skompensowane nadwyżkami wygenerowanymi w pozostałym okresie rozliczeniowym obejmującym lata 2022-2025.</w:t>
      </w:r>
    </w:p>
    <w:p w:rsidR="008A572A" w:rsidRPr="0085401F" w:rsidRDefault="008A572A" w:rsidP="008A572A">
      <w:pPr>
        <w:pStyle w:val="Akapitzlist"/>
        <w:numPr>
          <w:ilvl w:val="0"/>
          <w:numId w:val="53"/>
        </w:numPr>
        <w:autoSpaceDE w:val="0"/>
        <w:autoSpaceDN w:val="0"/>
        <w:adjustRightInd w:val="0"/>
        <w:spacing w:before="240" w:after="60"/>
        <w:ind w:left="426" w:hanging="284"/>
        <w:contextualSpacing w:val="0"/>
        <w:jc w:val="both"/>
        <w:rPr>
          <w:rFonts w:ascii="Verdana" w:hAnsi="Verdana" w:cs="Verdana"/>
          <w:b/>
          <w:color w:val="000000"/>
          <w:sz w:val="16"/>
          <w:szCs w:val="16"/>
        </w:rPr>
      </w:pPr>
      <w:r w:rsidRPr="0085401F">
        <w:rPr>
          <w:rFonts w:ascii="Verdana" w:hAnsi="Verdana" w:cs="Verdana"/>
          <w:b/>
          <w:color w:val="000000"/>
          <w:sz w:val="16"/>
          <w:szCs w:val="16"/>
        </w:rPr>
        <w:t>Zm</w:t>
      </w:r>
      <w:r>
        <w:rPr>
          <w:rFonts w:ascii="Verdana" w:hAnsi="Verdana" w:cs="Verdana"/>
          <w:b/>
          <w:color w:val="000000"/>
          <w:sz w:val="16"/>
          <w:szCs w:val="16"/>
        </w:rPr>
        <w:t>iany w regule wprowadzone w 2022</w:t>
      </w:r>
      <w:r w:rsidRPr="0085401F">
        <w:rPr>
          <w:rFonts w:ascii="Verdana" w:hAnsi="Verdana" w:cs="Verdana"/>
          <w:b/>
          <w:color w:val="000000"/>
          <w:sz w:val="16"/>
          <w:szCs w:val="16"/>
        </w:rPr>
        <w:t xml:space="preserve"> r. w związku z </w:t>
      </w:r>
      <w:r>
        <w:rPr>
          <w:rFonts w:ascii="Verdana" w:hAnsi="Verdana" w:cs="Verdana"/>
          <w:b/>
          <w:color w:val="000000"/>
          <w:sz w:val="16"/>
          <w:szCs w:val="16"/>
        </w:rPr>
        <w:t>konfliktem zbrojnym na terytorium Ukrainy</w:t>
      </w:r>
    </w:p>
    <w:p w:rsidR="008A572A" w:rsidRPr="00891B2D" w:rsidRDefault="008A572A" w:rsidP="008A572A">
      <w:pPr>
        <w:spacing w:before="120" w:after="60"/>
        <w:jc w:val="both"/>
        <w:rPr>
          <w:rFonts w:ascii="Verdana" w:hAnsi="Verdana" w:cs="Arial"/>
          <w:sz w:val="16"/>
          <w:szCs w:val="16"/>
        </w:rPr>
      </w:pPr>
      <w:r>
        <w:rPr>
          <w:rFonts w:ascii="Verdana" w:hAnsi="Verdana" w:cs="Arial"/>
          <w:sz w:val="16"/>
          <w:szCs w:val="16"/>
        </w:rPr>
        <w:t>W myśl art. 110 ust. 1 i 2 ustawy</w:t>
      </w:r>
      <w:r w:rsidRPr="00006222">
        <w:rPr>
          <w:rFonts w:ascii="Verdana" w:hAnsi="Verdana" w:cs="Arial"/>
          <w:sz w:val="16"/>
          <w:szCs w:val="16"/>
        </w:rPr>
        <w:t xml:space="preserve"> z </w:t>
      </w:r>
      <w:r>
        <w:rPr>
          <w:rFonts w:ascii="Verdana" w:hAnsi="Verdana" w:cs="Arial"/>
          <w:sz w:val="16"/>
          <w:szCs w:val="16"/>
        </w:rPr>
        <w:t>12 marca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pomocy obywatelom Ukrainy w związku z konfliktem zbrojnym na terytorium tego państwa</w:t>
      </w:r>
      <w:r w:rsidRPr="00E7313D">
        <w:rPr>
          <w:rFonts w:ascii="Verdana" w:hAnsi="Verdana" w:cs="Arial"/>
          <w:sz w:val="16"/>
          <w:szCs w:val="16"/>
        </w:rPr>
        <w:t xml:space="preserve"> </w:t>
      </w:r>
      <w:r>
        <w:rPr>
          <w:rFonts w:ascii="Verdana" w:hAnsi="Verdana" w:cs="Arial"/>
          <w:sz w:val="16"/>
          <w:szCs w:val="16"/>
        </w:rPr>
        <w:t>(Dz. U. poz. 583</w:t>
      </w:r>
      <w:r w:rsidRPr="00011AAA">
        <w:rPr>
          <w:rStyle w:val="Odwoanieprzypisudolnego"/>
          <w:rFonts w:ascii="Verdana" w:hAnsi="Verdana"/>
          <w:bCs/>
          <w:iCs/>
          <w:color w:val="000000"/>
          <w:sz w:val="16"/>
          <w:szCs w:val="16"/>
        </w:rPr>
        <w:footnoteReference w:id="2"/>
      </w:r>
      <w:r w:rsidRPr="00E7313D">
        <w:rPr>
          <w:rFonts w:ascii="Verdana" w:hAnsi="Verdana" w:cs="Arial"/>
          <w:sz w:val="16"/>
          <w:szCs w:val="16"/>
        </w:rPr>
        <w:t>)</w:t>
      </w:r>
      <w:r>
        <w:rPr>
          <w:rFonts w:ascii="Verdana" w:hAnsi="Verdana" w:cs="Arial"/>
          <w:sz w:val="16"/>
          <w:szCs w:val="16"/>
        </w:rPr>
        <w:t xml:space="preserve"> </w:t>
      </w:r>
      <w:r w:rsidRPr="00891B2D">
        <w:rPr>
          <w:rFonts w:ascii="Verdana" w:hAnsi="Verdana" w:cs="Arial"/>
          <w:sz w:val="16"/>
          <w:szCs w:val="16"/>
        </w:rPr>
        <w:t xml:space="preserve">ustalając relację, o której mowa w art. 242 ustawy </w:t>
      </w:r>
      <w:r>
        <w:rPr>
          <w:rFonts w:ascii="Verdana" w:hAnsi="Verdana" w:cs="Arial"/>
          <w:sz w:val="16"/>
          <w:szCs w:val="16"/>
        </w:rPr>
        <w:br/>
      </w:r>
      <w:r w:rsidRPr="00891B2D">
        <w:rPr>
          <w:rFonts w:ascii="Verdana" w:hAnsi="Verdana" w:cs="Arial"/>
          <w:sz w:val="16"/>
          <w:szCs w:val="16"/>
        </w:rPr>
        <w:t>o finansach publicznych</w:t>
      </w:r>
      <w:r>
        <w:rPr>
          <w:rFonts w:ascii="Verdana" w:hAnsi="Verdana" w:cs="Arial"/>
          <w:sz w:val="16"/>
          <w:szCs w:val="16"/>
        </w:rPr>
        <w:t>,</w:t>
      </w:r>
      <w:r>
        <w:rPr>
          <w:rFonts w:ascii="Verdana" w:hAnsi="Verdana" w:cs="Arial"/>
          <w:b/>
          <w:sz w:val="16"/>
          <w:szCs w:val="16"/>
        </w:rPr>
        <w:t xml:space="preserve"> </w:t>
      </w:r>
      <w:r w:rsidRPr="00891B2D">
        <w:rPr>
          <w:rFonts w:ascii="Verdana" w:hAnsi="Verdana" w:cs="Arial"/>
          <w:b/>
          <w:sz w:val="16"/>
          <w:szCs w:val="16"/>
        </w:rPr>
        <w:t>wydatki bieżące pomniejsza się o wydatki bieżące ponoszone w celu realizacji zadań związanych z pomocą obywatelom Ukrainy w związku z konfliktem zbrojnym na terytorium tego państwa w części, w jakiej nie są one finansowane środkami publicznymi otrzymanymi na ten cel</w:t>
      </w:r>
      <w:r w:rsidRPr="00891B2D">
        <w:rPr>
          <w:rFonts w:ascii="Verdana" w:hAnsi="Verdana" w:cs="Arial"/>
          <w:sz w:val="16"/>
          <w:szCs w:val="16"/>
        </w:rPr>
        <w:t>.</w:t>
      </w:r>
    </w:p>
    <w:p w:rsidR="008A572A" w:rsidRPr="0085401F" w:rsidRDefault="008A572A" w:rsidP="008A572A">
      <w:pPr>
        <w:pStyle w:val="Akapitzlist"/>
        <w:numPr>
          <w:ilvl w:val="0"/>
          <w:numId w:val="53"/>
        </w:numPr>
        <w:autoSpaceDE w:val="0"/>
        <w:autoSpaceDN w:val="0"/>
        <w:adjustRightInd w:val="0"/>
        <w:spacing w:before="240" w:after="60"/>
        <w:ind w:left="426" w:hanging="284"/>
        <w:contextualSpacing w:val="0"/>
        <w:jc w:val="both"/>
        <w:rPr>
          <w:rFonts w:ascii="Verdana" w:hAnsi="Verdana" w:cs="Verdana"/>
          <w:b/>
          <w:color w:val="000000"/>
          <w:sz w:val="16"/>
          <w:szCs w:val="16"/>
        </w:rPr>
      </w:pPr>
      <w:r w:rsidRPr="0085401F">
        <w:rPr>
          <w:rFonts w:ascii="Verdana" w:hAnsi="Verdana" w:cs="Verdana"/>
          <w:b/>
          <w:color w:val="000000"/>
          <w:sz w:val="16"/>
          <w:szCs w:val="16"/>
        </w:rPr>
        <w:t>Zm</w:t>
      </w:r>
      <w:r>
        <w:rPr>
          <w:rFonts w:ascii="Verdana" w:hAnsi="Verdana" w:cs="Verdana"/>
          <w:b/>
          <w:color w:val="000000"/>
          <w:sz w:val="16"/>
          <w:szCs w:val="16"/>
        </w:rPr>
        <w:t>iany w regule wprowadzone w 2022</w:t>
      </w:r>
      <w:r w:rsidRPr="0085401F">
        <w:rPr>
          <w:rFonts w:ascii="Verdana" w:hAnsi="Verdana" w:cs="Verdana"/>
          <w:b/>
          <w:color w:val="000000"/>
          <w:sz w:val="16"/>
          <w:szCs w:val="16"/>
        </w:rPr>
        <w:t xml:space="preserve"> r. w związku </w:t>
      </w:r>
      <w:r>
        <w:rPr>
          <w:rFonts w:ascii="Verdana" w:hAnsi="Verdana" w:cs="Verdana"/>
          <w:b/>
          <w:color w:val="000000"/>
          <w:sz w:val="16"/>
          <w:szCs w:val="16"/>
        </w:rPr>
        <w:t xml:space="preserve">ze skutkami zmian podatkowych wprowadzonych w ramach rządowego tzw. Programu Polski Ład oraz w związku </w:t>
      </w:r>
      <w:r w:rsidRPr="0085401F">
        <w:rPr>
          <w:rFonts w:ascii="Verdana" w:hAnsi="Verdana" w:cs="Verdana"/>
          <w:b/>
          <w:color w:val="000000"/>
          <w:sz w:val="16"/>
          <w:szCs w:val="16"/>
        </w:rPr>
        <w:t xml:space="preserve">z </w:t>
      </w:r>
      <w:r>
        <w:rPr>
          <w:rFonts w:ascii="Verdana" w:hAnsi="Verdana" w:cs="Verdana"/>
          <w:b/>
          <w:color w:val="000000"/>
          <w:sz w:val="16"/>
          <w:szCs w:val="16"/>
        </w:rPr>
        <w:t>kryzysem energetycznym</w:t>
      </w:r>
    </w:p>
    <w:p w:rsidR="008A572A" w:rsidRDefault="008A572A" w:rsidP="008A572A">
      <w:pPr>
        <w:spacing w:before="120" w:after="60"/>
        <w:jc w:val="both"/>
        <w:rPr>
          <w:rFonts w:ascii="Verdana" w:hAnsi="Verdana" w:cs="Arial"/>
          <w:sz w:val="16"/>
          <w:szCs w:val="16"/>
        </w:rPr>
      </w:pPr>
      <w:r>
        <w:rPr>
          <w:rFonts w:ascii="Verdana" w:hAnsi="Verdana" w:cs="Arial"/>
          <w:sz w:val="16"/>
          <w:szCs w:val="16"/>
        </w:rPr>
        <w:t>W myśl art. 2 ustawy</w:t>
      </w:r>
      <w:r w:rsidRPr="00006222">
        <w:rPr>
          <w:rFonts w:ascii="Verdana" w:hAnsi="Verdana" w:cs="Arial"/>
          <w:sz w:val="16"/>
          <w:szCs w:val="16"/>
        </w:rPr>
        <w:t xml:space="preserve"> z </w:t>
      </w:r>
      <w:r>
        <w:rPr>
          <w:rFonts w:ascii="Verdana" w:hAnsi="Verdana" w:cs="Arial"/>
          <w:sz w:val="16"/>
          <w:szCs w:val="16"/>
        </w:rPr>
        <w:t>15 września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dochodach jednostek samorządu terytorialnego oraz niektórych innych ustaw</w:t>
      </w:r>
      <w:r w:rsidRPr="00E7313D">
        <w:rPr>
          <w:rFonts w:ascii="Verdana" w:hAnsi="Verdana" w:cs="Arial"/>
          <w:sz w:val="16"/>
          <w:szCs w:val="16"/>
        </w:rPr>
        <w:t xml:space="preserve"> </w:t>
      </w:r>
      <w:r>
        <w:rPr>
          <w:rFonts w:ascii="Verdana" w:hAnsi="Verdana" w:cs="Arial"/>
          <w:sz w:val="16"/>
          <w:szCs w:val="16"/>
        </w:rPr>
        <w:t>(Dz. U. poz. 1964</w:t>
      </w:r>
      <w:r w:rsidRPr="00E7313D">
        <w:rPr>
          <w:rFonts w:ascii="Verdana" w:hAnsi="Verdana" w:cs="Arial"/>
          <w:sz w:val="16"/>
          <w:szCs w:val="16"/>
        </w:rPr>
        <w:t>)</w:t>
      </w:r>
      <w:r>
        <w:rPr>
          <w:rFonts w:ascii="Verdana" w:hAnsi="Verdana" w:cs="Arial"/>
          <w:sz w:val="16"/>
          <w:szCs w:val="16"/>
        </w:rPr>
        <w:t xml:space="preserve"> </w:t>
      </w:r>
      <w:r w:rsidRPr="00891B2D">
        <w:rPr>
          <w:rFonts w:ascii="Verdana" w:hAnsi="Verdana" w:cs="Arial"/>
          <w:sz w:val="16"/>
          <w:szCs w:val="16"/>
        </w:rPr>
        <w:t>ustalając relację, o której mowa w art. 242 ustawy o finansach publicznych</w:t>
      </w:r>
      <w:r>
        <w:rPr>
          <w:rFonts w:ascii="Verdana" w:hAnsi="Verdana" w:cs="Arial"/>
          <w:sz w:val="16"/>
          <w:szCs w:val="16"/>
        </w:rPr>
        <w:t>,</w:t>
      </w:r>
      <w:r>
        <w:rPr>
          <w:rFonts w:ascii="Verdana" w:hAnsi="Verdana" w:cs="Arial"/>
          <w:b/>
          <w:sz w:val="16"/>
          <w:szCs w:val="16"/>
        </w:rPr>
        <w:t xml:space="preserve"> </w:t>
      </w:r>
      <w:r w:rsidRPr="00016858">
        <w:rPr>
          <w:rFonts w:ascii="Verdana" w:hAnsi="Verdana" w:cs="Arial"/>
          <w:b/>
          <w:sz w:val="16"/>
          <w:szCs w:val="16"/>
        </w:rPr>
        <w:t>l</w:t>
      </w:r>
      <w:r w:rsidRPr="00016858">
        <w:rPr>
          <w:rFonts w:ascii="Verdana" w:hAnsi="Verdana"/>
          <w:b/>
          <w:iCs/>
          <w:sz w:val="16"/>
          <w:szCs w:val="16"/>
        </w:rPr>
        <w:t xml:space="preserve">imit wydatków bieżących, co do zasady wyznaczany poziomem dochodów bieżących, zostaje podwyższony o </w:t>
      </w:r>
      <w:r w:rsidRPr="006B1907">
        <w:rPr>
          <w:rFonts w:ascii="Verdana" w:hAnsi="Verdana"/>
          <w:b/>
          <w:iCs/>
          <w:sz w:val="16"/>
          <w:szCs w:val="16"/>
        </w:rPr>
        <w:t>kwotę pochodzącą z lokat dokonanych w latach ubiegłych</w:t>
      </w:r>
      <w:r>
        <w:rPr>
          <w:rFonts w:ascii="Verdana" w:hAnsi="Verdana"/>
          <w:iCs/>
          <w:sz w:val="16"/>
          <w:szCs w:val="16"/>
        </w:rPr>
        <w:t>.</w:t>
      </w:r>
    </w:p>
    <w:p w:rsidR="008A572A" w:rsidRDefault="008A572A" w:rsidP="008A572A">
      <w:pPr>
        <w:spacing w:before="120" w:after="120"/>
        <w:jc w:val="both"/>
        <w:rPr>
          <w:rFonts w:ascii="Verdana" w:hAnsi="Verdana"/>
          <w:iCs/>
          <w:sz w:val="16"/>
          <w:szCs w:val="16"/>
        </w:rPr>
      </w:pPr>
      <w:r>
        <w:rPr>
          <w:rFonts w:ascii="Verdana" w:hAnsi="Verdana" w:cs="Arial"/>
          <w:sz w:val="16"/>
          <w:szCs w:val="16"/>
        </w:rPr>
        <w:t>Zgodnie z art. 6 ustawy</w:t>
      </w:r>
      <w:r w:rsidRPr="00006222">
        <w:rPr>
          <w:rFonts w:ascii="Verdana" w:hAnsi="Verdana" w:cs="Arial"/>
          <w:sz w:val="16"/>
          <w:szCs w:val="16"/>
        </w:rPr>
        <w:t xml:space="preserve"> z </w:t>
      </w:r>
      <w:r>
        <w:rPr>
          <w:rFonts w:ascii="Verdana" w:hAnsi="Verdana" w:cs="Arial"/>
          <w:sz w:val="16"/>
          <w:szCs w:val="16"/>
        </w:rPr>
        <w:t>15 września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dochodach jednostek samorządu terytorialnego oraz niektórych innych ustaw</w:t>
      </w:r>
      <w:r w:rsidRPr="00E7313D">
        <w:rPr>
          <w:rFonts w:ascii="Verdana" w:hAnsi="Verdana" w:cs="Arial"/>
          <w:sz w:val="16"/>
          <w:szCs w:val="16"/>
        </w:rPr>
        <w:t xml:space="preserve"> </w:t>
      </w:r>
      <w:r>
        <w:rPr>
          <w:rFonts w:ascii="Verdana" w:hAnsi="Verdana" w:cs="Arial"/>
          <w:sz w:val="16"/>
          <w:szCs w:val="16"/>
        </w:rPr>
        <w:t>(Dz. U. poz. 1964</w:t>
      </w:r>
      <w:r w:rsidRPr="00E7313D">
        <w:rPr>
          <w:rFonts w:ascii="Verdana" w:hAnsi="Verdana" w:cs="Arial"/>
          <w:sz w:val="16"/>
          <w:szCs w:val="16"/>
        </w:rPr>
        <w:t>)</w:t>
      </w:r>
      <w:r>
        <w:rPr>
          <w:rFonts w:ascii="Verdana" w:hAnsi="Verdana" w:cs="Arial"/>
          <w:sz w:val="16"/>
          <w:szCs w:val="16"/>
        </w:rPr>
        <w:t xml:space="preserve"> </w:t>
      </w:r>
      <w:r w:rsidRPr="00891B2D">
        <w:rPr>
          <w:rFonts w:ascii="Verdana" w:hAnsi="Verdana" w:cs="Arial"/>
          <w:sz w:val="16"/>
          <w:szCs w:val="16"/>
        </w:rPr>
        <w:t>ustalając relację, o której mowa w art. 242 ustawy o finansach publicznych</w:t>
      </w:r>
      <w:r>
        <w:rPr>
          <w:rFonts w:ascii="Verdana" w:hAnsi="Verdana" w:cs="Arial"/>
          <w:sz w:val="16"/>
          <w:szCs w:val="16"/>
        </w:rPr>
        <w:t>,</w:t>
      </w:r>
      <w:r>
        <w:rPr>
          <w:rFonts w:ascii="Verdana" w:hAnsi="Verdana" w:cs="Arial"/>
          <w:b/>
          <w:sz w:val="16"/>
          <w:szCs w:val="16"/>
        </w:rPr>
        <w:t xml:space="preserve"> </w:t>
      </w:r>
      <w:r w:rsidRPr="00016858">
        <w:rPr>
          <w:rFonts w:ascii="Verdana" w:hAnsi="Verdana" w:cs="Arial"/>
          <w:b/>
          <w:sz w:val="16"/>
          <w:szCs w:val="16"/>
        </w:rPr>
        <w:t>l</w:t>
      </w:r>
      <w:r w:rsidRPr="00016858">
        <w:rPr>
          <w:rFonts w:ascii="Verdana" w:hAnsi="Verdana"/>
          <w:b/>
          <w:iCs/>
          <w:sz w:val="16"/>
          <w:szCs w:val="16"/>
        </w:rPr>
        <w:t xml:space="preserve">imit wydatków bieżących w </w:t>
      </w:r>
      <w:r>
        <w:rPr>
          <w:rFonts w:ascii="Verdana" w:hAnsi="Verdana"/>
          <w:b/>
          <w:iCs/>
          <w:sz w:val="16"/>
          <w:szCs w:val="16"/>
        </w:rPr>
        <w:t>latach 2023-2025</w:t>
      </w:r>
      <w:r w:rsidRPr="00016858">
        <w:rPr>
          <w:rFonts w:ascii="Verdana" w:hAnsi="Verdana"/>
          <w:b/>
          <w:iCs/>
          <w:sz w:val="16"/>
          <w:szCs w:val="16"/>
        </w:rPr>
        <w:t>, co do zasady wyznaczany poziomem dochodów bieżących, zostaje podwyższony o kwotę tzw. wolnych środków</w:t>
      </w:r>
      <w:r>
        <w:rPr>
          <w:rFonts w:ascii="Verdana" w:hAnsi="Verdana"/>
          <w:iCs/>
          <w:sz w:val="16"/>
          <w:szCs w:val="16"/>
        </w:rPr>
        <w:t xml:space="preserve"> stanowiących nadwyżki środków pieniężnych budżetu JST, wynikających z rozliczeń wyemitowanych papierów wartościowych, kredytów i pożyczek z lat ubiegłych.</w:t>
      </w:r>
    </w:p>
    <w:p w:rsidR="008A572A" w:rsidRPr="0085401F" w:rsidRDefault="008A572A" w:rsidP="008A572A">
      <w:pPr>
        <w:pStyle w:val="Akapitzlist"/>
        <w:numPr>
          <w:ilvl w:val="0"/>
          <w:numId w:val="53"/>
        </w:numPr>
        <w:spacing w:before="240" w:after="120"/>
        <w:ind w:left="426" w:hanging="284"/>
        <w:contextualSpacing w:val="0"/>
        <w:jc w:val="both"/>
        <w:rPr>
          <w:rFonts w:ascii="Verdana" w:hAnsi="Verdana" w:cs="Verdana"/>
          <w:b/>
          <w:color w:val="000000"/>
          <w:sz w:val="16"/>
          <w:szCs w:val="16"/>
        </w:rPr>
      </w:pPr>
      <w:r>
        <w:rPr>
          <w:rFonts w:ascii="Verdana" w:hAnsi="Verdana" w:cs="Verdana"/>
          <w:b/>
          <w:color w:val="000000"/>
          <w:sz w:val="16"/>
          <w:szCs w:val="16"/>
        </w:rPr>
        <w:t>Zapis matematyczny reguły</w:t>
      </w:r>
    </w:p>
    <w:p w:rsidR="008A572A" w:rsidRPr="000A6485" w:rsidRDefault="008A572A" w:rsidP="008A572A">
      <w:pPr>
        <w:spacing w:before="120" w:after="120"/>
        <w:jc w:val="both"/>
        <w:rPr>
          <w:rFonts w:ascii="Verdana" w:hAnsi="Verdana" w:cs="Arial"/>
          <w:bCs/>
          <w:sz w:val="16"/>
          <w:szCs w:val="16"/>
        </w:rPr>
      </w:pPr>
      <w:r w:rsidRPr="000A6485">
        <w:rPr>
          <w:rFonts w:ascii="Verdana" w:hAnsi="Verdana" w:cs="Arial"/>
          <w:bCs/>
          <w:sz w:val="16"/>
          <w:szCs w:val="16"/>
        </w:rPr>
        <w:t>Ustawową regułę limitu wydatków bieżących prezentują poniższe wzory:</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83"/>
      </w:tblGrid>
      <w:tr w:rsidR="008A572A" w:rsidRPr="000A6485" w:rsidTr="008A572A">
        <w:tc>
          <w:tcPr>
            <w:tcW w:w="4678" w:type="dxa"/>
          </w:tcPr>
          <w:p w:rsidR="008A572A" w:rsidRPr="000A6485" w:rsidRDefault="008A572A" w:rsidP="008A572A">
            <w:pPr>
              <w:spacing w:before="120" w:after="120"/>
              <w:jc w:val="center"/>
              <w:rPr>
                <w:rFonts w:ascii="Verdana" w:hAnsi="Verdana" w:cs="Arial"/>
                <w:sz w:val="16"/>
                <w:szCs w:val="16"/>
              </w:rPr>
            </w:pPr>
            <w:r w:rsidRPr="000A6485">
              <w:rPr>
                <w:rFonts w:ascii="Verdana" w:hAnsi="Verdana" w:cs="Arial"/>
                <w:sz w:val="16"/>
                <w:szCs w:val="16"/>
              </w:rPr>
              <w:t xml:space="preserve">Formuła obowiązująca </w:t>
            </w:r>
            <w:r>
              <w:rPr>
                <w:rFonts w:ascii="Verdana" w:hAnsi="Verdana" w:cs="Arial"/>
                <w:b/>
                <w:sz w:val="16"/>
                <w:szCs w:val="16"/>
              </w:rPr>
              <w:t>w latach 2022-2025 łącznie</w:t>
            </w:r>
          </w:p>
          <w:p w:rsidR="008A572A" w:rsidRPr="000A6485" w:rsidRDefault="008A572A" w:rsidP="008A572A">
            <w:pPr>
              <w:spacing w:before="120" w:after="120"/>
              <w:jc w:val="both"/>
              <w:rPr>
                <w:rFonts w:ascii="Verdana" w:hAnsi="Verdana" w:cs="Arial"/>
                <w:b/>
                <w:sz w:val="20"/>
                <w:szCs w:val="20"/>
              </w:rPr>
            </w:pPr>
            <m:oMathPara>
              <m:oMath>
                <m:r>
                  <m:rPr>
                    <m:sty m:val="b"/>
                  </m:rPr>
                  <w:rPr>
                    <w:rFonts w:ascii="Cambria Math" w:hAnsi="Cambria Math" w:cs="Arial"/>
                    <w:sz w:val="20"/>
                    <w:szCs w:val="20"/>
                  </w:rPr>
                  <m:t xml:space="preserve">WB- </m:t>
                </m:r>
                <m:sSub>
                  <m:sSubPr>
                    <m:ctrlPr>
                      <w:rPr>
                        <w:rFonts w:ascii="Cambria Math" w:hAnsi="Cambria Math" w:cs="Arial"/>
                        <w:b/>
                        <w:sz w:val="20"/>
                        <w:szCs w:val="20"/>
                      </w:rPr>
                    </m:ctrlPr>
                  </m:sSubPr>
                  <m:e>
                    <m:r>
                      <m:rPr>
                        <m:sty m:val="b"/>
                      </m:rPr>
                      <w:rPr>
                        <w:rFonts w:ascii="Cambria Math" w:hAnsi="Cambria Math" w:cs="Arial"/>
                        <w:sz w:val="20"/>
                        <w:szCs w:val="20"/>
                      </w:rPr>
                      <m:t>WB</m:t>
                    </m:r>
                  </m:e>
                  <m:sub>
                    <m:r>
                      <m:rPr>
                        <m:sty m:val="b"/>
                      </m:rPr>
                      <w:rPr>
                        <w:rFonts w:ascii="Cambria Math" w:hAnsi="Cambria Math" w:cs="Arial"/>
                        <w:sz w:val="20"/>
                        <w:szCs w:val="20"/>
                      </w:rPr>
                      <m:t>UKR</m:t>
                    </m:r>
                  </m:sub>
                </m:sSub>
                <m:r>
                  <m:rPr>
                    <m:sty m:val="b"/>
                  </m:rPr>
                  <w:rPr>
                    <w:rFonts w:ascii="Cambria Math" w:hAnsi="Cambria Math" w:cs="Arial"/>
                    <w:sz w:val="20"/>
                    <w:szCs w:val="20"/>
                  </w:rPr>
                  <m:t>≤DB+NB+SP+L+</m:t>
                </m:r>
                <m:sSub>
                  <m:sSubPr>
                    <m:ctrlPr>
                      <w:rPr>
                        <w:rFonts w:ascii="Cambria Math" w:hAnsi="Cambria Math" w:cs="Arial"/>
                        <w:b/>
                        <w:sz w:val="20"/>
                        <w:szCs w:val="20"/>
                      </w:rPr>
                    </m:ctrlPr>
                  </m:sSubPr>
                  <m:e>
                    <m:r>
                      <m:rPr>
                        <m:sty m:val="b"/>
                      </m:rPr>
                      <w:rPr>
                        <w:rFonts w:ascii="Cambria Math" w:hAnsi="Cambria Math" w:cs="Arial"/>
                        <w:sz w:val="20"/>
                        <w:szCs w:val="20"/>
                      </w:rPr>
                      <m:t>WŚ</m:t>
                    </m:r>
                  </m:e>
                  <m:sub>
                    <m:r>
                      <m:rPr>
                        <m:sty m:val="bi"/>
                      </m:rPr>
                      <w:rPr>
                        <w:rFonts w:ascii="Cambria Math" w:hAnsi="Cambria Math" w:cs="Arial"/>
                        <w:sz w:val="20"/>
                        <w:szCs w:val="20"/>
                      </w:rPr>
                      <m:t>2022-2025</m:t>
                    </m:r>
                  </m:sub>
                </m:sSub>
              </m:oMath>
            </m:oMathPara>
          </w:p>
        </w:tc>
        <w:tc>
          <w:tcPr>
            <w:tcW w:w="4383" w:type="dxa"/>
          </w:tcPr>
          <w:p w:rsidR="008A572A" w:rsidRPr="000A6485" w:rsidRDefault="008A572A" w:rsidP="008A572A">
            <w:pPr>
              <w:spacing w:before="120" w:after="120"/>
              <w:jc w:val="center"/>
              <w:rPr>
                <w:rFonts w:ascii="Verdana" w:hAnsi="Verdana" w:cs="Arial"/>
                <w:sz w:val="16"/>
                <w:szCs w:val="16"/>
              </w:rPr>
            </w:pPr>
            <w:r w:rsidRPr="000A6485">
              <w:rPr>
                <w:rFonts w:ascii="Verdana" w:hAnsi="Verdana" w:cs="Arial"/>
                <w:sz w:val="16"/>
                <w:szCs w:val="16"/>
              </w:rPr>
              <w:t xml:space="preserve">Formuła obowiązująca </w:t>
            </w:r>
            <w:r w:rsidRPr="000A6485">
              <w:rPr>
                <w:rFonts w:ascii="Verdana" w:hAnsi="Verdana" w:cs="Arial"/>
                <w:b/>
                <w:sz w:val="16"/>
                <w:szCs w:val="16"/>
              </w:rPr>
              <w:t>od roku 202</w:t>
            </w:r>
            <w:r>
              <w:rPr>
                <w:rFonts w:ascii="Verdana" w:hAnsi="Verdana" w:cs="Arial"/>
                <w:b/>
                <w:sz w:val="16"/>
                <w:szCs w:val="16"/>
              </w:rPr>
              <w:t>6</w:t>
            </w:r>
          </w:p>
          <w:p w:rsidR="008A572A" w:rsidRPr="000A6485" w:rsidRDefault="008A572A" w:rsidP="008A572A">
            <w:pPr>
              <w:spacing w:before="120" w:after="120"/>
              <w:jc w:val="both"/>
              <w:rPr>
                <w:rFonts w:ascii="Verdana" w:hAnsi="Verdana" w:cs="Arial"/>
                <w:b/>
                <w:sz w:val="18"/>
                <w:szCs w:val="18"/>
              </w:rPr>
            </w:pPr>
            <m:oMathPara>
              <m:oMath>
                <m:r>
                  <m:rPr>
                    <m:sty m:val="b"/>
                  </m:rPr>
                  <w:rPr>
                    <w:rFonts w:ascii="Cambria Math" w:hAnsi="Cambria Math" w:cs="Arial"/>
                    <w:sz w:val="20"/>
                    <w:szCs w:val="20"/>
                  </w:rPr>
                  <m:t xml:space="preserve">WB- </m:t>
                </m:r>
                <m:sSub>
                  <m:sSubPr>
                    <m:ctrlPr>
                      <w:rPr>
                        <w:rFonts w:ascii="Cambria Math" w:hAnsi="Cambria Math" w:cs="Arial"/>
                        <w:b/>
                        <w:sz w:val="20"/>
                        <w:szCs w:val="20"/>
                      </w:rPr>
                    </m:ctrlPr>
                  </m:sSubPr>
                  <m:e>
                    <m:r>
                      <m:rPr>
                        <m:sty m:val="b"/>
                      </m:rPr>
                      <w:rPr>
                        <w:rFonts w:ascii="Cambria Math" w:hAnsi="Cambria Math" w:cs="Arial"/>
                        <w:sz w:val="20"/>
                        <w:szCs w:val="20"/>
                      </w:rPr>
                      <m:t>WB</m:t>
                    </m:r>
                  </m:e>
                  <m:sub>
                    <m:r>
                      <m:rPr>
                        <m:sty m:val="b"/>
                      </m:rPr>
                      <w:rPr>
                        <w:rFonts w:ascii="Cambria Math" w:hAnsi="Cambria Math" w:cs="Arial"/>
                        <w:sz w:val="20"/>
                        <w:szCs w:val="20"/>
                      </w:rPr>
                      <m:t>UKR</m:t>
                    </m:r>
                  </m:sub>
                </m:sSub>
                <m:r>
                  <m:rPr>
                    <m:sty m:val="b"/>
                  </m:rPr>
                  <w:rPr>
                    <w:rFonts w:ascii="Cambria Math" w:hAnsi="Cambria Math" w:cs="Arial"/>
                    <w:sz w:val="20"/>
                    <w:szCs w:val="20"/>
                  </w:rPr>
                  <m:t>≤DB+NB+SP+L</m:t>
                </m:r>
              </m:oMath>
            </m:oMathPara>
          </w:p>
        </w:tc>
      </w:tr>
    </w:tbl>
    <w:p w:rsidR="008A572A" w:rsidRPr="000A6485" w:rsidRDefault="008A572A" w:rsidP="008A572A">
      <w:pPr>
        <w:tabs>
          <w:tab w:val="left" w:pos="0"/>
        </w:tabs>
        <w:spacing w:before="120" w:after="120"/>
        <w:rPr>
          <w:rFonts w:ascii="Verdana" w:hAnsi="Verdana"/>
          <w:bCs/>
          <w:sz w:val="16"/>
          <w:szCs w:val="16"/>
        </w:rPr>
      </w:pPr>
      <w:r w:rsidRPr="000A6485">
        <w:rPr>
          <w:rFonts w:ascii="Verdana" w:hAnsi="Verdana"/>
          <w:sz w:val="16"/>
          <w:szCs w:val="16"/>
        </w:rPr>
        <w:t>gdzie:</w:t>
      </w:r>
      <w:r w:rsidRPr="000A6485">
        <w:rPr>
          <w:rFonts w:ascii="Verdana" w:hAnsi="Verdana"/>
          <w:b/>
          <w:sz w:val="14"/>
          <w:szCs w:val="14"/>
        </w:rPr>
        <w:t xml:space="preserve"> </w:t>
      </w:r>
      <w:r w:rsidRPr="000A6485">
        <w:rPr>
          <w:rFonts w:ascii="Verdana" w:hAnsi="Verdana"/>
          <w:b/>
          <w:sz w:val="14"/>
          <w:szCs w:val="14"/>
        </w:rPr>
        <w:tab/>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53"/>
      </w:tblGrid>
      <w:tr w:rsidR="008A572A" w:rsidRPr="000A6485" w:rsidTr="008A572A">
        <w:tc>
          <w:tcPr>
            <w:tcW w:w="1418" w:type="dxa"/>
          </w:tcPr>
          <w:p w:rsidR="008A572A" w:rsidRPr="000A6485" w:rsidRDefault="008A572A" w:rsidP="008A572A">
            <w:pPr>
              <w:tabs>
                <w:tab w:val="left" w:pos="0"/>
              </w:tabs>
              <w:spacing w:before="120" w:after="120" w:line="240" w:lineRule="auto"/>
              <w:rPr>
                <w:rFonts w:ascii="Verdana" w:hAnsi="Verdana"/>
                <w:b/>
                <w:bCs/>
                <w:sz w:val="16"/>
                <w:szCs w:val="16"/>
              </w:rPr>
            </w:pPr>
            <w:r w:rsidRPr="000A6485">
              <w:rPr>
                <w:rFonts w:ascii="Verdana" w:hAnsi="Verdana" w:cs="Arial"/>
                <w:b/>
                <w:sz w:val="16"/>
                <w:szCs w:val="16"/>
              </w:rPr>
              <w:lastRenderedPageBreak/>
              <w:t>WB -</w:t>
            </w:r>
          </w:p>
        </w:tc>
        <w:tc>
          <w:tcPr>
            <w:tcW w:w="7653" w:type="dxa"/>
            <w:vAlign w:val="center"/>
          </w:tcPr>
          <w:p w:rsidR="008A572A" w:rsidRPr="000A6485" w:rsidRDefault="008A572A" w:rsidP="008A572A">
            <w:pPr>
              <w:tabs>
                <w:tab w:val="left" w:pos="0"/>
              </w:tabs>
              <w:spacing w:before="120" w:after="120" w:line="240" w:lineRule="auto"/>
              <w:rPr>
                <w:rFonts w:ascii="Verdana" w:hAnsi="Verdana"/>
                <w:b/>
                <w:bCs/>
                <w:sz w:val="16"/>
                <w:szCs w:val="16"/>
              </w:rPr>
            </w:pPr>
            <w:r w:rsidRPr="000A6485">
              <w:rPr>
                <w:rFonts w:ascii="Verdana" w:hAnsi="Verdana" w:cs="Arial"/>
                <w:sz w:val="16"/>
                <w:szCs w:val="16"/>
              </w:rPr>
              <w:t>wydatki bieżące</w:t>
            </w:r>
          </w:p>
        </w:tc>
      </w:tr>
      <w:tr w:rsidR="008A572A" w:rsidRPr="000A6485" w:rsidTr="008A572A">
        <w:tc>
          <w:tcPr>
            <w:tcW w:w="1418" w:type="dxa"/>
          </w:tcPr>
          <w:p w:rsidR="008A572A" w:rsidRPr="00011AAA" w:rsidRDefault="008A572A" w:rsidP="008A572A">
            <w:pPr>
              <w:tabs>
                <w:tab w:val="left" w:pos="0"/>
              </w:tabs>
              <w:spacing w:before="120" w:after="120" w:line="240" w:lineRule="auto"/>
              <w:rPr>
                <w:rFonts w:ascii="Verdana" w:hAnsi="Verdana"/>
                <w:b/>
                <w:bCs/>
                <w:sz w:val="16"/>
                <w:szCs w:val="16"/>
              </w:rPr>
            </w:pPr>
            <w:r>
              <w:rPr>
                <w:rFonts w:ascii="Verdana" w:hAnsi="Verdana"/>
                <w:b/>
                <w:sz w:val="16"/>
                <w:szCs w:val="16"/>
              </w:rPr>
              <w:t>WB</w:t>
            </w:r>
            <w:r w:rsidRPr="00891B2D">
              <w:rPr>
                <w:rFonts w:ascii="Verdana" w:hAnsi="Verdana"/>
                <w:b/>
                <w:sz w:val="16"/>
                <w:szCs w:val="16"/>
                <w:vertAlign w:val="subscript"/>
              </w:rPr>
              <w:t>UKR</w:t>
            </w:r>
            <w:r w:rsidRPr="00011AAA">
              <w:rPr>
                <w:rFonts w:ascii="Verdana" w:hAnsi="Verdana"/>
                <w:b/>
                <w:sz w:val="16"/>
                <w:szCs w:val="16"/>
              </w:rPr>
              <w:t xml:space="preserve">  -</w:t>
            </w:r>
          </w:p>
        </w:tc>
        <w:tc>
          <w:tcPr>
            <w:tcW w:w="7653" w:type="dxa"/>
            <w:vAlign w:val="center"/>
          </w:tcPr>
          <w:p w:rsidR="008A572A" w:rsidRPr="00891B2D" w:rsidRDefault="008A572A" w:rsidP="008A572A">
            <w:pPr>
              <w:tabs>
                <w:tab w:val="left" w:pos="0"/>
              </w:tabs>
              <w:spacing w:before="120" w:after="120" w:line="240" w:lineRule="auto"/>
              <w:rPr>
                <w:rFonts w:ascii="Verdana" w:hAnsi="Verdana"/>
                <w:bCs/>
                <w:sz w:val="16"/>
                <w:szCs w:val="16"/>
              </w:rPr>
            </w:pPr>
            <w:r w:rsidRPr="00891B2D">
              <w:rPr>
                <w:rFonts w:ascii="Verdana" w:hAnsi="Verdana" w:cs="Arial"/>
                <w:sz w:val="16"/>
                <w:szCs w:val="16"/>
              </w:rPr>
              <w:t>wydatki bieżące ponoszone w celu realizacji zadań związanych z pomocą obywatelom Ukrainy w związku z konfliktem zbrojnym na terytorium tego państwa w części, w jakiej nie są one finansowane środkami publicznymi otrzymanymi na ten cel</w:t>
            </w:r>
          </w:p>
        </w:tc>
      </w:tr>
      <w:tr w:rsidR="008A572A" w:rsidRPr="000A6485" w:rsidTr="008A572A">
        <w:tc>
          <w:tcPr>
            <w:tcW w:w="1418" w:type="dxa"/>
          </w:tcPr>
          <w:p w:rsidR="008A572A" w:rsidRPr="000A6485" w:rsidRDefault="008A572A" w:rsidP="008A572A">
            <w:pPr>
              <w:tabs>
                <w:tab w:val="left" w:pos="0"/>
              </w:tabs>
              <w:spacing w:before="120" w:after="120" w:line="240" w:lineRule="auto"/>
              <w:rPr>
                <w:rFonts w:ascii="Verdana" w:hAnsi="Verdana"/>
                <w:b/>
                <w:bCs/>
                <w:sz w:val="16"/>
                <w:szCs w:val="16"/>
              </w:rPr>
            </w:pPr>
            <w:r w:rsidRPr="000A6485">
              <w:rPr>
                <w:rFonts w:ascii="Verdana" w:hAnsi="Verdana"/>
                <w:b/>
                <w:sz w:val="16"/>
                <w:szCs w:val="16"/>
              </w:rPr>
              <w:t>DB -</w:t>
            </w:r>
          </w:p>
        </w:tc>
        <w:tc>
          <w:tcPr>
            <w:tcW w:w="7653" w:type="dxa"/>
            <w:vAlign w:val="center"/>
          </w:tcPr>
          <w:p w:rsidR="008A572A" w:rsidRPr="000A6485" w:rsidRDefault="008A572A" w:rsidP="008A572A">
            <w:pPr>
              <w:tabs>
                <w:tab w:val="left" w:pos="0"/>
              </w:tabs>
              <w:spacing w:before="120" w:after="120" w:line="240" w:lineRule="auto"/>
              <w:rPr>
                <w:rFonts w:ascii="Verdana" w:hAnsi="Verdana"/>
                <w:b/>
                <w:bCs/>
                <w:sz w:val="16"/>
                <w:szCs w:val="16"/>
              </w:rPr>
            </w:pPr>
            <w:r w:rsidRPr="000A6485">
              <w:rPr>
                <w:rFonts w:ascii="Verdana" w:hAnsi="Verdana"/>
                <w:sz w:val="16"/>
                <w:szCs w:val="16"/>
              </w:rPr>
              <w:t>dochody bieżące</w:t>
            </w:r>
          </w:p>
        </w:tc>
      </w:tr>
      <w:tr w:rsidR="008A572A" w:rsidRPr="000A6485" w:rsidTr="008A572A">
        <w:tc>
          <w:tcPr>
            <w:tcW w:w="1418" w:type="dxa"/>
          </w:tcPr>
          <w:p w:rsidR="008A572A" w:rsidRPr="000A6485" w:rsidRDefault="008A572A" w:rsidP="008A572A">
            <w:pPr>
              <w:tabs>
                <w:tab w:val="left" w:pos="0"/>
              </w:tabs>
              <w:spacing w:before="120" w:after="120" w:line="240" w:lineRule="auto"/>
              <w:rPr>
                <w:rFonts w:ascii="Verdana" w:hAnsi="Verdana"/>
                <w:b/>
                <w:bCs/>
                <w:sz w:val="16"/>
                <w:szCs w:val="16"/>
              </w:rPr>
            </w:pPr>
            <w:r w:rsidRPr="000A6485">
              <w:rPr>
                <w:rFonts w:ascii="Verdana" w:hAnsi="Verdana"/>
                <w:b/>
                <w:sz w:val="16"/>
                <w:szCs w:val="16"/>
              </w:rPr>
              <w:t>NB  -</w:t>
            </w:r>
          </w:p>
        </w:tc>
        <w:tc>
          <w:tcPr>
            <w:tcW w:w="7653" w:type="dxa"/>
            <w:vAlign w:val="center"/>
          </w:tcPr>
          <w:p w:rsidR="008A572A" w:rsidRPr="000A6485" w:rsidRDefault="008A572A" w:rsidP="008A572A">
            <w:pPr>
              <w:tabs>
                <w:tab w:val="left" w:pos="0"/>
              </w:tabs>
              <w:spacing w:before="120" w:after="120" w:line="240" w:lineRule="auto"/>
              <w:rPr>
                <w:rFonts w:ascii="Verdana" w:hAnsi="Verdana"/>
                <w:b/>
                <w:bCs/>
                <w:sz w:val="16"/>
                <w:szCs w:val="16"/>
              </w:rPr>
            </w:pPr>
            <w:r w:rsidRPr="000A6485">
              <w:rPr>
                <w:rFonts w:ascii="Verdana" w:hAnsi="Verdana"/>
                <w:sz w:val="16"/>
                <w:szCs w:val="16"/>
              </w:rPr>
              <w:t>nadwyżki budżetu z lat ubiegłych, w tym niewykorzystane środki pieniężne na rachunku bieżącym budżetu, wynikające z rozliczenia dochodów i wydatków nimi finansowanych związanych ze szczególnymi zasadami wykonywania budżetu określonymi w odrębnych ustawach i wynikające z rozliczenia środków unijnych</w:t>
            </w:r>
          </w:p>
        </w:tc>
      </w:tr>
      <w:tr w:rsidR="008A572A" w:rsidRPr="000A6485" w:rsidTr="008A572A">
        <w:tc>
          <w:tcPr>
            <w:tcW w:w="1418" w:type="dxa"/>
          </w:tcPr>
          <w:p w:rsidR="008A572A" w:rsidRPr="000A6485" w:rsidRDefault="008A572A" w:rsidP="008A572A">
            <w:pPr>
              <w:tabs>
                <w:tab w:val="left" w:pos="0"/>
              </w:tabs>
              <w:spacing w:before="120" w:after="120" w:line="240" w:lineRule="auto"/>
              <w:rPr>
                <w:rFonts w:ascii="Verdana" w:hAnsi="Verdana"/>
                <w:b/>
                <w:bCs/>
                <w:sz w:val="16"/>
                <w:szCs w:val="16"/>
              </w:rPr>
            </w:pPr>
            <w:r w:rsidRPr="000A6485">
              <w:rPr>
                <w:rFonts w:ascii="Verdana" w:hAnsi="Verdana"/>
                <w:b/>
                <w:sz w:val="16"/>
                <w:szCs w:val="16"/>
              </w:rPr>
              <w:t>SP  -</w:t>
            </w:r>
          </w:p>
        </w:tc>
        <w:tc>
          <w:tcPr>
            <w:tcW w:w="7653" w:type="dxa"/>
            <w:vAlign w:val="center"/>
          </w:tcPr>
          <w:p w:rsidR="008A572A" w:rsidRPr="000A6485" w:rsidRDefault="008A572A" w:rsidP="008A572A">
            <w:pPr>
              <w:tabs>
                <w:tab w:val="left" w:pos="0"/>
              </w:tabs>
              <w:spacing w:before="120" w:after="120" w:line="240" w:lineRule="auto"/>
              <w:rPr>
                <w:rFonts w:ascii="Verdana" w:hAnsi="Verdana"/>
                <w:b/>
                <w:bCs/>
                <w:sz w:val="16"/>
                <w:szCs w:val="16"/>
              </w:rPr>
            </w:pPr>
            <w:r w:rsidRPr="000A6485">
              <w:rPr>
                <w:rFonts w:ascii="Verdana" w:hAnsi="Verdana"/>
                <w:sz w:val="16"/>
                <w:szCs w:val="16"/>
              </w:rPr>
              <w:t>spłaty udzielonych pożyczek w latach ubiegłych</w:t>
            </w:r>
          </w:p>
        </w:tc>
      </w:tr>
      <w:tr w:rsidR="008A572A" w:rsidRPr="000A6485" w:rsidTr="008A572A">
        <w:tc>
          <w:tcPr>
            <w:tcW w:w="1418" w:type="dxa"/>
          </w:tcPr>
          <w:p w:rsidR="008A572A" w:rsidRPr="000A6485" w:rsidRDefault="008A572A" w:rsidP="008A572A">
            <w:pPr>
              <w:tabs>
                <w:tab w:val="left" w:pos="0"/>
              </w:tabs>
              <w:spacing w:before="120" w:after="120" w:line="240" w:lineRule="auto"/>
              <w:rPr>
                <w:rFonts w:ascii="Verdana" w:hAnsi="Verdana"/>
                <w:b/>
                <w:sz w:val="16"/>
                <w:szCs w:val="16"/>
              </w:rPr>
            </w:pPr>
            <w:r>
              <w:rPr>
                <w:rFonts w:ascii="Verdana" w:hAnsi="Verdana"/>
                <w:b/>
                <w:sz w:val="16"/>
                <w:szCs w:val="16"/>
              </w:rPr>
              <w:t>L -</w:t>
            </w:r>
          </w:p>
        </w:tc>
        <w:tc>
          <w:tcPr>
            <w:tcW w:w="7653" w:type="dxa"/>
            <w:vAlign w:val="center"/>
          </w:tcPr>
          <w:p w:rsidR="008A572A" w:rsidRPr="006B1907" w:rsidRDefault="008A572A" w:rsidP="008A572A">
            <w:pPr>
              <w:tabs>
                <w:tab w:val="left" w:pos="0"/>
              </w:tabs>
              <w:spacing w:before="120" w:after="120" w:line="240" w:lineRule="auto"/>
              <w:rPr>
                <w:rFonts w:ascii="Verdana" w:hAnsi="Verdana"/>
                <w:sz w:val="16"/>
                <w:szCs w:val="16"/>
              </w:rPr>
            </w:pPr>
            <w:r w:rsidRPr="006B1907">
              <w:rPr>
                <w:rFonts w:ascii="Verdana" w:hAnsi="Verdana"/>
                <w:iCs/>
                <w:sz w:val="16"/>
                <w:szCs w:val="16"/>
              </w:rPr>
              <w:t>środki z lokat dokonanych w latach ubiegłych</w:t>
            </w:r>
          </w:p>
        </w:tc>
      </w:tr>
      <w:tr w:rsidR="008A572A" w:rsidRPr="000A6485" w:rsidTr="008A572A">
        <w:tc>
          <w:tcPr>
            <w:tcW w:w="1418" w:type="dxa"/>
          </w:tcPr>
          <w:p w:rsidR="008A572A" w:rsidRPr="000A6485" w:rsidRDefault="008A572A" w:rsidP="008A572A">
            <w:pPr>
              <w:tabs>
                <w:tab w:val="left" w:pos="0"/>
              </w:tabs>
              <w:spacing w:before="120" w:after="120" w:line="240" w:lineRule="auto"/>
              <w:rPr>
                <w:rFonts w:ascii="Verdana" w:hAnsi="Verdana"/>
                <w:b/>
                <w:bCs/>
                <w:sz w:val="16"/>
                <w:szCs w:val="16"/>
              </w:rPr>
            </w:pPr>
            <w:r w:rsidRPr="000A6485">
              <w:rPr>
                <w:rFonts w:ascii="Verdana" w:hAnsi="Verdana"/>
                <w:b/>
                <w:sz w:val="16"/>
                <w:szCs w:val="16"/>
              </w:rPr>
              <w:t>WŚ</w:t>
            </w:r>
            <w:r w:rsidRPr="00741CCC">
              <w:rPr>
                <w:rFonts w:ascii="Verdana" w:hAnsi="Verdana"/>
                <w:b/>
                <w:sz w:val="16"/>
                <w:szCs w:val="16"/>
                <w:vertAlign w:val="subscript"/>
              </w:rPr>
              <w:t>2022</w:t>
            </w:r>
            <w:r>
              <w:rPr>
                <w:rFonts w:ascii="Verdana" w:hAnsi="Verdana"/>
                <w:b/>
                <w:sz w:val="16"/>
                <w:szCs w:val="16"/>
                <w:vertAlign w:val="subscript"/>
              </w:rPr>
              <w:t>-2025</w:t>
            </w:r>
            <w:r w:rsidRPr="000A6485">
              <w:rPr>
                <w:rFonts w:ascii="Verdana" w:hAnsi="Verdana"/>
                <w:b/>
                <w:sz w:val="16"/>
                <w:szCs w:val="16"/>
              </w:rPr>
              <w:t xml:space="preserve">  -</w:t>
            </w:r>
          </w:p>
        </w:tc>
        <w:tc>
          <w:tcPr>
            <w:tcW w:w="7653" w:type="dxa"/>
            <w:vAlign w:val="center"/>
          </w:tcPr>
          <w:p w:rsidR="008A572A" w:rsidRPr="000A6485" w:rsidRDefault="008A572A" w:rsidP="008A572A">
            <w:pPr>
              <w:tabs>
                <w:tab w:val="left" w:pos="0"/>
              </w:tabs>
              <w:spacing w:before="120" w:after="120" w:line="240" w:lineRule="auto"/>
              <w:rPr>
                <w:rFonts w:ascii="Verdana" w:hAnsi="Verdana"/>
                <w:b/>
                <w:bCs/>
                <w:sz w:val="16"/>
                <w:szCs w:val="16"/>
              </w:rPr>
            </w:pPr>
            <w:r w:rsidRPr="000A6485">
              <w:rPr>
                <w:rFonts w:ascii="Verdana" w:hAnsi="Verdana"/>
                <w:sz w:val="16"/>
                <w:szCs w:val="16"/>
              </w:rPr>
              <w:t xml:space="preserve">wolne środki na rachunku bieżącym </w:t>
            </w:r>
            <w:r w:rsidRPr="000A6485">
              <w:rPr>
                <w:rFonts w:ascii="Verdana" w:hAnsi="Verdana" w:cs="Arial"/>
                <w:iCs/>
                <w:sz w:val="16"/>
                <w:szCs w:val="16"/>
              </w:rPr>
              <w:t>wynikające z rozliczeń wyemitowanych papierów wartościowych, kredytów i pożyczek z lat ubiegłych</w:t>
            </w:r>
            <w:r w:rsidRPr="000A6485">
              <w:rPr>
                <w:rFonts w:ascii="Verdana" w:hAnsi="Verdana"/>
                <w:sz w:val="16"/>
                <w:szCs w:val="16"/>
              </w:rPr>
              <w:t xml:space="preserve"> </w:t>
            </w:r>
            <w:r>
              <w:rPr>
                <w:rFonts w:ascii="Verdana" w:hAnsi="Verdana"/>
                <w:bCs/>
                <w:sz w:val="16"/>
                <w:szCs w:val="16"/>
              </w:rPr>
              <w:t>w latach 2022-2025</w:t>
            </w:r>
          </w:p>
        </w:tc>
      </w:tr>
    </w:tbl>
    <w:p w:rsidR="008A572A" w:rsidRPr="000A6485" w:rsidRDefault="008A572A" w:rsidP="008A572A">
      <w:pPr>
        <w:spacing w:before="120" w:after="120"/>
        <w:rPr>
          <w:rFonts w:ascii="Verdana" w:hAnsi="Verdana"/>
          <w:b/>
          <w:bCs/>
          <w:sz w:val="18"/>
          <w:szCs w:val="18"/>
        </w:rPr>
      </w:pPr>
      <w:r w:rsidRPr="000A6485">
        <w:rPr>
          <w:rFonts w:ascii="Verdana" w:hAnsi="Verdana"/>
          <w:b/>
          <w:bCs/>
          <w:sz w:val="18"/>
          <w:szCs w:val="18"/>
        </w:rPr>
        <w:t>4.1.2 Reguła indywidualnego limitu obsługi długu</w:t>
      </w:r>
    </w:p>
    <w:p w:rsidR="008A572A" w:rsidRPr="0085401F" w:rsidRDefault="008A572A" w:rsidP="008A572A">
      <w:pPr>
        <w:pStyle w:val="Akapitzlist"/>
        <w:numPr>
          <w:ilvl w:val="0"/>
          <w:numId w:val="53"/>
        </w:numPr>
        <w:spacing w:before="240" w:after="60"/>
        <w:ind w:left="426" w:hanging="284"/>
        <w:jc w:val="both"/>
        <w:rPr>
          <w:rFonts w:ascii="Verdana" w:hAnsi="Verdana" w:cs="Verdana"/>
          <w:b/>
          <w:color w:val="000000"/>
          <w:sz w:val="16"/>
          <w:szCs w:val="16"/>
        </w:rPr>
      </w:pPr>
      <w:r>
        <w:rPr>
          <w:rFonts w:ascii="Verdana" w:hAnsi="Verdana" w:cs="Verdana"/>
          <w:b/>
          <w:color w:val="000000"/>
          <w:sz w:val="16"/>
          <w:szCs w:val="16"/>
        </w:rPr>
        <w:t>Kluczowe założenia reguły</w:t>
      </w:r>
    </w:p>
    <w:p w:rsidR="008A572A" w:rsidRPr="000A6485" w:rsidRDefault="008A572A" w:rsidP="008A572A">
      <w:pPr>
        <w:spacing w:before="60" w:after="60"/>
        <w:ind w:firstLine="539"/>
        <w:jc w:val="both"/>
        <w:rPr>
          <w:rFonts w:ascii="Verdana" w:hAnsi="Verdana"/>
          <w:iCs/>
          <w:sz w:val="16"/>
          <w:szCs w:val="16"/>
        </w:rPr>
      </w:pPr>
      <w:r w:rsidRPr="000A6485">
        <w:rPr>
          <w:rFonts w:ascii="Verdana" w:hAnsi="Verdana" w:cs="Verdana"/>
          <w:color w:val="000000"/>
          <w:sz w:val="16"/>
          <w:szCs w:val="16"/>
        </w:rPr>
        <w:t xml:space="preserve">Reguła, o której mowa w art. 243 ustawy o finansach publicznych, uwzględnia potencjał finansowy jednostki i wynikającą z niego indywidualną zdolność jednostki do spłaty zobowiązań dłużnych. Formuła ta ściśle uzależnia wielkość obciążeń budżetów jednostek samorządowych z tytułu zaciągniętych zobowiązań dłużnych </w:t>
      </w:r>
      <w:r w:rsidRPr="000A6485">
        <w:rPr>
          <w:rFonts w:ascii="Verdana" w:hAnsi="Verdana" w:cs="Verdana"/>
          <w:color w:val="000000"/>
          <w:sz w:val="16"/>
          <w:szCs w:val="16"/>
        </w:rPr>
        <w:br/>
        <w:t>od wysokości nadwyżki operacyjnej rozumianej jako nadwyżka dochodów bieżących nad wydatkami bieżącymi.</w:t>
      </w:r>
      <w:r w:rsidRPr="000A6485">
        <w:rPr>
          <w:rFonts w:ascii="Verdana" w:hAnsi="Verdana"/>
          <w:sz w:val="16"/>
          <w:szCs w:val="16"/>
        </w:rPr>
        <w:t xml:space="preserve"> </w:t>
      </w:r>
    </w:p>
    <w:p w:rsidR="008A572A" w:rsidRPr="000A6485" w:rsidRDefault="008A572A" w:rsidP="008A572A">
      <w:pPr>
        <w:spacing w:before="60" w:after="60"/>
        <w:ind w:firstLine="539"/>
        <w:jc w:val="both"/>
        <w:rPr>
          <w:rFonts w:ascii="Verdana" w:hAnsi="Verdana"/>
          <w:b/>
          <w:iCs/>
          <w:sz w:val="16"/>
          <w:szCs w:val="16"/>
        </w:rPr>
      </w:pPr>
      <w:r w:rsidRPr="000A6485">
        <w:rPr>
          <w:rFonts w:ascii="Verdana" w:hAnsi="Verdana"/>
          <w:b/>
          <w:iCs/>
          <w:sz w:val="16"/>
          <w:szCs w:val="16"/>
        </w:rPr>
        <w:t xml:space="preserve">Konstrukcja normy co do zasady zakłada, że w danym roku budżetowym wysokość obciążeń budżetu związanych z obsługą zadłużenia (kapitał i odsetki) i udzielonymi poręczeniami </w:t>
      </w:r>
      <w:r w:rsidRPr="000A6485">
        <w:rPr>
          <w:rFonts w:ascii="Verdana" w:hAnsi="Verdana"/>
          <w:b/>
          <w:iCs/>
          <w:sz w:val="16"/>
          <w:szCs w:val="16"/>
        </w:rPr>
        <w:br/>
        <w:t>i gwarancjami w relacji do dochodów bieżących jest zdeterminowana historycznie ukształtowanym średnim poziomem relacji nadwyżki dochodów bieżących nad wydatkami bieżącymi do dochodów bieżących.</w:t>
      </w:r>
    </w:p>
    <w:p w:rsidR="008A572A" w:rsidRDefault="008A572A" w:rsidP="008A572A">
      <w:pPr>
        <w:spacing w:before="60" w:after="60"/>
        <w:jc w:val="both"/>
        <w:rPr>
          <w:rFonts w:ascii="Verdana" w:hAnsi="Verdana"/>
          <w:iCs/>
          <w:sz w:val="16"/>
          <w:szCs w:val="16"/>
        </w:rPr>
      </w:pPr>
      <w:r w:rsidRPr="000A6485">
        <w:rPr>
          <w:rFonts w:ascii="Verdana" w:hAnsi="Verdana"/>
          <w:iCs/>
          <w:sz w:val="16"/>
          <w:szCs w:val="16"/>
        </w:rPr>
        <w:t xml:space="preserve">Dla </w:t>
      </w:r>
      <w:r>
        <w:rPr>
          <w:rFonts w:ascii="Verdana" w:hAnsi="Verdana"/>
          <w:b/>
          <w:iCs/>
          <w:sz w:val="16"/>
          <w:szCs w:val="16"/>
        </w:rPr>
        <w:t>lat 2022</w:t>
      </w:r>
      <w:r w:rsidRPr="000A6485">
        <w:rPr>
          <w:rFonts w:ascii="Verdana" w:hAnsi="Verdana"/>
          <w:b/>
          <w:iCs/>
          <w:sz w:val="16"/>
          <w:szCs w:val="16"/>
        </w:rPr>
        <w:t>-2025</w:t>
      </w:r>
      <w:r w:rsidRPr="000A6485">
        <w:rPr>
          <w:rFonts w:ascii="Verdana" w:hAnsi="Verdana"/>
          <w:iCs/>
          <w:sz w:val="16"/>
          <w:szCs w:val="16"/>
        </w:rPr>
        <w:t xml:space="preserve"> okres, na podstawie którego obliczany jest przeciętny poziom relacji nadwyżki dochodów bieżących nad wydatkami bieżącymi do dochodów bieżących (limit obsługi długu – prawa strona wzoru), obejmuje </w:t>
      </w:r>
      <w:r w:rsidRPr="000A6485">
        <w:rPr>
          <w:rFonts w:ascii="Verdana" w:hAnsi="Verdana"/>
          <w:b/>
          <w:iCs/>
          <w:sz w:val="16"/>
          <w:szCs w:val="16"/>
        </w:rPr>
        <w:t>trzy lata</w:t>
      </w:r>
      <w:r w:rsidRPr="000A6485">
        <w:rPr>
          <w:rFonts w:ascii="Verdana" w:hAnsi="Verdana"/>
          <w:iCs/>
          <w:sz w:val="16"/>
          <w:szCs w:val="16"/>
        </w:rPr>
        <w:t xml:space="preserve"> poprzedzające rok, dla którego badany jest dopuszczalny poziom obciążeń budżetu związanych </w:t>
      </w:r>
      <w:r w:rsidRPr="000A6485">
        <w:rPr>
          <w:rFonts w:ascii="Verdana" w:hAnsi="Verdana"/>
          <w:iCs/>
          <w:sz w:val="16"/>
          <w:szCs w:val="16"/>
        </w:rPr>
        <w:br/>
        <w:t xml:space="preserve">z obsługą długu w relacji do dochodów bieżących (wskaźnik obsługi długu – lewa strona wzoru) - na przykład dla </w:t>
      </w:r>
      <w:r>
        <w:rPr>
          <w:rFonts w:ascii="Verdana" w:hAnsi="Verdana"/>
          <w:iCs/>
          <w:sz w:val="16"/>
          <w:szCs w:val="16"/>
        </w:rPr>
        <w:t>roku 2023</w:t>
      </w:r>
      <w:r w:rsidRPr="000A6485">
        <w:rPr>
          <w:rFonts w:ascii="Verdana" w:hAnsi="Verdana"/>
          <w:iCs/>
          <w:sz w:val="16"/>
          <w:szCs w:val="16"/>
        </w:rPr>
        <w:t xml:space="preserve"> br</w:t>
      </w:r>
      <w:r>
        <w:rPr>
          <w:rFonts w:ascii="Verdana" w:hAnsi="Verdana"/>
          <w:iCs/>
          <w:sz w:val="16"/>
          <w:szCs w:val="16"/>
        </w:rPr>
        <w:t>ane są pod uwagę dane z lat 2020-2022</w:t>
      </w:r>
      <w:r w:rsidRPr="000A6485">
        <w:rPr>
          <w:rFonts w:ascii="Verdana" w:hAnsi="Verdana"/>
          <w:iCs/>
          <w:sz w:val="16"/>
          <w:szCs w:val="16"/>
        </w:rPr>
        <w:t xml:space="preserve">. Natomiast począwszy od </w:t>
      </w:r>
      <w:r w:rsidRPr="000A6485">
        <w:rPr>
          <w:rFonts w:ascii="Verdana" w:hAnsi="Verdana"/>
          <w:b/>
          <w:iCs/>
          <w:sz w:val="16"/>
          <w:szCs w:val="16"/>
        </w:rPr>
        <w:t>2026 roku</w:t>
      </w:r>
      <w:r w:rsidRPr="000A6485">
        <w:rPr>
          <w:rFonts w:ascii="Verdana" w:hAnsi="Verdana"/>
          <w:iCs/>
          <w:sz w:val="16"/>
          <w:szCs w:val="16"/>
        </w:rPr>
        <w:t xml:space="preserve"> okres ten obejmuje </w:t>
      </w:r>
      <w:r w:rsidRPr="000A6485">
        <w:rPr>
          <w:rFonts w:ascii="Verdana" w:hAnsi="Verdana"/>
          <w:b/>
          <w:iCs/>
          <w:sz w:val="16"/>
          <w:szCs w:val="16"/>
        </w:rPr>
        <w:t>siedem lat</w:t>
      </w:r>
      <w:r w:rsidRPr="000A6485">
        <w:rPr>
          <w:rFonts w:ascii="Verdana" w:hAnsi="Verdana"/>
          <w:iCs/>
          <w:sz w:val="16"/>
          <w:szCs w:val="16"/>
        </w:rPr>
        <w:t xml:space="preserve"> poprzedzających rok, dla którego ustalany jest limit obciążeń budżetu związanych z obsługą długu </w:t>
      </w:r>
      <w:r w:rsidRPr="000A6485">
        <w:rPr>
          <w:rFonts w:ascii="Verdana" w:hAnsi="Verdana"/>
          <w:iCs/>
          <w:sz w:val="16"/>
          <w:szCs w:val="16"/>
        </w:rPr>
        <w:br/>
        <w:t>- przykładowo dla roku 2026 brane są pod uwagę dane z lat 2019-2025.</w:t>
      </w:r>
    </w:p>
    <w:p w:rsidR="008A572A" w:rsidRPr="000A6485" w:rsidRDefault="008A572A" w:rsidP="008A572A">
      <w:pPr>
        <w:spacing w:before="60" w:after="60"/>
        <w:jc w:val="both"/>
        <w:rPr>
          <w:rFonts w:ascii="Verdana" w:hAnsi="Verdana"/>
          <w:iCs/>
          <w:sz w:val="16"/>
          <w:szCs w:val="16"/>
        </w:rPr>
      </w:pPr>
      <w:r>
        <w:rPr>
          <w:rFonts w:ascii="Verdana" w:hAnsi="Verdana" w:cs="Arial"/>
          <w:sz w:val="16"/>
          <w:szCs w:val="16"/>
        </w:rPr>
        <w:t>Przepis art. 7 ustawy</w:t>
      </w:r>
      <w:r w:rsidRPr="00006222">
        <w:rPr>
          <w:rFonts w:ascii="Verdana" w:hAnsi="Verdana" w:cs="Arial"/>
          <w:sz w:val="16"/>
          <w:szCs w:val="16"/>
        </w:rPr>
        <w:t xml:space="preserve"> z </w:t>
      </w:r>
      <w:r>
        <w:rPr>
          <w:rFonts w:ascii="Verdana" w:hAnsi="Verdana" w:cs="Arial"/>
          <w:sz w:val="16"/>
          <w:szCs w:val="16"/>
        </w:rPr>
        <w:t>14 października</w:t>
      </w:r>
      <w:r w:rsidRPr="00006222">
        <w:rPr>
          <w:rFonts w:ascii="Verdana" w:hAnsi="Verdana" w:cs="Arial"/>
          <w:sz w:val="16"/>
          <w:szCs w:val="16"/>
        </w:rPr>
        <w:t xml:space="preserve"> 2021 r. </w:t>
      </w:r>
      <w:r w:rsidRPr="00006222">
        <w:rPr>
          <w:rFonts w:ascii="Verdana" w:hAnsi="Verdana" w:cs="Arial"/>
          <w:i/>
          <w:sz w:val="16"/>
          <w:szCs w:val="16"/>
        </w:rPr>
        <w:t xml:space="preserve">o zmianie ustawy o dochodach jednostek samorządu terytorialnego oraz niektórych innych </w:t>
      </w:r>
      <w:r w:rsidRPr="00E7313D">
        <w:rPr>
          <w:rFonts w:ascii="Verdana" w:hAnsi="Verdana" w:cs="Arial"/>
          <w:i/>
          <w:sz w:val="16"/>
          <w:szCs w:val="16"/>
        </w:rPr>
        <w:t>ustaw</w:t>
      </w:r>
      <w:r w:rsidRPr="00E7313D">
        <w:rPr>
          <w:rFonts w:ascii="Verdana" w:hAnsi="Verdana" w:cs="Arial"/>
          <w:sz w:val="16"/>
          <w:szCs w:val="16"/>
        </w:rPr>
        <w:t xml:space="preserve"> </w:t>
      </w:r>
      <w:r>
        <w:rPr>
          <w:rFonts w:ascii="Verdana" w:hAnsi="Verdana" w:cs="Arial"/>
          <w:sz w:val="16"/>
          <w:szCs w:val="16"/>
        </w:rPr>
        <w:t xml:space="preserve">(Dz.U. </w:t>
      </w:r>
      <w:r w:rsidRPr="00E7313D">
        <w:rPr>
          <w:rFonts w:ascii="Verdana" w:hAnsi="Verdana" w:cs="Arial"/>
          <w:sz w:val="16"/>
          <w:szCs w:val="16"/>
        </w:rPr>
        <w:t>poz. 1927)</w:t>
      </w:r>
      <w:r>
        <w:rPr>
          <w:rFonts w:ascii="Verdana" w:hAnsi="Verdana" w:cs="Arial"/>
          <w:sz w:val="16"/>
          <w:szCs w:val="16"/>
        </w:rPr>
        <w:t xml:space="preserve"> dopuszcza</w:t>
      </w:r>
      <w:r w:rsidRPr="00006222">
        <w:rPr>
          <w:rFonts w:ascii="Verdana" w:hAnsi="Verdana" w:cs="Arial"/>
          <w:sz w:val="16"/>
          <w:szCs w:val="16"/>
        </w:rPr>
        <w:t xml:space="preserve"> </w:t>
      </w:r>
      <w:r>
        <w:rPr>
          <w:rFonts w:ascii="Verdana" w:hAnsi="Verdana" w:cs="Arial"/>
          <w:sz w:val="16"/>
          <w:szCs w:val="16"/>
        </w:rPr>
        <w:t xml:space="preserve">możliwość </w:t>
      </w:r>
      <w:r w:rsidRPr="00D75B39">
        <w:rPr>
          <w:rFonts w:ascii="Verdana" w:hAnsi="Verdana" w:cs="Arial"/>
          <w:b/>
          <w:sz w:val="16"/>
          <w:szCs w:val="16"/>
        </w:rPr>
        <w:t xml:space="preserve">wyznaczania indywidualnego limitu obsługi długu na lata 2022-2025 na podstawie </w:t>
      </w:r>
      <w:r w:rsidRPr="00F8491E">
        <w:rPr>
          <w:rFonts w:ascii="Verdana" w:hAnsi="Verdana" w:cs="Arial"/>
          <w:b/>
          <w:sz w:val="16"/>
          <w:szCs w:val="16"/>
        </w:rPr>
        <w:t>siedmiu</w:t>
      </w:r>
      <w:r>
        <w:rPr>
          <w:rFonts w:ascii="Verdana" w:hAnsi="Verdana" w:cs="Arial"/>
          <w:sz w:val="16"/>
          <w:szCs w:val="16"/>
        </w:rPr>
        <w:t xml:space="preserve"> </w:t>
      </w:r>
      <w:r w:rsidRPr="00D75B39">
        <w:rPr>
          <w:rFonts w:ascii="Verdana" w:hAnsi="Verdana" w:cs="Arial"/>
          <w:b/>
          <w:sz w:val="16"/>
          <w:szCs w:val="16"/>
        </w:rPr>
        <w:t>poprzednich lat</w:t>
      </w:r>
      <w:r>
        <w:rPr>
          <w:rFonts w:ascii="Verdana" w:hAnsi="Verdana" w:cs="Arial"/>
          <w:sz w:val="16"/>
          <w:szCs w:val="16"/>
        </w:rPr>
        <w:t xml:space="preserve"> (</w:t>
      </w:r>
      <w:r>
        <w:rPr>
          <w:rFonts w:ascii="Verdana" w:hAnsi="Verdana"/>
          <w:iCs/>
          <w:sz w:val="16"/>
          <w:szCs w:val="16"/>
        </w:rPr>
        <w:t xml:space="preserve">dla roku </w:t>
      </w:r>
      <w:r w:rsidRPr="00932633">
        <w:rPr>
          <w:rFonts w:ascii="Verdana" w:eastAsiaTheme="minorEastAsia" w:hAnsi="Verdana" w:cs="Verdana"/>
          <w:color w:val="000000"/>
          <w:sz w:val="16"/>
          <w:szCs w:val="16"/>
        </w:rPr>
        <w:t>2023</w:t>
      </w:r>
      <w:r w:rsidRPr="00011AAA">
        <w:rPr>
          <w:rFonts w:ascii="Verdana" w:hAnsi="Verdana"/>
          <w:iCs/>
          <w:sz w:val="16"/>
          <w:szCs w:val="16"/>
        </w:rPr>
        <w:t xml:space="preserve"> br</w:t>
      </w:r>
      <w:r>
        <w:rPr>
          <w:rFonts w:ascii="Verdana" w:hAnsi="Verdana"/>
          <w:iCs/>
          <w:sz w:val="16"/>
          <w:szCs w:val="16"/>
        </w:rPr>
        <w:t>ane są pod uwagę dane z lat 2016-2022)</w:t>
      </w:r>
      <w:r>
        <w:rPr>
          <w:rFonts w:ascii="Verdana" w:hAnsi="Verdana" w:cs="Arial"/>
          <w:sz w:val="16"/>
          <w:szCs w:val="16"/>
        </w:rPr>
        <w:t xml:space="preserve"> </w:t>
      </w:r>
      <w:r w:rsidRPr="00D75B39">
        <w:rPr>
          <w:rFonts w:ascii="Verdana" w:hAnsi="Verdana" w:cs="Arial"/>
          <w:b/>
          <w:sz w:val="16"/>
          <w:szCs w:val="16"/>
        </w:rPr>
        <w:t>w miejsce poprzednio obowiązującego okresu trzyletniego</w:t>
      </w:r>
      <w:r>
        <w:rPr>
          <w:rFonts w:ascii="Verdana" w:hAnsi="Verdana" w:cs="Arial"/>
          <w:sz w:val="16"/>
          <w:szCs w:val="16"/>
        </w:rPr>
        <w:t xml:space="preserve">. </w:t>
      </w:r>
      <w:r w:rsidRPr="00006222">
        <w:rPr>
          <w:rFonts w:ascii="Verdana" w:hAnsi="Verdana" w:cs="Arial"/>
          <w:sz w:val="16"/>
          <w:szCs w:val="16"/>
        </w:rPr>
        <w:t xml:space="preserve">Zgodnie </w:t>
      </w:r>
      <w:r>
        <w:rPr>
          <w:rFonts w:ascii="Verdana" w:hAnsi="Verdana" w:cs="Arial"/>
          <w:sz w:val="16"/>
          <w:szCs w:val="16"/>
        </w:rPr>
        <w:br/>
      </w:r>
      <w:r w:rsidRPr="00006222">
        <w:rPr>
          <w:rFonts w:ascii="Verdana" w:hAnsi="Verdana" w:cs="Arial"/>
          <w:sz w:val="16"/>
          <w:szCs w:val="16"/>
        </w:rPr>
        <w:t xml:space="preserve">z </w:t>
      </w:r>
      <w:r>
        <w:rPr>
          <w:rFonts w:ascii="Verdana" w:hAnsi="Verdana" w:cs="Arial"/>
          <w:sz w:val="16"/>
          <w:szCs w:val="16"/>
        </w:rPr>
        <w:t xml:space="preserve">uchwalonym </w:t>
      </w:r>
      <w:r w:rsidRPr="00006222">
        <w:rPr>
          <w:rFonts w:ascii="Verdana" w:hAnsi="Verdana" w:cs="Arial"/>
          <w:sz w:val="16"/>
          <w:szCs w:val="16"/>
        </w:rPr>
        <w:t xml:space="preserve">przepisem okres, na podstawie którego wyznaczany jest indywidualny limit obsługi długu dla danego roku, dla lat 2022-2025 może obejmować tak jak </w:t>
      </w:r>
      <w:r>
        <w:rPr>
          <w:rFonts w:ascii="Verdana" w:hAnsi="Verdana" w:cs="Arial"/>
          <w:sz w:val="16"/>
          <w:szCs w:val="16"/>
        </w:rPr>
        <w:t>przed zmianą przepisów</w:t>
      </w:r>
      <w:r w:rsidRPr="00006222">
        <w:rPr>
          <w:rFonts w:ascii="Verdana" w:hAnsi="Verdana" w:cs="Arial"/>
          <w:sz w:val="16"/>
          <w:szCs w:val="16"/>
        </w:rPr>
        <w:t xml:space="preserve"> </w:t>
      </w:r>
      <w:r w:rsidRPr="00F8491E">
        <w:rPr>
          <w:rFonts w:ascii="Verdana" w:hAnsi="Verdana" w:cs="Arial"/>
          <w:b/>
          <w:sz w:val="16"/>
          <w:szCs w:val="16"/>
        </w:rPr>
        <w:t xml:space="preserve">trzy wcześniejsze lata lub </w:t>
      </w:r>
      <w:r>
        <w:rPr>
          <w:rFonts w:ascii="Verdana" w:hAnsi="Verdana" w:cs="Arial"/>
          <w:b/>
          <w:sz w:val="16"/>
          <w:szCs w:val="16"/>
        </w:rPr>
        <w:t>mógł</w:t>
      </w:r>
      <w:r w:rsidRPr="00F8491E">
        <w:rPr>
          <w:rFonts w:ascii="Verdana" w:hAnsi="Verdana" w:cs="Arial"/>
          <w:b/>
          <w:sz w:val="16"/>
          <w:szCs w:val="16"/>
        </w:rPr>
        <w:t xml:space="preserve"> zostać </w:t>
      </w:r>
      <w:r>
        <w:rPr>
          <w:rFonts w:ascii="Verdana" w:hAnsi="Verdana" w:cs="Arial"/>
          <w:b/>
          <w:sz w:val="16"/>
          <w:szCs w:val="16"/>
        </w:rPr>
        <w:t>wydłużony</w:t>
      </w:r>
      <w:r w:rsidRPr="00F8491E">
        <w:rPr>
          <w:rFonts w:ascii="Verdana" w:hAnsi="Verdana" w:cs="Arial"/>
          <w:b/>
          <w:sz w:val="16"/>
          <w:szCs w:val="16"/>
        </w:rPr>
        <w:t xml:space="preserve"> na siedem poprzedzających lat</w:t>
      </w:r>
      <w:r>
        <w:rPr>
          <w:rFonts w:ascii="Verdana" w:hAnsi="Verdana" w:cs="Arial"/>
          <w:sz w:val="16"/>
          <w:szCs w:val="16"/>
        </w:rPr>
        <w:t xml:space="preserve">. Powyższy przepis </w:t>
      </w:r>
      <w:r>
        <w:rPr>
          <w:rFonts w:ascii="Verdana" w:hAnsi="Verdana" w:cs="Arial"/>
          <w:b/>
          <w:sz w:val="16"/>
          <w:szCs w:val="16"/>
        </w:rPr>
        <w:t>zobowiązał</w:t>
      </w:r>
      <w:r w:rsidRPr="00AC1B12">
        <w:rPr>
          <w:rFonts w:ascii="Verdana" w:hAnsi="Verdana" w:cs="Arial"/>
          <w:b/>
          <w:sz w:val="16"/>
          <w:szCs w:val="16"/>
        </w:rPr>
        <w:t xml:space="preserve"> organ wykonawczy jednostki samorządu terytorialnego do dokonania </w:t>
      </w:r>
      <w:r>
        <w:rPr>
          <w:rFonts w:ascii="Verdana" w:hAnsi="Verdana" w:cs="Arial"/>
          <w:b/>
          <w:sz w:val="16"/>
          <w:szCs w:val="16"/>
        </w:rPr>
        <w:t xml:space="preserve">w terminie do 31 grudnia 2021 r. </w:t>
      </w:r>
      <w:r w:rsidRPr="00AC1B12">
        <w:rPr>
          <w:rFonts w:ascii="Verdana" w:hAnsi="Verdana" w:cs="Arial"/>
          <w:b/>
          <w:sz w:val="16"/>
          <w:szCs w:val="16"/>
        </w:rPr>
        <w:t>wyboru dla lat 2022-2025 długości okresu stosowanego w badaniu spełnienia reguły indywidualnego limitu obsługi długu JST</w:t>
      </w:r>
      <w:r w:rsidRPr="00006222">
        <w:rPr>
          <w:rFonts w:ascii="Verdana" w:hAnsi="Verdana" w:cs="Arial"/>
          <w:sz w:val="16"/>
          <w:szCs w:val="16"/>
        </w:rPr>
        <w:t xml:space="preserve"> </w:t>
      </w:r>
      <w:r>
        <w:rPr>
          <w:rFonts w:ascii="Verdana" w:hAnsi="Verdana" w:cs="Arial"/>
          <w:sz w:val="16"/>
          <w:szCs w:val="16"/>
        </w:rPr>
        <w:t>i następnie przekazania informacji</w:t>
      </w:r>
      <w:r w:rsidRPr="00006222">
        <w:rPr>
          <w:rFonts w:ascii="Verdana" w:hAnsi="Verdana" w:cs="Arial"/>
          <w:sz w:val="16"/>
          <w:szCs w:val="16"/>
        </w:rPr>
        <w:t xml:space="preserve"> w tym </w:t>
      </w:r>
      <w:r>
        <w:rPr>
          <w:rFonts w:ascii="Verdana" w:hAnsi="Verdana" w:cs="Arial"/>
          <w:sz w:val="16"/>
          <w:szCs w:val="16"/>
        </w:rPr>
        <w:t>względzie</w:t>
      </w:r>
      <w:r w:rsidRPr="00006222">
        <w:rPr>
          <w:rFonts w:ascii="Verdana" w:hAnsi="Verdana" w:cs="Arial"/>
          <w:sz w:val="16"/>
          <w:szCs w:val="16"/>
        </w:rPr>
        <w:t xml:space="preserve"> właściwej regionalnej izbie obrachunkowej oraz organowi stanowiącemu. </w:t>
      </w:r>
      <w:r w:rsidRPr="00E339B7">
        <w:rPr>
          <w:rFonts w:ascii="Verdana" w:hAnsi="Verdana" w:cs="Arial"/>
          <w:b/>
          <w:sz w:val="16"/>
          <w:szCs w:val="16"/>
        </w:rPr>
        <w:t xml:space="preserve">Prezydent m.st. Warszawy jako organ wykonawczy dokonał dla lat 2022-2025 wyboru 7-letniego okresu stosowanego do wyliczenia relacji, o której mowa </w:t>
      </w:r>
      <w:r>
        <w:rPr>
          <w:rFonts w:ascii="Verdana" w:hAnsi="Verdana" w:cs="Arial"/>
          <w:b/>
          <w:sz w:val="16"/>
          <w:szCs w:val="16"/>
        </w:rPr>
        <w:br/>
      </w:r>
      <w:r w:rsidRPr="00E339B7">
        <w:rPr>
          <w:rFonts w:ascii="Verdana" w:hAnsi="Verdana" w:cs="Arial"/>
          <w:b/>
          <w:sz w:val="16"/>
          <w:szCs w:val="16"/>
        </w:rPr>
        <w:lastRenderedPageBreak/>
        <w:t>w art. 243 ustawy o finansach publicznych</w:t>
      </w:r>
      <w:r w:rsidRPr="00011AAA">
        <w:rPr>
          <w:rStyle w:val="Odwoanieprzypisudolnego"/>
          <w:rFonts w:ascii="Verdana" w:hAnsi="Verdana"/>
          <w:bCs/>
          <w:iCs/>
          <w:color w:val="000000"/>
          <w:sz w:val="16"/>
          <w:szCs w:val="16"/>
        </w:rPr>
        <w:footnoteReference w:id="3"/>
      </w:r>
      <w:r>
        <w:rPr>
          <w:rFonts w:ascii="Verdana" w:hAnsi="Verdana" w:cs="Arial"/>
          <w:b/>
          <w:sz w:val="16"/>
          <w:szCs w:val="16"/>
        </w:rPr>
        <w:t xml:space="preserve"> oraz poinformował o wyborze Regionalną Izbę Obrachunkową w Warszawie w piśmie z 26 listopada 2021 r. nr GP-OR.0050.1795.2021 i Radę </w:t>
      </w:r>
      <w:r>
        <w:rPr>
          <w:rFonts w:ascii="Verdana" w:hAnsi="Verdana" w:cs="Arial"/>
          <w:b/>
          <w:sz w:val="16"/>
          <w:szCs w:val="16"/>
        </w:rPr>
        <w:br/>
        <w:t>m.st. Warszawy w piśmie z 26 listopada 2021 r. nr DR-7-OW.3150.6.2021.KPI</w:t>
      </w:r>
      <w:r w:rsidRPr="00E339B7">
        <w:rPr>
          <w:rFonts w:ascii="Verdana" w:hAnsi="Verdana" w:cs="Arial"/>
          <w:b/>
          <w:sz w:val="16"/>
          <w:szCs w:val="16"/>
        </w:rPr>
        <w:t>.</w:t>
      </w:r>
    </w:p>
    <w:p w:rsidR="008A572A" w:rsidRDefault="008A572A" w:rsidP="008A572A">
      <w:pPr>
        <w:spacing w:before="60" w:after="60"/>
        <w:jc w:val="both"/>
        <w:rPr>
          <w:rFonts w:ascii="Verdana" w:hAnsi="Verdana"/>
          <w:iCs/>
          <w:sz w:val="16"/>
          <w:szCs w:val="16"/>
        </w:rPr>
      </w:pPr>
      <w:r w:rsidRPr="000A6485">
        <w:rPr>
          <w:rFonts w:ascii="Verdana" w:hAnsi="Verdana"/>
          <w:iCs/>
          <w:sz w:val="16"/>
          <w:szCs w:val="16"/>
        </w:rPr>
        <w:t xml:space="preserve">Przy kalkulacji limitu obciążeń budżetu związanych z obsługą długu wyznaczanego dla </w:t>
      </w:r>
      <w:r w:rsidRPr="000A6485">
        <w:rPr>
          <w:rFonts w:ascii="Verdana" w:hAnsi="Verdana"/>
          <w:b/>
          <w:iCs/>
          <w:sz w:val="16"/>
          <w:szCs w:val="16"/>
        </w:rPr>
        <w:t>lat 202</w:t>
      </w:r>
      <w:r>
        <w:rPr>
          <w:rFonts w:ascii="Verdana" w:hAnsi="Verdana"/>
          <w:b/>
          <w:iCs/>
          <w:sz w:val="16"/>
          <w:szCs w:val="16"/>
        </w:rPr>
        <w:t>2</w:t>
      </w:r>
      <w:r w:rsidRPr="000A6485">
        <w:rPr>
          <w:rFonts w:ascii="Verdana" w:hAnsi="Verdana"/>
          <w:b/>
          <w:iCs/>
          <w:sz w:val="16"/>
          <w:szCs w:val="16"/>
        </w:rPr>
        <w:t>-2025</w:t>
      </w:r>
      <w:r w:rsidRPr="000A6485">
        <w:rPr>
          <w:rFonts w:ascii="Verdana" w:hAnsi="Verdana"/>
          <w:iCs/>
          <w:sz w:val="16"/>
          <w:szCs w:val="16"/>
        </w:rPr>
        <w:t xml:space="preserve">, poziom nadwyżki dochodów bieżących nad wydatkami bieżącymi </w:t>
      </w:r>
      <w:r w:rsidRPr="000A6485">
        <w:rPr>
          <w:rFonts w:ascii="Verdana" w:hAnsi="Verdana"/>
          <w:b/>
          <w:iCs/>
          <w:sz w:val="16"/>
          <w:szCs w:val="16"/>
        </w:rPr>
        <w:t>powiększany jest o dochody ze sprzedaży majątku</w:t>
      </w:r>
      <w:r w:rsidRPr="000A6485">
        <w:rPr>
          <w:rFonts w:ascii="Verdana" w:hAnsi="Verdana"/>
          <w:iCs/>
          <w:sz w:val="16"/>
          <w:szCs w:val="16"/>
        </w:rPr>
        <w:t xml:space="preserve">. </w:t>
      </w:r>
    </w:p>
    <w:p w:rsidR="008A572A" w:rsidRPr="000A6485" w:rsidRDefault="008A572A" w:rsidP="008A572A">
      <w:pPr>
        <w:tabs>
          <w:tab w:val="left" w:pos="0"/>
        </w:tabs>
        <w:spacing w:before="60" w:after="60"/>
        <w:jc w:val="both"/>
        <w:rPr>
          <w:rFonts w:ascii="Verdana" w:hAnsi="Verdana" w:cs="Arial"/>
          <w:sz w:val="16"/>
          <w:szCs w:val="16"/>
        </w:rPr>
      </w:pPr>
      <w:r w:rsidRPr="000A6485">
        <w:rPr>
          <w:rFonts w:ascii="Verdana" w:hAnsi="Verdana" w:cs="Arial"/>
          <w:sz w:val="16"/>
          <w:szCs w:val="16"/>
        </w:rPr>
        <w:t xml:space="preserve">Przy obliczaniu powyższej relacji uwzględnia się wyłączenia, o których mowa: </w:t>
      </w:r>
    </w:p>
    <w:p w:rsidR="008A572A" w:rsidRPr="000A6485" w:rsidRDefault="008A572A" w:rsidP="008A572A">
      <w:pPr>
        <w:pStyle w:val="Akapitzlist"/>
        <w:numPr>
          <w:ilvl w:val="0"/>
          <w:numId w:val="31"/>
        </w:numPr>
        <w:autoSpaceDE w:val="0"/>
        <w:autoSpaceDN w:val="0"/>
        <w:adjustRightInd w:val="0"/>
        <w:spacing w:before="60" w:after="60"/>
        <w:contextualSpacing w:val="0"/>
        <w:jc w:val="both"/>
        <w:rPr>
          <w:rFonts w:ascii="Verdana" w:hAnsi="Verdana" w:cs="Arial"/>
          <w:sz w:val="16"/>
          <w:szCs w:val="16"/>
        </w:rPr>
      </w:pPr>
      <w:r w:rsidRPr="000A6485">
        <w:rPr>
          <w:rFonts w:ascii="Verdana" w:hAnsi="Verdana" w:cs="Arial"/>
          <w:sz w:val="16"/>
          <w:szCs w:val="16"/>
        </w:rPr>
        <w:t>w art. 243 ustawy o finansach publicznych</w:t>
      </w:r>
      <w:r w:rsidRPr="000A6485">
        <w:rPr>
          <w:rFonts w:ascii="Verdana" w:hAnsi="Verdana" w:cs="Arial"/>
          <w:sz w:val="16"/>
          <w:szCs w:val="16"/>
          <w:vertAlign w:val="superscript"/>
        </w:rPr>
        <w:t xml:space="preserve"> </w:t>
      </w:r>
      <w:r w:rsidRPr="000A6485">
        <w:rPr>
          <w:rFonts w:ascii="Verdana" w:hAnsi="Verdana" w:cs="Arial"/>
          <w:sz w:val="16"/>
          <w:szCs w:val="16"/>
        </w:rPr>
        <w:t xml:space="preserve">- wyłącza się kwoty z tytułu wykupu papierów wartościowych wraz z należnymi odsetkami i dyskontem oraz spłaty kredytów i pożyczek wraz z należnymi odsetkami odpowiednio wyemitowanych lub zaciągniętych w związku z umową zawartą na realizację programu, projektu lub zadania finansowanego z udziałem środków unijnych oraz poręczenia i gwarancje udzielone samorządowym osobom prawnym realizującym zadania jednostki samorządu terytorialnego w ramach programów finansowanych z udziałem środków unijnych, w terminie nie dłuższym niż 90 dni </w:t>
      </w:r>
      <w:r w:rsidRPr="000A6485">
        <w:rPr>
          <w:rFonts w:ascii="Verdana" w:hAnsi="Verdana" w:cs="Arial"/>
          <w:sz w:val="16"/>
          <w:szCs w:val="16"/>
        </w:rPr>
        <w:br/>
        <w:t>po zakończeniu programu, projektu lub zadania i otrzymaniu refundacji z tych środków; termin ten nie ma zastosowania do odsetek i dyskonta od zobowiązań zaciągniętych na wkład krajowy;</w:t>
      </w:r>
    </w:p>
    <w:p w:rsidR="008A572A" w:rsidRPr="000A6485" w:rsidRDefault="008A572A" w:rsidP="008A572A">
      <w:pPr>
        <w:pStyle w:val="Akapitzlist"/>
        <w:numPr>
          <w:ilvl w:val="0"/>
          <w:numId w:val="31"/>
        </w:numPr>
        <w:autoSpaceDE w:val="0"/>
        <w:autoSpaceDN w:val="0"/>
        <w:adjustRightInd w:val="0"/>
        <w:spacing w:before="60" w:after="60"/>
        <w:contextualSpacing w:val="0"/>
        <w:jc w:val="both"/>
        <w:rPr>
          <w:rFonts w:ascii="Verdana" w:hAnsi="Verdana" w:cs="Arial"/>
          <w:sz w:val="16"/>
          <w:szCs w:val="16"/>
        </w:rPr>
      </w:pPr>
      <w:r w:rsidRPr="000A6485">
        <w:rPr>
          <w:rFonts w:ascii="Verdana" w:hAnsi="Verdana" w:cs="Arial"/>
          <w:sz w:val="16"/>
          <w:szCs w:val="16"/>
        </w:rPr>
        <w:t>w art. 243 ust. 3a ustawy o finansach publicznych - wyłącza się wykup papierów wartościowych, spłaty rat kredytów i pożyczek wraz z należnymi odsetkami i dyskontem, odpowiednio emitowanych lub zaciągniętych w związku z umową zawartą na realizację programu, projektu lub zadania finansowanego w co najmniej 60% ze środków unijnych, w części odpowiadającej wydatkom na wkład krajowy finansowanych tymi zobowiązaniami; w przypadku programu, projektu lub zadania przynoszącego dochód, poziom finansowania ze środków unijnych, ustala się po odliczeniu zdyskontowanego dochodu obliczanego zgodnie z przepisami Unii Europejskiej dotyczącymi takiego programu, projektu lub zadania, a kwotę wydatków na wkład krajowy ustala się w wysokości jaka wynikałaby, gdyby poziom finansowania ze środków unijnych, obliczony został bez uwzględnienia zdyskontowanego dochodu;</w:t>
      </w:r>
    </w:p>
    <w:p w:rsidR="008A572A" w:rsidRPr="000A6485" w:rsidRDefault="008A572A" w:rsidP="008A572A">
      <w:pPr>
        <w:pStyle w:val="Akapitzlist"/>
        <w:numPr>
          <w:ilvl w:val="0"/>
          <w:numId w:val="31"/>
        </w:numPr>
        <w:autoSpaceDE w:val="0"/>
        <w:autoSpaceDN w:val="0"/>
        <w:adjustRightInd w:val="0"/>
        <w:spacing w:before="60" w:after="60"/>
        <w:contextualSpacing w:val="0"/>
        <w:jc w:val="both"/>
        <w:rPr>
          <w:rFonts w:ascii="Verdana" w:hAnsi="Verdana" w:cs="Arial"/>
          <w:sz w:val="16"/>
          <w:szCs w:val="16"/>
        </w:rPr>
      </w:pPr>
      <w:r w:rsidRPr="000A6485">
        <w:rPr>
          <w:rFonts w:ascii="Verdana" w:hAnsi="Verdana" w:cs="Arial"/>
          <w:sz w:val="16"/>
          <w:szCs w:val="16"/>
        </w:rPr>
        <w:t>w art. 243 ust. 3b ustawy o finansach publicznych - wyłącza się, następującą wyłącznie w roku budżetowym, na który uchwalono budżet, wcześniejszą spłatę zobowiązań, która przypadałyby po roku budżetowym, na który uchwalono budżet, finansow</w:t>
      </w:r>
      <w:r>
        <w:rPr>
          <w:rFonts w:ascii="Verdana" w:hAnsi="Verdana" w:cs="Arial"/>
          <w:sz w:val="16"/>
          <w:szCs w:val="16"/>
        </w:rPr>
        <w:t>aną</w:t>
      </w:r>
      <w:r w:rsidRPr="000A6485">
        <w:rPr>
          <w:rFonts w:ascii="Verdana" w:hAnsi="Verdana" w:cs="Arial"/>
          <w:sz w:val="16"/>
          <w:szCs w:val="16"/>
        </w:rPr>
        <w:t>:</w:t>
      </w:r>
    </w:p>
    <w:p w:rsidR="008A572A" w:rsidRPr="000A6485" w:rsidRDefault="008A572A" w:rsidP="008A572A">
      <w:pPr>
        <w:pStyle w:val="Akapitzlist"/>
        <w:numPr>
          <w:ilvl w:val="0"/>
          <w:numId w:val="32"/>
        </w:numPr>
        <w:autoSpaceDE w:val="0"/>
        <w:autoSpaceDN w:val="0"/>
        <w:adjustRightInd w:val="0"/>
        <w:spacing w:before="60" w:after="60"/>
        <w:ind w:left="1418" w:hanging="284"/>
        <w:contextualSpacing w:val="0"/>
        <w:jc w:val="both"/>
        <w:rPr>
          <w:rFonts w:ascii="Verdana" w:hAnsi="Verdana" w:cs="Arial"/>
          <w:sz w:val="16"/>
          <w:szCs w:val="16"/>
        </w:rPr>
      </w:pPr>
      <w:r w:rsidRPr="000A6485">
        <w:rPr>
          <w:rFonts w:ascii="Verdana" w:hAnsi="Verdana" w:cs="Arial"/>
          <w:sz w:val="16"/>
          <w:szCs w:val="16"/>
        </w:rPr>
        <w:t xml:space="preserve">środkami pochodzącymi z nowego zobowiązania, jeżeli obniża to łączny koszt obsługi długu </w:t>
      </w:r>
      <w:r w:rsidRPr="000A6485">
        <w:rPr>
          <w:rFonts w:ascii="Verdana" w:hAnsi="Verdana" w:cs="Arial"/>
          <w:sz w:val="16"/>
          <w:szCs w:val="16"/>
        </w:rPr>
        <w:br/>
        <w:t>w całym okresie spłaty,</w:t>
      </w:r>
    </w:p>
    <w:p w:rsidR="008A572A" w:rsidRPr="000A6485" w:rsidRDefault="008A572A" w:rsidP="008A572A">
      <w:pPr>
        <w:pStyle w:val="Akapitzlist"/>
        <w:numPr>
          <w:ilvl w:val="0"/>
          <w:numId w:val="32"/>
        </w:numPr>
        <w:tabs>
          <w:tab w:val="left" w:pos="1134"/>
        </w:tabs>
        <w:spacing w:before="60" w:after="60"/>
        <w:ind w:left="1418" w:hanging="284"/>
        <w:contextualSpacing w:val="0"/>
        <w:jc w:val="both"/>
        <w:rPr>
          <w:rFonts w:ascii="Verdana" w:hAnsi="Verdana" w:cs="Arial"/>
          <w:sz w:val="16"/>
          <w:szCs w:val="16"/>
        </w:rPr>
      </w:pPr>
      <w:r w:rsidRPr="000A6485">
        <w:rPr>
          <w:rFonts w:ascii="Verdana" w:hAnsi="Verdana" w:cs="Arial"/>
          <w:sz w:val="16"/>
          <w:szCs w:val="16"/>
        </w:rPr>
        <w:t>wolnymi środkami na rachunku bieżącym wynikającymi z rozliczeń wyemitowanych papierów wartościowych, kredytów i pożyczek z lat ubiegłych,</w:t>
      </w:r>
    </w:p>
    <w:p w:rsidR="008A572A" w:rsidRPr="000A6485" w:rsidRDefault="008A572A" w:rsidP="008A572A">
      <w:pPr>
        <w:pStyle w:val="Akapitzlist"/>
        <w:numPr>
          <w:ilvl w:val="0"/>
          <w:numId w:val="32"/>
        </w:numPr>
        <w:autoSpaceDE w:val="0"/>
        <w:autoSpaceDN w:val="0"/>
        <w:adjustRightInd w:val="0"/>
        <w:spacing w:before="60" w:after="60"/>
        <w:ind w:left="1418" w:hanging="284"/>
        <w:contextualSpacing w:val="0"/>
        <w:jc w:val="both"/>
        <w:rPr>
          <w:rFonts w:ascii="Verdana" w:hAnsi="Verdana" w:cs="Arial"/>
          <w:sz w:val="16"/>
          <w:szCs w:val="16"/>
        </w:rPr>
      </w:pPr>
      <w:r w:rsidRPr="000A6485">
        <w:rPr>
          <w:rFonts w:ascii="Verdana" w:hAnsi="Verdana" w:cs="Arial"/>
          <w:sz w:val="16"/>
          <w:szCs w:val="16"/>
        </w:rPr>
        <w:t>innymi środ</w:t>
      </w:r>
      <w:r>
        <w:rPr>
          <w:rFonts w:ascii="Verdana" w:hAnsi="Verdana" w:cs="Arial"/>
          <w:sz w:val="16"/>
          <w:szCs w:val="16"/>
        </w:rPr>
        <w:t>k</w:t>
      </w:r>
      <w:r w:rsidRPr="000A6485">
        <w:rPr>
          <w:rFonts w:ascii="Verdana" w:hAnsi="Verdana" w:cs="Arial"/>
          <w:sz w:val="16"/>
          <w:szCs w:val="16"/>
        </w:rPr>
        <w:t xml:space="preserve">ami, w szczególności przychodami z prywatyzacji i </w:t>
      </w:r>
      <w:r w:rsidRPr="000A6485">
        <w:rPr>
          <w:rFonts w:ascii="Verdana" w:hAnsi="Verdana"/>
          <w:sz w:val="16"/>
          <w:szCs w:val="16"/>
        </w:rPr>
        <w:t xml:space="preserve">spłat udzielonych pożyczek </w:t>
      </w:r>
      <w:r w:rsidRPr="000A6485">
        <w:rPr>
          <w:rFonts w:ascii="Verdana" w:hAnsi="Verdana"/>
          <w:sz w:val="16"/>
          <w:szCs w:val="16"/>
        </w:rPr>
        <w:br/>
        <w:t>w latach ubiegłych, jeżeli jednostka nie zaciąga zobowiązań dłużnych na finansowanie planowanego deficytu budżetu;</w:t>
      </w:r>
    </w:p>
    <w:p w:rsidR="008A572A" w:rsidRDefault="008A572A" w:rsidP="008A572A">
      <w:pPr>
        <w:pStyle w:val="Akapitzlist"/>
        <w:numPr>
          <w:ilvl w:val="0"/>
          <w:numId w:val="54"/>
        </w:numPr>
        <w:spacing w:before="60" w:after="60"/>
        <w:contextualSpacing w:val="0"/>
        <w:jc w:val="both"/>
        <w:rPr>
          <w:rFonts w:ascii="Verdana" w:hAnsi="Verdana"/>
          <w:sz w:val="16"/>
          <w:szCs w:val="16"/>
        </w:rPr>
      </w:pPr>
      <w:r w:rsidRPr="00CA5841">
        <w:rPr>
          <w:rFonts w:ascii="Verdana" w:hAnsi="Verdana"/>
          <w:sz w:val="16"/>
          <w:szCs w:val="16"/>
        </w:rPr>
        <w:t xml:space="preserve">w art. 121a ustawy z 27 sierpnia 2009 r. - </w:t>
      </w:r>
      <w:r w:rsidRPr="00CA5841">
        <w:rPr>
          <w:rFonts w:ascii="Verdana" w:hAnsi="Verdana"/>
          <w:i/>
          <w:sz w:val="16"/>
          <w:szCs w:val="16"/>
        </w:rPr>
        <w:t>Przepisy wprowadzające ustawę o finansach publicznych</w:t>
      </w:r>
      <w:r w:rsidRPr="00CA5841">
        <w:rPr>
          <w:rFonts w:ascii="Verdana" w:hAnsi="Verdana"/>
          <w:sz w:val="16"/>
          <w:szCs w:val="16"/>
        </w:rPr>
        <w:t xml:space="preserve"> </w:t>
      </w:r>
      <w:r w:rsidRPr="00CA5841">
        <w:rPr>
          <w:rFonts w:ascii="Verdana" w:hAnsi="Verdana"/>
          <w:sz w:val="16"/>
          <w:szCs w:val="16"/>
        </w:rPr>
        <w:br/>
        <w:t xml:space="preserve">(Dz. U. z 2009 r. Nr 157 poz. 1241, z </w:t>
      </w:r>
      <w:proofErr w:type="spellStart"/>
      <w:r w:rsidRPr="00CA5841">
        <w:rPr>
          <w:rFonts w:ascii="Verdana" w:hAnsi="Verdana"/>
          <w:sz w:val="16"/>
          <w:szCs w:val="16"/>
        </w:rPr>
        <w:t>późn</w:t>
      </w:r>
      <w:proofErr w:type="spellEnd"/>
      <w:r w:rsidRPr="00CA5841">
        <w:rPr>
          <w:rFonts w:ascii="Verdana" w:hAnsi="Verdana"/>
          <w:sz w:val="16"/>
          <w:szCs w:val="16"/>
        </w:rPr>
        <w:t>. zm.</w:t>
      </w:r>
      <w:r w:rsidRPr="007E44FF">
        <w:rPr>
          <w:rStyle w:val="Odwoanieprzypisudolnego"/>
          <w:rFonts w:ascii="Verdana" w:hAnsi="Verdana"/>
          <w:sz w:val="16"/>
          <w:szCs w:val="16"/>
        </w:rPr>
        <w:t xml:space="preserve"> </w:t>
      </w:r>
      <w:r w:rsidRPr="000A6485">
        <w:rPr>
          <w:rStyle w:val="Odwoanieprzypisudolnego"/>
          <w:rFonts w:ascii="Verdana" w:hAnsi="Verdana"/>
          <w:sz w:val="16"/>
          <w:szCs w:val="16"/>
        </w:rPr>
        <w:footnoteReference w:id="4"/>
      </w:r>
      <w:r w:rsidRPr="00CA5841">
        <w:rPr>
          <w:rFonts w:ascii="Verdana" w:hAnsi="Verdana"/>
          <w:sz w:val="16"/>
          <w:szCs w:val="16"/>
        </w:rPr>
        <w:t xml:space="preserve">) - wyłącza się </w:t>
      </w:r>
      <w:r w:rsidRPr="00CA5841">
        <w:rPr>
          <w:rFonts w:ascii="Verdana" w:hAnsi="Verdana" w:cs="Arial"/>
          <w:sz w:val="16"/>
          <w:szCs w:val="16"/>
        </w:rPr>
        <w:t xml:space="preserve">kwoty z tytułu wykupu wyemitowanych przed wejściem w życie ustawy </w:t>
      </w:r>
      <w:r w:rsidRPr="00CA5841">
        <w:rPr>
          <w:rFonts w:ascii="Verdana" w:hAnsi="Verdana"/>
          <w:bCs/>
          <w:iCs/>
          <w:sz w:val="16"/>
          <w:szCs w:val="16"/>
        </w:rPr>
        <w:t xml:space="preserve">o finansach publicznych, obligacji nominowanych w walutach obcych </w:t>
      </w:r>
      <w:r w:rsidRPr="00CA5841">
        <w:rPr>
          <w:rFonts w:ascii="Verdana" w:hAnsi="Verdana"/>
          <w:bCs/>
          <w:iCs/>
          <w:sz w:val="16"/>
          <w:szCs w:val="16"/>
        </w:rPr>
        <w:br/>
        <w:t>na zagranicznych rynkach kapitałowych, z wyłączeniem odsetek od tych obligacji</w:t>
      </w:r>
      <w:r w:rsidRPr="00CA5841">
        <w:rPr>
          <w:rFonts w:ascii="Verdana" w:hAnsi="Verdana"/>
          <w:sz w:val="16"/>
          <w:szCs w:val="16"/>
        </w:rPr>
        <w:t>.</w:t>
      </w:r>
      <w:r>
        <w:rPr>
          <w:rFonts w:ascii="Verdana" w:hAnsi="Verdana"/>
          <w:sz w:val="16"/>
          <w:szCs w:val="16"/>
        </w:rPr>
        <w:br w:type="page"/>
      </w:r>
    </w:p>
    <w:p w:rsidR="008A572A" w:rsidRPr="0085401F" w:rsidRDefault="008A572A" w:rsidP="008A572A">
      <w:pPr>
        <w:pStyle w:val="Akapitzlist"/>
        <w:numPr>
          <w:ilvl w:val="0"/>
          <w:numId w:val="53"/>
        </w:numPr>
        <w:autoSpaceDE w:val="0"/>
        <w:autoSpaceDN w:val="0"/>
        <w:adjustRightInd w:val="0"/>
        <w:spacing w:before="240" w:after="60"/>
        <w:ind w:left="426" w:hanging="284"/>
        <w:contextualSpacing w:val="0"/>
        <w:jc w:val="both"/>
        <w:rPr>
          <w:rFonts w:ascii="Verdana" w:hAnsi="Verdana" w:cs="Verdana"/>
          <w:b/>
          <w:color w:val="000000"/>
          <w:sz w:val="16"/>
          <w:szCs w:val="16"/>
        </w:rPr>
      </w:pPr>
      <w:r w:rsidRPr="0085401F">
        <w:rPr>
          <w:rFonts w:ascii="Verdana" w:hAnsi="Verdana" w:cs="Verdana"/>
          <w:b/>
          <w:color w:val="000000"/>
          <w:sz w:val="16"/>
          <w:szCs w:val="16"/>
        </w:rPr>
        <w:lastRenderedPageBreak/>
        <w:t xml:space="preserve">Zmiany w regule wprowadzone w 2020 r. w związku z pandemią </w:t>
      </w:r>
      <w:proofErr w:type="spellStart"/>
      <w:r w:rsidRPr="0085401F">
        <w:rPr>
          <w:rFonts w:ascii="Verdana" w:hAnsi="Verdana" w:cs="Verdana"/>
          <w:b/>
          <w:color w:val="000000"/>
          <w:sz w:val="16"/>
          <w:szCs w:val="16"/>
        </w:rPr>
        <w:t>koronawirusa</w:t>
      </w:r>
      <w:proofErr w:type="spellEnd"/>
      <w:r w:rsidRPr="0085401F">
        <w:rPr>
          <w:rFonts w:ascii="Verdana" w:hAnsi="Verdana" w:cs="Verdana"/>
          <w:b/>
          <w:color w:val="000000"/>
          <w:sz w:val="16"/>
          <w:szCs w:val="16"/>
        </w:rPr>
        <w:t xml:space="preserve"> SARS-CoV-2 wywołującego chorobę COVID-19</w:t>
      </w:r>
    </w:p>
    <w:p w:rsidR="008A572A" w:rsidRDefault="008A572A" w:rsidP="008A572A">
      <w:pPr>
        <w:pStyle w:val="Akapitzlist"/>
        <w:numPr>
          <w:ilvl w:val="0"/>
          <w:numId w:val="55"/>
        </w:numPr>
        <w:autoSpaceDE w:val="0"/>
        <w:autoSpaceDN w:val="0"/>
        <w:adjustRightInd w:val="0"/>
        <w:spacing w:before="120" w:after="60"/>
        <w:ind w:left="851" w:hanging="284"/>
        <w:contextualSpacing w:val="0"/>
        <w:jc w:val="both"/>
        <w:rPr>
          <w:rFonts w:ascii="Verdana" w:hAnsi="Verdana" w:cs="Arial"/>
          <w:sz w:val="16"/>
          <w:szCs w:val="16"/>
        </w:rPr>
      </w:pPr>
      <w:r w:rsidRPr="003527FB">
        <w:rPr>
          <w:rFonts w:ascii="Verdana" w:hAnsi="Verdana" w:cs="Arial"/>
          <w:sz w:val="16"/>
          <w:szCs w:val="16"/>
        </w:rPr>
        <w:t xml:space="preserve">w myśl art. 15zob </w:t>
      </w:r>
      <w:r>
        <w:rPr>
          <w:rFonts w:ascii="Verdana" w:hAnsi="Verdana"/>
          <w:sz w:val="16"/>
          <w:szCs w:val="16"/>
        </w:rPr>
        <w:t xml:space="preserve">ustawy z </w:t>
      </w:r>
      <w:r w:rsidRPr="003527FB">
        <w:rPr>
          <w:rFonts w:ascii="Verdana" w:hAnsi="Verdana"/>
          <w:sz w:val="16"/>
          <w:szCs w:val="16"/>
        </w:rPr>
        <w:t xml:space="preserve">2 marca 2020 r. </w:t>
      </w:r>
      <w:r w:rsidRPr="003527FB">
        <w:rPr>
          <w:rFonts w:ascii="Verdana" w:hAnsi="Verdana"/>
          <w:i/>
          <w:sz w:val="16"/>
          <w:szCs w:val="16"/>
        </w:rPr>
        <w:t xml:space="preserve">o szczególnych rozwiązaniach związanych </w:t>
      </w:r>
      <w:r w:rsidRPr="003527FB">
        <w:rPr>
          <w:rFonts w:ascii="Verdana" w:hAnsi="Verdana"/>
          <w:i/>
          <w:sz w:val="16"/>
          <w:szCs w:val="16"/>
        </w:rPr>
        <w:br/>
        <w:t xml:space="preserve">z zapobieganiem, przeciwdziałaniem i zwalczaniem COVID-19, innych chorób zakaźnych oraz wywołanych nimi sytuacji kryzysowych </w:t>
      </w:r>
      <w:r w:rsidRPr="003527FB">
        <w:rPr>
          <w:rFonts w:ascii="Verdana" w:hAnsi="Verdana"/>
          <w:sz w:val="16"/>
          <w:szCs w:val="16"/>
        </w:rPr>
        <w:t>(Dz.</w:t>
      </w:r>
      <w:r>
        <w:rPr>
          <w:rFonts w:ascii="Verdana" w:hAnsi="Verdana"/>
          <w:sz w:val="16"/>
          <w:szCs w:val="16"/>
        </w:rPr>
        <w:t xml:space="preserve"> </w:t>
      </w:r>
      <w:r w:rsidRPr="003527FB">
        <w:rPr>
          <w:rFonts w:ascii="Verdana" w:hAnsi="Verdana"/>
          <w:sz w:val="16"/>
          <w:szCs w:val="16"/>
        </w:rPr>
        <w:t>U. z 202</w:t>
      </w:r>
      <w:r>
        <w:rPr>
          <w:rFonts w:ascii="Verdana" w:hAnsi="Verdana"/>
          <w:sz w:val="16"/>
          <w:szCs w:val="16"/>
        </w:rPr>
        <w:t>1</w:t>
      </w:r>
      <w:r w:rsidRPr="003527FB">
        <w:rPr>
          <w:rFonts w:ascii="Verdana" w:hAnsi="Verdana"/>
          <w:sz w:val="16"/>
          <w:szCs w:val="16"/>
        </w:rPr>
        <w:t xml:space="preserve"> r. poz. </w:t>
      </w:r>
      <w:r>
        <w:rPr>
          <w:rFonts w:ascii="Verdana" w:hAnsi="Verdana"/>
          <w:sz w:val="16"/>
          <w:szCs w:val="16"/>
        </w:rPr>
        <w:t>2095, 2120, 2133, 2262, 2269 i 2317</w:t>
      </w:r>
      <w:r w:rsidRPr="003527FB">
        <w:rPr>
          <w:rFonts w:ascii="Verdana" w:hAnsi="Verdana"/>
          <w:sz w:val="16"/>
          <w:szCs w:val="16"/>
        </w:rPr>
        <w:t xml:space="preserve">) </w:t>
      </w:r>
      <w:r w:rsidRPr="00C46B2F">
        <w:rPr>
          <w:rFonts w:ascii="Verdana" w:hAnsi="Verdana"/>
          <w:b/>
          <w:sz w:val="16"/>
          <w:szCs w:val="16"/>
        </w:rPr>
        <w:t xml:space="preserve">ograniczenia określonego w art. 243 ustawy o finansach publicznych nie stosuje się do wykupów papierów wartościowych, spłat rat kredytów i pożyczek wraz z należnymi odsetkami i dyskontem odpowiednio emitowanych lub </w:t>
      </w:r>
      <w:r>
        <w:rPr>
          <w:rFonts w:ascii="Verdana" w:hAnsi="Verdana"/>
          <w:b/>
          <w:sz w:val="16"/>
          <w:szCs w:val="16"/>
        </w:rPr>
        <w:t>zaciągniętych</w:t>
      </w:r>
      <w:r w:rsidRPr="00C46B2F">
        <w:rPr>
          <w:rFonts w:ascii="Verdana" w:hAnsi="Verdana"/>
          <w:b/>
          <w:sz w:val="16"/>
          <w:szCs w:val="16"/>
        </w:rPr>
        <w:t xml:space="preserve"> w 2020 r. do równowartości kwoty ubytku w dochodach podatkowych będącego skutkiem wystąpienia COVID-19. </w:t>
      </w:r>
      <w:r w:rsidRPr="003527FB">
        <w:rPr>
          <w:rFonts w:ascii="Verdana" w:hAnsi="Verdana"/>
          <w:sz w:val="16"/>
          <w:szCs w:val="16"/>
        </w:rPr>
        <w:t>U</w:t>
      </w:r>
      <w:r w:rsidRPr="003527FB">
        <w:rPr>
          <w:rFonts w:ascii="Verdana" w:hAnsi="Verdana" w:cs="Arial"/>
          <w:sz w:val="16"/>
          <w:szCs w:val="16"/>
        </w:rPr>
        <w:t xml:space="preserve">bytek w dochodach będący skutkiem wystąpienia COVID-19, definiowany jest jako zmniejszenie dochodów podatkowych obliczone jako różnica między rzeczywistymi dochodami </w:t>
      </w:r>
      <w:r>
        <w:rPr>
          <w:rFonts w:ascii="Verdana" w:hAnsi="Verdana" w:cs="Arial"/>
          <w:sz w:val="16"/>
          <w:szCs w:val="16"/>
        </w:rPr>
        <w:br/>
      </w:r>
      <w:r w:rsidRPr="003527FB">
        <w:rPr>
          <w:rFonts w:ascii="Verdana" w:hAnsi="Verdana" w:cs="Arial"/>
          <w:sz w:val="16"/>
          <w:szCs w:val="16"/>
        </w:rPr>
        <w:t xml:space="preserve">w 2020 r. a planowanymi dochodami wykazanymi w sprawozdaniu budżetowym za pierwszy kwartał 2020 r. Ponadto </w:t>
      </w:r>
      <w:r w:rsidRPr="00C46B2F">
        <w:rPr>
          <w:rFonts w:ascii="Verdana" w:hAnsi="Verdana" w:cs="Arial"/>
          <w:b/>
          <w:sz w:val="16"/>
          <w:szCs w:val="16"/>
        </w:rPr>
        <w:t xml:space="preserve">ustalając limit obsługi długu określony w art. 243 ustawy o finansach publicznych na rok 2021 i lata kolejne wydatki budżetu podlegają pomniejszeniu o wydatki bieżące poniesione w 2020 r. w celu realizacji zadań związanych z przeciwdziałaniem COVID-19 z pominięciem wydatków sfinansowanych otrzymanymi na ten cel dotacjami </w:t>
      </w:r>
      <w:r>
        <w:rPr>
          <w:rFonts w:ascii="Verdana" w:hAnsi="Verdana" w:cs="Arial"/>
          <w:b/>
          <w:sz w:val="16"/>
          <w:szCs w:val="16"/>
        </w:rPr>
        <w:br/>
      </w:r>
      <w:r w:rsidRPr="00C46B2F">
        <w:rPr>
          <w:rFonts w:ascii="Verdana" w:hAnsi="Verdana" w:cs="Arial"/>
          <w:b/>
          <w:sz w:val="16"/>
          <w:szCs w:val="16"/>
        </w:rPr>
        <w:t>i środkami bieżącymi</w:t>
      </w:r>
      <w:r>
        <w:rPr>
          <w:rFonts w:ascii="Verdana" w:hAnsi="Verdana" w:cs="Arial"/>
          <w:sz w:val="16"/>
          <w:szCs w:val="16"/>
        </w:rPr>
        <w:t>;</w:t>
      </w:r>
    </w:p>
    <w:p w:rsidR="008A572A" w:rsidRDefault="008A572A" w:rsidP="008A572A">
      <w:pPr>
        <w:pStyle w:val="Akapitzlist"/>
        <w:numPr>
          <w:ilvl w:val="0"/>
          <w:numId w:val="55"/>
        </w:numPr>
        <w:autoSpaceDE w:val="0"/>
        <w:autoSpaceDN w:val="0"/>
        <w:adjustRightInd w:val="0"/>
        <w:spacing w:before="60" w:after="60"/>
        <w:ind w:left="851" w:hanging="284"/>
        <w:contextualSpacing w:val="0"/>
        <w:jc w:val="both"/>
        <w:rPr>
          <w:rFonts w:ascii="Verdana" w:hAnsi="Verdana" w:cs="Arial"/>
          <w:sz w:val="16"/>
          <w:szCs w:val="16"/>
        </w:rPr>
      </w:pPr>
      <w:r w:rsidRPr="003527FB">
        <w:rPr>
          <w:rFonts w:ascii="Verdana" w:hAnsi="Verdana" w:cs="Arial"/>
          <w:sz w:val="16"/>
          <w:szCs w:val="16"/>
        </w:rPr>
        <w:t xml:space="preserve">w myśl art. 79 </w:t>
      </w:r>
      <w:r w:rsidRPr="003527FB">
        <w:rPr>
          <w:rFonts w:ascii="Verdana" w:hAnsi="Verdana"/>
          <w:sz w:val="16"/>
          <w:szCs w:val="16"/>
        </w:rPr>
        <w:t xml:space="preserve">ustawy z 19 listopada 2020 r. </w:t>
      </w:r>
      <w:r w:rsidRPr="003527FB">
        <w:rPr>
          <w:rFonts w:ascii="Verdana" w:hAnsi="Verdana"/>
          <w:i/>
          <w:sz w:val="16"/>
          <w:szCs w:val="16"/>
        </w:rPr>
        <w:t xml:space="preserve">o szczególnych rozwiązaniach służących realizacji ustawy budżetowej na rok 2021 </w:t>
      </w:r>
      <w:r>
        <w:rPr>
          <w:rFonts w:ascii="Verdana" w:hAnsi="Verdana"/>
          <w:sz w:val="16"/>
          <w:szCs w:val="16"/>
        </w:rPr>
        <w:t>(Dz. U. z 2020 r. poz. 2400 oraz</w:t>
      </w:r>
      <w:r w:rsidRPr="003527FB">
        <w:rPr>
          <w:rFonts w:ascii="Verdana" w:hAnsi="Verdana"/>
          <w:sz w:val="16"/>
          <w:szCs w:val="16"/>
        </w:rPr>
        <w:t xml:space="preserve"> z 2021 r. poz. 1104</w:t>
      </w:r>
      <w:r>
        <w:rPr>
          <w:rFonts w:ascii="Verdana" w:hAnsi="Verdana"/>
          <w:sz w:val="16"/>
          <w:szCs w:val="16"/>
        </w:rPr>
        <w:t xml:space="preserve"> i 1901</w:t>
      </w:r>
      <w:r w:rsidRPr="003527FB">
        <w:rPr>
          <w:rFonts w:ascii="Verdana" w:hAnsi="Verdana"/>
          <w:sz w:val="16"/>
          <w:szCs w:val="16"/>
        </w:rPr>
        <w:t xml:space="preserve">) </w:t>
      </w:r>
      <w:r w:rsidRPr="00C46B2F">
        <w:rPr>
          <w:rFonts w:ascii="Verdana" w:hAnsi="Verdana"/>
          <w:b/>
          <w:sz w:val="16"/>
          <w:szCs w:val="16"/>
        </w:rPr>
        <w:t xml:space="preserve">ograniczenia określonego w art. 243 ustawy o finansach publicznych nie stosuje się do wykupów papierów wartościowych, spłat rat kredytów i pożyczek wraz z należnymi odsetkami </w:t>
      </w:r>
      <w:r>
        <w:rPr>
          <w:rFonts w:ascii="Verdana" w:hAnsi="Verdana"/>
          <w:b/>
          <w:sz w:val="16"/>
          <w:szCs w:val="16"/>
        </w:rPr>
        <w:br/>
      </w:r>
      <w:r w:rsidRPr="00C46B2F">
        <w:rPr>
          <w:rFonts w:ascii="Verdana" w:hAnsi="Verdana"/>
          <w:b/>
          <w:sz w:val="16"/>
          <w:szCs w:val="16"/>
        </w:rPr>
        <w:t xml:space="preserve">i dyskontem odpowiednio emitowanych lub </w:t>
      </w:r>
      <w:r>
        <w:rPr>
          <w:rFonts w:ascii="Verdana" w:hAnsi="Verdana"/>
          <w:b/>
          <w:sz w:val="16"/>
          <w:szCs w:val="16"/>
        </w:rPr>
        <w:t>zaciągniętych</w:t>
      </w:r>
      <w:r w:rsidRPr="00C46B2F">
        <w:rPr>
          <w:rFonts w:ascii="Verdana" w:hAnsi="Verdana"/>
          <w:b/>
          <w:sz w:val="16"/>
          <w:szCs w:val="16"/>
        </w:rPr>
        <w:t xml:space="preserve"> w 2021 r. do równowartości kwoty ubytku w dochodach będącego skutkiem wystąpienia COVID-19. </w:t>
      </w:r>
      <w:r w:rsidRPr="003527FB">
        <w:rPr>
          <w:rFonts w:ascii="Verdana" w:hAnsi="Verdana"/>
          <w:sz w:val="16"/>
          <w:szCs w:val="16"/>
        </w:rPr>
        <w:t>U</w:t>
      </w:r>
      <w:r w:rsidRPr="003527FB">
        <w:rPr>
          <w:rFonts w:ascii="Verdana" w:hAnsi="Verdana" w:cs="Arial"/>
          <w:sz w:val="16"/>
          <w:szCs w:val="16"/>
        </w:rPr>
        <w:t xml:space="preserve">bytek w dochodach będący skutkiem wystąpienia COVID-19, definiowany jest jako zmniejszenie dochodów obliczone jako różnica między dochodami jednostki w 2021 r. a prognozami dochodów na rok 2021 wykazanymi przez jednostkę w wieloletniej prognozie finansowej obowiązującej na dzień 31 marca 2020 r., z tym że przez dochody rozumiane są dochody bieżące pomniejszone o dochody z tytułu subwencji ogólnej oraz dotacji i środków przeznaczonych na cele bieżące. Ponadto </w:t>
      </w:r>
      <w:r w:rsidRPr="00C46B2F">
        <w:rPr>
          <w:rFonts w:ascii="Verdana" w:hAnsi="Verdana" w:cs="Arial"/>
          <w:b/>
          <w:sz w:val="16"/>
          <w:szCs w:val="16"/>
        </w:rPr>
        <w:t xml:space="preserve">ustalając limit obsługi długu określony </w:t>
      </w:r>
      <w:r>
        <w:rPr>
          <w:rFonts w:ascii="Verdana" w:hAnsi="Verdana" w:cs="Arial"/>
          <w:b/>
          <w:sz w:val="16"/>
          <w:szCs w:val="16"/>
        </w:rPr>
        <w:br/>
      </w:r>
      <w:r w:rsidRPr="00C46B2F">
        <w:rPr>
          <w:rFonts w:ascii="Verdana" w:hAnsi="Verdana" w:cs="Arial"/>
          <w:b/>
          <w:sz w:val="16"/>
          <w:szCs w:val="16"/>
        </w:rPr>
        <w:t>w art. 243 ustawy o finansach publicznych na rok 2022 i lata kolejne wydatki budżetu podlegają pomniejszeniu o wydatki bieżące poniesione w 2021 r. w celu realizacji zadań związanych z przeciwdziałaniem COVID-19 z pominięciem wydatków sfinansowanych otrzymanymi na ten cel dotacjami i środkami bieżącymi</w:t>
      </w:r>
      <w:r w:rsidRPr="00F6162B">
        <w:rPr>
          <w:rFonts w:ascii="Verdana" w:hAnsi="Verdana" w:cs="Arial"/>
          <w:sz w:val="16"/>
          <w:szCs w:val="16"/>
        </w:rPr>
        <w:t>.</w:t>
      </w:r>
    </w:p>
    <w:p w:rsidR="008A572A" w:rsidRPr="00F6162B" w:rsidRDefault="008A572A" w:rsidP="008A572A">
      <w:pPr>
        <w:pStyle w:val="Akapitzlist"/>
        <w:numPr>
          <w:ilvl w:val="0"/>
          <w:numId w:val="55"/>
        </w:numPr>
        <w:autoSpaceDE w:val="0"/>
        <w:autoSpaceDN w:val="0"/>
        <w:adjustRightInd w:val="0"/>
        <w:spacing w:before="60" w:after="60"/>
        <w:ind w:left="851" w:hanging="284"/>
        <w:contextualSpacing w:val="0"/>
        <w:jc w:val="both"/>
        <w:rPr>
          <w:rFonts w:ascii="Verdana" w:hAnsi="Verdana" w:cs="Arial"/>
          <w:sz w:val="16"/>
          <w:szCs w:val="16"/>
        </w:rPr>
      </w:pPr>
      <w:r>
        <w:rPr>
          <w:rFonts w:ascii="Verdana" w:hAnsi="Verdana" w:cs="Arial"/>
          <w:sz w:val="16"/>
          <w:szCs w:val="16"/>
        </w:rPr>
        <w:t xml:space="preserve">w myśl art. 15zob </w:t>
      </w:r>
      <w:r w:rsidRPr="003527FB">
        <w:rPr>
          <w:rFonts w:ascii="Verdana" w:hAnsi="Verdana"/>
          <w:sz w:val="16"/>
          <w:szCs w:val="16"/>
        </w:rPr>
        <w:t xml:space="preserve">ustawy z dnia 2 marca 2020 r. </w:t>
      </w:r>
      <w:r w:rsidRPr="003527FB">
        <w:rPr>
          <w:rFonts w:ascii="Verdana" w:hAnsi="Verdana"/>
          <w:i/>
          <w:sz w:val="16"/>
          <w:szCs w:val="16"/>
        </w:rPr>
        <w:t xml:space="preserve">o szczególnych rozwiązaniach związanych </w:t>
      </w:r>
      <w:r w:rsidRPr="003527FB">
        <w:rPr>
          <w:rFonts w:ascii="Verdana" w:hAnsi="Verdana"/>
          <w:i/>
          <w:sz w:val="16"/>
          <w:szCs w:val="16"/>
        </w:rPr>
        <w:br/>
        <w:t xml:space="preserve">z zapobieganiem, przeciwdziałaniem i zwalczaniem COVID-19, innych chorób zakaźnych oraz wywołanych nimi sytuacji kryzysowych </w:t>
      </w:r>
      <w:r w:rsidRPr="003527FB">
        <w:rPr>
          <w:rFonts w:ascii="Verdana" w:hAnsi="Verdana"/>
          <w:sz w:val="16"/>
          <w:szCs w:val="16"/>
        </w:rPr>
        <w:t>(Dz.</w:t>
      </w:r>
      <w:r>
        <w:rPr>
          <w:rFonts w:ascii="Verdana" w:hAnsi="Verdana"/>
          <w:sz w:val="16"/>
          <w:szCs w:val="16"/>
        </w:rPr>
        <w:t xml:space="preserve"> </w:t>
      </w:r>
      <w:r w:rsidRPr="003527FB">
        <w:rPr>
          <w:rFonts w:ascii="Verdana" w:hAnsi="Verdana"/>
          <w:sz w:val="16"/>
          <w:szCs w:val="16"/>
        </w:rPr>
        <w:t>U. z 202</w:t>
      </w:r>
      <w:r>
        <w:rPr>
          <w:rFonts w:ascii="Verdana" w:hAnsi="Verdana"/>
          <w:sz w:val="16"/>
          <w:szCs w:val="16"/>
        </w:rPr>
        <w:t>1</w:t>
      </w:r>
      <w:r w:rsidRPr="003527FB">
        <w:rPr>
          <w:rFonts w:ascii="Verdana" w:hAnsi="Verdana"/>
          <w:sz w:val="16"/>
          <w:szCs w:val="16"/>
        </w:rPr>
        <w:t xml:space="preserve"> r. poz. </w:t>
      </w:r>
      <w:r>
        <w:rPr>
          <w:rFonts w:ascii="Verdana" w:hAnsi="Verdana"/>
          <w:sz w:val="16"/>
          <w:szCs w:val="16"/>
        </w:rPr>
        <w:t>2095, 2120, 2133, 2262, 2269 i 2317</w:t>
      </w:r>
      <w:r w:rsidRPr="003527FB">
        <w:rPr>
          <w:rFonts w:ascii="Verdana" w:hAnsi="Verdana"/>
          <w:sz w:val="16"/>
          <w:szCs w:val="16"/>
        </w:rPr>
        <w:t xml:space="preserve">) </w:t>
      </w:r>
      <w:r w:rsidRPr="00C46B2F">
        <w:rPr>
          <w:rFonts w:ascii="Verdana" w:hAnsi="Verdana"/>
          <w:b/>
          <w:sz w:val="16"/>
          <w:szCs w:val="16"/>
        </w:rPr>
        <w:t xml:space="preserve">przy ustalaniu limitu obsługi długu dla lat 2020-2025 określonego w art. 243 ustawy </w:t>
      </w:r>
      <w:r>
        <w:rPr>
          <w:rFonts w:ascii="Verdana" w:hAnsi="Verdana"/>
          <w:b/>
          <w:sz w:val="16"/>
          <w:szCs w:val="16"/>
        </w:rPr>
        <w:br/>
      </w:r>
      <w:r w:rsidRPr="00C46B2F">
        <w:rPr>
          <w:rFonts w:ascii="Verdana" w:hAnsi="Verdana"/>
          <w:b/>
          <w:sz w:val="16"/>
          <w:szCs w:val="16"/>
        </w:rPr>
        <w:t>o finansach publicznych, podobnie jak dla lat począwszy od roku 2026, wydatki bieżące budżetu podlegają pomniejszeniu o wydatki na obsługę długu (odsetki)</w:t>
      </w:r>
      <w:r>
        <w:rPr>
          <w:rFonts w:ascii="Verdana" w:hAnsi="Verdana"/>
          <w:sz w:val="16"/>
          <w:szCs w:val="16"/>
        </w:rPr>
        <w:t>.</w:t>
      </w:r>
    </w:p>
    <w:p w:rsidR="008A572A" w:rsidRPr="0085401F" w:rsidRDefault="008A572A" w:rsidP="008A572A">
      <w:pPr>
        <w:pStyle w:val="Akapitzlist"/>
        <w:numPr>
          <w:ilvl w:val="0"/>
          <w:numId w:val="53"/>
        </w:numPr>
        <w:autoSpaceDE w:val="0"/>
        <w:autoSpaceDN w:val="0"/>
        <w:adjustRightInd w:val="0"/>
        <w:spacing w:before="240" w:after="60"/>
        <w:ind w:left="426" w:hanging="284"/>
        <w:contextualSpacing w:val="0"/>
        <w:jc w:val="both"/>
        <w:rPr>
          <w:rFonts w:ascii="Verdana" w:hAnsi="Verdana" w:cs="Verdana"/>
          <w:b/>
          <w:color w:val="000000"/>
          <w:sz w:val="16"/>
          <w:szCs w:val="16"/>
        </w:rPr>
      </w:pPr>
      <w:r w:rsidRPr="0085401F">
        <w:rPr>
          <w:rFonts w:ascii="Verdana" w:hAnsi="Verdana" w:cs="Verdana"/>
          <w:b/>
          <w:color w:val="000000"/>
          <w:sz w:val="16"/>
          <w:szCs w:val="16"/>
        </w:rPr>
        <w:t>Zm</w:t>
      </w:r>
      <w:r>
        <w:rPr>
          <w:rFonts w:ascii="Verdana" w:hAnsi="Verdana" w:cs="Verdana"/>
          <w:b/>
          <w:color w:val="000000"/>
          <w:sz w:val="16"/>
          <w:szCs w:val="16"/>
        </w:rPr>
        <w:t>iany w regule wprowadzone w 2021</w:t>
      </w:r>
      <w:r w:rsidRPr="0085401F">
        <w:rPr>
          <w:rFonts w:ascii="Verdana" w:hAnsi="Verdana" w:cs="Verdana"/>
          <w:b/>
          <w:color w:val="000000"/>
          <w:sz w:val="16"/>
          <w:szCs w:val="16"/>
        </w:rPr>
        <w:t xml:space="preserve"> r. w związku z </w:t>
      </w:r>
      <w:r>
        <w:rPr>
          <w:rFonts w:ascii="Verdana" w:hAnsi="Verdana" w:cs="Verdana"/>
          <w:b/>
          <w:color w:val="000000"/>
          <w:sz w:val="16"/>
          <w:szCs w:val="16"/>
        </w:rPr>
        <w:t xml:space="preserve">pakietem rozwiązań legislacyjnych wchodzących w skład rządowego tzw. Programu Polski Ład </w:t>
      </w:r>
    </w:p>
    <w:p w:rsidR="008A572A" w:rsidRDefault="008A572A" w:rsidP="008A572A">
      <w:pPr>
        <w:spacing w:before="80" w:after="80"/>
        <w:jc w:val="both"/>
        <w:rPr>
          <w:rFonts w:ascii="Verdana" w:hAnsi="Verdana"/>
          <w:iCs/>
          <w:sz w:val="16"/>
          <w:szCs w:val="16"/>
        </w:rPr>
      </w:pPr>
      <w:r>
        <w:rPr>
          <w:rFonts w:ascii="Verdana" w:hAnsi="Verdana" w:cs="Arial"/>
          <w:sz w:val="16"/>
          <w:szCs w:val="16"/>
        </w:rPr>
        <w:t>Przepis art. 7 ustawy</w:t>
      </w:r>
      <w:r w:rsidRPr="00006222">
        <w:rPr>
          <w:rFonts w:ascii="Verdana" w:hAnsi="Verdana" w:cs="Arial"/>
          <w:sz w:val="16"/>
          <w:szCs w:val="16"/>
        </w:rPr>
        <w:t xml:space="preserve"> z </w:t>
      </w:r>
      <w:r>
        <w:rPr>
          <w:rFonts w:ascii="Verdana" w:hAnsi="Verdana" w:cs="Arial"/>
          <w:sz w:val="16"/>
          <w:szCs w:val="16"/>
        </w:rPr>
        <w:t>14 października</w:t>
      </w:r>
      <w:r w:rsidRPr="00006222">
        <w:rPr>
          <w:rFonts w:ascii="Verdana" w:hAnsi="Verdana" w:cs="Arial"/>
          <w:sz w:val="16"/>
          <w:szCs w:val="16"/>
        </w:rPr>
        <w:t xml:space="preserve"> 2021 r. </w:t>
      </w:r>
      <w:r w:rsidRPr="00006222">
        <w:rPr>
          <w:rFonts w:ascii="Verdana" w:hAnsi="Verdana" w:cs="Arial"/>
          <w:i/>
          <w:sz w:val="16"/>
          <w:szCs w:val="16"/>
        </w:rPr>
        <w:t xml:space="preserve">o zmianie ustawy o dochodach jednostek samorządu terytorialnego oraz niektórych innych </w:t>
      </w:r>
      <w:r w:rsidRPr="00E7313D">
        <w:rPr>
          <w:rFonts w:ascii="Verdana" w:hAnsi="Verdana" w:cs="Arial"/>
          <w:i/>
          <w:sz w:val="16"/>
          <w:szCs w:val="16"/>
        </w:rPr>
        <w:t>ustaw</w:t>
      </w:r>
      <w:r w:rsidRPr="00E7313D">
        <w:rPr>
          <w:rFonts w:ascii="Verdana" w:hAnsi="Verdana" w:cs="Arial"/>
          <w:sz w:val="16"/>
          <w:szCs w:val="16"/>
        </w:rPr>
        <w:t xml:space="preserve"> </w:t>
      </w:r>
      <w:r>
        <w:rPr>
          <w:rFonts w:ascii="Verdana" w:hAnsi="Verdana" w:cs="Arial"/>
          <w:sz w:val="16"/>
          <w:szCs w:val="16"/>
        </w:rPr>
        <w:t xml:space="preserve">(Dz. U. </w:t>
      </w:r>
      <w:r w:rsidRPr="00E7313D">
        <w:rPr>
          <w:rFonts w:ascii="Verdana" w:hAnsi="Verdana" w:cs="Arial"/>
          <w:sz w:val="16"/>
          <w:szCs w:val="16"/>
        </w:rPr>
        <w:t>poz. 1927)</w:t>
      </w:r>
      <w:r>
        <w:rPr>
          <w:rFonts w:ascii="Verdana" w:hAnsi="Verdana" w:cs="Arial"/>
          <w:sz w:val="16"/>
          <w:szCs w:val="16"/>
        </w:rPr>
        <w:t xml:space="preserve"> dopuszcza</w:t>
      </w:r>
      <w:r w:rsidRPr="00006222">
        <w:rPr>
          <w:rFonts w:ascii="Verdana" w:hAnsi="Verdana" w:cs="Arial"/>
          <w:sz w:val="16"/>
          <w:szCs w:val="16"/>
        </w:rPr>
        <w:t xml:space="preserve"> </w:t>
      </w:r>
      <w:r>
        <w:rPr>
          <w:rFonts w:ascii="Verdana" w:hAnsi="Verdana" w:cs="Arial"/>
          <w:sz w:val="16"/>
          <w:szCs w:val="16"/>
        </w:rPr>
        <w:t xml:space="preserve">możliwość </w:t>
      </w:r>
      <w:r w:rsidRPr="00D75B39">
        <w:rPr>
          <w:rFonts w:ascii="Verdana" w:hAnsi="Verdana" w:cs="Arial"/>
          <w:b/>
          <w:sz w:val="16"/>
          <w:szCs w:val="16"/>
        </w:rPr>
        <w:t xml:space="preserve">wyznaczania indywidualnego limitu obsługi długu na lata 2022-2025 na podstawie </w:t>
      </w:r>
      <w:r w:rsidRPr="00F8491E">
        <w:rPr>
          <w:rFonts w:ascii="Verdana" w:hAnsi="Verdana" w:cs="Arial"/>
          <w:b/>
          <w:sz w:val="16"/>
          <w:szCs w:val="16"/>
        </w:rPr>
        <w:t>siedmiu</w:t>
      </w:r>
      <w:r>
        <w:rPr>
          <w:rFonts w:ascii="Verdana" w:hAnsi="Verdana" w:cs="Arial"/>
          <w:sz w:val="16"/>
          <w:szCs w:val="16"/>
        </w:rPr>
        <w:t xml:space="preserve"> </w:t>
      </w:r>
      <w:r w:rsidRPr="00D75B39">
        <w:rPr>
          <w:rFonts w:ascii="Verdana" w:hAnsi="Verdana" w:cs="Arial"/>
          <w:b/>
          <w:sz w:val="16"/>
          <w:szCs w:val="16"/>
        </w:rPr>
        <w:t>poprzednich lat</w:t>
      </w:r>
      <w:r>
        <w:rPr>
          <w:rFonts w:ascii="Verdana" w:hAnsi="Verdana" w:cs="Arial"/>
          <w:sz w:val="16"/>
          <w:szCs w:val="16"/>
        </w:rPr>
        <w:t xml:space="preserve"> (</w:t>
      </w:r>
      <w:r>
        <w:rPr>
          <w:rFonts w:ascii="Verdana" w:hAnsi="Verdana"/>
          <w:iCs/>
          <w:sz w:val="16"/>
          <w:szCs w:val="16"/>
        </w:rPr>
        <w:t xml:space="preserve">dla roku </w:t>
      </w:r>
      <w:r w:rsidRPr="00932633">
        <w:rPr>
          <w:rFonts w:ascii="Verdana" w:eastAsiaTheme="minorEastAsia" w:hAnsi="Verdana" w:cs="Verdana"/>
          <w:color w:val="000000"/>
          <w:sz w:val="16"/>
          <w:szCs w:val="16"/>
        </w:rPr>
        <w:t>2023</w:t>
      </w:r>
      <w:r w:rsidRPr="00011AAA">
        <w:rPr>
          <w:rFonts w:ascii="Verdana" w:hAnsi="Verdana"/>
          <w:iCs/>
          <w:sz w:val="16"/>
          <w:szCs w:val="16"/>
        </w:rPr>
        <w:t xml:space="preserve"> br</w:t>
      </w:r>
      <w:r>
        <w:rPr>
          <w:rFonts w:ascii="Verdana" w:hAnsi="Verdana"/>
          <w:iCs/>
          <w:sz w:val="16"/>
          <w:szCs w:val="16"/>
        </w:rPr>
        <w:t>ane są pod uwagę dane z lat 2016-2022)</w:t>
      </w:r>
      <w:r>
        <w:rPr>
          <w:rFonts w:ascii="Verdana" w:hAnsi="Verdana" w:cs="Arial"/>
          <w:sz w:val="16"/>
          <w:szCs w:val="16"/>
        </w:rPr>
        <w:t xml:space="preserve"> </w:t>
      </w:r>
      <w:r w:rsidRPr="00D75B39">
        <w:rPr>
          <w:rFonts w:ascii="Verdana" w:hAnsi="Verdana" w:cs="Arial"/>
          <w:b/>
          <w:sz w:val="16"/>
          <w:szCs w:val="16"/>
        </w:rPr>
        <w:t>w miejsce poprzednio obowiązującego okresu trzyletniego</w:t>
      </w:r>
      <w:r>
        <w:rPr>
          <w:rFonts w:ascii="Verdana" w:hAnsi="Verdana" w:cs="Arial"/>
          <w:sz w:val="16"/>
          <w:szCs w:val="16"/>
        </w:rPr>
        <w:t xml:space="preserve">. </w:t>
      </w:r>
      <w:r w:rsidRPr="00006222">
        <w:rPr>
          <w:rFonts w:ascii="Verdana" w:hAnsi="Verdana" w:cs="Arial"/>
          <w:sz w:val="16"/>
          <w:szCs w:val="16"/>
        </w:rPr>
        <w:t xml:space="preserve">Zgodnie </w:t>
      </w:r>
      <w:r>
        <w:rPr>
          <w:rFonts w:ascii="Verdana" w:hAnsi="Verdana" w:cs="Arial"/>
          <w:sz w:val="16"/>
          <w:szCs w:val="16"/>
        </w:rPr>
        <w:br/>
      </w:r>
      <w:r w:rsidRPr="00006222">
        <w:rPr>
          <w:rFonts w:ascii="Verdana" w:hAnsi="Verdana" w:cs="Arial"/>
          <w:sz w:val="16"/>
          <w:szCs w:val="16"/>
        </w:rPr>
        <w:t xml:space="preserve">z </w:t>
      </w:r>
      <w:r>
        <w:rPr>
          <w:rFonts w:ascii="Verdana" w:hAnsi="Verdana" w:cs="Arial"/>
          <w:sz w:val="16"/>
          <w:szCs w:val="16"/>
        </w:rPr>
        <w:t xml:space="preserve">uchwalonym </w:t>
      </w:r>
      <w:r w:rsidRPr="00006222">
        <w:rPr>
          <w:rFonts w:ascii="Verdana" w:hAnsi="Verdana" w:cs="Arial"/>
          <w:sz w:val="16"/>
          <w:szCs w:val="16"/>
        </w:rPr>
        <w:t xml:space="preserve">przepisem okres, na podstawie którego wyznaczany jest indywidualny limit obsługi długu dla danego roku, dla lat 2022-2025 może obejmować tak jak </w:t>
      </w:r>
      <w:r>
        <w:rPr>
          <w:rFonts w:ascii="Verdana" w:hAnsi="Verdana" w:cs="Arial"/>
          <w:sz w:val="16"/>
          <w:szCs w:val="16"/>
        </w:rPr>
        <w:t>przed zmianą przepisów</w:t>
      </w:r>
      <w:r w:rsidRPr="00006222">
        <w:rPr>
          <w:rFonts w:ascii="Verdana" w:hAnsi="Verdana" w:cs="Arial"/>
          <w:sz w:val="16"/>
          <w:szCs w:val="16"/>
        </w:rPr>
        <w:t xml:space="preserve"> </w:t>
      </w:r>
      <w:r w:rsidRPr="00F8491E">
        <w:rPr>
          <w:rFonts w:ascii="Verdana" w:hAnsi="Verdana" w:cs="Arial"/>
          <w:b/>
          <w:sz w:val="16"/>
          <w:szCs w:val="16"/>
        </w:rPr>
        <w:t xml:space="preserve">trzy wcześniejsze lata lub </w:t>
      </w:r>
      <w:r>
        <w:rPr>
          <w:rFonts w:ascii="Verdana" w:hAnsi="Verdana" w:cs="Arial"/>
          <w:b/>
          <w:sz w:val="16"/>
          <w:szCs w:val="16"/>
        </w:rPr>
        <w:lastRenderedPageBreak/>
        <w:t>mógł</w:t>
      </w:r>
      <w:r w:rsidRPr="00F8491E">
        <w:rPr>
          <w:rFonts w:ascii="Verdana" w:hAnsi="Verdana" w:cs="Arial"/>
          <w:b/>
          <w:sz w:val="16"/>
          <w:szCs w:val="16"/>
        </w:rPr>
        <w:t xml:space="preserve"> zostać </w:t>
      </w:r>
      <w:r>
        <w:rPr>
          <w:rFonts w:ascii="Verdana" w:hAnsi="Verdana" w:cs="Arial"/>
          <w:b/>
          <w:sz w:val="16"/>
          <w:szCs w:val="16"/>
        </w:rPr>
        <w:t>wydłużony</w:t>
      </w:r>
      <w:r w:rsidRPr="00F8491E">
        <w:rPr>
          <w:rFonts w:ascii="Verdana" w:hAnsi="Verdana" w:cs="Arial"/>
          <w:b/>
          <w:sz w:val="16"/>
          <w:szCs w:val="16"/>
        </w:rPr>
        <w:t xml:space="preserve"> na siedem poprzedzających lat</w:t>
      </w:r>
      <w:r>
        <w:rPr>
          <w:rFonts w:ascii="Verdana" w:hAnsi="Verdana" w:cs="Arial"/>
          <w:sz w:val="16"/>
          <w:szCs w:val="16"/>
        </w:rPr>
        <w:t xml:space="preserve">. Powyższy przepis </w:t>
      </w:r>
      <w:r>
        <w:rPr>
          <w:rFonts w:ascii="Verdana" w:hAnsi="Verdana" w:cs="Arial"/>
          <w:b/>
          <w:sz w:val="16"/>
          <w:szCs w:val="16"/>
        </w:rPr>
        <w:t>zobowiązał</w:t>
      </w:r>
      <w:r w:rsidRPr="00AC1B12">
        <w:rPr>
          <w:rFonts w:ascii="Verdana" w:hAnsi="Verdana" w:cs="Arial"/>
          <w:b/>
          <w:sz w:val="16"/>
          <w:szCs w:val="16"/>
        </w:rPr>
        <w:t xml:space="preserve"> organ wykonawczy jednostki samorządu terytorialnego do dokonania </w:t>
      </w:r>
      <w:r>
        <w:rPr>
          <w:rFonts w:ascii="Verdana" w:hAnsi="Verdana" w:cs="Arial"/>
          <w:b/>
          <w:sz w:val="16"/>
          <w:szCs w:val="16"/>
        </w:rPr>
        <w:t xml:space="preserve">w terminie do 31 grudnia 2021 r. </w:t>
      </w:r>
      <w:r w:rsidRPr="00AC1B12">
        <w:rPr>
          <w:rFonts w:ascii="Verdana" w:hAnsi="Verdana" w:cs="Arial"/>
          <w:b/>
          <w:sz w:val="16"/>
          <w:szCs w:val="16"/>
        </w:rPr>
        <w:t>wyboru dla lat 2022-2025 długości okresu stosowanego w badaniu spełnienia reguły indywidualnego limitu obsługi długu JST</w:t>
      </w:r>
      <w:r w:rsidRPr="00006222">
        <w:rPr>
          <w:rFonts w:ascii="Verdana" w:hAnsi="Verdana" w:cs="Arial"/>
          <w:sz w:val="16"/>
          <w:szCs w:val="16"/>
        </w:rPr>
        <w:t xml:space="preserve"> </w:t>
      </w:r>
      <w:r>
        <w:rPr>
          <w:rFonts w:ascii="Verdana" w:hAnsi="Verdana" w:cs="Arial"/>
          <w:sz w:val="16"/>
          <w:szCs w:val="16"/>
        </w:rPr>
        <w:t>i następnie przekazania informacji</w:t>
      </w:r>
      <w:r w:rsidRPr="00006222">
        <w:rPr>
          <w:rFonts w:ascii="Verdana" w:hAnsi="Verdana" w:cs="Arial"/>
          <w:sz w:val="16"/>
          <w:szCs w:val="16"/>
        </w:rPr>
        <w:t xml:space="preserve"> w tym </w:t>
      </w:r>
      <w:r>
        <w:rPr>
          <w:rFonts w:ascii="Verdana" w:hAnsi="Verdana" w:cs="Arial"/>
          <w:sz w:val="16"/>
          <w:szCs w:val="16"/>
        </w:rPr>
        <w:t>względzie</w:t>
      </w:r>
      <w:r w:rsidRPr="00006222">
        <w:rPr>
          <w:rFonts w:ascii="Verdana" w:hAnsi="Verdana" w:cs="Arial"/>
          <w:sz w:val="16"/>
          <w:szCs w:val="16"/>
        </w:rPr>
        <w:t xml:space="preserve"> właściwej regionalnej izbie obrachunkowej oraz organowi stanowiącemu. </w:t>
      </w:r>
      <w:r w:rsidRPr="00E339B7">
        <w:rPr>
          <w:rFonts w:ascii="Verdana" w:hAnsi="Verdana" w:cs="Arial"/>
          <w:b/>
          <w:sz w:val="16"/>
          <w:szCs w:val="16"/>
        </w:rPr>
        <w:t xml:space="preserve">Prezydent m.st. Warszawy jako organ wykonawczy dokonał dla lat 2022-2025 wyboru 7-letniego okresu stosowanego do wyliczenia relacji, o której mowa </w:t>
      </w:r>
      <w:r>
        <w:rPr>
          <w:rFonts w:ascii="Verdana" w:hAnsi="Verdana" w:cs="Arial"/>
          <w:b/>
          <w:sz w:val="16"/>
          <w:szCs w:val="16"/>
        </w:rPr>
        <w:br/>
      </w:r>
      <w:r w:rsidRPr="00E339B7">
        <w:rPr>
          <w:rFonts w:ascii="Verdana" w:hAnsi="Verdana" w:cs="Arial"/>
          <w:b/>
          <w:sz w:val="16"/>
          <w:szCs w:val="16"/>
        </w:rPr>
        <w:t>w art. 243 ustawy o finansach publicznych</w:t>
      </w:r>
      <w:r w:rsidRPr="00011AAA">
        <w:rPr>
          <w:rStyle w:val="Odwoanieprzypisudolnego"/>
          <w:rFonts w:ascii="Verdana" w:hAnsi="Verdana"/>
          <w:bCs/>
          <w:iCs/>
          <w:color w:val="000000"/>
          <w:sz w:val="16"/>
          <w:szCs w:val="16"/>
        </w:rPr>
        <w:footnoteReference w:id="5"/>
      </w:r>
      <w:r>
        <w:rPr>
          <w:rFonts w:ascii="Verdana" w:hAnsi="Verdana" w:cs="Arial"/>
          <w:b/>
          <w:sz w:val="16"/>
          <w:szCs w:val="16"/>
        </w:rPr>
        <w:t xml:space="preserve"> oraz poinformował o wyborze Regionalną Izbę Obrachunkową w Warszawie w piśmie z 26 listopada 2021 r. nr GP-OR.0050.1795.2021 i Radę </w:t>
      </w:r>
      <w:r>
        <w:rPr>
          <w:rFonts w:ascii="Verdana" w:hAnsi="Verdana" w:cs="Arial"/>
          <w:b/>
          <w:sz w:val="16"/>
          <w:szCs w:val="16"/>
        </w:rPr>
        <w:br/>
        <w:t>m.st. Warszawy w piśmie z 26 listopada 2021 r. nr DR-7-OW.3150.6.2021.KPI</w:t>
      </w:r>
      <w:r w:rsidRPr="00E339B7">
        <w:rPr>
          <w:rFonts w:ascii="Verdana" w:hAnsi="Verdana" w:cs="Arial"/>
          <w:b/>
          <w:sz w:val="16"/>
          <w:szCs w:val="16"/>
        </w:rPr>
        <w:t>.</w:t>
      </w:r>
      <w:r>
        <w:rPr>
          <w:rFonts w:ascii="Verdana" w:hAnsi="Verdana"/>
          <w:iCs/>
          <w:sz w:val="16"/>
          <w:szCs w:val="16"/>
        </w:rPr>
        <w:t xml:space="preserve"> </w:t>
      </w:r>
    </w:p>
    <w:p w:rsidR="008A572A" w:rsidRPr="0085401F" w:rsidRDefault="008A572A" w:rsidP="008A572A">
      <w:pPr>
        <w:pStyle w:val="Akapitzlist"/>
        <w:numPr>
          <w:ilvl w:val="0"/>
          <w:numId w:val="53"/>
        </w:numPr>
        <w:autoSpaceDE w:val="0"/>
        <w:autoSpaceDN w:val="0"/>
        <w:adjustRightInd w:val="0"/>
        <w:spacing w:before="240" w:after="60"/>
        <w:ind w:left="426" w:hanging="284"/>
        <w:contextualSpacing w:val="0"/>
        <w:jc w:val="both"/>
        <w:rPr>
          <w:rFonts w:ascii="Verdana" w:hAnsi="Verdana" w:cs="Verdana"/>
          <w:b/>
          <w:color w:val="000000"/>
          <w:sz w:val="16"/>
          <w:szCs w:val="16"/>
        </w:rPr>
      </w:pPr>
      <w:r w:rsidRPr="0085401F">
        <w:rPr>
          <w:rFonts w:ascii="Verdana" w:hAnsi="Verdana" w:cs="Verdana"/>
          <w:b/>
          <w:color w:val="000000"/>
          <w:sz w:val="16"/>
          <w:szCs w:val="16"/>
        </w:rPr>
        <w:t>Zm</w:t>
      </w:r>
      <w:r>
        <w:rPr>
          <w:rFonts w:ascii="Verdana" w:hAnsi="Verdana" w:cs="Verdana"/>
          <w:b/>
          <w:color w:val="000000"/>
          <w:sz w:val="16"/>
          <w:szCs w:val="16"/>
        </w:rPr>
        <w:t>iany w regule wprowadzone w 2022</w:t>
      </w:r>
      <w:r w:rsidRPr="0085401F">
        <w:rPr>
          <w:rFonts w:ascii="Verdana" w:hAnsi="Verdana" w:cs="Verdana"/>
          <w:b/>
          <w:color w:val="000000"/>
          <w:sz w:val="16"/>
          <w:szCs w:val="16"/>
        </w:rPr>
        <w:t xml:space="preserve"> r. w związku z </w:t>
      </w:r>
      <w:r>
        <w:rPr>
          <w:rFonts w:ascii="Verdana" w:hAnsi="Verdana" w:cs="Verdana"/>
          <w:b/>
          <w:color w:val="000000"/>
          <w:sz w:val="16"/>
          <w:szCs w:val="16"/>
        </w:rPr>
        <w:t>konfliktem zbrojnym na terytorium Ukrainy</w:t>
      </w:r>
    </w:p>
    <w:p w:rsidR="008A572A" w:rsidRDefault="008A572A" w:rsidP="008A572A">
      <w:pPr>
        <w:autoSpaceDE w:val="0"/>
        <w:autoSpaceDN w:val="0"/>
        <w:adjustRightInd w:val="0"/>
        <w:spacing w:before="60" w:after="60"/>
        <w:jc w:val="both"/>
        <w:rPr>
          <w:rFonts w:ascii="Verdana" w:hAnsi="Verdana" w:cs="Arial"/>
          <w:b/>
          <w:sz w:val="16"/>
          <w:szCs w:val="16"/>
        </w:rPr>
      </w:pPr>
      <w:r>
        <w:rPr>
          <w:rFonts w:ascii="Verdana" w:hAnsi="Verdana" w:cs="Arial"/>
          <w:sz w:val="16"/>
          <w:szCs w:val="16"/>
        </w:rPr>
        <w:t>W myśl art. 110 ust. 3 ustawy</w:t>
      </w:r>
      <w:r w:rsidRPr="00006222">
        <w:rPr>
          <w:rFonts w:ascii="Verdana" w:hAnsi="Verdana" w:cs="Arial"/>
          <w:sz w:val="16"/>
          <w:szCs w:val="16"/>
        </w:rPr>
        <w:t xml:space="preserve"> z </w:t>
      </w:r>
      <w:r>
        <w:rPr>
          <w:rFonts w:ascii="Verdana" w:hAnsi="Verdana" w:cs="Arial"/>
          <w:sz w:val="16"/>
          <w:szCs w:val="16"/>
        </w:rPr>
        <w:t>12 marca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pomocy obywatelom Ukrainy w związku z konfliktem zbrojnym na terytorium tego państwa</w:t>
      </w:r>
      <w:r w:rsidRPr="00E7313D">
        <w:rPr>
          <w:rFonts w:ascii="Verdana" w:hAnsi="Verdana" w:cs="Arial"/>
          <w:sz w:val="16"/>
          <w:szCs w:val="16"/>
        </w:rPr>
        <w:t xml:space="preserve"> </w:t>
      </w:r>
      <w:r>
        <w:rPr>
          <w:rFonts w:ascii="Verdana" w:hAnsi="Verdana" w:cs="Arial"/>
          <w:sz w:val="16"/>
          <w:szCs w:val="16"/>
        </w:rPr>
        <w:t>(Dz. U. poz. 583</w:t>
      </w:r>
      <w:r w:rsidRPr="00011AAA">
        <w:rPr>
          <w:rStyle w:val="Odwoanieprzypisudolnego"/>
          <w:rFonts w:ascii="Verdana" w:hAnsi="Verdana"/>
          <w:bCs/>
          <w:iCs/>
          <w:color w:val="000000"/>
          <w:sz w:val="16"/>
          <w:szCs w:val="16"/>
        </w:rPr>
        <w:footnoteReference w:id="6"/>
      </w:r>
      <w:r w:rsidRPr="00E7313D">
        <w:rPr>
          <w:rFonts w:ascii="Verdana" w:hAnsi="Verdana" w:cs="Arial"/>
          <w:sz w:val="16"/>
          <w:szCs w:val="16"/>
        </w:rPr>
        <w:t>)</w:t>
      </w:r>
      <w:r>
        <w:rPr>
          <w:rFonts w:ascii="Verdana" w:hAnsi="Verdana" w:cs="Arial"/>
          <w:sz w:val="16"/>
          <w:szCs w:val="16"/>
        </w:rPr>
        <w:t xml:space="preserve"> u</w:t>
      </w:r>
      <w:r w:rsidRPr="00CD66CD">
        <w:rPr>
          <w:rFonts w:ascii="Verdana" w:hAnsi="Verdana" w:cs="Arial"/>
          <w:sz w:val="16"/>
          <w:szCs w:val="16"/>
        </w:rPr>
        <w:t>stalając relację ograniczającą wysokość spłaty długu jednostki samorządu</w:t>
      </w:r>
      <w:r>
        <w:rPr>
          <w:rFonts w:ascii="Verdana" w:hAnsi="Verdana" w:cs="Arial"/>
          <w:sz w:val="16"/>
          <w:szCs w:val="16"/>
        </w:rPr>
        <w:t xml:space="preserve"> </w:t>
      </w:r>
      <w:r w:rsidRPr="00CD66CD">
        <w:rPr>
          <w:rFonts w:ascii="Verdana" w:hAnsi="Verdana" w:cs="Arial"/>
          <w:sz w:val="16"/>
          <w:szCs w:val="16"/>
        </w:rPr>
        <w:t>terytorialnego na rok 2023 i lata kolejne, wydatki bieżące budżetu tej jednostki</w:t>
      </w:r>
      <w:r>
        <w:rPr>
          <w:rFonts w:ascii="Verdana" w:hAnsi="Verdana" w:cs="Arial"/>
          <w:sz w:val="16"/>
          <w:szCs w:val="16"/>
        </w:rPr>
        <w:t xml:space="preserve"> </w:t>
      </w:r>
      <w:r w:rsidRPr="00CD66CD">
        <w:rPr>
          <w:rFonts w:ascii="Verdana" w:hAnsi="Verdana" w:cs="Arial"/>
          <w:sz w:val="16"/>
          <w:szCs w:val="16"/>
        </w:rPr>
        <w:t>podlegają pomniejszeniu o wydatki bieżące poniesione w celu realizacji zadań</w:t>
      </w:r>
      <w:r>
        <w:rPr>
          <w:rFonts w:ascii="Verdana" w:hAnsi="Verdana" w:cs="Arial"/>
          <w:sz w:val="16"/>
          <w:szCs w:val="16"/>
        </w:rPr>
        <w:t xml:space="preserve"> </w:t>
      </w:r>
      <w:r w:rsidRPr="00CD66CD">
        <w:rPr>
          <w:rFonts w:ascii="Verdana" w:hAnsi="Verdana" w:cs="Arial"/>
          <w:sz w:val="16"/>
          <w:szCs w:val="16"/>
        </w:rPr>
        <w:t xml:space="preserve">związanych z pomocą obywatelom Ukrainy </w:t>
      </w:r>
      <w:r>
        <w:rPr>
          <w:rFonts w:ascii="Verdana" w:hAnsi="Verdana" w:cs="Arial"/>
          <w:sz w:val="16"/>
          <w:szCs w:val="16"/>
        </w:rPr>
        <w:br/>
      </w:r>
      <w:r w:rsidRPr="00CD66CD">
        <w:rPr>
          <w:rFonts w:ascii="Verdana" w:hAnsi="Verdana" w:cs="Arial"/>
          <w:sz w:val="16"/>
          <w:szCs w:val="16"/>
        </w:rPr>
        <w:t>w związku z konfliktem zbrojnym na</w:t>
      </w:r>
      <w:r>
        <w:rPr>
          <w:rFonts w:ascii="Verdana" w:hAnsi="Verdana" w:cs="Arial"/>
          <w:sz w:val="16"/>
          <w:szCs w:val="16"/>
        </w:rPr>
        <w:t xml:space="preserve"> </w:t>
      </w:r>
      <w:r w:rsidRPr="00CD66CD">
        <w:rPr>
          <w:rFonts w:ascii="Verdana" w:hAnsi="Verdana" w:cs="Arial"/>
          <w:sz w:val="16"/>
          <w:szCs w:val="16"/>
        </w:rPr>
        <w:t>terytorium tego państwa w części, w jakiej nie są one finansowane środkami</w:t>
      </w:r>
      <w:r>
        <w:rPr>
          <w:rFonts w:ascii="Verdana" w:hAnsi="Verdana" w:cs="Arial"/>
          <w:sz w:val="16"/>
          <w:szCs w:val="16"/>
        </w:rPr>
        <w:t xml:space="preserve"> </w:t>
      </w:r>
      <w:r w:rsidRPr="00CD66CD">
        <w:rPr>
          <w:rFonts w:ascii="Verdana" w:hAnsi="Verdana" w:cs="Arial"/>
          <w:sz w:val="16"/>
          <w:szCs w:val="16"/>
        </w:rPr>
        <w:t>publicznymi otrzymanymi przez jednostkę na ten cel</w:t>
      </w:r>
      <w:r w:rsidRPr="00891B2D">
        <w:rPr>
          <w:rFonts w:ascii="Verdana" w:hAnsi="Verdana" w:cs="Arial"/>
          <w:sz w:val="16"/>
          <w:szCs w:val="16"/>
        </w:rPr>
        <w:t>.</w:t>
      </w:r>
    </w:p>
    <w:p w:rsidR="008A572A" w:rsidRPr="0085401F" w:rsidRDefault="008A572A" w:rsidP="008A572A">
      <w:pPr>
        <w:pStyle w:val="Akapitzlist"/>
        <w:numPr>
          <w:ilvl w:val="0"/>
          <w:numId w:val="53"/>
        </w:numPr>
        <w:autoSpaceDE w:val="0"/>
        <w:autoSpaceDN w:val="0"/>
        <w:adjustRightInd w:val="0"/>
        <w:spacing w:before="240" w:after="60"/>
        <w:ind w:left="426" w:hanging="284"/>
        <w:contextualSpacing w:val="0"/>
        <w:jc w:val="both"/>
        <w:rPr>
          <w:rFonts w:ascii="Verdana" w:hAnsi="Verdana" w:cs="Verdana"/>
          <w:b/>
          <w:color w:val="000000"/>
          <w:sz w:val="16"/>
          <w:szCs w:val="16"/>
        </w:rPr>
      </w:pPr>
      <w:r w:rsidRPr="0085401F">
        <w:rPr>
          <w:rFonts w:ascii="Verdana" w:hAnsi="Verdana" w:cs="Verdana"/>
          <w:b/>
          <w:color w:val="000000"/>
          <w:sz w:val="16"/>
          <w:szCs w:val="16"/>
        </w:rPr>
        <w:t>Zm</w:t>
      </w:r>
      <w:r>
        <w:rPr>
          <w:rFonts w:ascii="Verdana" w:hAnsi="Verdana" w:cs="Verdana"/>
          <w:b/>
          <w:color w:val="000000"/>
          <w:sz w:val="16"/>
          <w:szCs w:val="16"/>
        </w:rPr>
        <w:t>iany w regule wprowadzone w 2022</w:t>
      </w:r>
      <w:r w:rsidRPr="0085401F">
        <w:rPr>
          <w:rFonts w:ascii="Verdana" w:hAnsi="Verdana" w:cs="Verdana"/>
          <w:b/>
          <w:color w:val="000000"/>
          <w:sz w:val="16"/>
          <w:szCs w:val="16"/>
        </w:rPr>
        <w:t xml:space="preserve"> r. w związku z </w:t>
      </w:r>
      <w:r>
        <w:rPr>
          <w:rFonts w:ascii="Verdana" w:hAnsi="Verdana" w:cs="Verdana"/>
          <w:b/>
          <w:color w:val="000000"/>
          <w:sz w:val="16"/>
          <w:szCs w:val="16"/>
        </w:rPr>
        <w:t>modyfikacją rozwiązań legislacyjnych wchodzących w skład rządowego tzw. Programu Polski Ład</w:t>
      </w:r>
    </w:p>
    <w:p w:rsidR="008A572A" w:rsidRDefault="008A572A" w:rsidP="008A572A">
      <w:pPr>
        <w:autoSpaceDE w:val="0"/>
        <w:autoSpaceDN w:val="0"/>
        <w:adjustRightInd w:val="0"/>
        <w:spacing w:before="60" w:after="60"/>
        <w:jc w:val="both"/>
        <w:rPr>
          <w:rFonts w:ascii="Verdana" w:hAnsi="Verdana" w:cs="Arial"/>
          <w:sz w:val="16"/>
          <w:szCs w:val="16"/>
        </w:rPr>
      </w:pPr>
      <w:r>
        <w:rPr>
          <w:rFonts w:ascii="Verdana" w:hAnsi="Verdana" w:cs="Arial"/>
          <w:sz w:val="16"/>
          <w:szCs w:val="16"/>
        </w:rPr>
        <w:t>W myśl art. 35 ust. 1-2 ustawy</w:t>
      </w:r>
      <w:r w:rsidRPr="00006222">
        <w:rPr>
          <w:rFonts w:ascii="Verdana" w:hAnsi="Verdana" w:cs="Arial"/>
          <w:sz w:val="16"/>
          <w:szCs w:val="16"/>
        </w:rPr>
        <w:t xml:space="preserve"> z </w:t>
      </w:r>
      <w:r>
        <w:rPr>
          <w:rFonts w:ascii="Verdana" w:hAnsi="Verdana" w:cs="Arial"/>
          <w:sz w:val="16"/>
          <w:szCs w:val="16"/>
        </w:rPr>
        <w:t>9 czerwca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podatku dochodowym od osób fizycznych oraz niektórych innych ustaw</w:t>
      </w:r>
      <w:r w:rsidRPr="00E7313D">
        <w:rPr>
          <w:rFonts w:ascii="Verdana" w:hAnsi="Verdana" w:cs="Arial"/>
          <w:sz w:val="16"/>
          <w:szCs w:val="16"/>
        </w:rPr>
        <w:t xml:space="preserve"> </w:t>
      </w:r>
      <w:r>
        <w:rPr>
          <w:rFonts w:ascii="Verdana" w:hAnsi="Verdana" w:cs="Arial"/>
          <w:sz w:val="16"/>
          <w:szCs w:val="16"/>
        </w:rPr>
        <w:t>(Dz. U. poz. 1265, 1964 i 2180</w:t>
      </w:r>
      <w:r w:rsidRPr="00E7313D">
        <w:rPr>
          <w:rFonts w:ascii="Verdana" w:hAnsi="Verdana" w:cs="Arial"/>
          <w:sz w:val="16"/>
          <w:szCs w:val="16"/>
        </w:rPr>
        <w:t>)</w:t>
      </w:r>
      <w:r>
        <w:rPr>
          <w:rFonts w:ascii="Verdana" w:hAnsi="Verdana" w:cs="Arial"/>
          <w:sz w:val="16"/>
          <w:szCs w:val="16"/>
        </w:rPr>
        <w:t xml:space="preserve"> u</w:t>
      </w:r>
      <w:r w:rsidRPr="00CD66CD">
        <w:rPr>
          <w:rFonts w:ascii="Verdana" w:hAnsi="Verdana" w:cs="Arial"/>
          <w:sz w:val="16"/>
          <w:szCs w:val="16"/>
        </w:rPr>
        <w:t>stalając relację ograniczającą wysokość spłaty długu jednostki samorządu</w:t>
      </w:r>
      <w:r>
        <w:rPr>
          <w:rFonts w:ascii="Verdana" w:hAnsi="Verdana" w:cs="Arial"/>
          <w:sz w:val="16"/>
          <w:szCs w:val="16"/>
        </w:rPr>
        <w:t xml:space="preserve"> </w:t>
      </w:r>
      <w:r w:rsidRPr="00CD66CD">
        <w:rPr>
          <w:rFonts w:ascii="Verdana" w:hAnsi="Verdana" w:cs="Arial"/>
          <w:sz w:val="16"/>
          <w:szCs w:val="16"/>
        </w:rPr>
        <w:t>terytorialnego</w:t>
      </w:r>
      <w:r>
        <w:rPr>
          <w:rFonts w:ascii="Verdana" w:hAnsi="Verdana" w:cs="Arial"/>
          <w:sz w:val="16"/>
          <w:szCs w:val="16"/>
        </w:rPr>
        <w:t xml:space="preserve"> powyższego ograniczenia </w:t>
      </w:r>
      <w:r w:rsidRPr="00883367">
        <w:rPr>
          <w:rFonts w:ascii="Verdana" w:hAnsi="Verdana" w:cs="Arial"/>
          <w:sz w:val="16"/>
          <w:szCs w:val="16"/>
        </w:rPr>
        <w:t>nie stosuje się do wykupu papierów wartościowych, spłaty rat kredytów i pożyczek wraz z należnymi odsetkami i dyskontem oraz spłaty rat innych zobowiązań zaliczanych do tytułu dłużnego, o którym mowa w art. 72 ust. 1 pkt 2 ustawy o finansach publicznych, wraz z wydatkami bieżącymi na obsługę tych zobowiązań, odpowiednio emitowanych lub zaciąganych w związku z realizacją zadania inwestycyjnego dofinansowywanego z Rządowego Funduszu Polski Ład: Program Inwestycji Strategicznych, w terminie nie dłuższym niż 90 dni po zakończeniu zadania i otrzymaniu dofinansowania ze środków pochodzących z tego Funduszu</w:t>
      </w:r>
      <w:r w:rsidRPr="00891B2D">
        <w:rPr>
          <w:rFonts w:ascii="Verdana" w:hAnsi="Verdana" w:cs="Arial"/>
          <w:sz w:val="16"/>
          <w:szCs w:val="16"/>
        </w:rPr>
        <w:t>.</w:t>
      </w:r>
    </w:p>
    <w:p w:rsidR="008A572A" w:rsidRPr="0085401F" w:rsidRDefault="008A572A" w:rsidP="008A572A">
      <w:pPr>
        <w:pStyle w:val="Akapitzlist"/>
        <w:numPr>
          <w:ilvl w:val="0"/>
          <w:numId w:val="53"/>
        </w:numPr>
        <w:autoSpaceDE w:val="0"/>
        <w:autoSpaceDN w:val="0"/>
        <w:adjustRightInd w:val="0"/>
        <w:spacing w:before="240" w:after="60"/>
        <w:ind w:left="426" w:hanging="284"/>
        <w:contextualSpacing w:val="0"/>
        <w:jc w:val="both"/>
        <w:rPr>
          <w:rFonts w:ascii="Verdana" w:hAnsi="Verdana" w:cs="Verdana"/>
          <w:b/>
          <w:color w:val="000000"/>
          <w:sz w:val="16"/>
          <w:szCs w:val="16"/>
        </w:rPr>
      </w:pPr>
      <w:r w:rsidRPr="0085401F">
        <w:rPr>
          <w:rFonts w:ascii="Verdana" w:hAnsi="Verdana" w:cs="Verdana"/>
          <w:b/>
          <w:color w:val="000000"/>
          <w:sz w:val="16"/>
          <w:szCs w:val="16"/>
        </w:rPr>
        <w:t>Zm</w:t>
      </w:r>
      <w:r>
        <w:rPr>
          <w:rFonts w:ascii="Verdana" w:hAnsi="Verdana" w:cs="Verdana"/>
          <w:b/>
          <w:color w:val="000000"/>
          <w:sz w:val="16"/>
          <w:szCs w:val="16"/>
        </w:rPr>
        <w:t>iany w regule wprowadzone w 2022</w:t>
      </w:r>
      <w:r w:rsidRPr="0085401F">
        <w:rPr>
          <w:rFonts w:ascii="Verdana" w:hAnsi="Verdana" w:cs="Verdana"/>
          <w:b/>
          <w:color w:val="000000"/>
          <w:sz w:val="16"/>
          <w:szCs w:val="16"/>
        </w:rPr>
        <w:t xml:space="preserve"> r. w związku </w:t>
      </w:r>
      <w:r>
        <w:rPr>
          <w:rFonts w:ascii="Verdana" w:hAnsi="Verdana" w:cs="Verdana"/>
          <w:b/>
          <w:color w:val="000000"/>
          <w:sz w:val="16"/>
          <w:szCs w:val="16"/>
        </w:rPr>
        <w:t xml:space="preserve">ze skutkami zmian podatkowych wprowadzonych w ramach rządowego tzw. Programu Polski Ład oraz w związku </w:t>
      </w:r>
      <w:r w:rsidRPr="0085401F">
        <w:rPr>
          <w:rFonts w:ascii="Verdana" w:hAnsi="Verdana" w:cs="Verdana"/>
          <w:b/>
          <w:color w:val="000000"/>
          <w:sz w:val="16"/>
          <w:szCs w:val="16"/>
        </w:rPr>
        <w:t xml:space="preserve">z </w:t>
      </w:r>
      <w:r>
        <w:rPr>
          <w:rFonts w:ascii="Verdana" w:hAnsi="Verdana" w:cs="Verdana"/>
          <w:b/>
          <w:color w:val="000000"/>
          <w:sz w:val="16"/>
          <w:szCs w:val="16"/>
        </w:rPr>
        <w:t>kryzysem energetycznym</w:t>
      </w:r>
    </w:p>
    <w:p w:rsidR="008A572A" w:rsidRDefault="008A572A" w:rsidP="008A572A">
      <w:pPr>
        <w:spacing w:before="80" w:after="80"/>
        <w:jc w:val="both"/>
        <w:rPr>
          <w:rFonts w:ascii="Verdana" w:hAnsi="Verdana" w:cs="Arial"/>
          <w:sz w:val="16"/>
          <w:szCs w:val="16"/>
        </w:rPr>
      </w:pPr>
      <w:r>
        <w:rPr>
          <w:rFonts w:ascii="Verdana" w:hAnsi="Verdana" w:cs="Arial"/>
          <w:sz w:val="16"/>
          <w:szCs w:val="16"/>
        </w:rPr>
        <w:t>W myśl art. 7 ustawy</w:t>
      </w:r>
      <w:r w:rsidRPr="00006222">
        <w:rPr>
          <w:rFonts w:ascii="Verdana" w:hAnsi="Verdana" w:cs="Arial"/>
          <w:sz w:val="16"/>
          <w:szCs w:val="16"/>
        </w:rPr>
        <w:t xml:space="preserve"> z </w:t>
      </w:r>
      <w:r>
        <w:rPr>
          <w:rFonts w:ascii="Verdana" w:hAnsi="Verdana" w:cs="Arial"/>
          <w:sz w:val="16"/>
          <w:szCs w:val="16"/>
        </w:rPr>
        <w:t>15 września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dochodach jednostek samorządu terytorialnego oraz niektórych innych ustaw</w:t>
      </w:r>
      <w:r w:rsidRPr="00E7313D">
        <w:rPr>
          <w:rFonts w:ascii="Verdana" w:hAnsi="Verdana" w:cs="Arial"/>
          <w:sz w:val="16"/>
          <w:szCs w:val="16"/>
        </w:rPr>
        <w:t xml:space="preserve"> </w:t>
      </w:r>
      <w:r>
        <w:rPr>
          <w:rFonts w:ascii="Verdana" w:hAnsi="Verdana" w:cs="Arial"/>
          <w:sz w:val="16"/>
          <w:szCs w:val="16"/>
        </w:rPr>
        <w:t>(Dz. U. poz. 1964</w:t>
      </w:r>
      <w:r w:rsidRPr="00E7313D">
        <w:rPr>
          <w:rFonts w:ascii="Verdana" w:hAnsi="Verdana" w:cs="Arial"/>
          <w:sz w:val="16"/>
          <w:szCs w:val="16"/>
        </w:rPr>
        <w:t>)</w:t>
      </w:r>
      <w:r>
        <w:rPr>
          <w:rFonts w:ascii="Verdana" w:hAnsi="Verdana" w:cs="Arial"/>
          <w:sz w:val="16"/>
          <w:szCs w:val="16"/>
        </w:rPr>
        <w:t xml:space="preserve"> </w:t>
      </w:r>
      <w:r>
        <w:rPr>
          <w:rFonts w:ascii="Verdana" w:hAnsi="Verdana"/>
          <w:b/>
          <w:sz w:val="16"/>
          <w:szCs w:val="16"/>
        </w:rPr>
        <w:t>reguła indywidualnego limitu obsługi długu</w:t>
      </w:r>
      <w:r w:rsidRPr="008E4FAA">
        <w:rPr>
          <w:rFonts w:ascii="Verdana" w:hAnsi="Verdana" w:cs="Arial"/>
          <w:i/>
          <w:sz w:val="16"/>
          <w:szCs w:val="16"/>
        </w:rPr>
        <w:t xml:space="preserve"> </w:t>
      </w:r>
      <w:r w:rsidRPr="008E4FAA">
        <w:rPr>
          <w:rFonts w:ascii="Verdana" w:hAnsi="Verdana" w:cs="Arial"/>
          <w:b/>
          <w:sz w:val="16"/>
          <w:szCs w:val="16"/>
        </w:rPr>
        <w:t>może być niezachowana w latach 2023–2025 w przypadku, gdy prognozowana łączna kwota długu jednostki samorządu terytorialnego na koniec danego roku nie przekroczy 100% planowanych dochodów ogółem</w:t>
      </w:r>
      <w:r w:rsidRPr="008E4FAA">
        <w:rPr>
          <w:rFonts w:ascii="Verdana" w:hAnsi="Verdana" w:cs="Arial"/>
          <w:sz w:val="16"/>
          <w:szCs w:val="16"/>
        </w:rPr>
        <w:t xml:space="preserve"> tej jednostki w tym roku budżetowym, pomniejszonych o planowane kwoty dotacji i środków o podobnym charakterze oraz powiększonych o przychody z tytułów określonych w art. 217 ust. 2 pkt 4–8 ustawy </w:t>
      </w:r>
      <w:r>
        <w:rPr>
          <w:rFonts w:ascii="Verdana" w:hAnsi="Verdana" w:cs="Arial"/>
          <w:sz w:val="16"/>
          <w:szCs w:val="16"/>
        </w:rPr>
        <w:t>o finansach publicznych</w:t>
      </w:r>
      <w:r w:rsidRPr="008E4FAA">
        <w:rPr>
          <w:rFonts w:ascii="Verdana" w:hAnsi="Verdana" w:cs="Arial"/>
          <w:sz w:val="16"/>
          <w:szCs w:val="16"/>
        </w:rPr>
        <w:t>, nieprzeznaczone na sfinansowanie deficytu budżetowego</w:t>
      </w:r>
      <w:r>
        <w:rPr>
          <w:rFonts w:ascii="Verdana" w:hAnsi="Verdana" w:cs="Arial"/>
          <w:sz w:val="16"/>
          <w:szCs w:val="16"/>
        </w:rPr>
        <w:t xml:space="preserve">. </w:t>
      </w:r>
      <w:r w:rsidRPr="008E4FAA">
        <w:rPr>
          <w:rFonts w:ascii="Verdana" w:hAnsi="Verdana" w:cs="Arial"/>
          <w:sz w:val="16"/>
          <w:szCs w:val="16"/>
        </w:rPr>
        <w:t xml:space="preserve">Niezachowanie relacji ograniczającej wysokość spłaty zobowiązań jednostki samorządu terytorialnego nie może zagrażać realizacji zadań publicznych przez jednostkę samorządu terytorialnego w roku budżetowym i latach następnych. Regionalna izba </w:t>
      </w:r>
      <w:r w:rsidRPr="008E4FAA">
        <w:rPr>
          <w:rFonts w:ascii="Verdana" w:hAnsi="Verdana" w:cs="Arial"/>
          <w:sz w:val="16"/>
          <w:szCs w:val="16"/>
        </w:rPr>
        <w:lastRenderedPageBreak/>
        <w:t xml:space="preserve">obrachunkowa, wydając opinie, o których mowa w art. 91 ust. 2, art. 230 ust. 3 i 4 oraz art. 246 ustawy </w:t>
      </w:r>
      <w:r>
        <w:rPr>
          <w:rFonts w:ascii="Verdana" w:hAnsi="Verdana" w:cs="Arial"/>
          <w:sz w:val="16"/>
          <w:szCs w:val="16"/>
        </w:rPr>
        <w:br/>
        <w:t>o finansach publicznych</w:t>
      </w:r>
      <w:r w:rsidRPr="008E4FAA">
        <w:rPr>
          <w:rFonts w:ascii="Verdana" w:hAnsi="Verdana" w:cs="Arial"/>
          <w:sz w:val="16"/>
          <w:szCs w:val="16"/>
        </w:rPr>
        <w:t>, ocenia również wpływ niezachowania tej relacji na realizację zadań publicznych</w:t>
      </w:r>
      <w:r>
        <w:rPr>
          <w:rFonts w:ascii="Verdana" w:hAnsi="Verdana" w:cs="Arial"/>
          <w:sz w:val="16"/>
          <w:szCs w:val="16"/>
        </w:rPr>
        <w:t>.</w:t>
      </w:r>
    </w:p>
    <w:p w:rsidR="008A572A" w:rsidRPr="0085401F" w:rsidRDefault="008A572A" w:rsidP="008A572A">
      <w:pPr>
        <w:pStyle w:val="Akapitzlist"/>
        <w:numPr>
          <w:ilvl w:val="0"/>
          <w:numId w:val="53"/>
        </w:numPr>
        <w:spacing w:before="240" w:after="120"/>
        <w:ind w:left="426" w:hanging="284"/>
        <w:jc w:val="both"/>
        <w:rPr>
          <w:rFonts w:ascii="Verdana" w:hAnsi="Verdana" w:cs="Verdana"/>
          <w:b/>
          <w:color w:val="000000"/>
          <w:sz w:val="16"/>
          <w:szCs w:val="16"/>
        </w:rPr>
      </w:pPr>
      <w:r>
        <w:rPr>
          <w:rFonts w:ascii="Verdana" w:hAnsi="Verdana" w:cs="Verdana"/>
          <w:b/>
          <w:color w:val="000000"/>
          <w:sz w:val="16"/>
          <w:szCs w:val="16"/>
        </w:rPr>
        <w:t>Zapis matematyczny reguły</w:t>
      </w:r>
    </w:p>
    <w:p w:rsidR="008A572A" w:rsidRPr="000A6485" w:rsidRDefault="008A572A" w:rsidP="008A572A">
      <w:pPr>
        <w:spacing w:before="80" w:after="80"/>
        <w:jc w:val="both"/>
        <w:rPr>
          <w:rFonts w:ascii="Verdana" w:hAnsi="Verdana" w:cs="Arial"/>
          <w:bCs/>
          <w:sz w:val="16"/>
          <w:szCs w:val="16"/>
        </w:rPr>
      </w:pPr>
      <w:r w:rsidRPr="000A6485">
        <w:rPr>
          <w:rFonts w:ascii="Verdana" w:hAnsi="Verdana" w:cs="Arial"/>
          <w:bCs/>
          <w:sz w:val="16"/>
          <w:szCs w:val="16"/>
        </w:rPr>
        <w:t>Ustawową regułę limitu obciążeń budżetu związanych z obsługą długu prezentują poniższe wzory:</w:t>
      </w:r>
    </w:p>
    <w:p w:rsidR="008A572A" w:rsidRDefault="008A572A" w:rsidP="008A572A">
      <w:pPr>
        <w:spacing w:before="240" w:after="120"/>
        <w:ind w:left="709" w:hanging="709"/>
        <w:jc w:val="center"/>
        <w:rPr>
          <w:rFonts w:ascii="Verdana" w:hAnsi="Verdana" w:cs="Arial"/>
          <w:b/>
          <w:sz w:val="16"/>
          <w:szCs w:val="16"/>
        </w:rPr>
      </w:pPr>
      <w:r w:rsidRPr="000A6485">
        <w:rPr>
          <w:rFonts w:ascii="Verdana" w:hAnsi="Verdana" w:cs="Arial"/>
          <w:sz w:val="16"/>
          <w:szCs w:val="16"/>
        </w:rPr>
        <w:t xml:space="preserve">Formuła obowiązująca </w:t>
      </w:r>
      <w:r>
        <w:rPr>
          <w:rFonts w:ascii="Verdana" w:hAnsi="Verdana" w:cs="Arial"/>
          <w:b/>
          <w:sz w:val="16"/>
          <w:szCs w:val="16"/>
        </w:rPr>
        <w:t>w latach 2023</w:t>
      </w:r>
      <w:r w:rsidRPr="000A6485">
        <w:rPr>
          <w:rFonts w:ascii="Verdana" w:hAnsi="Verdana" w:cs="Arial"/>
          <w:b/>
          <w:sz w:val="16"/>
          <w:szCs w:val="16"/>
        </w:rPr>
        <w:t>-2025</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8A572A" w:rsidRPr="00011AAA" w:rsidTr="008A572A">
        <w:tc>
          <w:tcPr>
            <w:tcW w:w="9071" w:type="dxa"/>
          </w:tcPr>
          <w:p w:rsidR="008A572A" w:rsidRPr="00E071BF" w:rsidRDefault="008A572A" w:rsidP="008A572A">
            <w:pPr>
              <w:spacing w:before="120" w:after="120"/>
              <w:jc w:val="both"/>
              <w:rPr>
                <w:rFonts w:ascii="Verdana" w:hAnsi="Verdana" w:cs="Arial"/>
                <w:b/>
                <w:sz w:val="20"/>
                <w:szCs w:val="20"/>
              </w:rPr>
            </w:pPr>
            <m:oMathPara>
              <m:oMath>
                <m:f>
                  <m:fPr>
                    <m:ctrlPr>
                      <w:rPr>
                        <w:rFonts w:ascii="Cambria Math" w:hAnsi="Cambria Math" w:cs="Arial"/>
                        <w:b/>
                        <w:sz w:val="20"/>
                        <w:szCs w:val="20"/>
                      </w:rPr>
                    </m:ctrlPr>
                  </m:fPr>
                  <m:num>
                    <m:r>
                      <m:rPr>
                        <m:sty m:val="b"/>
                      </m:rPr>
                      <w:rPr>
                        <w:rFonts w:ascii="Cambria Math" w:hAnsi="Cambria Math" w:cs="Arial"/>
                        <w:sz w:val="20"/>
                        <w:szCs w:val="20"/>
                      </w:rPr>
                      <m:t>R+O</m:t>
                    </m:r>
                  </m:num>
                  <m:den>
                    <m:r>
                      <m:rPr>
                        <m:sty m:val="b"/>
                      </m:rPr>
                      <w:rPr>
                        <w:rFonts w:ascii="Cambria Math" w:hAnsi="Cambria Math" w:cs="Arial"/>
                        <w:sz w:val="20"/>
                        <w:szCs w:val="20"/>
                      </w:rPr>
                      <m:t>Db</m:t>
                    </m:r>
                  </m:den>
                </m:f>
                <m:r>
                  <m:rPr>
                    <m:sty m:val="b"/>
                  </m:rPr>
                  <w:rPr>
                    <w:rFonts w:ascii="Cambria Math" w:hAnsi="Cambria Math" w:cs="Arial"/>
                    <w:sz w:val="20"/>
                    <w:szCs w:val="20"/>
                  </w:rPr>
                  <m:t>≤</m:t>
                </m:r>
                <m:f>
                  <m:fPr>
                    <m:ctrlPr>
                      <w:rPr>
                        <w:rFonts w:ascii="Cambria Math" w:hAnsi="Cambria Math" w:cs="Arial"/>
                        <w:b/>
                        <w:sz w:val="20"/>
                        <w:szCs w:val="20"/>
                      </w:rPr>
                    </m:ctrlPr>
                  </m:fPr>
                  <m:num>
                    <m:r>
                      <m:rPr>
                        <m:sty m:val="b"/>
                      </m:rPr>
                      <w:rPr>
                        <w:rFonts w:ascii="Cambria Math" w:hAnsi="Cambria Math" w:cs="Arial"/>
                        <w:sz w:val="20"/>
                        <w:szCs w:val="20"/>
                      </w:rPr>
                      <m:t>1</m:t>
                    </m:r>
                  </m:num>
                  <m:den>
                    <m:r>
                      <m:rPr>
                        <m:sty m:val="b"/>
                      </m:rPr>
                      <w:rPr>
                        <w:rFonts w:ascii="Cambria Math" w:hAnsi="Cambria Math" w:cs="Arial"/>
                        <w:sz w:val="20"/>
                        <w:szCs w:val="20"/>
                      </w:rPr>
                      <m:t>3˅7</m:t>
                    </m:r>
                  </m:den>
                </m:f>
                <m:r>
                  <m:rPr>
                    <m:sty m:val="b"/>
                  </m:rPr>
                  <w:rPr>
                    <w:rFonts w:ascii="Cambria Math" w:hAnsi="Cambria Math" w:cs="Arial"/>
                    <w:sz w:val="20"/>
                    <w:szCs w:val="20"/>
                  </w:rPr>
                  <m:t xml:space="preserve"> x </m:t>
                </m:r>
                <m:nary>
                  <m:naryPr>
                    <m:chr m:val="∑"/>
                    <m:limLoc m:val="subSup"/>
                    <m:ctrlPr>
                      <w:rPr>
                        <w:rFonts w:ascii="Cambria Math" w:hAnsi="Cambria Math" w:cs="Arial"/>
                        <w:b/>
                        <w:sz w:val="20"/>
                        <w:szCs w:val="20"/>
                      </w:rPr>
                    </m:ctrlPr>
                  </m:naryPr>
                  <m:sub>
                    <m:r>
                      <m:rPr>
                        <m:sty m:val="b"/>
                      </m:rPr>
                      <w:rPr>
                        <w:rFonts w:ascii="Cambria Math" w:hAnsi="Cambria Math" w:cs="Arial"/>
                        <w:sz w:val="20"/>
                        <w:szCs w:val="20"/>
                      </w:rPr>
                      <m:t>i=1</m:t>
                    </m:r>
                  </m:sub>
                  <m:sup>
                    <m:r>
                      <m:rPr>
                        <m:sty m:val="b"/>
                      </m:rPr>
                      <w:rPr>
                        <w:rFonts w:ascii="Cambria Math" w:hAnsi="Cambria Math" w:cs="Arial"/>
                        <w:sz w:val="20"/>
                        <w:szCs w:val="20"/>
                      </w:rPr>
                      <m:t>3˅7</m:t>
                    </m:r>
                  </m:sup>
                  <m:e>
                    <m:f>
                      <m:fPr>
                        <m:ctrlPr>
                          <w:rPr>
                            <w:rFonts w:ascii="Cambria Math" w:hAnsi="Cambria Math" w:cs="Arial"/>
                            <w:b/>
                            <w:sz w:val="20"/>
                            <w:szCs w:val="20"/>
                          </w:rPr>
                        </m:ctrlPr>
                      </m:fPr>
                      <m:num>
                        <m:r>
                          <m:rPr>
                            <m:sty m:val="b"/>
                          </m:rPr>
                          <w:rPr>
                            <w:rFonts w:ascii="Cambria Math" w:hAnsi="Cambria Math" w:cs="Arial"/>
                            <w:sz w:val="20"/>
                            <w:szCs w:val="20"/>
                          </w:rPr>
                          <m:t>Dbei-(Wbei-Oi-</m:t>
                        </m:r>
                        <m:sSub>
                          <m:sSubPr>
                            <m:ctrlPr>
                              <w:rPr>
                                <w:rFonts w:ascii="Cambria Math" w:hAnsi="Cambria Math" w:cs="Arial"/>
                                <w:b/>
                                <w:sz w:val="20"/>
                                <w:szCs w:val="20"/>
                              </w:rPr>
                            </m:ctrlPr>
                          </m:sSubPr>
                          <m:e>
                            <m:r>
                              <m:rPr>
                                <m:sty m:val="b"/>
                              </m:rPr>
                              <w:rPr>
                                <w:rFonts w:ascii="Cambria Math" w:hAnsi="Cambria Math" w:cs="Arial"/>
                                <w:sz w:val="20"/>
                                <w:szCs w:val="20"/>
                              </w:rPr>
                              <m:t>WB COVID 19</m:t>
                            </m:r>
                          </m:e>
                          <m:sub>
                            <m:r>
                              <m:rPr>
                                <m:sty m:val="b"/>
                              </m:rPr>
                              <w:rPr>
                                <w:rFonts w:ascii="Cambria Math" w:hAnsi="Cambria Math" w:cs="Arial"/>
                                <w:sz w:val="20"/>
                                <w:szCs w:val="20"/>
                              </w:rPr>
                              <m:t>2020-2021</m:t>
                            </m:r>
                          </m:sub>
                        </m:sSub>
                        <m:r>
                          <m:rPr>
                            <m:sty m:val="bi"/>
                          </m:rPr>
                          <w:rPr>
                            <w:rFonts w:ascii="Cambria Math" w:hAnsi="Cambria Math" w:cs="Arial"/>
                            <w:color w:val="000000" w:themeColor="text1"/>
                          </w:rPr>
                          <m:t>-</m:t>
                        </m:r>
                        <m:r>
                          <m:rPr>
                            <m:sty m:val="bi"/>
                          </m:rPr>
                          <w:rPr>
                            <w:rFonts w:ascii="Cambria Math" w:hAnsi="Cambria Math" w:cs="Arial"/>
                            <w:color w:val="0033CC"/>
                          </w:rPr>
                          <m:t xml:space="preserve"> </m:t>
                        </m:r>
                        <m:sSub>
                          <m:sSubPr>
                            <m:ctrlPr>
                              <w:rPr>
                                <w:rFonts w:ascii="Cambria Math" w:hAnsi="Cambria Math" w:cs="Arial"/>
                                <w:b/>
                                <w:sz w:val="20"/>
                                <w:szCs w:val="20"/>
                              </w:rPr>
                            </m:ctrlPr>
                          </m:sSubPr>
                          <m:e>
                            <m:r>
                              <m:rPr>
                                <m:sty m:val="b"/>
                              </m:rPr>
                              <w:rPr>
                                <w:rFonts w:ascii="Cambria Math" w:hAnsi="Cambria Math" w:cs="Arial"/>
                                <w:sz w:val="20"/>
                                <w:szCs w:val="20"/>
                              </w:rPr>
                              <m:t>WBi</m:t>
                            </m:r>
                          </m:e>
                          <m:sub>
                            <m:r>
                              <m:rPr>
                                <m:sty m:val="b"/>
                              </m:rPr>
                              <w:rPr>
                                <w:rFonts w:ascii="Cambria Math" w:hAnsi="Cambria Math" w:cs="Arial"/>
                                <w:sz w:val="20"/>
                                <w:szCs w:val="20"/>
                              </w:rPr>
                              <m:t>ukr</m:t>
                            </m:r>
                          </m:sub>
                        </m:sSub>
                        <m:r>
                          <m:rPr>
                            <m:sty m:val="b"/>
                          </m:rPr>
                          <w:rPr>
                            <w:rFonts w:ascii="Cambria Math" w:hAnsi="Cambria Math" w:cs="Arial"/>
                            <w:sz w:val="20"/>
                            <w:szCs w:val="20"/>
                          </w:rPr>
                          <m:t>)+ Dsmi</m:t>
                        </m:r>
                      </m:num>
                      <m:den>
                        <m:r>
                          <m:rPr>
                            <m:sty m:val="b"/>
                          </m:rPr>
                          <w:rPr>
                            <w:rFonts w:ascii="Cambria Math" w:hAnsi="Cambria Math" w:cs="Arial"/>
                            <w:sz w:val="20"/>
                            <w:szCs w:val="20"/>
                          </w:rPr>
                          <m:t>Dbi</m:t>
                        </m:r>
                      </m:den>
                    </m:f>
                  </m:e>
                </m:nary>
              </m:oMath>
            </m:oMathPara>
          </w:p>
          <w:p w:rsidR="008A572A" w:rsidRPr="00E071BF" w:rsidRDefault="008A572A" w:rsidP="008A572A">
            <w:pPr>
              <w:spacing w:before="120" w:after="120"/>
              <w:jc w:val="both"/>
              <w:rPr>
                <w:rFonts w:ascii="Verdana" w:hAnsi="Verdana" w:cs="Arial"/>
                <w:b/>
                <w:sz w:val="20"/>
                <w:szCs w:val="20"/>
              </w:rPr>
            </w:pPr>
            <w:r>
              <w:rPr>
                <w:rFonts w:ascii="Verdana" w:hAnsi="Verdana" w:cs="Arial"/>
                <w:bCs/>
                <w:noProof/>
                <w:sz w:val="16"/>
                <w:szCs w:val="16"/>
              </w:rPr>
              <mc:AlternateContent>
                <mc:Choice Requires="wps">
                  <w:drawing>
                    <wp:anchor distT="0" distB="0" distL="114300" distR="114300" simplePos="0" relativeHeight="251712512" behindDoc="0" locked="0" layoutInCell="1" allowOverlap="1" wp14:anchorId="206F5EE3" wp14:editId="6B97EEDF">
                      <wp:simplePos x="0" y="0"/>
                      <wp:positionH relativeFrom="margin">
                        <wp:posOffset>-9166</wp:posOffset>
                      </wp:positionH>
                      <wp:positionV relativeFrom="paragraph">
                        <wp:posOffset>128050</wp:posOffset>
                      </wp:positionV>
                      <wp:extent cx="5891917" cy="723900"/>
                      <wp:effectExtent l="0" t="0" r="0" b="0"/>
                      <wp:wrapNone/>
                      <wp:docPr id="29" name="Pole tekstowe 29"/>
                      <wp:cNvGraphicFramePr/>
                      <a:graphic xmlns:a="http://schemas.openxmlformats.org/drawingml/2006/main">
                        <a:graphicData uri="http://schemas.microsoft.com/office/word/2010/wordprocessingShape">
                          <wps:wsp>
                            <wps:cNvSpPr txBox="1"/>
                            <wps:spPr>
                              <a:xfrm>
                                <a:off x="0" y="0"/>
                                <a:ext cx="5891917" cy="723900"/>
                              </a:xfrm>
                              <a:prstGeom prst="rect">
                                <a:avLst/>
                              </a:prstGeom>
                              <a:noFill/>
                              <a:ln w="6350">
                                <a:noFill/>
                              </a:ln>
                            </wps:spPr>
                            <wps:txbx>
                              <w:txbxContent>
                                <w:p w:rsidR="008A572A" w:rsidRPr="00155149" w:rsidRDefault="008A572A" w:rsidP="008A572A">
                                  <w:pPr>
                                    <w:jc w:val="both"/>
                                    <w:rPr>
                                      <w:rFonts w:ascii="Verdana" w:hAnsi="Verdana" w:cs="Arial"/>
                                      <w:bCs/>
                                      <w:sz w:val="14"/>
                                      <w:szCs w:val="14"/>
                                    </w:rPr>
                                  </w:pPr>
                                  <w:r w:rsidRPr="00E071BF">
                                    <w:rPr>
                                      <w:rFonts w:ascii="Verdana" w:hAnsi="Verdana" w:cs="Arial"/>
                                      <w:b/>
                                      <w:bCs/>
                                      <w:sz w:val="14"/>
                                      <w:szCs w:val="14"/>
                                    </w:rPr>
                                    <w:t>M</w:t>
                                  </w:r>
                                  <w:r w:rsidRPr="00A64C0C">
                                    <w:rPr>
                                      <w:rFonts w:ascii="Verdana" w:hAnsi="Verdana" w:cs="Arial"/>
                                      <w:b/>
                                      <w:bCs/>
                                      <w:sz w:val="14"/>
                                      <w:szCs w:val="14"/>
                                    </w:rPr>
                                    <w:t>ożliwość niespełnienia art. 243 w latach 2023-2025</w:t>
                                  </w:r>
                                  <w:r>
                                    <w:rPr>
                                      <w:rFonts w:ascii="Verdana" w:hAnsi="Verdana" w:cs="Arial"/>
                                      <w:bCs/>
                                      <w:sz w:val="14"/>
                                      <w:szCs w:val="14"/>
                                    </w:rPr>
                                    <w:t xml:space="preserve"> pod warunkiem nieprzekroczenia przez dług poziomu dochodów</w:t>
                                  </w:r>
                                  <w:r w:rsidRPr="00A64C0C">
                                    <w:rPr>
                                      <w:rFonts w:ascii="Verdana" w:hAnsi="Verdana" w:cs="Arial"/>
                                      <w:bCs/>
                                      <w:sz w:val="14"/>
                                      <w:szCs w:val="14"/>
                                    </w:rPr>
                                    <w:t xml:space="preserve"> ogółem</w:t>
                                  </w:r>
                                  <w:r>
                                    <w:rPr>
                                      <w:rFonts w:ascii="Verdana" w:hAnsi="Verdana" w:cs="Arial"/>
                                      <w:bCs/>
                                      <w:sz w:val="14"/>
                                      <w:szCs w:val="14"/>
                                    </w:rPr>
                                    <w:t>, pomniejszonych</w:t>
                                  </w:r>
                                  <w:r w:rsidRPr="00A64C0C">
                                    <w:rPr>
                                      <w:rFonts w:ascii="Verdana" w:hAnsi="Verdana" w:cs="Arial"/>
                                      <w:bCs/>
                                      <w:sz w:val="14"/>
                                      <w:szCs w:val="14"/>
                                    </w:rPr>
                                    <w:t xml:space="preserve"> o planowane kwoty dotacji i środków o podobnym charakterze oraz powiększon</w:t>
                                  </w:r>
                                  <w:r>
                                    <w:rPr>
                                      <w:rFonts w:ascii="Verdana" w:hAnsi="Verdana" w:cs="Arial"/>
                                      <w:bCs/>
                                      <w:sz w:val="14"/>
                                      <w:szCs w:val="14"/>
                                    </w:rPr>
                                    <w:t>ych</w:t>
                                  </w:r>
                                  <w:r w:rsidRPr="00A64C0C">
                                    <w:rPr>
                                      <w:rFonts w:ascii="Verdana" w:hAnsi="Verdana" w:cs="Arial"/>
                                      <w:bCs/>
                                      <w:sz w:val="14"/>
                                      <w:szCs w:val="14"/>
                                    </w:rPr>
                                    <w:t xml:space="preserve"> </w:t>
                                  </w:r>
                                  <w:r>
                                    <w:rPr>
                                      <w:rFonts w:ascii="Verdana" w:hAnsi="Verdana" w:cs="Arial"/>
                                      <w:bCs/>
                                      <w:sz w:val="14"/>
                                      <w:szCs w:val="14"/>
                                    </w:rPr>
                                    <w:br/>
                                  </w:r>
                                  <w:r w:rsidRPr="00A64C0C">
                                    <w:rPr>
                                      <w:rFonts w:ascii="Verdana" w:hAnsi="Verdana" w:cs="Arial"/>
                                      <w:bCs/>
                                      <w:sz w:val="14"/>
                                      <w:szCs w:val="14"/>
                                    </w:rPr>
                                    <w:t>o przychody z tytułów określonych w art. 217 ust. 2 pkt 4–8</w:t>
                                  </w:r>
                                  <w:r>
                                    <w:rPr>
                                      <w:rFonts w:ascii="Verdana" w:hAnsi="Verdana" w:cs="Arial"/>
                                      <w:bCs/>
                                      <w:sz w:val="14"/>
                                      <w:szCs w:val="14"/>
                                    </w:rPr>
                                    <w:t xml:space="preserve"> ustawy o finansach publicznych</w:t>
                                  </w:r>
                                  <w:r w:rsidRPr="00A64C0C">
                                    <w:rPr>
                                      <w:rFonts w:ascii="Verdana" w:hAnsi="Verdana" w:cs="Arial"/>
                                      <w:bCs/>
                                      <w:sz w:val="14"/>
                                      <w:szCs w:val="14"/>
                                    </w:rPr>
                                    <w:t>, nieprzeznaczone na sfinansowanie deficytu budżetowego</w:t>
                                  </w:r>
                                  <w:r>
                                    <w:rPr>
                                      <w:rFonts w:ascii="Verdana" w:hAnsi="Verdana" w:cs="Arial"/>
                                      <w:bCs/>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6F5EE3" id="_x0000_t202" coordsize="21600,21600" o:spt="202" path="m,l,21600r21600,l21600,xe">
                      <v:stroke joinstyle="miter"/>
                      <v:path gradientshapeok="t" o:connecttype="rect"/>
                    </v:shapetype>
                    <v:shape id="Pole tekstowe 29" o:spid="_x0000_s1026" type="#_x0000_t202" style="position:absolute;left:0;text-align:left;margin-left:-.7pt;margin-top:10.1pt;width:463.95pt;height:57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" filled="f" stroked="f" strokeweight=".5pt">
                      <v:textbox>
                        <w:txbxContent>
                          <w:p w:rsidR="008A572A" w:rsidRPr="00155149" w:rsidRDefault="008A572A" w:rsidP="008A572A">
                            <w:pPr>
                              <w:jc w:val="both"/>
                              <w:rPr>
                                <w:rFonts w:ascii="Verdana" w:hAnsi="Verdana" w:cs="Arial"/>
                                <w:bCs/>
                                <w:sz w:val="14"/>
                                <w:szCs w:val="14"/>
                              </w:rPr>
                            </w:pPr>
                            <w:r w:rsidRPr="00E071BF">
                              <w:rPr>
                                <w:rFonts w:ascii="Verdana" w:hAnsi="Verdana" w:cs="Arial"/>
                                <w:b/>
                                <w:bCs/>
                                <w:sz w:val="14"/>
                                <w:szCs w:val="14"/>
                              </w:rPr>
                              <w:t>M</w:t>
                            </w:r>
                            <w:r w:rsidRPr="00A64C0C">
                              <w:rPr>
                                <w:rFonts w:ascii="Verdana" w:hAnsi="Verdana" w:cs="Arial"/>
                                <w:b/>
                                <w:bCs/>
                                <w:sz w:val="14"/>
                                <w:szCs w:val="14"/>
                              </w:rPr>
                              <w:t>ożliwość niespełnienia art. 243 w latach 2023-2025</w:t>
                            </w:r>
                            <w:r>
                              <w:rPr>
                                <w:rFonts w:ascii="Verdana" w:hAnsi="Verdana" w:cs="Arial"/>
                                <w:bCs/>
                                <w:sz w:val="14"/>
                                <w:szCs w:val="14"/>
                              </w:rPr>
                              <w:t xml:space="preserve"> pod warunkiem nieprzekroczenia przez dług poziomu dochodów</w:t>
                            </w:r>
                            <w:r w:rsidRPr="00A64C0C">
                              <w:rPr>
                                <w:rFonts w:ascii="Verdana" w:hAnsi="Verdana" w:cs="Arial"/>
                                <w:bCs/>
                                <w:sz w:val="14"/>
                                <w:szCs w:val="14"/>
                              </w:rPr>
                              <w:t xml:space="preserve"> ogółem</w:t>
                            </w:r>
                            <w:r>
                              <w:rPr>
                                <w:rFonts w:ascii="Verdana" w:hAnsi="Verdana" w:cs="Arial"/>
                                <w:bCs/>
                                <w:sz w:val="14"/>
                                <w:szCs w:val="14"/>
                              </w:rPr>
                              <w:t>, pomniejszonych</w:t>
                            </w:r>
                            <w:r w:rsidRPr="00A64C0C">
                              <w:rPr>
                                <w:rFonts w:ascii="Verdana" w:hAnsi="Verdana" w:cs="Arial"/>
                                <w:bCs/>
                                <w:sz w:val="14"/>
                                <w:szCs w:val="14"/>
                              </w:rPr>
                              <w:t xml:space="preserve"> o planowane kwoty dotacji i środków o podobnym charakterze oraz powiększon</w:t>
                            </w:r>
                            <w:r>
                              <w:rPr>
                                <w:rFonts w:ascii="Verdana" w:hAnsi="Verdana" w:cs="Arial"/>
                                <w:bCs/>
                                <w:sz w:val="14"/>
                                <w:szCs w:val="14"/>
                              </w:rPr>
                              <w:t>ych</w:t>
                            </w:r>
                            <w:r w:rsidRPr="00A64C0C">
                              <w:rPr>
                                <w:rFonts w:ascii="Verdana" w:hAnsi="Verdana" w:cs="Arial"/>
                                <w:bCs/>
                                <w:sz w:val="14"/>
                                <w:szCs w:val="14"/>
                              </w:rPr>
                              <w:t xml:space="preserve"> </w:t>
                            </w:r>
                            <w:r>
                              <w:rPr>
                                <w:rFonts w:ascii="Verdana" w:hAnsi="Verdana" w:cs="Arial"/>
                                <w:bCs/>
                                <w:sz w:val="14"/>
                                <w:szCs w:val="14"/>
                              </w:rPr>
                              <w:br/>
                            </w:r>
                            <w:r w:rsidRPr="00A64C0C">
                              <w:rPr>
                                <w:rFonts w:ascii="Verdana" w:hAnsi="Verdana" w:cs="Arial"/>
                                <w:bCs/>
                                <w:sz w:val="14"/>
                                <w:szCs w:val="14"/>
                              </w:rPr>
                              <w:t>o przychody z tytułów określonych w art. 217 ust. 2 pkt 4–8</w:t>
                            </w:r>
                            <w:r>
                              <w:rPr>
                                <w:rFonts w:ascii="Verdana" w:hAnsi="Verdana" w:cs="Arial"/>
                                <w:bCs/>
                                <w:sz w:val="14"/>
                                <w:szCs w:val="14"/>
                              </w:rPr>
                              <w:t xml:space="preserve"> ustawy o finansach publicznych</w:t>
                            </w:r>
                            <w:r w:rsidRPr="00A64C0C">
                              <w:rPr>
                                <w:rFonts w:ascii="Verdana" w:hAnsi="Verdana" w:cs="Arial"/>
                                <w:bCs/>
                                <w:sz w:val="14"/>
                                <w:szCs w:val="14"/>
                              </w:rPr>
                              <w:t>, nieprzeznaczone na sfinansowanie deficytu budżetowego</w:t>
                            </w:r>
                            <w:r>
                              <w:rPr>
                                <w:rFonts w:ascii="Verdana" w:hAnsi="Verdana" w:cs="Arial"/>
                                <w:bCs/>
                                <w:sz w:val="14"/>
                                <w:szCs w:val="14"/>
                              </w:rPr>
                              <w:t>.</w:t>
                            </w:r>
                          </w:p>
                        </w:txbxContent>
                      </v:textbox>
                      <w10:wrap anchorx="margin"/>
                    </v:shape>
                  </w:pict>
                </mc:Fallback>
              </mc:AlternateContent>
            </w:r>
          </w:p>
          <w:p w:rsidR="008A572A" w:rsidRDefault="008A572A" w:rsidP="008A572A">
            <w:pPr>
              <w:spacing w:before="120" w:after="120"/>
              <w:jc w:val="both"/>
              <w:rPr>
                <w:rFonts w:ascii="Verdana" w:hAnsi="Verdana" w:cs="Arial"/>
                <w:b/>
                <w:sz w:val="20"/>
                <w:szCs w:val="20"/>
              </w:rPr>
            </w:pPr>
          </w:p>
          <w:p w:rsidR="008A572A" w:rsidRPr="008E4FAA" w:rsidRDefault="008A572A" w:rsidP="008A572A">
            <w:pPr>
              <w:spacing w:before="120" w:after="120"/>
              <w:jc w:val="both"/>
              <w:rPr>
                <w:rFonts w:ascii="Verdana" w:hAnsi="Verdana" w:cs="Arial"/>
                <w:b/>
                <w:sz w:val="20"/>
                <w:szCs w:val="20"/>
              </w:rPr>
            </w:pPr>
          </w:p>
          <w:p w:rsidR="008A572A" w:rsidRPr="008E4FAA" w:rsidRDefault="008A572A" w:rsidP="008A572A">
            <w:pPr>
              <w:spacing w:before="120" w:after="120"/>
              <w:jc w:val="both"/>
              <w:rPr>
                <w:rFonts w:ascii="Verdana" w:hAnsi="Verdana" w:cs="Arial"/>
                <w:b/>
                <w:sz w:val="20"/>
                <w:szCs w:val="20"/>
              </w:rPr>
            </w:pPr>
            <m:oMathPara>
              <m:oMathParaPr>
                <m:jc m:val="center"/>
              </m:oMathParaPr>
              <m:oMath>
                <m:r>
                  <m:rPr>
                    <m:sty m:val="b"/>
                  </m:rPr>
                  <w:rPr>
                    <w:rFonts w:ascii="Cambria Math" w:hAnsi="Cambria Math" w:cs="Arial"/>
                    <w:sz w:val="20"/>
                    <w:szCs w:val="20"/>
                  </w:rPr>
                  <m:t xml:space="preserve">100% ≥  </m:t>
                </m:r>
                <m:f>
                  <m:fPr>
                    <m:ctrlPr>
                      <w:rPr>
                        <w:rFonts w:ascii="Cambria Math" w:hAnsi="Cambria Math" w:cs="Arial"/>
                        <w:b/>
                        <w:sz w:val="20"/>
                        <w:szCs w:val="20"/>
                      </w:rPr>
                    </m:ctrlPr>
                  </m:fPr>
                  <m:num>
                    <m:sSub>
                      <m:sSubPr>
                        <m:ctrlPr>
                          <w:rPr>
                            <w:rFonts w:ascii="Cambria Math" w:hAnsi="Cambria Math" w:cs="Arial"/>
                            <w:b/>
                            <w:sz w:val="20"/>
                            <w:szCs w:val="20"/>
                          </w:rPr>
                        </m:ctrlPr>
                      </m:sSubPr>
                      <m:e>
                        <m:r>
                          <m:rPr>
                            <m:sty m:val="b"/>
                          </m:rPr>
                          <w:rPr>
                            <w:rFonts w:ascii="Cambria Math" w:hAnsi="Cambria Math" w:cs="Arial"/>
                            <w:sz w:val="20"/>
                            <w:szCs w:val="20"/>
                          </w:rPr>
                          <m:t>Z</m:t>
                        </m:r>
                      </m:e>
                      <m:sub>
                        <m:r>
                          <m:rPr>
                            <m:sty m:val="b"/>
                          </m:rPr>
                          <w:rPr>
                            <w:rFonts w:ascii="Cambria Math" w:hAnsi="Cambria Math" w:cs="Arial"/>
                            <w:sz w:val="20"/>
                            <w:szCs w:val="20"/>
                          </w:rPr>
                          <m:t>2023</m:t>
                        </m:r>
                      </m:sub>
                    </m:sSub>
                  </m:num>
                  <m:den>
                    <m:sSub>
                      <m:sSubPr>
                        <m:ctrlPr>
                          <w:rPr>
                            <w:rFonts w:ascii="Cambria Math" w:hAnsi="Cambria Math" w:cs="Arial"/>
                            <w:b/>
                            <w:sz w:val="20"/>
                            <w:szCs w:val="20"/>
                          </w:rPr>
                        </m:ctrlPr>
                      </m:sSubPr>
                      <m:e>
                        <m:r>
                          <m:rPr>
                            <m:sty m:val="b"/>
                          </m:rPr>
                          <w:rPr>
                            <w:rFonts w:ascii="Cambria Math" w:hAnsi="Cambria Math" w:cs="Arial"/>
                            <w:sz w:val="20"/>
                            <w:szCs w:val="20"/>
                          </w:rPr>
                          <m:t>DP</m:t>
                        </m:r>
                      </m:e>
                      <m:sub>
                        <m:r>
                          <m:rPr>
                            <m:sty m:val="b"/>
                          </m:rPr>
                          <w:rPr>
                            <w:rFonts w:ascii="Cambria Math" w:hAnsi="Cambria Math" w:cs="Arial"/>
                            <w:sz w:val="20"/>
                            <w:szCs w:val="20"/>
                          </w:rPr>
                          <m:t>2023</m:t>
                        </m:r>
                      </m:sub>
                    </m:sSub>
                  </m:den>
                </m:f>
                <m:r>
                  <m:rPr>
                    <m:sty m:val="b"/>
                  </m:rPr>
                  <w:rPr>
                    <w:rFonts w:ascii="Cambria Math" w:hAnsi="Cambria Math" w:cs="Arial"/>
                    <w:sz w:val="20"/>
                    <w:szCs w:val="20"/>
                  </w:rPr>
                  <m:t xml:space="preserve">          100% ≥  </m:t>
                </m:r>
                <m:f>
                  <m:fPr>
                    <m:ctrlPr>
                      <w:rPr>
                        <w:rFonts w:ascii="Cambria Math" w:hAnsi="Cambria Math" w:cs="Arial"/>
                        <w:b/>
                        <w:sz w:val="20"/>
                        <w:szCs w:val="20"/>
                      </w:rPr>
                    </m:ctrlPr>
                  </m:fPr>
                  <m:num>
                    <m:sSub>
                      <m:sSubPr>
                        <m:ctrlPr>
                          <w:rPr>
                            <w:rFonts w:ascii="Cambria Math" w:hAnsi="Cambria Math" w:cs="Arial"/>
                            <w:b/>
                            <w:sz w:val="20"/>
                            <w:szCs w:val="20"/>
                          </w:rPr>
                        </m:ctrlPr>
                      </m:sSubPr>
                      <m:e>
                        <m:r>
                          <m:rPr>
                            <m:sty m:val="b"/>
                          </m:rPr>
                          <w:rPr>
                            <w:rFonts w:ascii="Cambria Math" w:hAnsi="Cambria Math" w:cs="Arial"/>
                            <w:sz w:val="20"/>
                            <w:szCs w:val="20"/>
                          </w:rPr>
                          <m:t>Z</m:t>
                        </m:r>
                      </m:e>
                      <m:sub>
                        <m:r>
                          <m:rPr>
                            <m:sty m:val="b"/>
                          </m:rPr>
                          <w:rPr>
                            <w:rFonts w:ascii="Cambria Math" w:hAnsi="Cambria Math" w:cs="Arial"/>
                            <w:sz w:val="20"/>
                            <w:szCs w:val="20"/>
                          </w:rPr>
                          <m:t>2024</m:t>
                        </m:r>
                      </m:sub>
                    </m:sSub>
                  </m:num>
                  <m:den>
                    <m:sSub>
                      <m:sSubPr>
                        <m:ctrlPr>
                          <w:rPr>
                            <w:rFonts w:ascii="Cambria Math" w:hAnsi="Cambria Math" w:cs="Arial"/>
                            <w:b/>
                            <w:sz w:val="20"/>
                            <w:szCs w:val="20"/>
                          </w:rPr>
                        </m:ctrlPr>
                      </m:sSubPr>
                      <m:e>
                        <m:r>
                          <m:rPr>
                            <m:sty m:val="b"/>
                          </m:rPr>
                          <w:rPr>
                            <w:rFonts w:ascii="Cambria Math" w:hAnsi="Cambria Math" w:cs="Arial"/>
                            <w:sz w:val="20"/>
                            <w:szCs w:val="20"/>
                          </w:rPr>
                          <m:t>DP</m:t>
                        </m:r>
                      </m:e>
                      <m:sub>
                        <m:r>
                          <m:rPr>
                            <m:sty m:val="b"/>
                          </m:rPr>
                          <w:rPr>
                            <w:rFonts w:ascii="Cambria Math" w:hAnsi="Cambria Math" w:cs="Arial"/>
                            <w:sz w:val="20"/>
                            <w:szCs w:val="20"/>
                          </w:rPr>
                          <m:t>2024</m:t>
                        </m:r>
                      </m:sub>
                    </m:sSub>
                  </m:den>
                </m:f>
                <m:r>
                  <m:rPr>
                    <m:sty m:val="b"/>
                  </m:rPr>
                  <w:rPr>
                    <w:rFonts w:ascii="Cambria Math" w:hAnsi="Cambria Math" w:cs="Arial"/>
                    <w:sz w:val="20"/>
                    <w:szCs w:val="20"/>
                  </w:rPr>
                  <m:t xml:space="preserve">        100% ≥  </m:t>
                </m:r>
                <m:f>
                  <m:fPr>
                    <m:ctrlPr>
                      <w:rPr>
                        <w:rFonts w:ascii="Cambria Math" w:hAnsi="Cambria Math" w:cs="Arial"/>
                        <w:b/>
                        <w:sz w:val="20"/>
                        <w:szCs w:val="20"/>
                      </w:rPr>
                    </m:ctrlPr>
                  </m:fPr>
                  <m:num>
                    <m:sSub>
                      <m:sSubPr>
                        <m:ctrlPr>
                          <w:rPr>
                            <w:rFonts w:ascii="Cambria Math" w:hAnsi="Cambria Math" w:cs="Arial"/>
                            <w:b/>
                            <w:sz w:val="20"/>
                            <w:szCs w:val="20"/>
                          </w:rPr>
                        </m:ctrlPr>
                      </m:sSubPr>
                      <m:e>
                        <m:r>
                          <m:rPr>
                            <m:sty m:val="b"/>
                          </m:rPr>
                          <w:rPr>
                            <w:rFonts w:ascii="Cambria Math" w:hAnsi="Cambria Math" w:cs="Arial"/>
                            <w:sz w:val="20"/>
                            <w:szCs w:val="20"/>
                          </w:rPr>
                          <m:t>Z</m:t>
                        </m:r>
                      </m:e>
                      <m:sub>
                        <m:r>
                          <m:rPr>
                            <m:sty m:val="b"/>
                          </m:rPr>
                          <w:rPr>
                            <w:rFonts w:ascii="Cambria Math" w:hAnsi="Cambria Math" w:cs="Arial"/>
                            <w:sz w:val="20"/>
                            <w:szCs w:val="20"/>
                          </w:rPr>
                          <m:t>2025</m:t>
                        </m:r>
                      </m:sub>
                    </m:sSub>
                  </m:num>
                  <m:den>
                    <m:sSub>
                      <m:sSubPr>
                        <m:ctrlPr>
                          <w:rPr>
                            <w:rFonts w:ascii="Cambria Math" w:hAnsi="Cambria Math" w:cs="Arial"/>
                            <w:b/>
                            <w:sz w:val="20"/>
                            <w:szCs w:val="20"/>
                          </w:rPr>
                        </m:ctrlPr>
                      </m:sSubPr>
                      <m:e>
                        <m:r>
                          <m:rPr>
                            <m:sty m:val="b"/>
                          </m:rPr>
                          <w:rPr>
                            <w:rFonts w:ascii="Cambria Math" w:hAnsi="Cambria Math" w:cs="Arial"/>
                            <w:sz w:val="20"/>
                            <w:szCs w:val="20"/>
                          </w:rPr>
                          <m:t>DP</m:t>
                        </m:r>
                      </m:e>
                      <m:sub>
                        <m:r>
                          <m:rPr>
                            <m:sty m:val="b"/>
                          </m:rPr>
                          <w:rPr>
                            <w:rFonts w:ascii="Cambria Math" w:hAnsi="Cambria Math" w:cs="Arial"/>
                            <w:sz w:val="20"/>
                            <w:szCs w:val="20"/>
                          </w:rPr>
                          <m:t>2025</m:t>
                        </m:r>
                      </m:sub>
                    </m:sSub>
                  </m:den>
                </m:f>
              </m:oMath>
            </m:oMathPara>
          </w:p>
        </w:tc>
      </w:tr>
      <w:tr w:rsidR="008A572A" w:rsidRPr="00011AAA" w:rsidTr="008A572A">
        <w:tc>
          <w:tcPr>
            <w:tcW w:w="9071" w:type="dxa"/>
          </w:tcPr>
          <w:p w:rsidR="008A572A" w:rsidRDefault="008A572A" w:rsidP="008A572A">
            <w:pPr>
              <w:spacing w:before="120" w:after="120"/>
              <w:jc w:val="both"/>
              <w:rPr>
                <w:rFonts w:ascii="Verdana" w:hAnsi="Verdana" w:cs="Arial"/>
                <w:b/>
                <w:sz w:val="20"/>
                <w:szCs w:val="20"/>
              </w:rPr>
            </w:pPr>
          </w:p>
        </w:tc>
      </w:tr>
    </w:tbl>
    <w:p w:rsidR="008A572A" w:rsidRPr="000A6485" w:rsidRDefault="008A572A" w:rsidP="008A572A">
      <w:pPr>
        <w:spacing w:before="120" w:after="120"/>
        <w:jc w:val="center"/>
        <w:rPr>
          <w:rFonts w:ascii="Verdana" w:hAnsi="Verdana" w:cs="Arial"/>
          <w:sz w:val="16"/>
          <w:szCs w:val="16"/>
        </w:rPr>
      </w:pPr>
      <w:r w:rsidRPr="000A6485">
        <w:rPr>
          <w:rFonts w:ascii="Verdana" w:hAnsi="Verdana" w:cs="Arial"/>
          <w:sz w:val="16"/>
          <w:szCs w:val="16"/>
        </w:rPr>
        <w:t xml:space="preserve">Formuła obowiązująca </w:t>
      </w:r>
      <w:r w:rsidRPr="000A6485">
        <w:rPr>
          <w:rFonts w:ascii="Verdana" w:hAnsi="Verdana" w:cs="Arial"/>
          <w:b/>
          <w:sz w:val="16"/>
          <w:szCs w:val="16"/>
        </w:rPr>
        <w:t>od roku 2026</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8A572A" w:rsidRPr="00011AAA" w:rsidTr="008A572A">
        <w:tc>
          <w:tcPr>
            <w:tcW w:w="9071" w:type="dxa"/>
          </w:tcPr>
          <w:p w:rsidR="008A572A" w:rsidRPr="003970B3" w:rsidRDefault="008A572A" w:rsidP="008A572A">
            <w:pPr>
              <w:spacing w:before="120" w:after="120"/>
              <w:jc w:val="both"/>
              <w:rPr>
                <w:rFonts w:ascii="Verdana" w:hAnsi="Verdana" w:cs="Arial"/>
                <w:b/>
                <w:sz w:val="20"/>
                <w:szCs w:val="20"/>
              </w:rPr>
            </w:pPr>
            <m:oMathPara>
              <m:oMath>
                <m:f>
                  <m:fPr>
                    <m:ctrlPr>
                      <w:rPr>
                        <w:rFonts w:ascii="Cambria Math" w:hAnsi="Cambria Math" w:cs="Arial"/>
                        <w:b/>
                        <w:sz w:val="20"/>
                        <w:szCs w:val="20"/>
                      </w:rPr>
                    </m:ctrlPr>
                  </m:fPr>
                  <m:num>
                    <m:r>
                      <m:rPr>
                        <m:sty m:val="b"/>
                      </m:rPr>
                      <w:rPr>
                        <w:rFonts w:ascii="Cambria Math" w:hAnsi="Cambria Math" w:cs="Arial"/>
                        <w:sz w:val="20"/>
                        <w:szCs w:val="20"/>
                      </w:rPr>
                      <m:t>R+O</m:t>
                    </m:r>
                  </m:num>
                  <m:den>
                    <m:r>
                      <m:rPr>
                        <m:sty m:val="b"/>
                      </m:rPr>
                      <w:rPr>
                        <w:rFonts w:ascii="Cambria Math" w:hAnsi="Cambria Math" w:cs="Arial"/>
                        <w:sz w:val="20"/>
                        <w:szCs w:val="20"/>
                      </w:rPr>
                      <m:t>Db</m:t>
                    </m:r>
                  </m:den>
                </m:f>
                <m:r>
                  <m:rPr>
                    <m:sty m:val="b"/>
                  </m:rPr>
                  <w:rPr>
                    <w:rFonts w:ascii="Cambria Math" w:hAnsi="Cambria Math" w:cs="Arial"/>
                    <w:sz w:val="20"/>
                    <w:szCs w:val="20"/>
                  </w:rPr>
                  <m:t>≤</m:t>
                </m:r>
                <m:f>
                  <m:fPr>
                    <m:ctrlPr>
                      <w:rPr>
                        <w:rFonts w:ascii="Cambria Math" w:hAnsi="Cambria Math" w:cs="Arial"/>
                        <w:b/>
                        <w:sz w:val="20"/>
                        <w:szCs w:val="20"/>
                      </w:rPr>
                    </m:ctrlPr>
                  </m:fPr>
                  <m:num>
                    <m:r>
                      <m:rPr>
                        <m:sty m:val="b"/>
                      </m:rPr>
                      <w:rPr>
                        <w:rFonts w:ascii="Cambria Math" w:hAnsi="Cambria Math" w:cs="Arial"/>
                        <w:sz w:val="20"/>
                        <w:szCs w:val="20"/>
                      </w:rPr>
                      <m:t>1</m:t>
                    </m:r>
                  </m:num>
                  <m:den>
                    <m:r>
                      <m:rPr>
                        <m:sty m:val="b"/>
                      </m:rPr>
                      <w:rPr>
                        <w:rFonts w:ascii="Cambria Math" w:hAnsi="Cambria Math" w:cs="Arial"/>
                        <w:sz w:val="20"/>
                        <w:szCs w:val="20"/>
                      </w:rPr>
                      <m:t>7</m:t>
                    </m:r>
                  </m:den>
                </m:f>
                <m:r>
                  <m:rPr>
                    <m:sty m:val="b"/>
                  </m:rPr>
                  <w:rPr>
                    <w:rFonts w:ascii="Cambria Math" w:hAnsi="Cambria Math" w:cs="Arial"/>
                    <w:sz w:val="20"/>
                    <w:szCs w:val="20"/>
                  </w:rPr>
                  <m:t xml:space="preserve"> x </m:t>
                </m:r>
                <m:nary>
                  <m:naryPr>
                    <m:chr m:val="∑"/>
                    <m:limLoc m:val="subSup"/>
                    <m:ctrlPr>
                      <w:rPr>
                        <w:rFonts w:ascii="Cambria Math" w:hAnsi="Cambria Math" w:cs="Arial"/>
                        <w:b/>
                        <w:sz w:val="20"/>
                        <w:szCs w:val="20"/>
                      </w:rPr>
                    </m:ctrlPr>
                  </m:naryPr>
                  <m:sub>
                    <m:r>
                      <m:rPr>
                        <m:sty m:val="b"/>
                      </m:rPr>
                      <w:rPr>
                        <w:rFonts w:ascii="Cambria Math" w:hAnsi="Cambria Math" w:cs="Arial"/>
                        <w:sz w:val="20"/>
                        <w:szCs w:val="20"/>
                      </w:rPr>
                      <m:t>i=1</m:t>
                    </m:r>
                  </m:sub>
                  <m:sup>
                    <m:r>
                      <m:rPr>
                        <m:sty m:val="b"/>
                      </m:rPr>
                      <w:rPr>
                        <w:rFonts w:ascii="Cambria Math" w:hAnsi="Cambria Math" w:cs="Arial"/>
                        <w:sz w:val="20"/>
                        <w:szCs w:val="20"/>
                      </w:rPr>
                      <m:t>7</m:t>
                    </m:r>
                  </m:sup>
                  <m:e>
                    <m:f>
                      <m:fPr>
                        <m:ctrlPr>
                          <w:rPr>
                            <w:rFonts w:ascii="Cambria Math" w:hAnsi="Cambria Math" w:cs="Arial"/>
                            <w:b/>
                            <w:sz w:val="20"/>
                            <w:szCs w:val="20"/>
                          </w:rPr>
                        </m:ctrlPr>
                      </m:fPr>
                      <m:num>
                        <m:r>
                          <m:rPr>
                            <m:sty m:val="b"/>
                          </m:rPr>
                          <w:rPr>
                            <w:rFonts w:ascii="Cambria Math" w:hAnsi="Cambria Math" w:cs="Arial"/>
                            <w:sz w:val="20"/>
                            <w:szCs w:val="20"/>
                          </w:rPr>
                          <m:t>Dbei-(Wbei-Oi-</m:t>
                        </m:r>
                        <m:sSub>
                          <m:sSubPr>
                            <m:ctrlPr>
                              <w:rPr>
                                <w:rFonts w:ascii="Cambria Math" w:hAnsi="Cambria Math" w:cs="Arial"/>
                                <w:b/>
                                <w:sz w:val="20"/>
                                <w:szCs w:val="20"/>
                              </w:rPr>
                            </m:ctrlPr>
                          </m:sSubPr>
                          <m:e>
                            <m:r>
                              <m:rPr>
                                <m:sty m:val="b"/>
                              </m:rPr>
                              <w:rPr>
                                <w:rFonts w:ascii="Cambria Math" w:hAnsi="Cambria Math" w:cs="Arial"/>
                                <w:sz w:val="20"/>
                                <w:szCs w:val="20"/>
                              </w:rPr>
                              <m:t>WB COVID 19</m:t>
                            </m:r>
                          </m:e>
                          <m:sub>
                            <m:r>
                              <m:rPr>
                                <m:sty m:val="b"/>
                              </m:rPr>
                              <w:rPr>
                                <w:rFonts w:ascii="Cambria Math" w:hAnsi="Cambria Math" w:cs="Arial"/>
                                <w:sz w:val="20"/>
                                <w:szCs w:val="20"/>
                              </w:rPr>
                              <m:t>2020-2021</m:t>
                            </m:r>
                          </m:sub>
                        </m:sSub>
                        <m:r>
                          <m:rPr>
                            <m:sty m:val="bi"/>
                          </m:rPr>
                          <w:rPr>
                            <w:rFonts w:ascii="Cambria Math" w:hAnsi="Cambria Math" w:cs="Arial"/>
                            <w:color w:val="000000" w:themeColor="text1"/>
                          </w:rPr>
                          <m:t>-</m:t>
                        </m:r>
                        <m:r>
                          <m:rPr>
                            <m:sty m:val="bi"/>
                          </m:rPr>
                          <w:rPr>
                            <w:rFonts w:ascii="Cambria Math" w:hAnsi="Cambria Math" w:cs="Arial"/>
                            <w:color w:val="0033CC"/>
                          </w:rPr>
                          <m:t xml:space="preserve"> </m:t>
                        </m:r>
                        <m:sSub>
                          <m:sSubPr>
                            <m:ctrlPr>
                              <w:rPr>
                                <w:rFonts w:ascii="Cambria Math" w:hAnsi="Cambria Math" w:cs="Arial"/>
                                <w:b/>
                                <w:sz w:val="20"/>
                                <w:szCs w:val="20"/>
                              </w:rPr>
                            </m:ctrlPr>
                          </m:sSubPr>
                          <m:e>
                            <m:r>
                              <m:rPr>
                                <m:sty m:val="b"/>
                              </m:rPr>
                              <w:rPr>
                                <w:rFonts w:ascii="Cambria Math" w:hAnsi="Cambria Math" w:cs="Arial"/>
                                <w:sz w:val="20"/>
                                <w:szCs w:val="20"/>
                              </w:rPr>
                              <m:t>WBi</m:t>
                            </m:r>
                          </m:e>
                          <m:sub>
                            <m:r>
                              <m:rPr>
                                <m:sty m:val="b"/>
                              </m:rPr>
                              <w:rPr>
                                <w:rFonts w:ascii="Cambria Math" w:hAnsi="Cambria Math" w:cs="Arial"/>
                                <w:sz w:val="20"/>
                                <w:szCs w:val="20"/>
                              </w:rPr>
                              <m:t>ukr</m:t>
                            </m:r>
                          </m:sub>
                        </m:sSub>
                        <m:r>
                          <m:rPr>
                            <m:sty m:val="b"/>
                          </m:rPr>
                          <w:rPr>
                            <w:rFonts w:ascii="Cambria Math" w:hAnsi="Cambria Math" w:cs="Arial"/>
                            <w:sz w:val="20"/>
                            <w:szCs w:val="20"/>
                          </w:rPr>
                          <m:t>)</m:t>
                        </m:r>
                      </m:num>
                      <m:den>
                        <m:r>
                          <m:rPr>
                            <m:sty m:val="b"/>
                          </m:rPr>
                          <w:rPr>
                            <w:rFonts w:ascii="Cambria Math" w:hAnsi="Cambria Math" w:cs="Arial"/>
                            <w:sz w:val="20"/>
                            <w:szCs w:val="20"/>
                          </w:rPr>
                          <m:t>Dbi</m:t>
                        </m:r>
                      </m:den>
                    </m:f>
                  </m:e>
                </m:nary>
              </m:oMath>
            </m:oMathPara>
          </w:p>
        </w:tc>
      </w:tr>
    </w:tbl>
    <w:p w:rsidR="008A572A" w:rsidRDefault="008A572A" w:rsidP="008A572A">
      <w:pPr>
        <w:spacing w:before="240" w:after="120"/>
        <w:ind w:left="709" w:hanging="709"/>
        <w:rPr>
          <w:rFonts w:ascii="Verdana" w:hAnsi="Verdana"/>
          <w:sz w:val="16"/>
          <w:szCs w:val="16"/>
        </w:rPr>
      </w:pPr>
      <w:r w:rsidRPr="000A6485">
        <w:rPr>
          <w:rFonts w:ascii="Verdana" w:hAnsi="Verdana"/>
          <w:sz w:val="16"/>
          <w:szCs w:val="16"/>
        </w:rPr>
        <w:t>gdzie:</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936"/>
        <w:gridCol w:w="6434"/>
      </w:tblGrid>
      <w:tr w:rsidR="008A572A" w:rsidRPr="00011AAA" w:rsidTr="008A572A">
        <w:tc>
          <w:tcPr>
            <w:tcW w:w="1701" w:type="dxa"/>
          </w:tcPr>
          <w:p w:rsidR="008A572A" w:rsidRPr="00011AAA" w:rsidRDefault="008A572A" w:rsidP="008A572A">
            <w:pPr>
              <w:tabs>
                <w:tab w:val="left" w:pos="0"/>
              </w:tabs>
              <w:spacing w:before="120" w:after="120" w:line="240" w:lineRule="auto"/>
              <w:rPr>
                <w:rFonts w:ascii="Verdana" w:hAnsi="Verdana"/>
                <w:b/>
                <w:bCs/>
                <w:sz w:val="16"/>
                <w:szCs w:val="16"/>
              </w:rPr>
            </w:pPr>
            <w:r w:rsidRPr="00011AAA">
              <w:rPr>
                <w:rFonts w:ascii="Verdana" w:hAnsi="Verdana" w:cs="Arial"/>
                <w:b/>
                <w:sz w:val="16"/>
                <w:szCs w:val="16"/>
              </w:rPr>
              <w:t xml:space="preserve">R </w:t>
            </w:r>
            <w:r w:rsidRPr="00011AAA">
              <w:rPr>
                <w:rFonts w:ascii="Verdana" w:hAnsi="Verdana"/>
                <w:b/>
                <w:sz w:val="16"/>
                <w:szCs w:val="16"/>
              </w:rPr>
              <w:t>-</w:t>
            </w:r>
          </w:p>
        </w:tc>
        <w:tc>
          <w:tcPr>
            <w:tcW w:w="7370" w:type="dxa"/>
            <w:gridSpan w:val="2"/>
            <w:vAlign w:val="center"/>
          </w:tcPr>
          <w:p w:rsidR="008A572A" w:rsidRPr="00011AAA" w:rsidRDefault="008A572A" w:rsidP="008A572A">
            <w:pPr>
              <w:tabs>
                <w:tab w:val="left" w:pos="0"/>
              </w:tabs>
              <w:spacing w:before="120" w:after="120" w:line="240" w:lineRule="auto"/>
              <w:rPr>
                <w:rFonts w:ascii="Verdana" w:hAnsi="Verdana"/>
                <w:b/>
                <w:bCs/>
                <w:sz w:val="16"/>
                <w:szCs w:val="16"/>
              </w:rPr>
            </w:pPr>
            <w:r w:rsidRPr="00011AAA">
              <w:rPr>
                <w:rFonts w:ascii="Verdana" w:hAnsi="Verdana" w:cs="Arial"/>
                <w:sz w:val="16"/>
                <w:szCs w:val="16"/>
              </w:rPr>
              <w:t xml:space="preserve">planowane na rok, na który ustalana jest relacja, spłaty rat kredytów i pożyczek oraz wykup papierów wartościowych z wyłączeniem zobowiązań zaciągniętych na pokrycie występującego </w:t>
            </w:r>
            <w:r w:rsidRPr="00011AAA">
              <w:rPr>
                <w:rFonts w:ascii="Verdana" w:hAnsi="Verdana" w:cs="Arial"/>
                <w:sz w:val="16"/>
                <w:szCs w:val="16"/>
              </w:rPr>
              <w:br/>
              <w:t>w ciągu roku przejściowego deficytu budżetu oraz zobowiązań krótkoterminowych, jeżeli podlegają spłacie w roku zaciągnięcia</w:t>
            </w:r>
          </w:p>
        </w:tc>
      </w:tr>
      <w:tr w:rsidR="008A572A" w:rsidRPr="00011AAA" w:rsidTr="008A572A">
        <w:tc>
          <w:tcPr>
            <w:tcW w:w="1701" w:type="dxa"/>
          </w:tcPr>
          <w:p w:rsidR="008A572A" w:rsidRPr="00011AAA" w:rsidRDefault="008A572A" w:rsidP="008A572A">
            <w:pPr>
              <w:tabs>
                <w:tab w:val="left" w:pos="0"/>
              </w:tabs>
              <w:spacing w:before="120" w:after="120" w:line="240" w:lineRule="auto"/>
              <w:rPr>
                <w:rFonts w:ascii="Verdana" w:hAnsi="Verdana"/>
                <w:b/>
                <w:bCs/>
                <w:sz w:val="16"/>
                <w:szCs w:val="16"/>
              </w:rPr>
            </w:pPr>
            <w:r w:rsidRPr="00011AAA">
              <w:rPr>
                <w:rFonts w:ascii="Verdana" w:hAnsi="Verdana"/>
                <w:b/>
                <w:sz w:val="16"/>
                <w:szCs w:val="16"/>
              </w:rPr>
              <w:t>O -</w:t>
            </w:r>
          </w:p>
        </w:tc>
        <w:tc>
          <w:tcPr>
            <w:tcW w:w="7370" w:type="dxa"/>
            <w:gridSpan w:val="2"/>
            <w:vAlign w:val="center"/>
          </w:tcPr>
          <w:p w:rsidR="008A572A" w:rsidRPr="00011AAA" w:rsidRDefault="008A572A" w:rsidP="008A572A">
            <w:pPr>
              <w:tabs>
                <w:tab w:val="left" w:pos="0"/>
              </w:tabs>
              <w:spacing w:before="120" w:after="120" w:line="240" w:lineRule="auto"/>
              <w:rPr>
                <w:rFonts w:ascii="Verdana" w:hAnsi="Verdana"/>
                <w:b/>
                <w:bCs/>
                <w:sz w:val="16"/>
                <w:szCs w:val="16"/>
              </w:rPr>
            </w:pPr>
            <w:r w:rsidRPr="00011AAA">
              <w:rPr>
                <w:rFonts w:ascii="Verdana" w:hAnsi="Verdana" w:cs="Arial"/>
                <w:sz w:val="16"/>
                <w:szCs w:val="16"/>
              </w:rPr>
              <w:t xml:space="preserve">planowane na rok, na który ustalana jest relacja, wydatki bieżące na obsługę długu, </w:t>
            </w:r>
            <w:r>
              <w:rPr>
                <w:rFonts w:ascii="Verdana" w:hAnsi="Verdana" w:cs="Arial"/>
                <w:sz w:val="16"/>
                <w:szCs w:val="16"/>
              </w:rPr>
              <w:br/>
            </w:r>
            <w:r w:rsidRPr="00011AAA">
              <w:rPr>
                <w:rFonts w:ascii="Verdana" w:hAnsi="Verdana" w:cs="Arial"/>
                <w:sz w:val="16"/>
                <w:szCs w:val="16"/>
              </w:rPr>
              <w:t xml:space="preserve">w tym odsetki od kredytów i pożyczek i papierów wartościowych oraz dyskonto od papierów wartościowych oraz spłaty kwot wynikających z udzielonych poręczeń </w:t>
            </w:r>
            <w:r>
              <w:rPr>
                <w:rFonts w:ascii="Verdana" w:hAnsi="Verdana" w:cs="Arial"/>
                <w:sz w:val="16"/>
                <w:szCs w:val="16"/>
              </w:rPr>
              <w:br/>
            </w:r>
            <w:r w:rsidRPr="00011AAA">
              <w:rPr>
                <w:rFonts w:ascii="Verdana" w:hAnsi="Verdana" w:cs="Arial"/>
                <w:sz w:val="16"/>
                <w:szCs w:val="16"/>
              </w:rPr>
              <w:t>i gwarancji</w:t>
            </w:r>
          </w:p>
        </w:tc>
      </w:tr>
      <w:tr w:rsidR="008A572A" w:rsidRPr="00011AAA" w:rsidTr="008A572A">
        <w:tc>
          <w:tcPr>
            <w:tcW w:w="1701" w:type="dxa"/>
          </w:tcPr>
          <w:p w:rsidR="008A572A" w:rsidRPr="00011AAA" w:rsidRDefault="008A572A" w:rsidP="008A572A">
            <w:pPr>
              <w:tabs>
                <w:tab w:val="left" w:pos="0"/>
              </w:tabs>
              <w:spacing w:before="120" w:after="120" w:line="240" w:lineRule="auto"/>
              <w:rPr>
                <w:rFonts w:ascii="Verdana" w:hAnsi="Verdana"/>
                <w:b/>
                <w:bCs/>
                <w:sz w:val="16"/>
                <w:szCs w:val="16"/>
              </w:rPr>
            </w:pPr>
            <w:r w:rsidRPr="00011AAA">
              <w:rPr>
                <w:rFonts w:ascii="Verdana" w:hAnsi="Verdana" w:cs="Arial"/>
                <w:b/>
                <w:sz w:val="16"/>
                <w:szCs w:val="16"/>
              </w:rPr>
              <w:t xml:space="preserve">Db </w:t>
            </w:r>
            <w:r w:rsidRPr="00011AAA">
              <w:rPr>
                <w:rFonts w:ascii="Verdana" w:hAnsi="Verdana"/>
                <w:b/>
                <w:sz w:val="16"/>
                <w:szCs w:val="16"/>
              </w:rPr>
              <w:t>–</w:t>
            </w:r>
          </w:p>
        </w:tc>
        <w:tc>
          <w:tcPr>
            <w:tcW w:w="7370" w:type="dxa"/>
            <w:gridSpan w:val="2"/>
            <w:vAlign w:val="center"/>
          </w:tcPr>
          <w:p w:rsidR="008A572A" w:rsidRPr="00011AAA" w:rsidRDefault="008A572A" w:rsidP="008A572A">
            <w:pPr>
              <w:tabs>
                <w:tab w:val="left" w:pos="0"/>
              </w:tabs>
              <w:spacing w:before="120" w:after="120" w:line="240" w:lineRule="auto"/>
              <w:rPr>
                <w:rFonts w:ascii="Verdana" w:hAnsi="Verdana"/>
                <w:b/>
                <w:bCs/>
                <w:sz w:val="16"/>
                <w:szCs w:val="16"/>
              </w:rPr>
            </w:pPr>
            <w:r w:rsidRPr="00011AAA">
              <w:rPr>
                <w:rFonts w:ascii="Verdana" w:hAnsi="Verdana" w:cs="Arial"/>
                <w:sz w:val="16"/>
                <w:szCs w:val="16"/>
              </w:rPr>
              <w:t xml:space="preserve">planowane na rok, na który ustalana jest relacja, dochody bieżące pomniejszone </w:t>
            </w:r>
            <w:r>
              <w:rPr>
                <w:rFonts w:ascii="Verdana" w:hAnsi="Verdana" w:cs="Arial"/>
                <w:sz w:val="16"/>
                <w:szCs w:val="16"/>
              </w:rPr>
              <w:br/>
            </w:r>
            <w:r w:rsidRPr="00011AAA">
              <w:rPr>
                <w:rFonts w:ascii="Verdana" w:hAnsi="Verdana" w:cs="Arial"/>
                <w:sz w:val="16"/>
                <w:szCs w:val="16"/>
              </w:rPr>
              <w:t>o dotacje i środki przeznaczone na cele bieżące</w:t>
            </w:r>
          </w:p>
        </w:tc>
      </w:tr>
      <w:tr w:rsidR="008A572A" w:rsidRPr="00011AAA" w:rsidTr="008A572A">
        <w:tc>
          <w:tcPr>
            <w:tcW w:w="1701" w:type="dxa"/>
          </w:tcPr>
          <w:p w:rsidR="008A572A" w:rsidRPr="00011AAA" w:rsidRDefault="008A572A" w:rsidP="008A572A">
            <w:pPr>
              <w:tabs>
                <w:tab w:val="left" w:pos="0"/>
              </w:tabs>
              <w:spacing w:before="120" w:after="120" w:line="240" w:lineRule="auto"/>
              <w:rPr>
                <w:rFonts w:ascii="Verdana" w:hAnsi="Verdana"/>
                <w:b/>
                <w:bCs/>
                <w:sz w:val="16"/>
                <w:szCs w:val="16"/>
              </w:rPr>
            </w:pPr>
            <w:proofErr w:type="spellStart"/>
            <w:r w:rsidRPr="00011AAA">
              <w:rPr>
                <w:rFonts w:ascii="Verdana" w:hAnsi="Verdana" w:cs="Arial"/>
                <w:b/>
                <w:sz w:val="16"/>
                <w:szCs w:val="16"/>
              </w:rPr>
              <w:t>Dbei</w:t>
            </w:r>
            <w:proofErr w:type="spellEnd"/>
            <w:r w:rsidRPr="00011AAA">
              <w:rPr>
                <w:rFonts w:ascii="Verdana" w:hAnsi="Verdana" w:cs="Arial"/>
                <w:b/>
                <w:sz w:val="16"/>
                <w:szCs w:val="16"/>
              </w:rPr>
              <w:t xml:space="preserve"> </w:t>
            </w:r>
            <w:r w:rsidRPr="00011AAA">
              <w:rPr>
                <w:rFonts w:ascii="Verdana" w:hAnsi="Verdana"/>
                <w:b/>
                <w:sz w:val="16"/>
                <w:szCs w:val="16"/>
              </w:rPr>
              <w:t>–</w:t>
            </w:r>
          </w:p>
        </w:tc>
        <w:tc>
          <w:tcPr>
            <w:tcW w:w="7370" w:type="dxa"/>
            <w:gridSpan w:val="2"/>
            <w:vAlign w:val="center"/>
          </w:tcPr>
          <w:p w:rsidR="008A572A" w:rsidRPr="00011AAA" w:rsidRDefault="008A572A" w:rsidP="008A572A">
            <w:pPr>
              <w:tabs>
                <w:tab w:val="left" w:pos="0"/>
              </w:tabs>
              <w:spacing w:before="120" w:after="120" w:line="240" w:lineRule="auto"/>
              <w:rPr>
                <w:rFonts w:ascii="Verdana" w:hAnsi="Verdana"/>
                <w:b/>
                <w:bCs/>
                <w:sz w:val="16"/>
                <w:szCs w:val="16"/>
              </w:rPr>
            </w:pPr>
            <w:r w:rsidRPr="00011AAA">
              <w:rPr>
                <w:rFonts w:ascii="Verdana" w:hAnsi="Verdana" w:cs="Arial"/>
                <w:sz w:val="16"/>
                <w:szCs w:val="16"/>
              </w:rPr>
              <w:t xml:space="preserve">dochody bieżące w roku poprzedzającym o i-lat rok, na który ustalana jest relacja, pomniejszone </w:t>
            </w:r>
            <w:r w:rsidRPr="00011AAA">
              <w:rPr>
                <w:rFonts w:ascii="Verdana" w:hAnsi="Verdana" w:cs="Arial"/>
                <w:sz w:val="16"/>
                <w:szCs w:val="16"/>
              </w:rPr>
              <w:br/>
              <w:t>o dotacje i środki o charakterze bieżącym na realizację projektów unijnych</w:t>
            </w:r>
          </w:p>
        </w:tc>
      </w:tr>
      <w:tr w:rsidR="008A572A" w:rsidRPr="00011AAA" w:rsidTr="008A572A">
        <w:tc>
          <w:tcPr>
            <w:tcW w:w="1701" w:type="dxa"/>
          </w:tcPr>
          <w:p w:rsidR="008A572A" w:rsidRPr="00011AAA" w:rsidRDefault="008A572A" w:rsidP="008A572A">
            <w:pPr>
              <w:tabs>
                <w:tab w:val="left" w:pos="0"/>
              </w:tabs>
              <w:spacing w:before="120" w:after="120" w:line="240" w:lineRule="auto"/>
              <w:rPr>
                <w:rFonts w:ascii="Verdana" w:hAnsi="Verdana"/>
                <w:b/>
                <w:bCs/>
                <w:sz w:val="16"/>
                <w:szCs w:val="16"/>
              </w:rPr>
            </w:pPr>
            <w:proofErr w:type="spellStart"/>
            <w:r w:rsidRPr="00011AAA">
              <w:rPr>
                <w:rFonts w:ascii="Verdana" w:hAnsi="Verdana" w:cs="Arial"/>
                <w:b/>
                <w:sz w:val="16"/>
                <w:szCs w:val="16"/>
              </w:rPr>
              <w:t>Wbei</w:t>
            </w:r>
            <w:proofErr w:type="spellEnd"/>
            <w:r w:rsidRPr="00011AAA">
              <w:rPr>
                <w:rFonts w:ascii="Verdana" w:hAnsi="Verdana" w:cs="Arial"/>
                <w:b/>
                <w:sz w:val="16"/>
                <w:szCs w:val="16"/>
              </w:rPr>
              <w:t xml:space="preserve"> </w:t>
            </w:r>
            <w:r w:rsidRPr="00011AAA">
              <w:rPr>
                <w:rFonts w:ascii="Verdana" w:hAnsi="Verdana"/>
                <w:b/>
                <w:sz w:val="16"/>
                <w:szCs w:val="16"/>
              </w:rPr>
              <w:t>–</w:t>
            </w:r>
          </w:p>
        </w:tc>
        <w:tc>
          <w:tcPr>
            <w:tcW w:w="7370" w:type="dxa"/>
            <w:gridSpan w:val="2"/>
            <w:vAlign w:val="center"/>
          </w:tcPr>
          <w:p w:rsidR="008A572A" w:rsidRPr="00011AAA" w:rsidRDefault="008A572A" w:rsidP="008A572A">
            <w:pPr>
              <w:tabs>
                <w:tab w:val="left" w:pos="0"/>
              </w:tabs>
              <w:spacing w:before="120" w:after="120" w:line="240" w:lineRule="auto"/>
              <w:rPr>
                <w:rFonts w:ascii="Verdana" w:hAnsi="Verdana"/>
                <w:b/>
                <w:bCs/>
                <w:sz w:val="16"/>
                <w:szCs w:val="16"/>
              </w:rPr>
            </w:pPr>
            <w:r w:rsidRPr="00011AAA">
              <w:rPr>
                <w:rFonts w:ascii="Verdana" w:hAnsi="Verdana" w:cs="Arial"/>
                <w:sz w:val="16"/>
                <w:szCs w:val="16"/>
              </w:rPr>
              <w:t xml:space="preserve">wydatki bieżące w roku poprzedzającym o i-lat rok, na który ustalana jest relacja, pomniejszone </w:t>
            </w:r>
            <w:r w:rsidRPr="00011AAA">
              <w:rPr>
                <w:rFonts w:ascii="Verdana" w:hAnsi="Verdana" w:cs="Arial"/>
                <w:sz w:val="16"/>
                <w:szCs w:val="16"/>
              </w:rPr>
              <w:br/>
              <w:t>o wydatki bieżące na realizację projektów unijnych</w:t>
            </w:r>
          </w:p>
        </w:tc>
      </w:tr>
      <w:tr w:rsidR="008A572A" w:rsidRPr="00011AAA" w:rsidTr="008A572A">
        <w:tc>
          <w:tcPr>
            <w:tcW w:w="1701" w:type="dxa"/>
          </w:tcPr>
          <w:p w:rsidR="008A572A" w:rsidRPr="000A6485" w:rsidRDefault="008A572A" w:rsidP="008A572A">
            <w:pPr>
              <w:tabs>
                <w:tab w:val="left" w:pos="0"/>
              </w:tabs>
              <w:spacing w:before="120" w:after="120" w:line="240" w:lineRule="auto"/>
              <w:rPr>
                <w:rFonts w:ascii="Verdana" w:hAnsi="Verdana"/>
                <w:b/>
                <w:bCs/>
                <w:sz w:val="16"/>
                <w:szCs w:val="16"/>
              </w:rPr>
            </w:pPr>
            <w:proofErr w:type="spellStart"/>
            <w:r w:rsidRPr="000A6485">
              <w:rPr>
                <w:rFonts w:ascii="Verdana" w:hAnsi="Verdana"/>
                <w:b/>
                <w:sz w:val="16"/>
                <w:szCs w:val="16"/>
              </w:rPr>
              <w:t>Oi</w:t>
            </w:r>
            <w:proofErr w:type="spellEnd"/>
            <w:r w:rsidRPr="000A6485">
              <w:rPr>
                <w:rFonts w:ascii="Verdana" w:hAnsi="Verdana"/>
                <w:b/>
                <w:sz w:val="16"/>
                <w:szCs w:val="16"/>
              </w:rPr>
              <w:t xml:space="preserve">  -</w:t>
            </w:r>
          </w:p>
        </w:tc>
        <w:tc>
          <w:tcPr>
            <w:tcW w:w="7370" w:type="dxa"/>
            <w:gridSpan w:val="2"/>
            <w:vAlign w:val="center"/>
          </w:tcPr>
          <w:p w:rsidR="008A572A" w:rsidRPr="000A6485" w:rsidRDefault="008A572A" w:rsidP="008A572A">
            <w:pPr>
              <w:tabs>
                <w:tab w:val="left" w:pos="0"/>
              </w:tabs>
              <w:spacing w:before="120" w:after="120" w:line="240" w:lineRule="auto"/>
              <w:rPr>
                <w:rFonts w:ascii="Verdana" w:hAnsi="Verdana"/>
                <w:b/>
                <w:bCs/>
                <w:sz w:val="16"/>
                <w:szCs w:val="16"/>
              </w:rPr>
            </w:pPr>
            <w:r w:rsidRPr="000A6485">
              <w:rPr>
                <w:rFonts w:ascii="Verdana" w:hAnsi="Verdana" w:cs="Arial"/>
                <w:sz w:val="16"/>
                <w:szCs w:val="16"/>
              </w:rPr>
              <w:t xml:space="preserve">wydatki bieżące związane ze spłatą i obsługą długu, w tym odsetki od kredytów </w:t>
            </w:r>
            <w:r>
              <w:rPr>
                <w:rFonts w:ascii="Verdana" w:hAnsi="Verdana" w:cs="Arial"/>
                <w:sz w:val="16"/>
                <w:szCs w:val="16"/>
              </w:rPr>
              <w:br/>
            </w:r>
            <w:r w:rsidRPr="000A6485">
              <w:rPr>
                <w:rFonts w:ascii="Verdana" w:hAnsi="Verdana" w:cs="Arial"/>
                <w:sz w:val="16"/>
                <w:szCs w:val="16"/>
              </w:rPr>
              <w:t xml:space="preserve">i pożyczek </w:t>
            </w:r>
            <w:r>
              <w:rPr>
                <w:rFonts w:ascii="Verdana" w:hAnsi="Verdana" w:cs="Arial"/>
                <w:sz w:val="16"/>
                <w:szCs w:val="16"/>
              </w:rPr>
              <w:br/>
            </w:r>
            <w:r w:rsidRPr="000A6485">
              <w:rPr>
                <w:rFonts w:ascii="Verdana" w:hAnsi="Verdana" w:cs="Arial"/>
                <w:sz w:val="16"/>
                <w:szCs w:val="16"/>
              </w:rPr>
              <w:t xml:space="preserve">i papierów wartościowych oraz dyskonto od papierów wartościowych w roku poprzedzającym </w:t>
            </w:r>
            <w:r>
              <w:rPr>
                <w:rFonts w:ascii="Verdana" w:hAnsi="Verdana" w:cs="Arial"/>
                <w:sz w:val="16"/>
                <w:szCs w:val="16"/>
              </w:rPr>
              <w:br/>
            </w:r>
            <w:r w:rsidRPr="000A6485">
              <w:rPr>
                <w:rFonts w:ascii="Verdana" w:hAnsi="Verdana" w:cs="Arial"/>
                <w:sz w:val="16"/>
                <w:szCs w:val="16"/>
              </w:rPr>
              <w:t>o i-lat rok, na który ustalana jest relacja</w:t>
            </w:r>
          </w:p>
        </w:tc>
      </w:tr>
      <w:tr w:rsidR="008A572A" w:rsidRPr="00011AAA" w:rsidTr="008A572A">
        <w:tc>
          <w:tcPr>
            <w:tcW w:w="1701" w:type="dxa"/>
          </w:tcPr>
          <w:p w:rsidR="008A572A" w:rsidRPr="0065493A" w:rsidRDefault="008A572A" w:rsidP="008A572A">
            <w:pPr>
              <w:tabs>
                <w:tab w:val="left" w:pos="0"/>
              </w:tabs>
              <w:spacing w:before="120" w:after="120"/>
              <w:rPr>
                <w:rFonts w:ascii="Verdana" w:hAnsi="Verdana" w:cs="Arial"/>
                <w:b/>
                <w:color w:val="000000" w:themeColor="text1"/>
                <w:sz w:val="16"/>
                <w:szCs w:val="16"/>
              </w:rPr>
            </w:pPr>
            <w:proofErr w:type="spellStart"/>
            <w:r w:rsidRPr="0065493A">
              <w:rPr>
                <w:rFonts w:ascii="Verdana" w:hAnsi="Verdana"/>
                <w:b/>
                <w:color w:val="000000" w:themeColor="text1"/>
                <w:sz w:val="16"/>
                <w:szCs w:val="16"/>
              </w:rPr>
              <w:lastRenderedPageBreak/>
              <w:t>WBi</w:t>
            </w:r>
            <w:r w:rsidRPr="0065493A">
              <w:rPr>
                <w:rFonts w:ascii="Verdana" w:hAnsi="Verdana"/>
                <w:b/>
                <w:color w:val="000000" w:themeColor="text1"/>
                <w:sz w:val="16"/>
                <w:szCs w:val="16"/>
                <w:vertAlign w:val="subscript"/>
              </w:rPr>
              <w:t>ukr</w:t>
            </w:r>
            <w:proofErr w:type="spellEnd"/>
            <w:r w:rsidRPr="0065493A">
              <w:rPr>
                <w:rFonts w:ascii="Verdana" w:hAnsi="Verdana"/>
                <w:b/>
                <w:color w:val="000000" w:themeColor="text1"/>
                <w:sz w:val="16"/>
                <w:szCs w:val="16"/>
                <w:vertAlign w:val="subscript"/>
              </w:rPr>
              <w:t xml:space="preserve">  </w:t>
            </w:r>
            <w:r w:rsidRPr="0065493A">
              <w:rPr>
                <w:rFonts w:ascii="Verdana" w:hAnsi="Verdana" w:cs="Arial"/>
                <w:b/>
                <w:color w:val="000000" w:themeColor="text1"/>
                <w:sz w:val="16"/>
                <w:szCs w:val="16"/>
              </w:rPr>
              <w:t>-</w:t>
            </w:r>
          </w:p>
        </w:tc>
        <w:tc>
          <w:tcPr>
            <w:tcW w:w="7370" w:type="dxa"/>
            <w:gridSpan w:val="2"/>
            <w:vAlign w:val="center"/>
          </w:tcPr>
          <w:p w:rsidR="008A572A" w:rsidRPr="0065493A" w:rsidRDefault="008A572A" w:rsidP="008A572A">
            <w:pPr>
              <w:tabs>
                <w:tab w:val="left" w:pos="0"/>
              </w:tabs>
              <w:spacing w:before="120" w:after="120" w:line="240" w:lineRule="auto"/>
              <w:rPr>
                <w:rFonts w:ascii="Verdana" w:hAnsi="Verdana"/>
                <w:color w:val="000000" w:themeColor="text1"/>
                <w:sz w:val="16"/>
                <w:szCs w:val="16"/>
              </w:rPr>
            </w:pPr>
            <w:r w:rsidRPr="0065493A">
              <w:rPr>
                <w:rFonts w:ascii="Verdana" w:hAnsi="Verdana"/>
                <w:color w:val="000000" w:themeColor="text1"/>
                <w:sz w:val="16"/>
                <w:szCs w:val="16"/>
              </w:rPr>
              <w:t xml:space="preserve">wydatki bieżące poniesione w zw. z pomocą obywatelom Ukrainy, w części w jakiej nie są finansowane środkami otrzymanymi przez </w:t>
            </w:r>
            <w:proofErr w:type="spellStart"/>
            <w:r w:rsidRPr="0065493A">
              <w:rPr>
                <w:rFonts w:ascii="Verdana" w:hAnsi="Verdana"/>
                <w:color w:val="000000" w:themeColor="text1"/>
                <w:sz w:val="16"/>
                <w:szCs w:val="16"/>
              </w:rPr>
              <w:t>jst</w:t>
            </w:r>
            <w:proofErr w:type="spellEnd"/>
            <w:r w:rsidRPr="0065493A">
              <w:rPr>
                <w:rFonts w:ascii="Verdana" w:hAnsi="Verdana"/>
                <w:color w:val="000000" w:themeColor="text1"/>
                <w:sz w:val="16"/>
                <w:szCs w:val="16"/>
              </w:rPr>
              <w:t xml:space="preserve"> na ten cel</w:t>
            </w:r>
          </w:p>
        </w:tc>
      </w:tr>
      <w:tr w:rsidR="008A572A" w:rsidRPr="00011AAA" w:rsidTr="008A572A">
        <w:tc>
          <w:tcPr>
            <w:tcW w:w="2637" w:type="dxa"/>
            <w:gridSpan w:val="2"/>
          </w:tcPr>
          <w:p w:rsidR="008A572A" w:rsidRPr="0065493A" w:rsidRDefault="008A572A" w:rsidP="008A572A">
            <w:pPr>
              <w:tabs>
                <w:tab w:val="left" w:pos="0"/>
              </w:tabs>
              <w:spacing w:before="120" w:after="120"/>
              <w:rPr>
                <w:rFonts w:ascii="Verdana" w:hAnsi="Verdana"/>
                <w:color w:val="000000" w:themeColor="text1"/>
                <w:sz w:val="16"/>
                <w:szCs w:val="16"/>
              </w:rPr>
            </w:pPr>
            <w:r w:rsidRPr="0065493A">
              <w:rPr>
                <w:rFonts w:ascii="Verdana" w:hAnsi="Verdana" w:cs="Arial"/>
                <w:b/>
                <w:color w:val="000000" w:themeColor="text1"/>
                <w:sz w:val="16"/>
                <w:szCs w:val="16"/>
              </w:rPr>
              <w:t>WB COVID 19</w:t>
            </w:r>
            <w:r w:rsidRPr="0065493A">
              <w:rPr>
                <w:rFonts w:ascii="Verdana" w:hAnsi="Verdana" w:cs="Arial"/>
                <w:b/>
                <w:color w:val="000000" w:themeColor="text1"/>
                <w:sz w:val="16"/>
                <w:szCs w:val="16"/>
                <w:vertAlign w:val="subscript"/>
              </w:rPr>
              <w:t>2020-2021</w:t>
            </w:r>
            <w:r w:rsidRPr="0065493A">
              <w:rPr>
                <w:rFonts w:ascii="Verdana" w:hAnsi="Verdana" w:cs="Arial"/>
                <w:b/>
                <w:color w:val="000000" w:themeColor="text1"/>
                <w:sz w:val="16"/>
                <w:szCs w:val="16"/>
              </w:rPr>
              <w:t xml:space="preserve"> </w:t>
            </w:r>
            <w:r w:rsidRPr="0065493A">
              <w:rPr>
                <w:rFonts w:ascii="Verdana" w:hAnsi="Verdana"/>
                <w:b/>
                <w:color w:val="000000" w:themeColor="text1"/>
                <w:sz w:val="16"/>
                <w:szCs w:val="16"/>
              </w:rPr>
              <w:t>-</w:t>
            </w:r>
          </w:p>
        </w:tc>
        <w:tc>
          <w:tcPr>
            <w:tcW w:w="6434" w:type="dxa"/>
            <w:vAlign w:val="center"/>
          </w:tcPr>
          <w:p w:rsidR="008A572A" w:rsidRPr="0065493A" w:rsidRDefault="008A572A" w:rsidP="008A572A">
            <w:pPr>
              <w:tabs>
                <w:tab w:val="left" w:pos="0"/>
              </w:tabs>
              <w:spacing w:before="120" w:after="120" w:line="240" w:lineRule="auto"/>
              <w:rPr>
                <w:rFonts w:ascii="Verdana" w:hAnsi="Verdana"/>
                <w:color w:val="000000" w:themeColor="text1"/>
                <w:sz w:val="16"/>
                <w:szCs w:val="16"/>
              </w:rPr>
            </w:pPr>
            <w:r w:rsidRPr="0065493A">
              <w:rPr>
                <w:rFonts w:ascii="Verdana" w:hAnsi="Verdana"/>
                <w:color w:val="000000" w:themeColor="text1"/>
                <w:sz w:val="16"/>
                <w:szCs w:val="16"/>
              </w:rPr>
              <w:t xml:space="preserve">wydatki bieżące </w:t>
            </w:r>
            <w:r>
              <w:rPr>
                <w:rFonts w:ascii="Verdana" w:hAnsi="Verdana"/>
                <w:color w:val="000000" w:themeColor="text1"/>
                <w:sz w:val="16"/>
                <w:szCs w:val="16"/>
              </w:rPr>
              <w:t>poniesione</w:t>
            </w:r>
            <w:r w:rsidRPr="0065493A">
              <w:rPr>
                <w:rFonts w:ascii="Verdana" w:hAnsi="Verdana"/>
                <w:color w:val="000000" w:themeColor="text1"/>
                <w:sz w:val="16"/>
                <w:szCs w:val="16"/>
              </w:rPr>
              <w:t xml:space="preserve"> w </w:t>
            </w:r>
            <w:r>
              <w:rPr>
                <w:rFonts w:ascii="Verdana" w:hAnsi="Verdana"/>
                <w:color w:val="000000" w:themeColor="text1"/>
                <w:sz w:val="16"/>
                <w:szCs w:val="16"/>
              </w:rPr>
              <w:t>latach 2020-2021</w:t>
            </w:r>
            <w:r w:rsidRPr="0065493A">
              <w:rPr>
                <w:rFonts w:ascii="Verdana" w:hAnsi="Verdana"/>
                <w:color w:val="000000" w:themeColor="text1"/>
                <w:sz w:val="16"/>
                <w:szCs w:val="16"/>
              </w:rPr>
              <w:t xml:space="preserve"> w celu realizacji zadań związanych z przeciwdziałaniem COVID-19 z wyłączeniem wydatków finansowanych z dotacji i środków unijnych</w:t>
            </w:r>
          </w:p>
        </w:tc>
      </w:tr>
      <w:tr w:rsidR="008A572A" w:rsidRPr="00011AAA" w:rsidTr="008A572A">
        <w:tc>
          <w:tcPr>
            <w:tcW w:w="1701" w:type="dxa"/>
          </w:tcPr>
          <w:p w:rsidR="008A572A" w:rsidRPr="00011AAA" w:rsidRDefault="008A572A" w:rsidP="008A572A">
            <w:pPr>
              <w:tabs>
                <w:tab w:val="left" w:pos="0"/>
              </w:tabs>
              <w:spacing w:before="120" w:after="120" w:line="240" w:lineRule="auto"/>
              <w:rPr>
                <w:rFonts w:ascii="Verdana" w:hAnsi="Verdana"/>
                <w:b/>
                <w:sz w:val="16"/>
                <w:szCs w:val="16"/>
              </w:rPr>
            </w:pPr>
            <w:proofErr w:type="spellStart"/>
            <w:r w:rsidRPr="00011AAA">
              <w:rPr>
                <w:rFonts w:ascii="Verdana" w:hAnsi="Verdana" w:cs="Arial"/>
                <w:b/>
                <w:sz w:val="16"/>
                <w:szCs w:val="16"/>
              </w:rPr>
              <w:t>Dsmi</w:t>
            </w:r>
            <w:proofErr w:type="spellEnd"/>
            <w:r w:rsidRPr="00011AAA">
              <w:rPr>
                <w:rFonts w:ascii="Verdana" w:hAnsi="Verdana" w:cs="Arial"/>
                <w:b/>
                <w:sz w:val="16"/>
                <w:szCs w:val="16"/>
              </w:rPr>
              <w:t xml:space="preserve"> </w:t>
            </w:r>
            <w:r w:rsidRPr="00011AAA">
              <w:rPr>
                <w:rFonts w:ascii="Verdana" w:hAnsi="Verdana"/>
                <w:b/>
                <w:sz w:val="16"/>
                <w:szCs w:val="16"/>
              </w:rPr>
              <w:t>–</w:t>
            </w:r>
          </w:p>
        </w:tc>
        <w:tc>
          <w:tcPr>
            <w:tcW w:w="7370" w:type="dxa"/>
            <w:gridSpan w:val="2"/>
            <w:vAlign w:val="center"/>
          </w:tcPr>
          <w:p w:rsidR="008A572A" w:rsidRPr="00011AAA" w:rsidRDefault="008A572A" w:rsidP="008A572A">
            <w:pPr>
              <w:tabs>
                <w:tab w:val="left" w:pos="0"/>
              </w:tabs>
              <w:spacing w:before="120" w:after="120" w:line="240" w:lineRule="auto"/>
              <w:rPr>
                <w:rFonts w:ascii="Verdana" w:hAnsi="Verdana"/>
                <w:sz w:val="16"/>
                <w:szCs w:val="16"/>
              </w:rPr>
            </w:pPr>
            <w:r w:rsidRPr="00011AAA">
              <w:rPr>
                <w:rFonts w:ascii="Verdana" w:hAnsi="Verdana" w:cs="Arial"/>
                <w:sz w:val="16"/>
                <w:szCs w:val="16"/>
              </w:rPr>
              <w:t>dochody ze sprzedaży majątku w roku poprzedzającym o i-lat rok, na który ustalana jest relacja</w:t>
            </w:r>
          </w:p>
        </w:tc>
      </w:tr>
      <w:tr w:rsidR="008A572A" w:rsidRPr="00011AAA" w:rsidTr="008A572A">
        <w:tc>
          <w:tcPr>
            <w:tcW w:w="1701" w:type="dxa"/>
          </w:tcPr>
          <w:p w:rsidR="008A572A" w:rsidRPr="00011AAA" w:rsidRDefault="008A572A" w:rsidP="008A572A">
            <w:pPr>
              <w:tabs>
                <w:tab w:val="left" w:pos="0"/>
              </w:tabs>
              <w:spacing w:before="120" w:after="120" w:line="240" w:lineRule="auto"/>
              <w:rPr>
                <w:rFonts w:ascii="Verdana" w:hAnsi="Verdana"/>
                <w:b/>
                <w:sz w:val="16"/>
                <w:szCs w:val="16"/>
              </w:rPr>
            </w:pPr>
            <w:proofErr w:type="spellStart"/>
            <w:r w:rsidRPr="00011AAA">
              <w:rPr>
                <w:rFonts w:ascii="Verdana" w:hAnsi="Verdana" w:cs="Arial"/>
                <w:b/>
                <w:sz w:val="16"/>
                <w:szCs w:val="16"/>
              </w:rPr>
              <w:t>Dbi</w:t>
            </w:r>
            <w:proofErr w:type="spellEnd"/>
            <w:r w:rsidRPr="00011AAA">
              <w:rPr>
                <w:rFonts w:ascii="Verdana" w:hAnsi="Verdana" w:cs="Arial"/>
                <w:b/>
                <w:sz w:val="16"/>
                <w:szCs w:val="16"/>
              </w:rPr>
              <w:t xml:space="preserve"> </w:t>
            </w:r>
            <w:r w:rsidRPr="00011AAA">
              <w:rPr>
                <w:rFonts w:ascii="Verdana" w:hAnsi="Verdana"/>
                <w:b/>
                <w:sz w:val="16"/>
                <w:szCs w:val="16"/>
              </w:rPr>
              <w:t>–</w:t>
            </w:r>
          </w:p>
        </w:tc>
        <w:tc>
          <w:tcPr>
            <w:tcW w:w="7370" w:type="dxa"/>
            <w:gridSpan w:val="2"/>
            <w:vAlign w:val="center"/>
          </w:tcPr>
          <w:p w:rsidR="008A572A" w:rsidRPr="00011AAA" w:rsidRDefault="008A572A" w:rsidP="008A572A">
            <w:pPr>
              <w:tabs>
                <w:tab w:val="left" w:pos="0"/>
              </w:tabs>
              <w:spacing w:before="120" w:after="120" w:line="240" w:lineRule="auto"/>
              <w:rPr>
                <w:rFonts w:ascii="Verdana" w:hAnsi="Verdana"/>
                <w:sz w:val="16"/>
                <w:szCs w:val="16"/>
              </w:rPr>
            </w:pPr>
            <w:r w:rsidRPr="00011AAA">
              <w:rPr>
                <w:rFonts w:ascii="Verdana" w:hAnsi="Verdana" w:cs="Arial"/>
                <w:sz w:val="16"/>
                <w:szCs w:val="16"/>
              </w:rPr>
              <w:t>dochody bieżące w roku poprzedzającym o i-lat rok, na który ustalana jest relacja, pomniejszone o dotacje i środki przeznaczone na cele bieżące</w:t>
            </w:r>
          </w:p>
        </w:tc>
      </w:tr>
      <w:tr w:rsidR="008A572A" w:rsidRPr="00011AAA" w:rsidTr="008A572A">
        <w:tc>
          <w:tcPr>
            <w:tcW w:w="1701" w:type="dxa"/>
          </w:tcPr>
          <w:p w:rsidR="008A572A" w:rsidRPr="00E071BF" w:rsidRDefault="008A572A" w:rsidP="008A572A">
            <w:pPr>
              <w:tabs>
                <w:tab w:val="left" w:pos="0"/>
              </w:tabs>
              <w:spacing w:before="120" w:after="120"/>
              <w:rPr>
                <w:rFonts w:ascii="Verdana" w:hAnsi="Verdana"/>
                <w:b/>
                <w:color w:val="000000" w:themeColor="text1"/>
                <w:sz w:val="16"/>
                <w:szCs w:val="16"/>
              </w:rPr>
            </w:pPr>
            <w:r w:rsidRPr="00E071BF">
              <w:rPr>
                <w:rFonts w:ascii="Verdana" w:hAnsi="Verdana" w:cs="Arial"/>
                <w:b/>
                <w:color w:val="000000" w:themeColor="text1"/>
                <w:sz w:val="16"/>
                <w:szCs w:val="16"/>
              </w:rPr>
              <w:t>Z</w:t>
            </w:r>
            <w:r w:rsidRPr="00E071BF">
              <w:rPr>
                <w:rFonts w:ascii="Verdana" w:hAnsi="Verdana" w:cs="Arial"/>
                <w:b/>
                <w:color w:val="000000" w:themeColor="text1"/>
                <w:sz w:val="16"/>
                <w:szCs w:val="16"/>
                <w:vertAlign w:val="subscript"/>
              </w:rPr>
              <w:t>2023/2024/2025</w:t>
            </w:r>
            <w:r w:rsidRPr="00E071BF">
              <w:rPr>
                <w:rFonts w:ascii="Verdana" w:hAnsi="Verdana" w:cs="Arial"/>
                <w:b/>
                <w:color w:val="000000" w:themeColor="text1"/>
                <w:sz w:val="16"/>
                <w:szCs w:val="16"/>
              </w:rPr>
              <w:t xml:space="preserve"> </w:t>
            </w:r>
            <w:r w:rsidRPr="00E071BF">
              <w:rPr>
                <w:rFonts w:ascii="Verdana" w:hAnsi="Verdana"/>
                <w:b/>
                <w:color w:val="000000" w:themeColor="text1"/>
                <w:sz w:val="16"/>
                <w:szCs w:val="16"/>
              </w:rPr>
              <w:t>-</w:t>
            </w:r>
          </w:p>
        </w:tc>
        <w:tc>
          <w:tcPr>
            <w:tcW w:w="7370" w:type="dxa"/>
            <w:gridSpan w:val="2"/>
            <w:vAlign w:val="center"/>
          </w:tcPr>
          <w:p w:rsidR="008A572A" w:rsidRPr="00E071BF" w:rsidRDefault="008A572A" w:rsidP="008A572A">
            <w:pPr>
              <w:tabs>
                <w:tab w:val="left" w:pos="0"/>
              </w:tabs>
              <w:spacing w:before="120" w:after="120"/>
              <w:rPr>
                <w:rFonts w:ascii="Verdana" w:hAnsi="Verdana"/>
                <w:color w:val="000000" w:themeColor="text1"/>
                <w:sz w:val="16"/>
                <w:szCs w:val="16"/>
              </w:rPr>
            </w:pPr>
            <w:r w:rsidRPr="00E071BF">
              <w:rPr>
                <w:rFonts w:ascii="Verdana" w:hAnsi="Verdana"/>
                <w:color w:val="000000" w:themeColor="text1"/>
                <w:sz w:val="16"/>
                <w:szCs w:val="16"/>
              </w:rPr>
              <w:t>stan zadłużenia na koniec 2023 / 2024 / 2025</w:t>
            </w:r>
          </w:p>
        </w:tc>
      </w:tr>
      <w:tr w:rsidR="008A572A" w:rsidRPr="00011AAA" w:rsidTr="008A572A">
        <w:tc>
          <w:tcPr>
            <w:tcW w:w="1701" w:type="dxa"/>
          </w:tcPr>
          <w:p w:rsidR="008A572A" w:rsidRPr="00E071BF" w:rsidRDefault="008A572A" w:rsidP="008A572A">
            <w:pPr>
              <w:tabs>
                <w:tab w:val="left" w:pos="0"/>
              </w:tabs>
              <w:spacing w:before="120" w:after="120"/>
              <w:rPr>
                <w:rFonts w:ascii="Verdana" w:hAnsi="Verdana" w:cs="Arial"/>
                <w:b/>
                <w:color w:val="000000" w:themeColor="text1"/>
                <w:sz w:val="16"/>
                <w:szCs w:val="16"/>
              </w:rPr>
            </w:pPr>
            <w:r w:rsidRPr="00E071BF">
              <w:rPr>
                <w:rFonts w:ascii="Verdana" w:hAnsi="Verdana" w:cs="Arial"/>
                <w:b/>
                <w:color w:val="000000" w:themeColor="text1"/>
                <w:sz w:val="16"/>
                <w:szCs w:val="16"/>
              </w:rPr>
              <w:t>DP</w:t>
            </w:r>
            <w:r w:rsidRPr="00E071BF">
              <w:rPr>
                <w:rFonts w:ascii="Verdana" w:hAnsi="Verdana" w:cs="Arial"/>
                <w:b/>
                <w:color w:val="000000" w:themeColor="text1"/>
                <w:sz w:val="16"/>
                <w:szCs w:val="16"/>
                <w:vertAlign w:val="subscript"/>
              </w:rPr>
              <w:t>2023/2024/2025</w:t>
            </w:r>
            <w:r w:rsidRPr="00E071BF">
              <w:rPr>
                <w:rFonts w:ascii="Verdana" w:hAnsi="Verdana" w:cs="Arial"/>
                <w:b/>
                <w:color w:val="000000" w:themeColor="text1"/>
                <w:sz w:val="16"/>
                <w:szCs w:val="16"/>
              </w:rPr>
              <w:t xml:space="preserve"> </w:t>
            </w:r>
            <w:r w:rsidRPr="00E071BF">
              <w:rPr>
                <w:rFonts w:ascii="Verdana" w:hAnsi="Verdana"/>
                <w:b/>
                <w:color w:val="000000" w:themeColor="text1"/>
                <w:sz w:val="16"/>
                <w:szCs w:val="16"/>
              </w:rPr>
              <w:t>-</w:t>
            </w:r>
          </w:p>
        </w:tc>
        <w:tc>
          <w:tcPr>
            <w:tcW w:w="7370" w:type="dxa"/>
            <w:gridSpan w:val="2"/>
            <w:vAlign w:val="center"/>
          </w:tcPr>
          <w:p w:rsidR="008A572A" w:rsidRPr="00E071BF" w:rsidRDefault="008A572A" w:rsidP="008A572A">
            <w:pPr>
              <w:tabs>
                <w:tab w:val="left" w:pos="0"/>
              </w:tabs>
              <w:spacing w:before="120" w:after="120" w:line="240" w:lineRule="auto"/>
              <w:rPr>
                <w:rFonts w:ascii="Verdana" w:hAnsi="Verdana"/>
                <w:color w:val="000000" w:themeColor="text1"/>
                <w:sz w:val="16"/>
                <w:szCs w:val="16"/>
              </w:rPr>
            </w:pPr>
            <w:r w:rsidRPr="00E071BF">
              <w:rPr>
                <w:rFonts w:ascii="Verdana" w:hAnsi="Verdana"/>
                <w:color w:val="000000" w:themeColor="text1"/>
                <w:sz w:val="16"/>
                <w:szCs w:val="16"/>
              </w:rPr>
              <w:t>dochody ogółem pomniejszone o planowane kwoty dotacji i środków o podobnym charakterze oraz powiększone o przychody z tytułów określonych w art. 217 ust. 2 pkt 4–8</w:t>
            </w:r>
            <w:r>
              <w:rPr>
                <w:rFonts w:ascii="Verdana" w:hAnsi="Verdana"/>
                <w:color w:val="000000" w:themeColor="text1"/>
                <w:sz w:val="16"/>
                <w:szCs w:val="16"/>
              </w:rPr>
              <w:t xml:space="preserve"> ustawy o finansach publicznych</w:t>
            </w:r>
            <w:r w:rsidRPr="00E071BF">
              <w:rPr>
                <w:rFonts w:ascii="Verdana" w:hAnsi="Verdana"/>
                <w:color w:val="000000" w:themeColor="text1"/>
                <w:sz w:val="16"/>
                <w:szCs w:val="16"/>
              </w:rPr>
              <w:t>, nieprzeznaczone na sfinansowanie deficytu budżetowego</w:t>
            </w:r>
          </w:p>
        </w:tc>
      </w:tr>
    </w:tbl>
    <w:p w:rsidR="008A572A" w:rsidRPr="000A6485" w:rsidRDefault="008A572A" w:rsidP="008A572A">
      <w:pPr>
        <w:autoSpaceDE w:val="0"/>
        <w:autoSpaceDN w:val="0"/>
        <w:adjustRightInd w:val="0"/>
        <w:spacing w:before="240" w:after="240"/>
        <w:jc w:val="both"/>
        <w:rPr>
          <w:rFonts w:ascii="Verdana" w:hAnsi="Verdana"/>
          <w:b/>
          <w:bCs/>
          <w:sz w:val="20"/>
          <w:szCs w:val="20"/>
        </w:rPr>
      </w:pPr>
      <w:r>
        <w:rPr>
          <w:rFonts w:ascii="Verdana" w:hAnsi="Verdana"/>
          <w:sz w:val="16"/>
          <w:szCs w:val="16"/>
        </w:rPr>
        <w:t xml:space="preserve"> </w:t>
      </w:r>
      <w:r w:rsidRPr="000A6485">
        <w:rPr>
          <w:rFonts w:ascii="Verdana" w:hAnsi="Verdana"/>
          <w:b/>
          <w:bCs/>
          <w:sz w:val="20"/>
          <w:szCs w:val="20"/>
        </w:rPr>
        <w:t xml:space="preserve">4.2  </w:t>
      </w:r>
      <w:r>
        <w:rPr>
          <w:rFonts w:ascii="Verdana" w:hAnsi="Verdana"/>
          <w:b/>
          <w:bCs/>
          <w:sz w:val="20"/>
          <w:szCs w:val="20"/>
        </w:rPr>
        <w:t>Uwarunkowania makroekonomiczne</w:t>
      </w:r>
    </w:p>
    <w:p w:rsidR="008A572A" w:rsidRDefault="008A572A" w:rsidP="008A572A">
      <w:pPr>
        <w:tabs>
          <w:tab w:val="left" w:pos="360"/>
        </w:tabs>
        <w:spacing w:before="60" w:after="60"/>
        <w:ind w:firstLine="539"/>
        <w:jc w:val="both"/>
        <w:rPr>
          <w:rFonts w:ascii="Verdana" w:hAnsi="Verdana"/>
          <w:sz w:val="16"/>
          <w:szCs w:val="16"/>
        </w:rPr>
      </w:pPr>
      <w:r w:rsidRPr="00011AAA">
        <w:rPr>
          <w:rFonts w:ascii="Verdana" w:hAnsi="Verdana"/>
          <w:sz w:val="16"/>
          <w:szCs w:val="16"/>
        </w:rPr>
        <w:t xml:space="preserve">Prognozę makroekonomiczną przyjętą na potrzeby opracowania </w:t>
      </w:r>
      <w:r w:rsidRPr="000A6485">
        <w:rPr>
          <w:rFonts w:ascii="Verdana" w:hAnsi="Verdana"/>
          <w:sz w:val="16"/>
          <w:szCs w:val="16"/>
        </w:rPr>
        <w:t xml:space="preserve">WPF </w:t>
      </w:r>
      <w:r w:rsidRPr="00932633">
        <w:rPr>
          <w:rFonts w:ascii="Verdana" w:eastAsiaTheme="minorEastAsia" w:hAnsi="Verdana" w:cs="Verdana"/>
          <w:color w:val="000000"/>
          <w:sz w:val="16"/>
          <w:szCs w:val="16"/>
        </w:rPr>
        <w:t>2023</w:t>
      </w:r>
      <w:r w:rsidRPr="000A6485">
        <w:rPr>
          <w:rFonts w:ascii="Verdana" w:hAnsi="Verdana"/>
          <w:sz w:val="16"/>
          <w:szCs w:val="16"/>
        </w:rPr>
        <w:t>-2050</w:t>
      </w:r>
      <w:r w:rsidRPr="00011AAA">
        <w:rPr>
          <w:rFonts w:ascii="Verdana" w:hAnsi="Verdana"/>
          <w:sz w:val="16"/>
          <w:szCs w:val="16"/>
        </w:rPr>
        <w:t xml:space="preserve"> stanowiły </w:t>
      </w:r>
      <w:r>
        <w:rPr>
          <w:rFonts w:ascii="Verdana" w:hAnsi="Verdana"/>
          <w:sz w:val="16"/>
          <w:szCs w:val="16"/>
        </w:rPr>
        <w:t>założenia określone w dokumentach Ministerstwa</w:t>
      </w:r>
      <w:r w:rsidRPr="00011AAA">
        <w:rPr>
          <w:rFonts w:ascii="Verdana" w:hAnsi="Verdana"/>
          <w:sz w:val="16"/>
          <w:szCs w:val="16"/>
        </w:rPr>
        <w:t xml:space="preserve"> Finansów</w:t>
      </w:r>
      <w:r>
        <w:rPr>
          <w:rFonts w:ascii="Verdana" w:hAnsi="Verdana"/>
          <w:sz w:val="16"/>
          <w:szCs w:val="16"/>
        </w:rPr>
        <w:t>:</w:t>
      </w:r>
    </w:p>
    <w:p w:rsidR="008A572A" w:rsidRPr="00BF35EA" w:rsidRDefault="008A572A" w:rsidP="008A572A">
      <w:pPr>
        <w:pStyle w:val="Akapitzlist"/>
        <w:numPr>
          <w:ilvl w:val="0"/>
          <w:numId w:val="44"/>
        </w:numPr>
        <w:tabs>
          <w:tab w:val="left" w:pos="360"/>
        </w:tabs>
        <w:spacing w:before="60" w:after="60"/>
        <w:contextualSpacing w:val="0"/>
        <w:jc w:val="both"/>
        <w:rPr>
          <w:rFonts w:ascii="Verdana" w:hAnsi="Verdana"/>
          <w:iCs/>
          <w:sz w:val="16"/>
          <w:szCs w:val="16"/>
        </w:rPr>
      </w:pPr>
      <w:r w:rsidRPr="003F7795">
        <w:rPr>
          <w:rFonts w:ascii="Verdana" w:hAnsi="Verdana"/>
          <w:i/>
          <w:sz w:val="16"/>
          <w:szCs w:val="16"/>
        </w:rPr>
        <w:t>Założenia proj</w:t>
      </w:r>
      <w:r>
        <w:rPr>
          <w:rFonts w:ascii="Verdana" w:hAnsi="Verdana"/>
          <w:i/>
          <w:sz w:val="16"/>
          <w:szCs w:val="16"/>
        </w:rPr>
        <w:t xml:space="preserve">ektu budżetu państwa na rok 2023 </w:t>
      </w:r>
      <w:r>
        <w:rPr>
          <w:rFonts w:ascii="Verdana" w:hAnsi="Verdana"/>
          <w:sz w:val="16"/>
          <w:szCs w:val="16"/>
        </w:rPr>
        <w:t>– publikacja 15 czerwca 2022 r</w:t>
      </w:r>
      <w:r w:rsidRPr="003F7795">
        <w:rPr>
          <w:rFonts w:ascii="Verdana" w:hAnsi="Verdana"/>
          <w:sz w:val="16"/>
          <w:szCs w:val="16"/>
        </w:rPr>
        <w:t>.</w:t>
      </w:r>
      <w:r>
        <w:rPr>
          <w:rFonts w:ascii="Verdana" w:hAnsi="Verdana"/>
          <w:sz w:val="16"/>
          <w:szCs w:val="16"/>
        </w:rPr>
        <w:t>,</w:t>
      </w:r>
    </w:p>
    <w:p w:rsidR="008A572A" w:rsidRDefault="008A572A" w:rsidP="008A572A">
      <w:pPr>
        <w:pStyle w:val="Akapitzlist"/>
        <w:numPr>
          <w:ilvl w:val="0"/>
          <w:numId w:val="44"/>
        </w:numPr>
        <w:tabs>
          <w:tab w:val="left" w:pos="360"/>
        </w:tabs>
        <w:spacing w:before="60" w:after="60"/>
        <w:contextualSpacing w:val="0"/>
        <w:jc w:val="both"/>
        <w:rPr>
          <w:rFonts w:ascii="Verdana" w:hAnsi="Verdana"/>
          <w:iCs/>
          <w:sz w:val="16"/>
          <w:szCs w:val="16"/>
        </w:rPr>
      </w:pPr>
      <w:r>
        <w:rPr>
          <w:rFonts w:ascii="Verdana" w:hAnsi="Verdana"/>
          <w:i/>
          <w:sz w:val="16"/>
          <w:szCs w:val="16"/>
        </w:rPr>
        <w:t>Projekt ustawy budżetowej na rok 2023</w:t>
      </w:r>
      <w:r>
        <w:rPr>
          <w:rFonts w:ascii="Verdana" w:hAnsi="Verdana"/>
          <w:iCs/>
          <w:sz w:val="16"/>
          <w:szCs w:val="16"/>
        </w:rPr>
        <w:t xml:space="preserve"> – publikacja 28 września 2022 r.,</w:t>
      </w:r>
    </w:p>
    <w:p w:rsidR="008A572A" w:rsidRPr="00DA27EF" w:rsidRDefault="008A572A" w:rsidP="008A572A">
      <w:pPr>
        <w:pStyle w:val="Akapitzlist"/>
        <w:numPr>
          <w:ilvl w:val="0"/>
          <w:numId w:val="44"/>
        </w:numPr>
        <w:tabs>
          <w:tab w:val="left" w:pos="360"/>
        </w:tabs>
        <w:spacing w:before="60" w:after="60"/>
        <w:contextualSpacing w:val="0"/>
        <w:jc w:val="both"/>
        <w:rPr>
          <w:rFonts w:ascii="Verdana" w:hAnsi="Verdana"/>
          <w:iCs/>
          <w:sz w:val="16"/>
          <w:szCs w:val="16"/>
        </w:rPr>
      </w:pPr>
      <w:r w:rsidRPr="00C86707">
        <w:rPr>
          <w:rFonts w:ascii="Verdana" w:hAnsi="Verdana"/>
          <w:i/>
          <w:sz w:val="16"/>
          <w:szCs w:val="16"/>
        </w:rPr>
        <w:t xml:space="preserve">Wytyczne dotyczące stosowania jednolitych wskaźników makroekonomicznych będących podstawą oszacowania skutków finansowych projektowanych ustaw – aktualizacja </w:t>
      </w:r>
      <w:r>
        <w:rPr>
          <w:rFonts w:ascii="Verdana" w:hAnsi="Verdana"/>
          <w:i/>
          <w:sz w:val="16"/>
          <w:szCs w:val="16"/>
        </w:rPr>
        <w:t>październik 2022</w:t>
      </w:r>
      <w:r w:rsidRPr="00C86707">
        <w:rPr>
          <w:rFonts w:ascii="Verdana" w:hAnsi="Verdana"/>
          <w:i/>
          <w:sz w:val="16"/>
          <w:szCs w:val="16"/>
        </w:rPr>
        <w:t xml:space="preserve"> r.</w:t>
      </w:r>
      <w:r w:rsidRPr="00C86707">
        <w:rPr>
          <w:rFonts w:ascii="Verdana" w:hAnsi="Verdana"/>
          <w:sz w:val="16"/>
          <w:szCs w:val="16"/>
        </w:rPr>
        <w:t xml:space="preserve"> </w:t>
      </w:r>
      <w:r>
        <w:rPr>
          <w:rFonts w:ascii="Verdana" w:hAnsi="Verdana"/>
          <w:sz w:val="16"/>
          <w:szCs w:val="16"/>
        </w:rPr>
        <w:br/>
      </w:r>
      <w:r w:rsidRPr="00C86707">
        <w:rPr>
          <w:rFonts w:ascii="Verdana" w:hAnsi="Verdana"/>
          <w:sz w:val="16"/>
          <w:szCs w:val="16"/>
        </w:rPr>
        <w:t xml:space="preserve">– publikacja </w:t>
      </w:r>
      <w:r>
        <w:rPr>
          <w:rFonts w:ascii="Verdana" w:hAnsi="Verdana"/>
          <w:sz w:val="16"/>
          <w:szCs w:val="16"/>
        </w:rPr>
        <w:t>3 października 2022</w:t>
      </w:r>
      <w:r w:rsidRPr="00C86707">
        <w:rPr>
          <w:rFonts w:ascii="Verdana" w:hAnsi="Verdana"/>
          <w:sz w:val="16"/>
          <w:szCs w:val="16"/>
        </w:rPr>
        <w:t xml:space="preserve"> r.</w:t>
      </w:r>
    </w:p>
    <w:p w:rsidR="008A572A" w:rsidRDefault="008A572A" w:rsidP="008A572A">
      <w:pPr>
        <w:spacing w:before="60" w:after="60"/>
        <w:ind w:firstLine="567"/>
        <w:jc w:val="both"/>
        <w:rPr>
          <w:rFonts w:ascii="Verdana" w:hAnsi="Verdana" w:cs="Arial"/>
          <w:sz w:val="16"/>
          <w:szCs w:val="16"/>
        </w:rPr>
      </w:pPr>
      <w:r w:rsidRPr="00011AAA">
        <w:rPr>
          <w:rFonts w:ascii="Verdana" w:hAnsi="Verdana" w:cs="Arial"/>
          <w:sz w:val="16"/>
          <w:szCs w:val="16"/>
        </w:rPr>
        <w:t xml:space="preserve">Prognoza podstawowych wskaźników makroekonomicznych </w:t>
      </w:r>
      <w:r>
        <w:rPr>
          <w:rFonts w:ascii="Verdana" w:hAnsi="Verdana" w:cs="Arial"/>
          <w:sz w:val="16"/>
          <w:szCs w:val="16"/>
        </w:rPr>
        <w:t xml:space="preserve">w perspektywie 2025 r., opublikowana przez Ministerstwo Finansów, </w:t>
      </w:r>
      <w:r w:rsidRPr="00011AAA">
        <w:rPr>
          <w:rFonts w:ascii="Verdana" w:hAnsi="Verdana" w:cs="Arial"/>
          <w:sz w:val="16"/>
          <w:szCs w:val="16"/>
        </w:rPr>
        <w:t>przedstawia się następująco:</w:t>
      </w:r>
    </w:p>
    <w:p w:rsidR="008A572A" w:rsidRPr="00492AD1" w:rsidRDefault="008A572A" w:rsidP="008A572A">
      <w:pPr>
        <w:spacing w:before="120" w:after="60" w:line="240" w:lineRule="auto"/>
        <w:rPr>
          <w:rFonts w:ascii="Verdana" w:hAnsi="Verdana" w:cs="Arial"/>
          <w:b/>
          <w:bCs/>
          <w:iCs/>
          <w:sz w:val="14"/>
          <w:szCs w:val="14"/>
        </w:rPr>
      </w:pPr>
      <w:r w:rsidRPr="00011AAA">
        <w:rPr>
          <w:rFonts w:ascii="Verdana" w:hAnsi="Verdana"/>
          <w:b/>
          <w:bCs/>
          <w:iCs/>
          <w:sz w:val="14"/>
          <w:szCs w:val="14"/>
        </w:rPr>
        <w:t xml:space="preserve">TAB. </w:t>
      </w:r>
      <w:r w:rsidRPr="00011AAA">
        <w:rPr>
          <w:rFonts w:ascii="Verdana" w:hAnsi="Verdana"/>
          <w:b/>
          <w:bCs/>
          <w:iCs/>
          <w:sz w:val="14"/>
          <w:szCs w:val="14"/>
        </w:rPr>
        <w:fldChar w:fldCharType="begin"/>
      </w:r>
      <w:r w:rsidRPr="00011AAA">
        <w:rPr>
          <w:rFonts w:ascii="Verdana" w:hAnsi="Verdana"/>
          <w:b/>
          <w:bCs/>
          <w:iCs/>
          <w:sz w:val="14"/>
          <w:szCs w:val="14"/>
        </w:rPr>
        <w:instrText xml:space="preserve"> SEQ Tab. \* ARABIC </w:instrText>
      </w:r>
      <w:r w:rsidRPr="00011AAA">
        <w:rPr>
          <w:rFonts w:ascii="Verdana" w:hAnsi="Verdana"/>
          <w:b/>
          <w:bCs/>
          <w:iCs/>
          <w:sz w:val="14"/>
          <w:szCs w:val="14"/>
        </w:rPr>
        <w:fldChar w:fldCharType="separate"/>
      </w:r>
      <w:r w:rsidR="00DB2126">
        <w:rPr>
          <w:rFonts w:ascii="Verdana" w:hAnsi="Verdana"/>
          <w:b/>
          <w:bCs/>
          <w:iCs/>
          <w:noProof/>
          <w:sz w:val="14"/>
          <w:szCs w:val="14"/>
        </w:rPr>
        <w:t>1</w:t>
      </w:r>
      <w:r w:rsidRPr="00011AAA">
        <w:rPr>
          <w:rFonts w:ascii="Verdana" w:hAnsi="Verdana"/>
          <w:b/>
          <w:bCs/>
          <w:iCs/>
          <w:sz w:val="14"/>
          <w:szCs w:val="14"/>
        </w:rPr>
        <w:fldChar w:fldCharType="end"/>
      </w:r>
      <w:r w:rsidRPr="00011AAA">
        <w:rPr>
          <w:rFonts w:ascii="Verdana" w:hAnsi="Verdana"/>
          <w:b/>
          <w:bCs/>
          <w:iCs/>
          <w:sz w:val="14"/>
          <w:szCs w:val="14"/>
        </w:rPr>
        <w:t>.</w:t>
      </w:r>
      <w:r w:rsidRPr="00011AAA">
        <w:rPr>
          <w:b/>
          <w:bCs/>
          <w:iCs/>
          <w:sz w:val="14"/>
          <w:szCs w:val="14"/>
        </w:rPr>
        <w:t xml:space="preserve"> </w:t>
      </w:r>
      <w:r w:rsidRPr="00011AAA">
        <w:rPr>
          <w:rFonts w:ascii="Verdana" w:hAnsi="Verdana" w:cs="Arial"/>
          <w:b/>
          <w:bCs/>
          <w:iCs/>
          <w:sz w:val="14"/>
          <w:szCs w:val="14"/>
        </w:rPr>
        <w:t>GŁÓWNE WSKAŹNIKI MAKROEKONOMICZNE W LATACH</w:t>
      </w:r>
      <w:r>
        <w:rPr>
          <w:rFonts w:ascii="Verdana" w:hAnsi="Verdana" w:cs="Arial"/>
          <w:b/>
          <w:bCs/>
          <w:iCs/>
          <w:sz w:val="14"/>
          <w:szCs w:val="14"/>
        </w:rPr>
        <w:t xml:space="preserve"> </w:t>
      </w:r>
      <w:r w:rsidRPr="00932633">
        <w:rPr>
          <w:rFonts w:ascii="Verdana" w:hAnsi="Verdana" w:cs="Arial"/>
          <w:b/>
          <w:bCs/>
          <w:iCs/>
          <w:sz w:val="14"/>
          <w:szCs w:val="14"/>
        </w:rPr>
        <w:t>2022</w:t>
      </w:r>
      <w:r w:rsidRPr="00011AAA">
        <w:rPr>
          <w:rFonts w:ascii="Verdana" w:hAnsi="Verdana" w:cs="Arial"/>
          <w:b/>
          <w:bCs/>
          <w:iCs/>
          <w:sz w:val="14"/>
          <w:szCs w:val="14"/>
        </w:rPr>
        <w:t>-202</w:t>
      </w:r>
      <w:r>
        <w:rPr>
          <w:rFonts w:ascii="Verdana" w:hAnsi="Verdana" w:cs="Arial"/>
          <w:b/>
          <w:bCs/>
          <w:iCs/>
          <w:sz w:val="14"/>
          <w:szCs w:val="14"/>
        </w:rPr>
        <w:t xml:space="preserve">5 ZGODNE Z PROGNOZĄ </w:t>
      </w:r>
      <w:r>
        <w:rPr>
          <w:rFonts w:ascii="Verdana" w:hAnsi="Verdana" w:cs="Arial"/>
          <w:b/>
          <w:bCs/>
          <w:iCs/>
          <w:sz w:val="14"/>
          <w:szCs w:val="14"/>
        </w:rPr>
        <w:br/>
        <w:t xml:space="preserve">             MINISTERSTWA FINANSÓW</w:t>
      </w:r>
    </w:p>
    <w:p w:rsidR="008A572A" w:rsidRPr="00011AAA" w:rsidRDefault="008A572A" w:rsidP="008A572A">
      <w:pPr>
        <w:spacing w:before="60" w:after="60" w:line="240" w:lineRule="auto"/>
        <w:jc w:val="both"/>
        <w:rPr>
          <w:rFonts w:ascii="Verdana" w:hAnsi="Verdana" w:cs="Arial"/>
          <w:iCs/>
          <w:sz w:val="20"/>
        </w:rPr>
      </w:pPr>
      <w:r>
        <w:rPr>
          <w:rFonts w:ascii="Verdana" w:hAnsi="Verdana" w:cs="Arial"/>
          <w:iCs/>
          <w:noProof/>
          <w:sz w:val="20"/>
        </w:rPr>
        <w:drawing>
          <wp:inline distT="0" distB="0" distL="0" distR="0">
            <wp:extent cx="5391150" cy="1651635"/>
            <wp:effectExtent l="0" t="0" r="0" b="5715"/>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1651635"/>
                    </a:xfrm>
                    <a:prstGeom prst="rect">
                      <a:avLst/>
                    </a:prstGeom>
                    <a:noFill/>
                    <a:ln>
                      <a:noFill/>
                    </a:ln>
                  </pic:spPr>
                </pic:pic>
              </a:graphicData>
            </a:graphic>
          </wp:inline>
        </w:drawing>
      </w:r>
    </w:p>
    <w:p w:rsidR="008A572A" w:rsidRPr="00B4573D" w:rsidRDefault="008A572A" w:rsidP="008A572A">
      <w:pPr>
        <w:spacing w:before="240" w:after="120"/>
        <w:jc w:val="both"/>
        <w:rPr>
          <w:rFonts w:ascii="Verdana" w:hAnsi="Verdana" w:cs="Arial"/>
          <w:b/>
          <w:sz w:val="16"/>
          <w:szCs w:val="16"/>
        </w:rPr>
      </w:pPr>
      <w:r w:rsidRPr="00B4573D">
        <w:rPr>
          <w:rFonts w:ascii="Verdana" w:hAnsi="Verdana" w:cs="Arial"/>
          <w:b/>
          <w:sz w:val="16"/>
          <w:szCs w:val="16"/>
        </w:rPr>
        <w:t>Produkt Krajowy Brutto</w:t>
      </w:r>
    </w:p>
    <w:p w:rsidR="008A572A" w:rsidRDefault="008A572A" w:rsidP="008A572A">
      <w:pPr>
        <w:spacing w:before="80" w:after="80"/>
        <w:jc w:val="both"/>
        <w:rPr>
          <w:rFonts w:ascii="Verdana" w:hAnsi="Verdana" w:cs="Arial"/>
          <w:sz w:val="16"/>
          <w:szCs w:val="16"/>
        </w:rPr>
      </w:pPr>
      <w:r>
        <w:rPr>
          <w:rFonts w:ascii="Verdana" w:hAnsi="Verdana" w:cs="Arial"/>
          <w:sz w:val="16"/>
          <w:szCs w:val="16"/>
        </w:rPr>
        <w:t>Zgodnie z prognozą makroekonomiczną Ministerstwa Finansów</w:t>
      </w:r>
      <w:r w:rsidRPr="00011AAA">
        <w:rPr>
          <w:rFonts w:ascii="Verdana" w:hAnsi="Verdana" w:cs="Arial"/>
          <w:sz w:val="16"/>
          <w:szCs w:val="16"/>
        </w:rPr>
        <w:t xml:space="preserve"> Produkt Krajowy Brutto Polski w ujęciu realnym wzrośnie w</w:t>
      </w:r>
      <w:r>
        <w:rPr>
          <w:rFonts w:ascii="Verdana" w:hAnsi="Verdana" w:cs="Arial"/>
          <w:sz w:val="16"/>
          <w:szCs w:val="16"/>
        </w:rPr>
        <w:t xml:space="preserve"> </w:t>
      </w:r>
      <w:r w:rsidRPr="00932633">
        <w:rPr>
          <w:rFonts w:ascii="Verdana" w:eastAsiaTheme="minorEastAsia" w:hAnsi="Verdana" w:cs="Verdana"/>
          <w:color w:val="000000"/>
          <w:sz w:val="16"/>
          <w:szCs w:val="16"/>
        </w:rPr>
        <w:t>2023</w:t>
      </w:r>
      <w:r w:rsidRPr="00011AAA">
        <w:rPr>
          <w:rFonts w:ascii="Verdana" w:hAnsi="Verdana" w:cs="Arial"/>
          <w:sz w:val="16"/>
          <w:szCs w:val="16"/>
        </w:rPr>
        <w:t xml:space="preserve"> r. o </w:t>
      </w:r>
      <w:r>
        <w:rPr>
          <w:rFonts w:ascii="Verdana" w:hAnsi="Verdana" w:cs="Arial"/>
          <w:b/>
          <w:sz w:val="16"/>
          <w:szCs w:val="16"/>
        </w:rPr>
        <w:t>1,7</w:t>
      </w:r>
      <w:r w:rsidRPr="00011AAA">
        <w:rPr>
          <w:rFonts w:ascii="Verdana" w:hAnsi="Verdana" w:cs="Arial"/>
          <w:b/>
          <w:sz w:val="16"/>
          <w:szCs w:val="16"/>
        </w:rPr>
        <w:t>%</w:t>
      </w:r>
      <w:r w:rsidRPr="00011AAA">
        <w:rPr>
          <w:rFonts w:ascii="Verdana" w:hAnsi="Verdana" w:cs="Arial"/>
          <w:sz w:val="16"/>
          <w:szCs w:val="16"/>
        </w:rPr>
        <w:t xml:space="preserve">, </w:t>
      </w:r>
      <w:r>
        <w:rPr>
          <w:rFonts w:ascii="Verdana" w:hAnsi="Verdana" w:cs="Arial"/>
          <w:sz w:val="16"/>
          <w:szCs w:val="16"/>
        </w:rPr>
        <w:t xml:space="preserve">co oznacza blisko trzykrotnie niższy wzrost w porównaniu z 2022 r., dla którego Ministerstwo Finansów prognozuje wzrost na poziomie </w:t>
      </w:r>
      <w:r w:rsidRPr="00B4573D">
        <w:rPr>
          <w:rFonts w:ascii="Verdana" w:hAnsi="Verdana" w:cs="Arial"/>
          <w:b/>
          <w:sz w:val="16"/>
          <w:szCs w:val="16"/>
        </w:rPr>
        <w:t>4,6%</w:t>
      </w:r>
      <w:r w:rsidRPr="000D430F">
        <w:rPr>
          <w:rFonts w:ascii="Verdana" w:hAnsi="Verdana" w:cs="Arial"/>
          <w:sz w:val="16"/>
          <w:szCs w:val="16"/>
        </w:rPr>
        <w:t>.</w:t>
      </w:r>
      <w:r>
        <w:rPr>
          <w:rFonts w:ascii="Verdana" w:hAnsi="Verdana" w:cs="Arial"/>
          <w:sz w:val="16"/>
          <w:szCs w:val="16"/>
        </w:rPr>
        <w:t xml:space="preserve"> Dla lat 2024-2025 prognoza Ministerstwa Finansów zakłada dynamikę wzrostu PKB na poziomie </w:t>
      </w:r>
      <w:r>
        <w:rPr>
          <w:rFonts w:ascii="Verdana" w:hAnsi="Verdana" w:cs="Arial"/>
          <w:b/>
          <w:sz w:val="16"/>
          <w:szCs w:val="16"/>
        </w:rPr>
        <w:t>3,1</w:t>
      </w:r>
      <w:r w:rsidRPr="002320AA">
        <w:rPr>
          <w:rFonts w:ascii="Verdana" w:hAnsi="Verdana" w:cs="Arial"/>
          <w:b/>
          <w:sz w:val="16"/>
          <w:szCs w:val="16"/>
        </w:rPr>
        <w:t>%</w:t>
      </w:r>
      <w:r>
        <w:rPr>
          <w:rFonts w:ascii="Verdana" w:hAnsi="Verdana" w:cs="Arial"/>
          <w:sz w:val="16"/>
          <w:szCs w:val="16"/>
        </w:rPr>
        <w:t>.</w:t>
      </w:r>
      <w:r>
        <w:rPr>
          <w:rFonts w:ascii="Verdana" w:hAnsi="Verdana" w:cs="Arial"/>
          <w:sz w:val="16"/>
          <w:szCs w:val="16"/>
        </w:rPr>
        <w:br w:type="page"/>
      </w:r>
    </w:p>
    <w:p w:rsidR="008A572A" w:rsidRPr="00B4573D" w:rsidRDefault="008A572A" w:rsidP="008A572A">
      <w:pPr>
        <w:spacing w:before="120" w:after="120"/>
        <w:jc w:val="both"/>
        <w:rPr>
          <w:rFonts w:ascii="Verdana" w:hAnsi="Verdana" w:cs="Arial"/>
          <w:b/>
          <w:sz w:val="16"/>
          <w:szCs w:val="16"/>
        </w:rPr>
      </w:pPr>
      <w:r w:rsidRPr="00B4573D">
        <w:rPr>
          <w:rFonts w:ascii="Verdana" w:hAnsi="Verdana" w:cs="Arial"/>
          <w:b/>
          <w:sz w:val="16"/>
          <w:szCs w:val="16"/>
        </w:rPr>
        <w:lastRenderedPageBreak/>
        <w:t>Wskaźnik cen towarów i usług konsumpcyjnych</w:t>
      </w:r>
    </w:p>
    <w:p w:rsidR="008A572A" w:rsidRDefault="008A572A" w:rsidP="008A572A">
      <w:pPr>
        <w:spacing w:before="80" w:after="80"/>
        <w:jc w:val="both"/>
        <w:rPr>
          <w:rFonts w:ascii="Verdana" w:hAnsi="Verdana" w:cs="Arial"/>
          <w:sz w:val="16"/>
          <w:szCs w:val="16"/>
        </w:rPr>
      </w:pPr>
      <w:r>
        <w:rPr>
          <w:rFonts w:ascii="Verdana" w:hAnsi="Verdana" w:cs="Arial"/>
          <w:sz w:val="16"/>
          <w:szCs w:val="16"/>
        </w:rPr>
        <w:t>Zgodnie z prognozą makroekonomiczną Ministerstwa Finansów</w:t>
      </w:r>
      <w:r w:rsidRPr="00011AAA">
        <w:rPr>
          <w:rFonts w:ascii="Verdana" w:hAnsi="Verdana" w:cs="Arial"/>
          <w:sz w:val="16"/>
          <w:szCs w:val="16"/>
        </w:rPr>
        <w:t xml:space="preserve"> wskaźnik wzrostu cen towarów i usług konsumpcyjnych</w:t>
      </w:r>
      <w:r>
        <w:rPr>
          <w:rFonts w:ascii="Verdana" w:hAnsi="Verdana" w:cs="Arial"/>
          <w:sz w:val="16"/>
          <w:szCs w:val="16"/>
        </w:rPr>
        <w:t xml:space="preserve"> w </w:t>
      </w:r>
      <w:r w:rsidRPr="00932633">
        <w:rPr>
          <w:rFonts w:ascii="Verdana" w:eastAsiaTheme="minorEastAsia" w:hAnsi="Verdana" w:cs="Verdana"/>
          <w:color w:val="000000"/>
          <w:sz w:val="16"/>
          <w:szCs w:val="16"/>
        </w:rPr>
        <w:t>2023</w:t>
      </w:r>
      <w:r w:rsidRPr="00011AAA">
        <w:rPr>
          <w:rFonts w:ascii="Verdana" w:hAnsi="Verdana" w:cs="Arial"/>
          <w:sz w:val="16"/>
          <w:szCs w:val="16"/>
        </w:rPr>
        <w:t xml:space="preserve"> r. wyniesie </w:t>
      </w:r>
      <w:r>
        <w:rPr>
          <w:rFonts w:ascii="Verdana" w:hAnsi="Verdana" w:cs="Arial"/>
          <w:b/>
          <w:sz w:val="16"/>
          <w:szCs w:val="16"/>
        </w:rPr>
        <w:t>9,8</w:t>
      </w:r>
      <w:r w:rsidRPr="00011AAA">
        <w:rPr>
          <w:rFonts w:ascii="Verdana" w:hAnsi="Verdana" w:cs="Arial"/>
          <w:b/>
          <w:sz w:val="16"/>
          <w:szCs w:val="16"/>
        </w:rPr>
        <w:t>%</w:t>
      </w:r>
      <w:r>
        <w:rPr>
          <w:rFonts w:ascii="Verdana" w:hAnsi="Verdana" w:cs="Arial"/>
          <w:sz w:val="16"/>
          <w:szCs w:val="16"/>
        </w:rPr>
        <w:t xml:space="preserve"> po wzroście cen o </w:t>
      </w:r>
      <w:r w:rsidRPr="00B4573D">
        <w:rPr>
          <w:rFonts w:ascii="Verdana" w:hAnsi="Verdana" w:cs="Arial"/>
          <w:b/>
          <w:sz w:val="16"/>
          <w:szCs w:val="16"/>
        </w:rPr>
        <w:t>13,5%</w:t>
      </w:r>
      <w:r>
        <w:rPr>
          <w:rFonts w:ascii="Verdana" w:hAnsi="Verdana" w:cs="Arial"/>
          <w:sz w:val="16"/>
          <w:szCs w:val="16"/>
        </w:rPr>
        <w:t xml:space="preserve"> prognozowanym na </w:t>
      </w:r>
      <w:r w:rsidRPr="00932633">
        <w:rPr>
          <w:rFonts w:ascii="Verdana" w:eastAsiaTheme="minorEastAsia" w:hAnsi="Verdana" w:cs="Verdana"/>
          <w:color w:val="000000"/>
          <w:sz w:val="16"/>
          <w:szCs w:val="16"/>
        </w:rPr>
        <w:t>2022</w:t>
      </w:r>
      <w:r w:rsidRPr="00011AAA">
        <w:rPr>
          <w:rFonts w:ascii="Verdana" w:hAnsi="Verdana" w:cs="Arial"/>
          <w:sz w:val="16"/>
          <w:szCs w:val="16"/>
        </w:rPr>
        <w:t xml:space="preserve"> r.</w:t>
      </w:r>
      <w:r>
        <w:rPr>
          <w:rFonts w:ascii="Verdana" w:hAnsi="Verdana" w:cs="Arial"/>
          <w:sz w:val="16"/>
          <w:szCs w:val="16"/>
        </w:rPr>
        <w:t>,</w:t>
      </w:r>
      <w:r w:rsidRPr="00B4573D">
        <w:rPr>
          <w:rFonts w:ascii="Verdana" w:hAnsi="Verdana" w:cs="Arial"/>
          <w:sz w:val="16"/>
          <w:szCs w:val="16"/>
        </w:rPr>
        <w:t xml:space="preserve"> </w:t>
      </w:r>
      <w:r>
        <w:rPr>
          <w:rFonts w:ascii="Verdana" w:hAnsi="Verdana" w:cs="Arial"/>
          <w:sz w:val="16"/>
          <w:szCs w:val="16"/>
        </w:rPr>
        <w:t xml:space="preserve">co oznacza prognozowany skumulowany wzrost cen w latach 2022-2023 wynoszący </w:t>
      </w:r>
      <w:r>
        <w:rPr>
          <w:rFonts w:ascii="Verdana" w:hAnsi="Verdana" w:cs="Arial"/>
          <w:b/>
          <w:sz w:val="16"/>
          <w:szCs w:val="16"/>
        </w:rPr>
        <w:t>24,6%</w:t>
      </w:r>
      <w:r>
        <w:rPr>
          <w:rFonts w:ascii="Verdana" w:hAnsi="Verdana" w:cs="Arial"/>
          <w:sz w:val="16"/>
          <w:szCs w:val="16"/>
        </w:rPr>
        <w:t xml:space="preserve">. </w:t>
      </w:r>
      <w:r>
        <w:rPr>
          <w:rFonts w:ascii="Verdana" w:hAnsi="Verdana"/>
          <w:sz w:val="16"/>
          <w:szCs w:val="16"/>
        </w:rPr>
        <w:t xml:space="preserve">Bieżący odczyt inflacji za listopad 2022 r. podany przez Główny Urząd Statystyczny wynosi </w:t>
      </w:r>
      <w:r>
        <w:rPr>
          <w:rFonts w:ascii="Verdana" w:hAnsi="Verdana"/>
          <w:b/>
          <w:sz w:val="16"/>
          <w:szCs w:val="16"/>
        </w:rPr>
        <w:t>17,5</w:t>
      </w:r>
      <w:r w:rsidRPr="00E65FA5">
        <w:rPr>
          <w:rFonts w:ascii="Verdana" w:hAnsi="Verdana"/>
          <w:b/>
          <w:sz w:val="16"/>
          <w:szCs w:val="16"/>
        </w:rPr>
        <w:t>%</w:t>
      </w:r>
      <w:r>
        <w:rPr>
          <w:rFonts w:ascii="Verdana" w:hAnsi="Verdana"/>
          <w:sz w:val="16"/>
          <w:szCs w:val="16"/>
        </w:rPr>
        <w:t xml:space="preserve"> (porównanie XI.2022 do XI.2021)</w:t>
      </w:r>
      <w:r w:rsidRPr="00011AAA">
        <w:rPr>
          <w:rStyle w:val="Odwoanieprzypisudolnego"/>
          <w:rFonts w:ascii="Verdana" w:hAnsi="Verdana"/>
          <w:bCs/>
          <w:iCs/>
          <w:color w:val="000000"/>
          <w:sz w:val="16"/>
          <w:szCs w:val="16"/>
        </w:rPr>
        <w:footnoteReference w:id="7"/>
      </w:r>
      <w:r>
        <w:rPr>
          <w:rFonts w:ascii="Verdana" w:hAnsi="Verdana"/>
          <w:sz w:val="16"/>
          <w:szCs w:val="16"/>
        </w:rPr>
        <w:t xml:space="preserve"> </w:t>
      </w:r>
      <w:r>
        <w:rPr>
          <w:rFonts w:ascii="Verdana" w:hAnsi="Verdana"/>
          <w:sz w:val="16"/>
          <w:szCs w:val="16"/>
        </w:rPr>
        <w:br/>
        <w:t xml:space="preserve">i oznacza utrzymywanie się wysokich wzrostów cen w 2022 r. </w:t>
      </w:r>
      <w:r>
        <w:rPr>
          <w:rFonts w:ascii="Verdana" w:hAnsi="Verdana" w:cs="Arial"/>
          <w:sz w:val="16"/>
          <w:szCs w:val="16"/>
        </w:rPr>
        <w:t>W świetle prognozy Ministerstwa Finansów inflacja ma stopniowo w perspektywie kilku lat ulegać obniżeniu w kierunku celu inflacyjnego Narodowego Banku Polskiego wynoszącego 2,5%.</w:t>
      </w:r>
    </w:p>
    <w:p w:rsidR="008A572A" w:rsidRPr="00B4573D" w:rsidRDefault="008A572A" w:rsidP="008A572A">
      <w:pPr>
        <w:spacing w:before="120" w:after="120"/>
        <w:jc w:val="both"/>
        <w:rPr>
          <w:rFonts w:ascii="Verdana" w:hAnsi="Verdana" w:cs="Arial"/>
          <w:b/>
          <w:sz w:val="16"/>
          <w:szCs w:val="16"/>
        </w:rPr>
      </w:pPr>
      <w:r w:rsidRPr="00B4573D">
        <w:rPr>
          <w:rFonts w:ascii="Verdana" w:hAnsi="Verdana" w:cs="Arial"/>
          <w:b/>
          <w:sz w:val="16"/>
          <w:szCs w:val="16"/>
        </w:rPr>
        <w:t>Wynagrodzenia</w:t>
      </w:r>
    </w:p>
    <w:p w:rsidR="008A572A" w:rsidRDefault="008A572A" w:rsidP="008A572A">
      <w:pPr>
        <w:spacing w:before="120" w:after="80"/>
        <w:jc w:val="both"/>
        <w:rPr>
          <w:rFonts w:ascii="Verdana" w:hAnsi="Verdana" w:cs="Arial"/>
          <w:sz w:val="16"/>
          <w:szCs w:val="16"/>
        </w:rPr>
      </w:pPr>
      <w:r>
        <w:rPr>
          <w:rFonts w:ascii="Verdana" w:hAnsi="Verdana" w:cs="Arial"/>
          <w:sz w:val="16"/>
          <w:szCs w:val="16"/>
        </w:rPr>
        <w:t>Zgodnie z prognozą makroekonomiczną Ministerstwa Finansów</w:t>
      </w:r>
      <w:r w:rsidRPr="00011AAA">
        <w:rPr>
          <w:rFonts w:ascii="Verdana" w:hAnsi="Verdana" w:cs="Arial"/>
          <w:sz w:val="16"/>
          <w:szCs w:val="16"/>
        </w:rPr>
        <w:t xml:space="preserve"> </w:t>
      </w:r>
      <w:r w:rsidRPr="00011AAA">
        <w:rPr>
          <w:rFonts w:ascii="Verdana" w:hAnsi="Verdana"/>
          <w:spacing w:val="2"/>
          <w:sz w:val="16"/>
          <w:szCs w:val="16"/>
        </w:rPr>
        <w:t>p</w:t>
      </w:r>
      <w:r w:rsidRPr="00011AAA">
        <w:rPr>
          <w:rFonts w:ascii="Verdana" w:hAnsi="Verdana" w:cs="Arial"/>
          <w:sz w:val="16"/>
          <w:szCs w:val="16"/>
        </w:rPr>
        <w:t xml:space="preserve">rzeciętne miesięczne wynagrodzenie brutto </w:t>
      </w:r>
      <w:r>
        <w:rPr>
          <w:rFonts w:ascii="Verdana" w:hAnsi="Verdana" w:cs="Arial"/>
          <w:sz w:val="16"/>
          <w:szCs w:val="16"/>
        </w:rPr>
        <w:br/>
        <w:t xml:space="preserve">w gospodarce narodowej w </w:t>
      </w:r>
      <w:r w:rsidRPr="00932633">
        <w:rPr>
          <w:rFonts w:ascii="Verdana" w:eastAsiaTheme="minorEastAsia" w:hAnsi="Verdana" w:cs="Verdana"/>
          <w:color w:val="000000"/>
          <w:sz w:val="16"/>
          <w:szCs w:val="16"/>
        </w:rPr>
        <w:t>2023</w:t>
      </w:r>
      <w:r w:rsidRPr="00011AAA">
        <w:rPr>
          <w:rFonts w:ascii="Verdana" w:hAnsi="Verdana" w:cs="Arial"/>
          <w:sz w:val="16"/>
          <w:szCs w:val="16"/>
        </w:rPr>
        <w:t xml:space="preserve"> r. wzrośnie nominalnie o </w:t>
      </w:r>
      <w:r>
        <w:rPr>
          <w:rFonts w:ascii="Verdana" w:hAnsi="Verdana" w:cs="Arial"/>
          <w:b/>
          <w:sz w:val="16"/>
          <w:szCs w:val="16"/>
        </w:rPr>
        <w:t>10,1</w:t>
      </w:r>
      <w:r w:rsidRPr="00011AAA">
        <w:rPr>
          <w:rFonts w:ascii="Verdana" w:hAnsi="Verdana" w:cs="Arial"/>
          <w:b/>
          <w:sz w:val="16"/>
          <w:szCs w:val="16"/>
        </w:rPr>
        <w:t>%</w:t>
      </w:r>
      <w:r>
        <w:rPr>
          <w:rFonts w:ascii="Verdana" w:hAnsi="Verdana" w:cs="Arial"/>
          <w:sz w:val="16"/>
          <w:szCs w:val="16"/>
        </w:rPr>
        <w:t>, tj. na poziomie niższym od wzrostu</w:t>
      </w:r>
      <w:r w:rsidRPr="00011AAA">
        <w:rPr>
          <w:rFonts w:ascii="Verdana" w:hAnsi="Verdana" w:cs="Arial"/>
          <w:sz w:val="16"/>
          <w:szCs w:val="16"/>
        </w:rPr>
        <w:t xml:space="preserve"> oczekiwanego</w:t>
      </w:r>
      <w:r>
        <w:rPr>
          <w:rFonts w:ascii="Verdana" w:hAnsi="Verdana" w:cs="Arial"/>
          <w:sz w:val="16"/>
          <w:szCs w:val="16"/>
        </w:rPr>
        <w:t xml:space="preserve"> w </w:t>
      </w:r>
      <w:r w:rsidRPr="00932633">
        <w:rPr>
          <w:rFonts w:ascii="Verdana" w:eastAsiaTheme="minorEastAsia" w:hAnsi="Verdana" w:cs="Verdana"/>
          <w:color w:val="000000"/>
          <w:sz w:val="16"/>
          <w:szCs w:val="16"/>
        </w:rPr>
        <w:t>2022</w:t>
      </w:r>
      <w:r>
        <w:rPr>
          <w:rFonts w:ascii="Verdana" w:hAnsi="Verdana" w:cs="Arial"/>
          <w:sz w:val="16"/>
          <w:szCs w:val="16"/>
        </w:rPr>
        <w:t xml:space="preserve"> r. wynoszącego</w:t>
      </w:r>
      <w:r w:rsidRPr="00011AAA">
        <w:rPr>
          <w:rFonts w:ascii="Verdana" w:hAnsi="Verdana" w:cs="Arial"/>
          <w:sz w:val="16"/>
          <w:szCs w:val="16"/>
        </w:rPr>
        <w:t xml:space="preserve"> </w:t>
      </w:r>
      <w:r>
        <w:rPr>
          <w:rFonts w:ascii="Verdana" w:hAnsi="Verdana" w:cs="Arial"/>
          <w:b/>
          <w:sz w:val="16"/>
          <w:szCs w:val="16"/>
        </w:rPr>
        <w:t>11,2</w:t>
      </w:r>
      <w:r w:rsidRPr="00011AAA">
        <w:rPr>
          <w:rFonts w:ascii="Verdana" w:hAnsi="Verdana" w:cs="Arial"/>
          <w:b/>
          <w:sz w:val="16"/>
          <w:szCs w:val="16"/>
        </w:rPr>
        <w:t>%</w:t>
      </w:r>
      <w:r w:rsidRPr="00011AAA">
        <w:rPr>
          <w:rFonts w:ascii="Verdana" w:hAnsi="Verdana" w:cs="Arial"/>
          <w:sz w:val="16"/>
          <w:szCs w:val="16"/>
        </w:rPr>
        <w:t>.</w:t>
      </w:r>
      <w:r>
        <w:rPr>
          <w:rFonts w:ascii="Verdana" w:hAnsi="Verdana" w:cs="Arial"/>
          <w:sz w:val="16"/>
          <w:szCs w:val="16"/>
        </w:rPr>
        <w:t xml:space="preserve"> Ministerstwo Finansów oczekuje dalszego spadku dynamiki wynagrodzeń w kolejnych latach w ślad za prognozowanym spadkiem inflacji.</w:t>
      </w:r>
    </w:p>
    <w:p w:rsidR="008A572A" w:rsidRPr="00B4573D" w:rsidRDefault="008A572A" w:rsidP="008A572A">
      <w:pPr>
        <w:spacing w:before="120" w:after="120"/>
        <w:jc w:val="both"/>
        <w:rPr>
          <w:rFonts w:ascii="Verdana" w:hAnsi="Verdana" w:cs="Arial"/>
          <w:b/>
          <w:sz w:val="16"/>
          <w:szCs w:val="16"/>
        </w:rPr>
      </w:pPr>
      <w:r w:rsidRPr="00B4573D">
        <w:rPr>
          <w:rFonts w:ascii="Verdana" w:hAnsi="Verdana" w:cs="Arial"/>
          <w:b/>
          <w:sz w:val="16"/>
          <w:szCs w:val="16"/>
        </w:rPr>
        <w:t>Zatrudnienie</w:t>
      </w:r>
    </w:p>
    <w:p w:rsidR="008A572A" w:rsidRDefault="008A572A" w:rsidP="008A572A">
      <w:pPr>
        <w:autoSpaceDE w:val="0"/>
        <w:autoSpaceDN w:val="0"/>
        <w:adjustRightInd w:val="0"/>
        <w:spacing w:before="120" w:after="120"/>
        <w:jc w:val="both"/>
        <w:rPr>
          <w:rFonts w:ascii="Verdana" w:hAnsi="Verdana" w:cs="Arial"/>
          <w:sz w:val="16"/>
          <w:szCs w:val="16"/>
        </w:rPr>
      </w:pPr>
      <w:r>
        <w:rPr>
          <w:rFonts w:ascii="Verdana" w:hAnsi="Verdana" w:cs="Arial"/>
          <w:sz w:val="16"/>
          <w:szCs w:val="16"/>
        </w:rPr>
        <w:t>Zgodnie z prognozą makroekonomiczną Ministerstwa Finansów</w:t>
      </w:r>
      <w:r w:rsidRPr="00011AAA">
        <w:rPr>
          <w:rFonts w:ascii="Verdana" w:hAnsi="Verdana" w:cs="Arial"/>
          <w:sz w:val="16"/>
          <w:szCs w:val="16"/>
        </w:rPr>
        <w:t xml:space="preserve"> </w:t>
      </w:r>
      <w:r w:rsidRPr="00011AAA">
        <w:rPr>
          <w:rFonts w:ascii="Verdana" w:hAnsi="Verdana"/>
          <w:spacing w:val="2"/>
          <w:sz w:val="16"/>
          <w:szCs w:val="16"/>
        </w:rPr>
        <w:t>p</w:t>
      </w:r>
      <w:r w:rsidRPr="00011AAA">
        <w:rPr>
          <w:rFonts w:ascii="Verdana" w:hAnsi="Verdana" w:cs="Arial"/>
          <w:sz w:val="16"/>
          <w:szCs w:val="16"/>
        </w:rPr>
        <w:t xml:space="preserve">rzeciętne zatrudnienie w gospodarce narodowej </w:t>
      </w:r>
      <w:r>
        <w:rPr>
          <w:rFonts w:ascii="Verdana" w:hAnsi="Verdana" w:cs="Arial"/>
          <w:sz w:val="16"/>
          <w:szCs w:val="16"/>
        </w:rPr>
        <w:t xml:space="preserve">w </w:t>
      </w:r>
      <w:r w:rsidRPr="00932633">
        <w:rPr>
          <w:rFonts w:ascii="Verdana" w:eastAsiaTheme="minorEastAsia" w:hAnsi="Verdana" w:cs="Verdana"/>
          <w:color w:val="000000"/>
          <w:sz w:val="16"/>
          <w:szCs w:val="16"/>
        </w:rPr>
        <w:t>2023</w:t>
      </w:r>
      <w:r w:rsidRPr="00011AAA">
        <w:rPr>
          <w:rFonts w:ascii="Verdana" w:hAnsi="Verdana" w:cs="Arial"/>
          <w:sz w:val="16"/>
          <w:szCs w:val="16"/>
        </w:rPr>
        <w:t xml:space="preserve"> r. </w:t>
      </w:r>
      <w:r>
        <w:rPr>
          <w:rFonts w:ascii="Verdana" w:hAnsi="Verdana" w:cs="Arial"/>
          <w:sz w:val="16"/>
          <w:szCs w:val="16"/>
        </w:rPr>
        <w:t>ma spaść</w:t>
      </w:r>
      <w:r w:rsidRPr="00011AAA">
        <w:rPr>
          <w:rFonts w:ascii="Verdana" w:hAnsi="Verdana" w:cs="Arial"/>
          <w:sz w:val="16"/>
          <w:szCs w:val="16"/>
        </w:rPr>
        <w:t xml:space="preserve"> o </w:t>
      </w:r>
      <w:r>
        <w:rPr>
          <w:rFonts w:ascii="Verdana" w:hAnsi="Verdana" w:cs="Arial"/>
          <w:b/>
          <w:sz w:val="16"/>
          <w:szCs w:val="16"/>
        </w:rPr>
        <w:t>0,5</w:t>
      </w:r>
      <w:r w:rsidRPr="00011AAA">
        <w:rPr>
          <w:rFonts w:ascii="Verdana" w:hAnsi="Verdana" w:cs="Arial"/>
          <w:b/>
          <w:sz w:val="16"/>
          <w:szCs w:val="16"/>
        </w:rPr>
        <w:t>%</w:t>
      </w:r>
      <w:r>
        <w:rPr>
          <w:rFonts w:ascii="Verdana" w:hAnsi="Verdana" w:cs="Arial"/>
          <w:sz w:val="16"/>
          <w:szCs w:val="16"/>
        </w:rPr>
        <w:t>,</w:t>
      </w:r>
      <w:r w:rsidRPr="00011AAA">
        <w:rPr>
          <w:rFonts w:ascii="Verdana" w:hAnsi="Verdana" w:cs="Arial"/>
          <w:sz w:val="16"/>
          <w:szCs w:val="16"/>
        </w:rPr>
        <w:t xml:space="preserve"> </w:t>
      </w:r>
      <w:r>
        <w:rPr>
          <w:rFonts w:ascii="Verdana" w:hAnsi="Verdana" w:cs="Arial"/>
          <w:sz w:val="16"/>
          <w:szCs w:val="16"/>
        </w:rPr>
        <w:t xml:space="preserve">po wzroście oczekiwanym w </w:t>
      </w:r>
      <w:r w:rsidRPr="00932633">
        <w:rPr>
          <w:rFonts w:ascii="Verdana" w:eastAsiaTheme="minorEastAsia" w:hAnsi="Verdana" w:cs="Verdana"/>
          <w:color w:val="000000"/>
          <w:sz w:val="16"/>
          <w:szCs w:val="16"/>
        </w:rPr>
        <w:t>2022</w:t>
      </w:r>
      <w:r>
        <w:rPr>
          <w:rFonts w:ascii="Verdana" w:hAnsi="Verdana" w:cs="Arial"/>
          <w:sz w:val="16"/>
          <w:szCs w:val="16"/>
        </w:rPr>
        <w:t xml:space="preserve"> r. na poziomie</w:t>
      </w:r>
      <w:r w:rsidRPr="00011AAA">
        <w:rPr>
          <w:rFonts w:ascii="Verdana" w:hAnsi="Verdana" w:cs="Arial"/>
          <w:sz w:val="16"/>
          <w:szCs w:val="16"/>
        </w:rPr>
        <w:t xml:space="preserve"> </w:t>
      </w:r>
      <w:r>
        <w:rPr>
          <w:rFonts w:ascii="Verdana" w:hAnsi="Verdana" w:cs="Arial"/>
          <w:b/>
          <w:sz w:val="16"/>
          <w:szCs w:val="16"/>
        </w:rPr>
        <w:t>1,8</w:t>
      </w:r>
      <w:r w:rsidRPr="00011AAA">
        <w:rPr>
          <w:rFonts w:ascii="Verdana" w:hAnsi="Verdana" w:cs="Arial"/>
          <w:b/>
          <w:sz w:val="16"/>
          <w:szCs w:val="16"/>
        </w:rPr>
        <w:t>%</w:t>
      </w:r>
      <w:r>
        <w:rPr>
          <w:rFonts w:ascii="Verdana" w:hAnsi="Verdana" w:cs="Arial"/>
          <w:sz w:val="16"/>
          <w:szCs w:val="16"/>
        </w:rPr>
        <w:t>. Na lata 2024-2025 Ministerstwo Finansów przewiduje stabilizację zatrudnienia na poziomie z 2023 r.</w:t>
      </w:r>
    </w:p>
    <w:p w:rsidR="008A572A" w:rsidRPr="000A6485" w:rsidRDefault="008A572A" w:rsidP="008A572A">
      <w:pPr>
        <w:spacing w:before="240" w:after="120"/>
        <w:rPr>
          <w:rFonts w:ascii="Verdana" w:hAnsi="Verdana"/>
          <w:b/>
          <w:bCs/>
          <w:sz w:val="20"/>
          <w:szCs w:val="20"/>
        </w:rPr>
      </w:pPr>
      <w:r w:rsidRPr="000A6485">
        <w:rPr>
          <w:rFonts w:ascii="Verdana" w:hAnsi="Verdana"/>
          <w:b/>
          <w:bCs/>
          <w:sz w:val="20"/>
          <w:szCs w:val="20"/>
        </w:rPr>
        <w:t xml:space="preserve">4.3 </w:t>
      </w:r>
      <w:r w:rsidRPr="00312621">
        <w:rPr>
          <w:rFonts w:ascii="Verdana" w:hAnsi="Verdana"/>
          <w:b/>
          <w:bCs/>
          <w:sz w:val="20"/>
          <w:szCs w:val="20"/>
        </w:rPr>
        <w:t>Uwarunkowania budżetowe m.st. Warszawy</w:t>
      </w:r>
    </w:p>
    <w:p w:rsidR="008A572A" w:rsidRDefault="008A572A" w:rsidP="008A572A">
      <w:pPr>
        <w:spacing w:before="60" w:after="60"/>
        <w:ind w:firstLine="567"/>
        <w:jc w:val="both"/>
        <w:rPr>
          <w:rFonts w:ascii="Verdana" w:hAnsi="Verdana"/>
          <w:sz w:val="16"/>
          <w:szCs w:val="16"/>
        </w:rPr>
      </w:pPr>
      <w:r>
        <w:rPr>
          <w:rFonts w:ascii="Verdana" w:hAnsi="Verdana"/>
          <w:sz w:val="16"/>
          <w:szCs w:val="16"/>
        </w:rPr>
        <w:t xml:space="preserve">Przy konstruowaniu Wieloletniej Prognozy Finansowej m.st. Warszawy edycji 2023-2050 założono, </w:t>
      </w:r>
      <w:r>
        <w:rPr>
          <w:rFonts w:ascii="Verdana" w:hAnsi="Verdana"/>
          <w:sz w:val="16"/>
          <w:szCs w:val="16"/>
        </w:rPr>
        <w:br/>
        <w:t xml:space="preserve">iż realizacja budżetu m.st. Warszawy w roku 2023, podobnie jak ma to miejsce w roku 2022, odbywać się będzie w warunkach wysokiego poziomu niepewności kształtowania się czynników wpływających na finanse Miasta, </w:t>
      </w:r>
      <w:r>
        <w:rPr>
          <w:rFonts w:ascii="Verdana" w:hAnsi="Verdana"/>
          <w:sz w:val="16"/>
          <w:szCs w:val="16"/>
        </w:rPr>
        <w:br/>
        <w:t xml:space="preserve">w szczególności głębokości oczekiwanego osłabienia koniunktury gospodarczej oraz rozwoju zjawisk inflacyjnych. Scenariusz ryzyka niestabilności otoczenia makroekonomicznego zdeterminował także konserwatyzm przy konstruowaniu parametrów budżetowych WPF 2023-2050 w dłuższych horyzoncie czasowym. Sytuacja geopolityczna związana z konfliktem zbrojnym toczonym na terytorium Ukrainy poza skutkami gospodarczymi oddziałuje wprost na budżet Miasta w związku z pomocą udzielaną obywatelom Ukrainy przebywającym na terenie Warszawy. Intensyfikacja procesów inflacyjnych w połączeniu z niepewnością ich rozwoju wywołuje presję na wydatki Miasta we wszystkich obszarach działalności, zarówno w obszarze zadań bieżących, jak i w zakresie inwestycyjnym. Prognoza Ministerstwa Finansów zawarta w uzasadnieniu do projektu ustawy budżetowej na 2023 rok przewiduje średnioroczny wzrost cen towarów i usług konsumpcyjnych (pot. inflacja) na poziomie 13,5% </w:t>
      </w:r>
      <w:r>
        <w:rPr>
          <w:rFonts w:ascii="Verdana" w:hAnsi="Verdana"/>
          <w:sz w:val="16"/>
          <w:szCs w:val="16"/>
        </w:rPr>
        <w:br/>
        <w:t>w roku 2022 i 9,8% w roku 2023, co oznacza prognozowaną skumulowaną inflację w latach 2022-2023 na poziomie 24,6%. Bieżący odczyt inflacji podany przez Główny Urząd Statystyczny wyniósł 17,5% w listopadzie br.</w:t>
      </w:r>
      <w:r w:rsidRPr="00011AAA">
        <w:rPr>
          <w:rStyle w:val="Odwoanieprzypisudolnego"/>
          <w:rFonts w:ascii="Verdana" w:hAnsi="Verdana"/>
          <w:bCs/>
          <w:iCs/>
          <w:color w:val="000000"/>
          <w:sz w:val="16"/>
          <w:szCs w:val="16"/>
        </w:rPr>
        <w:footnoteReference w:id="8"/>
      </w:r>
      <w:r>
        <w:rPr>
          <w:rFonts w:ascii="Verdana" w:hAnsi="Verdana"/>
          <w:sz w:val="16"/>
          <w:szCs w:val="16"/>
        </w:rPr>
        <w:t xml:space="preserve"> Niemający precedensu w okresie obecnej formy prawnej funkcjonowania samorządu warszawskiego charakter zjawisk inflacyjnych, w szczególności wysoki na tle historycznym ogólny wzrost cen, ale także niepewność dalszego rozwoju procesów inflacyjnych, znacznie zwiększają ryzyko powstania napięć w budżecie Miasta w 2023 roku. Pomimo wahań inflacji obserwowanych na przestrzeni lat warunki funkcjonowania samorządu były dotąd porównywalne. Przy obecnym i oczekiwanym w roku 2023 poziomie inflacji porównywalność danych budżetowych z latami wcześniejszymi jest mocno zaburzona.</w:t>
      </w:r>
      <w:r>
        <w:rPr>
          <w:rFonts w:ascii="Verdana" w:hAnsi="Verdana"/>
          <w:sz w:val="16"/>
          <w:szCs w:val="16"/>
        </w:rPr>
        <w:br w:type="page"/>
      </w:r>
    </w:p>
    <w:p w:rsidR="008A572A" w:rsidRPr="009254D6" w:rsidRDefault="008A572A" w:rsidP="008A572A">
      <w:pPr>
        <w:spacing w:after="60"/>
        <w:jc w:val="both"/>
        <w:rPr>
          <w:rFonts w:ascii="Verdana" w:hAnsi="Verdana"/>
          <w:sz w:val="16"/>
          <w:szCs w:val="16"/>
        </w:rPr>
      </w:pPr>
      <w:r w:rsidRPr="00011AAA">
        <w:rPr>
          <w:rFonts w:ascii="Verdana" w:hAnsi="Verdana"/>
          <w:b/>
          <w:bCs/>
          <w:iCs/>
          <w:sz w:val="14"/>
          <w:szCs w:val="14"/>
        </w:rPr>
        <w:lastRenderedPageBreak/>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sidR="00DB2126">
        <w:rPr>
          <w:rFonts w:ascii="Verdana" w:hAnsi="Verdana"/>
          <w:b/>
          <w:bCs/>
          <w:iCs/>
          <w:noProof/>
          <w:sz w:val="14"/>
          <w:szCs w:val="14"/>
        </w:rPr>
        <w:t>1</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ROCZNE WSKAŹNIKI CEN TOWARÓW I USŁUG KONSUMCYJNYCH (POT. INFLACJA) W LATACH 2003-2023</w:t>
      </w:r>
      <w:r>
        <w:rPr>
          <w:rFonts w:ascii="Verdana" w:hAnsi="Verdana" w:cs="Arial"/>
          <w:b/>
          <w:bCs/>
          <w:iCs/>
          <w:sz w:val="14"/>
          <w:szCs w:val="14"/>
        </w:rPr>
        <w:br/>
        <w:t xml:space="preserve">                </w:t>
      </w:r>
      <w:r w:rsidRPr="009254D6">
        <w:rPr>
          <w:rFonts w:ascii="Verdana" w:hAnsi="Verdana" w:cs="Arial"/>
          <w:bCs/>
          <w:iCs/>
          <w:sz w:val="14"/>
          <w:szCs w:val="14"/>
        </w:rPr>
        <w:t>(lata 2022-2023 wg prognozy Ministerstwa Finansów zawartej w projekcie ustawy budżetowej na 2023 rok)</w:t>
      </w:r>
    </w:p>
    <w:p w:rsidR="008A572A" w:rsidRDefault="008A572A" w:rsidP="008A572A">
      <w:pPr>
        <w:spacing w:before="60" w:after="60"/>
        <w:jc w:val="both"/>
        <w:rPr>
          <w:rFonts w:ascii="Verdana" w:hAnsi="Verdana"/>
          <w:sz w:val="16"/>
          <w:szCs w:val="16"/>
        </w:rPr>
      </w:pPr>
      <w:r w:rsidRPr="009254D6">
        <w:rPr>
          <w:noProof/>
        </w:rPr>
        <w:drawing>
          <wp:inline distT="0" distB="0" distL="0" distR="0" wp14:anchorId="3EB3DAFF" wp14:editId="14E53764">
            <wp:extent cx="5539563" cy="2757352"/>
            <wp:effectExtent l="0" t="0" r="4445" b="508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6810" cy="2760959"/>
                    </a:xfrm>
                    <a:prstGeom prst="rect">
                      <a:avLst/>
                    </a:prstGeom>
                    <a:noFill/>
                    <a:ln>
                      <a:noFill/>
                    </a:ln>
                  </pic:spPr>
                </pic:pic>
              </a:graphicData>
            </a:graphic>
          </wp:inline>
        </w:drawing>
      </w:r>
    </w:p>
    <w:p w:rsidR="008A572A" w:rsidRPr="009254D6" w:rsidRDefault="008A572A" w:rsidP="008A572A">
      <w:pPr>
        <w:spacing w:before="60" w:after="60" w:line="240" w:lineRule="auto"/>
        <w:rPr>
          <w:rFonts w:ascii="Verdana" w:hAnsi="Verdana"/>
          <w:sz w:val="16"/>
          <w:szCs w:val="16"/>
        </w:rPr>
      </w:pPr>
      <w:r w:rsidRPr="00011AAA">
        <w:rPr>
          <w:rFonts w:ascii="Verdana" w:hAnsi="Verdana"/>
          <w:b/>
          <w:bCs/>
          <w:iCs/>
          <w:sz w:val="14"/>
          <w:szCs w:val="14"/>
        </w:rPr>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sidR="00DB2126">
        <w:rPr>
          <w:rFonts w:ascii="Verdana" w:hAnsi="Verdana"/>
          <w:b/>
          <w:bCs/>
          <w:iCs/>
          <w:noProof/>
          <w:sz w:val="14"/>
          <w:szCs w:val="14"/>
        </w:rPr>
        <w:t>2</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 xml:space="preserve">MIESIĘCZNE WSKAŹNIKI CEN TOWARÓW I USŁUG KONSUMCYJNYCH (POT. INFLACJA) </w:t>
      </w:r>
      <w:r>
        <w:rPr>
          <w:rFonts w:ascii="Verdana" w:hAnsi="Verdana" w:cs="Arial"/>
          <w:b/>
          <w:bCs/>
          <w:iCs/>
          <w:sz w:val="14"/>
          <w:szCs w:val="14"/>
        </w:rPr>
        <w:br/>
        <w:t xml:space="preserve">                W LATACH 2021-2022 NA TLE PROGNOZY WSKAŹNIKÓW ROCZNYCH NA LATA 2022-2023 </w:t>
      </w:r>
      <w:r>
        <w:rPr>
          <w:rFonts w:ascii="Verdana" w:hAnsi="Verdana" w:cs="Arial"/>
          <w:b/>
          <w:bCs/>
          <w:iCs/>
          <w:sz w:val="14"/>
          <w:szCs w:val="14"/>
        </w:rPr>
        <w:br/>
        <w:t xml:space="preserve">               I WSKAŹNIKA W 2021 R. </w:t>
      </w:r>
      <w:r w:rsidRPr="009254D6">
        <w:rPr>
          <w:rFonts w:ascii="Verdana" w:hAnsi="Verdana" w:cs="Arial"/>
          <w:bCs/>
          <w:iCs/>
          <w:sz w:val="14"/>
          <w:szCs w:val="14"/>
        </w:rPr>
        <w:t>(</w:t>
      </w:r>
      <w:r>
        <w:rPr>
          <w:rFonts w:ascii="Verdana" w:hAnsi="Verdana" w:cs="Arial"/>
          <w:bCs/>
          <w:iCs/>
          <w:sz w:val="14"/>
          <w:szCs w:val="14"/>
        </w:rPr>
        <w:t xml:space="preserve">wskaźniki roczne w </w:t>
      </w:r>
      <w:r w:rsidRPr="009254D6">
        <w:rPr>
          <w:rFonts w:ascii="Verdana" w:hAnsi="Verdana" w:cs="Arial"/>
          <w:bCs/>
          <w:iCs/>
          <w:sz w:val="14"/>
          <w:szCs w:val="14"/>
        </w:rPr>
        <w:t>lata</w:t>
      </w:r>
      <w:r>
        <w:rPr>
          <w:rFonts w:ascii="Verdana" w:hAnsi="Verdana" w:cs="Arial"/>
          <w:bCs/>
          <w:iCs/>
          <w:sz w:val="14"/>
          <w:szCs w:val="14"/>
        </w:rPr>
        <w:t>ch</w:t>
      </w:r>
      <w:r w:rsidRPr="009254D6">
        <w:rPr>
          <w:rFonts w:ascii="Verdana" w:hAnsi="Verdana" w:cs="Arial"/>
          <w:bCs/>
          <w:iCs/>
          <w:sz w:val="14"/>
          <w:szCs w:val="14"/>
        </w:rPr>
        <w:t xml:space="preserve"> 2022-2023 wg prognozy Ministerstwa Finansów </w:t>
      </w:r>
      <w:r>
        <w:rPr>
          <w:rFonts w:ascii="Verdana" w:hAnsi="Verdana" w:cs="Arial"/>
          <w:bCs/>
          <w:iCs/>
          <w:sz w:val="14"/>
          <w:szCs w:val="14"/>
        </w:rPr>
        <w:br/>
        <w:t xml:space="preserve">               </w:t>
      </w:r>
      <w:r w:rsidRPr="009254D6">
        <w:rPr>
          <w:rFonts w:ascii="Verdana" w:hAnsi="Verdana" w:cs="Arial"/>
          <w:bCs/>
          <w:iCs/>
          <w:sz w:val="14"/>
          <w:szCs w:val="14"/>
        </w:rPr>
        <w:t>zawartej w projekcie ustawy budżetowej na 2023 rok)</w:t>
      </w:r>
    </w:p>
    <w:p w:rsidR="008A572A" w:rsidRDefault="008A572A" w:rsidP="008A572A">
      <w:pPr>
        <w:spacing w:before="60" w:after="60"/>
        <w:jc w:val="both"/>
        <w:rPr>
          <w:rFonts w:ascii="Verdana" w:hAnsi="Verdana"/>
          <w:sz w:val="16"/>
          <w:szCs w:val="16"/>
        </w:rPr>
      </w:pPr>
      <w:r w:rsidRPr="00CD0E33">
        <w:rPr>
          <w:noProof/>
        </w:rPr>
        <w:drawing>
          <wp:inline distT="0" distB="0" distL="0" distR="0" wp14:anchorId="388AA722" wp14:editId="3A3A98D8">
            <wp:extent cx="5760085" cy="2845756"/>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2845756"/>
                    </a:xfrm>
                    <a:prstGeom prst="rect">
                      <a:avLst/>
                    </a:prstGeom>
                    <a:noFill/>
                    <a:ln>
                      <a:noFill/>
                    </a:ln>
                  </pic:spPr>
                </pic:pic>
              </a:graphicData>
            </a:graphic>
          </wp:inline>
        </w:drawing>
      </w:r>
    </w:p>
    <w:p w:rsidR="008A572A" w:rsidRDefault="008A572A" w:rsidP="008A572A">
      <w:pPr>
        <w:spacing w:before="60" w:after="60"/>
        <w:jc w:val="both"/>
        <w:rPr>
          <w:rFonts w:ascii="Verdana" w:hAnsi="Verdana"/>
          <w:sz w:val="16"/>
          <w:szCs w:val="16"/>
        </w:rPr>
      </w:pPr>
      <w:r>
        <w:rPr>
          <w:rFonts w:ascii="Verdana" w:hAnsi="Verdana"/>
          <w:sz w:val="16"/>
          <w:szCs w:val="16"/>
        </w:rPr>
        <w:t xml:space="preserve">W warunkach niesprzyjającej sytuacji gospodarczej i znacząco podwyższonej inflacji samorządy, </w:t>
      </w:r>
      <w:r>
        <w:rPr>
          <w:rFonts w:ascii="Verdana" w:hAnsi="Verdana"/>
          <w:sz w:val="16"/>
          <w:szCs w:val="16"/>
        </w:rPr>
        <w:br/>
        <w:t xml:space="preserve">a w szczególności największe samorządy, muszą mierzyć się z drastycznym trwałym ograniczeniem dochodów własnych w konsekwencji rozwiązań systemowych wprowadzonych w ramach rządowego programu Polski Ład wraz z jego modyfikacjami. Decyzje te nałożyły się na wdrożone w latach poprzednich zmiany podatkowe osłabiające finanse samorządów (m.in. ograniczenie dochodów z opłat za użytkowanie wieczyste i tzw. </w:t>
      </w:r>
      <w:r>
        <w:rPr>
          <w:rFonts w:ascii="Verdana" w:hAnsi="Verdana"/>
          <w:sz w:val="16"/>
          <w:szCs w:val="16"/>
        </w:rPr>
        <w:br/>
        <w:t xml:space="preserve">5 Kaczyńskiego). Na skutek zmian legislacyjnych objętych programem Polski Ład </w:t>
      </w:r>
      <w:r w:rsidRPr="0007483C">
        <w:rPr>
          <w:rFonts w:ascii="Verdana" w:hAnsi="Verdana"/>
          <w:sz w:val="16"/>
          <w:szCs w:val="16"/>
        </w:rPr>
        <w:t xml:space="preserve">dochody </w:t>
      </w:r>
      <w:r>
        <w:rPr>
          <w:rFonts w:ascii="Verdana" w:hAnsi="Verdana"/>
          <w:sz w:val="16"/>
          <w:szCs w:val="16"/>
        </w:rPr>
        <w:t xml:space="preserve">m.st. </w:t>
      </w:r>
      <w:r w:rsidRPr="0007483C">
        <w:rPr>
          <w:rFonts w:ascii="Verdana" w:hAnsi="Verdana"/>
          <w:sz w:val="16"/>
          <w:szCs w:val="16"/>
        </w:rPr>
        <w:t xml:space="preserve">Warszawy </w:t>
      </w:r>
      <w:r>
        <w:rPr>
          <w:rFonts w:ascii="Verdana" w:hAnsi="Verdana"/>
          <w:sz w:val="16"/>
          <w:szCs w:val="16"/>
        </w:rPr>
        <w:t>pochodzące z głównego źródła wpływów własnych, tj. z udziału w podatku dochodowym od osób fizycznych (</w:t>
      </w:r>
      <w:r w:rsidRPr="0007483C">
        <w:rPr>
          <w:rFonts w:ascii="Verdana" w:hAnsi="Verdana"/>
          <w:sz w:val="16"/>
          <w:szCs w:val="16"/>
        </w:rPr>
        <w:t>PIT</w:t>
      </w:r>
      <w:r>
        <w:rPr>
          <w:rFonts w:ascii="Verdana" w:hAnsi="Verdana"/>
          <w:sz w:val="16"/>
          <w:szCs w:val="16"/>
        </w:rPr>
        <w:t>)</w:t>
      </w:r>
      <w:r w:rsidRPr="0007483C">
        <w:rPr>
          <w:rFonts w:ascii="Verdana" w:hAnsi="Verdana"/>
          <w:sz w:val="16"/>
          <w:szCs w:val="16"/>
        </w:rPr>
        <w:t xml:space="preserve"> powiększone o rekompensatę w latach </w:t>
      </w:r>
      <w:r>
        <w:rPr>
          <w:rFonts w:ascii="Verdana" w:hAnsi="Verdana"/>
          <w:sz w:val="16"/>
          <w:szCs w:val="16"/>
        </w:rPr>
        <w:t xml:space="preserve">2022-2023 </w:t>
      </w:r>
      <w:r w:rsidRPr="0007483C">
        <w:rPr>
          <w:rFonts w:ascii="Verdana" w:hAnsi="Verdana"/>
          <w:sz w:val="16"/>
          <w:szCs w:val="16"/>
        </w:rPr>
        <w:t>ulegają bezwzględnemu obniżeniu w stosunku do poziomu zrealizowanych dochodów w 2021 r.</w:t>
      </w:r>
      <w:r>
        <w:rPr>
          <w:rFonts w:ascii="Verdana" w:hAnsi="Verdana"/>
          <w:sz w:val="16"/>
          <w:szCs w:val="16"/>
        </w:rPr>
        <w:t>, przy prognozowanej przez Ministerstwo Finansów na te lata skumulowanej inflacji na poziomie 24,6%.</w:t>
      </w:r>
      <w:r w:rsidRPr="0007483C">
        <w:rPr>
          <w:rFonts w:ascii="Verdana" w:hAnsi="Verdana"/>
          <w:sz w:val="16"/>
          <w:szCs w:val="16"/>
        </w:rPr>
        <w:t xml:space="preserve"> </w:t>
      </w:r>
      <w:r>
        <w:rPr>
          <w:rFonts w:ascii="Verdana" w:hAnsi="Verdana"/>
          <w:sz w:val="16"/>
          <w:szCs w:val="16"/>
        </w:rPr>
        <w:t>Wadliwie skonstruowany</w:t>
      </w:r>
      <w:r w:rsidRPr="0007483C">
        <w:rPr>
          <w:rFonts w:ascii="Verdana" w:hAnsi="Verdana"/>
          <w:sz w:val="16"/>
          <w:szCs w:val="16"/>
        </w:rPr>
        <w:t xml:space="preserve"> system rekompensat strat samorządów w dochodach z PIT wprowadzony </w:t>
      </w:r>
      <w:r>
        <w:rPr>
          <w:rFonts w:ascii="Verdana" w:hAnsi="Verdana"/>
          <w:sz w:val="16"/>
          <w:szCs w:val="16"/>
        </w:rPr>
        <w:t>w ramach programu</w:t>
      </w:r>
      <w:r w:rsidRPr="0007483C">
        <w:rPr>
          <w:rFonts w:ascii="Verdana" w:hAnsi="Verdana"/>
          <w:sz w:val="16"/>
          <w:szCs w:val="16"/>
        </w:rPr>
        <w:t xml:space="preserve"> Polski Ład, w kolejnych latach spowoduje pogłębienie ubytków w potencjale dochodowym m.st. Warszawy.</w:t>
      </w:r>
      <w:r>
        <w:rPr>
          <w:rFonts w:ascii="Verdana" w:hAnsi="Verdana"/>
          <w:sz w:val="16"/>
          <w:szCs w:val="16"/>
        </w:rPr>
        <w:t xml:space="preserve"> Jednocześnie pomimo bezwzględnego ograniczenia dochodów Warszawy z PIT </w:t>
      </w:r>
      <w:r>
        <w:rPr>
          <w:rFonts w:ascii="Verdana" w:hAnsi="Verdana"/>
          <w:sz w:val="16"/>
          <w:szCs w:val="16"/>
        </w:rPr>
        <w:lastRenderedPageBreak/>
        <w:t>rośnie wpłata do budżetu państwa z tytułu tzw. Janosikowego. Z uwagi na sytuację rynkową m.st. Warszawa doświadcza także dynamicznie rosnącego oprocentowania długu. Biorąc pod uwagę istotnie trwale ograniczony potencjał dochodowy m.st. Warszawy oraz powyższe zagrożenia budżetowe, utrzymanie realnego poziomu wydatków budżetowych m.st. Warszawy będzie wyzwaniem, tak w 2023 roku, jak i w latach kolejnych.</w:t>
      </w:r>
    </w:p>
    <w:p w:rsidR="008A572A" w:rsidRPr="00EB6725" w:rsidRDefault="008A572A" w:rsidP="008A572A">
      <w:pPr>
        <w:spacing w:before="60" w:after="60"/>
        <w:ind w:firstLine="567"/>
        <w:jc w:val="both"/>
        <w:rPr>
          <w:rFonts w:ascii="Verdana" w:hAnsi="Verdana"/>
          <w:sz w:val="16"/>
          <w:szCs w:val="16"/>
        </w:rPr>
      </w:pPr>
      <w:r w:rsidRPr="00B90870">
        <w:rPr>
          <w:rFonts w:ascii="Verdana" w:hAnsi="Verdana"/>
          <w:sz w:val="16"/>
          <w:szCs w:val="16"/>
        </w:rPr>
        <w:t xml:space="preserve">W latach 2020 i 2021 finanse </w:t>
      </w:r>
      <w:r>
        <w:rPr>
          <w:rFonts w:ascii="Verdana" w:hAnsi="Verdana"/>
          <w:sz w:val="16"/>
          <w:szCs w:val="16"/>
        </w:rPr>
        <w:t xml:space="preserve">m.st. </w:t>
      </w:r>
      <w:r w:rsidRPr="00B90870">
        <w:rPr>
          <w:rFonts w:ascii="Verdana" w:hAnsi="Verdana"/>
          <w:sz w:val="16"/>
          <w:szCs w:val="16"/>
        </w:rPr>
        <w:t xml:space="preserve">Warszawy zostały nadwyrężone skutkami </w:t>
      </w:r>
      <w:r w:rsidRPr="00FE0EC4">
        <w:rPr>
          <w:rFonts w:ascii="Verdana" w:hAnsi="Verdana"/>
          <w:b/>
          <w:sz w:val="16"/>
          <w:szCs w:val="16"/>
        </w:rPr>
        <w:t xml:space="preserve">pandemii </w:t>
      </w:r>
      <w:proofErr w:type="spellStart"/>
      <w:r w:rsidRPr="00FE0EC4">
        <w:rPr>
          <w:rFonts w:ascii="Verdana" w:hAnsi="Verdana"/>
          <w:b/>
          <w:sz w:val="16"/>
          <w:szCs w:val="16"/>
        </w:rPr>
        <w:t>koronawirusa</w:t>
      </w:r>
      <w:proofErr w:type="spellEnd"/>
      <w:r w:rsidRPr="00FE0EC4">
        <w:rPr>
          <w:rFonts w:ascii="Verdana" w:hAnsi="Verdana"/>
          <w:b/>
          <w:sz w:val="16"/>
          <w:szCs w:val="16"/>
        </w:rPr>
        <w:t xml:space="preserve"> SARS-CoV-2</w:t>
      </w:r>
      <w:r>
        <w:rPr>
          <w:rFonts w:ascii="Verdana" w:hAnsi="Verdana"/>
          <w:b/>
          <w:sz w:val="16"/>
          <w:szCs w:val="16"/>
        </w:rPr>
        <w:t>. Z</w:t>
      </w:r>
      <w:r w:rsidRPr="00EB6725">
        <w:rPr>
          <w:rFonts w:ascii="Verdana" w:hAnsi="Verdana"/>
          <w:b/>
          <w:sz w:val="16"/>
          <w:szCs w:val="16"/>
        </w:rPr>
        <w:t xml:space="preserve">biegły się </w:t>
      </w:r>
      <w:r>
        <w:rPr>
          <w:rFonts w:ascii="Verdana" w:hAnsi="Verdana"/>
          <w:b/>
          <w:sz w:val="16"/>
          <w:szCs w:val="16"/>
        </w:rPr>
        <w:t xml:space="preserve">one </w:t>
      </w:r>
      <w:r w:rsidRPr="00EB6725">
        <w:rPr>
          <w:rFonts w:ascii="Verdana" w:hAnsi="Verdana"/>
          <w:b/>
          <w:sz w:val="16"/>
          <w:szCs w:val="16"/>
        </w:rPr>
        <w:t>z negatywnymi dla dochodów m.st. Warszawy następstwami</w:t>
      </w:r>
      <w:r w:rsidRPr="00B90870">
        <w:rPr>
          <w:rFonts w:ascii="Verdana" w:hAnsi="Verdana"/>
          <w:sz w:val="16"/>
          <w:szCs w:val="16"/>
        </w:rPr>
        <w:t xml:space="preserve"> </w:t>
      </w:r>
      <w:r w:rsidRPr="00FE0EC4">
        <w:rPr>
          <w:rFonts w:ascii="Verdana" w:hAnsi="Verdana"/>
          <w:b/>
          <w:sz w:val="16"/>
          <w:szCs w:val="16"/>
        </w:rPr>
        <w:t xml:space="preserve">zmian </w:t>
      </w:r>
      <w:r>
        <w:rPr>
          <w:rFonts w:ascii="Verdana" w:hAnsi="Verdana"/>
          <w:b/>
          <w:sz w:val="16"/>
          <w:szCs w:val="16"/>
        </w:rPr>
        <w:t>legislacyjnych</w:t>
      </w:r>
      <w:r w:rsidRPr="00FE0EC4">
        <w:rPr>
          <w:rFonts w:ascii="Verdana" w:hAnsi="Verdana"/>
          <w:b/>
          <w:sz w:val="16"/>
          <w:szCs w:val="16"/>
        </w:rPr>
        <w:t xml:space="preserve"> w podatku dochodowym od osób fizycznych (PIT) wprowadzonych w 2019 r.</w:t>
      </w:r>
      <w:r w:rsidRPr="00B90870">
        <w:rPr>
          <w:rFonts w:ascii="Verdana" w:hAnsi="Verdana"/>
          <w:sz w:val="16"/>
          <w:szCs w:val="16"/>
        </w:rPr>
        <w:t xml:space="preserve"> </w:t>
      </w:r>
      <w:r>
        <w:rPr>
          <w:rFonts w:ascii="Verdana" w:hAnsi="Verdana"/>
          <w:sz w:val="16"/>
          <w:szCs w:val="16"/>
        </w:rPr>
        <w:br/>
      </w:r>
      <w:r w:rsidRPr="00B90870">
        <w:rPr>
          <w:rFonts w:ascii="Verdana" w:hAnsi="Verdana"/>
          <w:sz w:val="16"/>
          <w:szCs w:val="16"/>
        </w:rPr>
        <w:t>(</w:t>
      </w:r>
      <w:r>
        <w:rPr>
          <w:rFonts w:ascii="Verdana" w:hAnsi="Verdana"/>
          <w:sz w:val="16"/>
          <w:szCs w:val="16"/>
        </w:rPr>
        <w:t xml:space="preserve">tzw. 5 Kaczyńskiego, tj. </w:t>
      </w:r>
      <w:r w:rsidRPr="00B90870">
        <w:rPr>
          <w:rFonts w:ascii="Verdana" w:hAnsi="Verdana"/>
          <w:sz w:val="16"/>
          <w:szCs w:val="16"/>
        </w:rPr>
        <w:t>obniżenie stawki podatku z 18% do 17%; podwyższe</w:t>
      </w:r>
      <w:r>
        <w:rPr>
          <w:rFonts w:ascii="Verdana" w:hAnsi="Verdana"/>
          <w:sz w:val="16"/>
          <w:szCs w:val="16"/>
        </w:rPr>
        <w:t>nie kosztów uzyskania przychodu;</w:t>
      </w:r>
      <w:r w:rsidRPr="00B90870">
        <w:rPr>
          <w:rFonts w:ascii="Verdana" w:hAnsi="Verdana"/>
          <w:sz w:val="16"/>
          <w:szCs w:val="16"/>
        </w:rPr>
        <w:t xml:space="preserve"> zwolnienie z podatku osób w wieku poniżej 26 roku życia).</w:t>
      </w:r>
      <w:r>
        <w:rPr>
          <w:rFonts w:ascii="Verdana" w:hAnsi="Verdana"/>
          <w:sz w:val="16"/>
          <w:szCs w:val="16"/>
        </w:rPr>
        <w:t xml:space="preserve"> </w:t>
      </w:r>
      <w:r w:rsidRPr="00EB6725">
        <w:rPr>
          <w:rFonts w:ascii="Verdana" w:hAnsi="Verdana"/>
          <w:b/>
          <w:sz w:val="16"/>
          <w:szCs w:val="16"/>
        </w:rPr>
        <w:t xml:space="preserve">Szacuje się, że na skutek tych zmian dochody m.st. Warszawy z PIT zostały w sposób trwały ograniczone o </w:t>
      </w:r>
      <w:r>
        <w:rPr>
          <w:rFonts w:ascii="Verdana" w:hAnsi="Verdana"/>
          <w:b/>
          <w:sz w:val="16"/>
          <w:szCs w:val="16"/>
        </w:rPr>
        <w:t>6</w:t>
      </w:r>
      <w:r w:rsidRPr="00EB6725">
        <w:rPr>
          <w:rFonts w:ascii="Verdana" w:hAnsi="Verdana"/>
          <w:b/>
          <w:sz w:val="16"/>
          <w:szCs w:val="16"/>
        </w:rPr>
        <w:t>90 mln zł rocznie.</w:t>
      </w:r>
      <w:r>
        <w:rPr>
          <w:rFonts w:ascii="Verdana" w:hAnsi="Verdana"/>
          <w:b/>
          <w:sz w:val="16"/>
          <w:szCs w:val="16"/>
        </w:rPr>
        <w:t xml:space="preserve"> </w:t>
      </w:r>
      <w:r w:rsidRPr="00EB6725">
        <w:rPr>
          <w:rFonts w:ascii="Verdana" w:hAnsi="Verdana"/>
          <w:sz w:val="16"/>
          <w:szCs w:val="16"/>
        </w:rPr>
        <w:t>Ponadto od stycznia 2021 r. obowiązuje podwyższenie limitu przychodu umożliwiającego podatnikom prowadzącym pozarolniczą działalność gospodarczą skorzystanie z uproszczonej zryczałtowanej formy opodatkowania</w:t>
      </w:r>
      <w:r w:rsidRPr="0051193A">
        <w:rPr>
          <w:rFonts w:ascii="Verdana" w:hAnsi="Verdana"/>
          <w:sz w:val="16"/>
          <w:szCs w:val="16"/>
        </w:rPr>
        <w:t xml:space="preserve"> </w:t>
      </w:r>
      <w:r w:rsidRPr="00EB6725">
        <w:rPr>
          <w:rFonts w:ascii="Verdana" w:hAnsi="Verdana"/>
          <w:sz w:val="16"/>
          <w:szCs w:val="16"/>
        </w:rPr>
        <w:t xml:space="preserve">z 250 tys. euro </w:t>
      </w:r>
      <w:r>
        <w:rPr>
          <w:rFonts w:ascii="Verdana" w:hAnsi="Verdana"/>
          <w:sz w:val="16"/>
          <w:szCs w:val="16"/>
        </w:rPr>
        <w:br/>
      </w:r>
      <w:r w:rsidRPr="00EB6725">
        <w:rPr>
          <w:rFonts w:ascii="Verdana" w:hAnsi="Verdana"/>
          <w:sz w:val="16"/>
          <w:szCs w:val="16"/>
        </w:rPr>
        <w:t xml:space="preserve">do 2 mln euro </w:t>
      </w:r>
      <w:r>
        <w:rPr>
          <w:rStyle w:val="Odwoanieprzypisudolnego"/>
          <w:rFonts w:ascii="Verdana" w:hAnsi="Verdana"/>
          <w:sz w:val="16"/>
          <w:szCs w:val="16"/>
        </w:rPr>
        <w:footnoteReference w:id="9"/>
      </w:r>
      <w:r>
        <w:rPr>
          <w:rFonts w:ascii="Verdana" w:hAnsi="Verdana"/>
          <w:sz w:val="16"/>
          <w:szCs w:val="16"/>
        </w:rPr>
        <w:t>.</w:t>
      </w:r>
    </w:p>
    <w:p w:rsidR="008A572A" w:rsidRDefault="008A572A" w:rsidP="008A572A">
      <w:pPr>
        <w:spacing w:before="60" w:after="60"/>
        <w:ind w:firstLine="567"/>
        <w:jc w:val="both"/>
        <w:rPr>
          <w:rFonts w:ascii="Verdana" w:hAnsi="Verdana"/>
          <w:b/>
          <w:sz w:val="16"/>
          <w:szCs w:val="16"/>
        </w:rPr>
      </w:pPr>
      <w:r w:rsidRPr="0043061D">
        <w:rPr>
          <w:rFonts w:ascii="Verdana" w:hAnsi="Verdana"/>
          <w:b/>
          <w:sz w:val="16"/>
          <w:szCs w:val="16"/>
        </w:rPr>
        <w:t xml:space="preserve">Najistotniejszy trwały uszczerbek w dochodach m.st. Warszawy przyniosły </w:t>
      </w:r>
      <w:r>
        <w:rPr>
          <w:rFonts w:ascii="Verdana" w:hAnsi="Verdana"/>
          <w:b/>
          <w:sz w:val="16"/>
          <w:szCs w:val="16"/>
        </w:rPr>
        <w:t>kolejne rozwiązania prawne dotyczące PIT,</w:t>
      </w:r>
      <w:r w:rsidRPr="0043061D">
        <w:rPr>
          <w:rFonts w:ascii="Verdana" w:hAnsi="Verdana"/>
          <w:b/>
          <w:sz w:val="16"/>
          <w:szCs w:val="16"/>
        </w:rPr>
        <w:t xml:space="preserve"> objęte pakietem ustaw zainicjowanym przez rząd pod </w:t>
      </w:r>
      <w:r w:rsidRPr="009B6899">
        <w:rPr>
          <w:rFonts w:ascii="Verdana" w:hAnsi="Verdana"/>
          <w:b/>
          <w:sz w:val="16"/>
          <w:szCs w:val="16"/>
        </w:rPr>
        <w:t xml:space="preserve">nazwą Polski Ład, ze skutkami finansowymi począwszy od 2022 r. Ocenia się, iż tylko w latach 2022-2023 </w:t>
      </w:r>
      <w:r>
        <w:rPr>
          <w:rFonts w:ascii="Verdana" w:hAnsi="Verdana"/>
          <w:b/>
          <w:sz w:val="16"/>
          <w:szCs w:val="16"/>
        </w:rPr>
        <w:t xml:space="preserve">w konsekwencji rozwiązań Polskiego Ładu </w:t>
      </w:r>
      <w:r w:rsidRPr="009B6899">
        <w:rPr>
          <w:rFonts w:ascii="Verdana" w:hAnsi="Verdana"/>
          <w:b/>
          <w:sz w:val="16"/>
          <w:szCs w:val="16"/>
        </w:rPr>
        <w:t xml:space="preserve">m.st. Warszawa zostało pozbawione dochodów </w:t>
      </w:r>
      <w:r>
        <w:rPr>
          <w:rFonts w:ascii="Verdana" w:hAnsi="Verdana"/>
          <w:b/>
          <w:sz w:val="16"/>
          <w:szCs w:val="16"/>
        </w:rPr>
        <w:t xml:space="preserve">w kwotach kolejno </w:t>
      </w:r>
      <w:r>
        <w:rPr>
          <w:rFonts w:ascii="Verdana" w:hAnsi="Verdana"/>
          <w:b/>
          <w:sz w:val="16"/>
          <w:szCs w:val="16"/>
        </w:rPr>
        <w:br/>
        <w:t>1 mld 464 mln zł i 1 mld 930 mln zł</w:t>
      </w:r>
      <w:r w:rsidRPr="009B6899">
        <w:rPr>
          <w:rFonts w:ascii="Verdana" w:hAnsi="Verdana"/>
          <w:b/>
          <w:sz w:val="16"/>
          <w:szCs w:val="16"/>
        </w:rPr>
        <w:t xml:space="preserve"> </w:t>
      </w:r>
      <w:r>
        <w:rPr>
          <w:rFonts w:ascii="Verdana" w:hAnsi="Verdana"/>
          <w:b/>
          <w:sz w:val="16"/>
          <w:szCs w:val="16"/>
        </w:rPr>
        <w:t xml:space="preserve">już po uwzględnieniu rekompensat, licząc do sytuacji, w której takie zmiany nie nastąpiłyby. Funkcjonujący </w:t>
      </w:r>
      <w:r w:rsidRPr="00BC5C38">
        <w:rPr>
          <w:rFonts w:ascii="Verdana" w:hAnsi="Verdana"/>
          <w:b/>
          <w:sz w:val="16"/>
          <w:szCs w:val="16"/>
        </w:rPr>
        <w:t xml:space="preserve">system rekompensat </w:t>
      </w:r>
      <w:r>
        <w:rPr>
          <w:rFonts w:ascii="Verdana" w:hAnsi="Verdana"/>
          <w:b/>
          <w:sz w:val="16"/>
          <w:szCs w:val="16"/>
        </w:rPr>
        <w:t xml:space="preserve">wprowadzony w ramach programu Polski Ład </w:t>
      </w:r>
      <w:r w:rsidRPr="00BC5C38">
        <w:rPr>
          <w:rFonts w:ascii="Verdana" w:hAnsi="Verdana"/>
          <w:b/>
          <w:sz w:val="16"/>
          <w:szCs w:val="16"/>
        </w:rPr>
        <w:t xml:space="preserve">nie zapewnia </w:t>
      </w:r>
      <w:r>
        <w:rPr>
          <w:rFonts w:ascii="Verdana" w:hAnsi="Verdana"/>
          <w:b/>
          <w:sz w:val="16"/>
          <w:szCs w:val="16"/>
        </w:rPr>
        <w:t xml:space="preserve">m.st. </w:t>
      </w:r>
      <w:r w:rsidRPr="00BC5C38">
        <w:rPr>
          <w:rFonts w:ascii="Verdana" w:hAnsi="Verdana"/>
          <w:b/>
          <w:sz w:val="16"/>
          <w:szCs w:val="16"/>
        </w:rPr>
        <w:t xml:space="preserve">Warszawie w latach 2022-2023 nawet bezwzględnego poziomu dochodów z PIT z 2021 r., przy inflacji </w:t>
      </w:r>
      <w:r>
        <w:rPr>
          <w:rFonts w:ascii="Verdana" w:hAnsi="Verdana"/>
          <w:b/>
          <w:sz w:val="16"/>
          <w:szCs w:val="16"/>
        </w:rPr>
        <w:t xml:space="preserve">średniorocznej </w:t>
      </w:r>
      <w:r w:rsidRPr="00BC5C38">
        <w:rPr>
          <w:rFonts w:ascii="Verdana" w:hAnsi="Verdana"/>
          <w:b/>
          <w:sz w:val="16"/>
          <w:szCs w:val="16"/>
        </w:rPr>
        <w:t xml:space="preserve">prognozowanej przez </w:t>
      </w:r>
      <w:r>
        <w:rPr>
          <w:rFonts w:ascii="Verdana" w:hAnsi="Verdana"/>
          <w:b/>
          <w:sz w:val="16"/>
          <w:szCs w:val="16"/>
        </w:rPr>
        <w:t>Ministerstwo Finansów (MF)</w:t>
      </w:r>
      <w:r w:rsidRPr="00BC5C38">
        <w:rPr>
          <w:rFonts w:ascii="Verdana" w:hAnsi="Verdana"/>
          <w:b/>
          <w:sz w:val="16"/>
          <w:szCs w:val="16"/>
        </w:rPr>
        <w:t xml:space="preserve"> w projekcie ustawy budżetowej </w:t>
      </w:r>
      <w:r>
        <w:rPr>
          <w:rFonts w:ascii="Verdana" w:hAnsi="Verdana"/>
          <w:b/>
          <w:sz w:val="16"/>
          <w:szCs w:val="16"/>
        </w:rPr>
        <w:t xml:space="preserve">państwa </w:t>
      </w:r>
      <w:r w:rsidRPr="00BC5C38">
        <w:rPr>
          <w:rFonts w:ascii="Verdana" w:hAnsi="Verdana"/>
          <w:b/>
          <w:sz w:val="16"/>
          <w:szCs w:val="16"/>
        </w:rPr>
        <w:t>na 2023 r</w:t>
      </w:r>
      <w:r>
        <w:rPr>
          <w:rFonts w:ascii="Verdana" w:hAnsi="Verdana"/>
          <w:b/>
          <w:sz w:val="16"/>
          <w:szCs w:val="16"/>
        </w:rPr>
        <w:t>.</w:t>
      </w:r>
      <w:r w:rsidRPr="00BC5C38">
        <w:rPr>
          <w:rFonts w:ascii="Verdana" w:hAnsi="Verdana"/>
          <w:b/>
          <w:sz w:val="16"/>
          <w:szCs w:val="16"/>
        </w:rPr>
        <w:t xml:space="preserve"> na poziomie 13,5% w 2022 r. i 9,8% </w:t>
      </w:r>
      <w:r>
        <w:rPr>
          <w:rFonts w:ascii="Verdana" w:hAnsi="Verdana"/>
          <w:b/>
          <w:sz w:val="16"/>
          <w:szCs w:val="16"/>
        </w:rPr>
        <w:br/>
      </w:r>
      <w:r w:rsidRPr="00BC5C38">
        <w:rPr>
          <w:rFonts w:ascii="Verdana" w:hAnsi="Verdana"/>
          <w:b/>
          <w:sz w:val="16"/>
          <w:szCs w:val="16"/>
        </w:rPr>
        <w:t xml:space="preserve">w 2023 r. </w:t>
      </w:r>
      <w:r>
        <w:rPr>
          <w:rFonts w:ascii="Verdana" w:hAnsi="Verdana"/>
          <w:b/>
          <w:sz w:val="16"/>
          <w:szCs w:val="16"/>
        </w:rPr>
        <w:t>Według</w:t>
      </w:r>
      <w:r w:rsidRPr="00BC5C38">
        <w:rPr>
          <w:rFonts w:ascii="Verdana" w:hAnsi="Verdana"/>
          <w:b/>
          <w:sz w:val="16"/>
          <w:szCs w:val="16"/>
        </w:rPr>
        <w:t xml:space="preserve"> </w:t>
      </w:r>
      <w:r>
        <w:rPr>
          <w:rFonts w:ascii="Verdana" w:hAnsi="Verdana"/>
          <w:b/>
          <w:sz w:val="16"/>
          <w:szCs w:val="16"/>
        </w:rPr>
        <w:t>danych</w:t>
      </w:r>
      <w:r w:rsidRPr="00BC5C38">
        <w:rPr>
          <w:rFonts w:ascii="Verdana" w:hAnsi="Verdana"/>
          <w:b/>
          <w:sz w:val="16"/>
          <w:szCs w:val="16"/>
        </w:rPr>
        <w:t xml:space="preserve"> MF </w:t>
      </w:r>
      <w:r>
        <w:rPr>
          <w:rFonts w:ascii="Verdana" w:hAnsi="Verdana"/>
          <w:b/>
          <w:sz w:val="16"/>
          <w:szCs w:val="16"/>
        </w:rPr>
        <w:t xml:space="preserve">prognozowana </w:t>
      </w:r>
      <w:r w:rsidRPr="00BC5C38">
        <w:rPr>
          <w:rFonts w:ascii="Verdana" w:hAnsi="Verdana"/>
          <w:b/>
          <w:sz w:val="16"/>
          <w:szCs w:val="16"/>
        </w:rPr>
        <w:t>skumulowana inflacja w latach 2022-2023 ma wynieść 24,6%</w:t>
      </w:r>
      <w:r>
        <w:rPr>
          <w:rFonts w:ascii="Verdana" w:hAnsi="Verdana"/>
          <w:b/>
          <w:sz w:val="16"/>
          <w:szCs w:val="16"/>
        </w:rPr>
        <w:t xml:space="preserve">, natomiast dochody Warszawy z PIT powiększone o rekompensatę ulegają w tych latach bezwzględnemu obniżeniu w stosunku do poziomu zrealizowanych dochodów w 2021 r. </w:t>
      </w:r>
      <w:r w:rsidRPr="00F95AD2">
        <w:rPr>
          <w:rFonts w:ascii="Verdana" w:hAnsi="Verdana"/>
          <w:b/>
          <w:sz w:val="16"/>
          <w:szCs w:val="16"/>
        </w:rPr>
        <w:t>Wadliwy system rekompensat strat samorządów w dochodach z PIT wprowadzony przez program Polski Ład</w:t>
      </w:r>
      <w:r>
        <w:rPr>
          <w:rFonts w:ascii="Verdana" w:hAnsi="Verdana"/>
          <w:b/>
          <w:sz w:val="16"/>
          <w:szCs w:val="16"/>
        </w:rPr>
        <w:t>,</w:t>
      </w:r>
      <w:r w:rsidRPr="00F95AD2">
        <w:rPr>
          <w:rFonts w:ascii="Verdana" w:hAnsi="Verdana"/>
          <w:b/>
          <w:sz w:val="16"/>
          <w:szCs w:val="16"/>
        </w:rPr>
        <w:t xml:space="preserve"> </w:t>
      </w:r>
      <w:r>
        <w:rPr>
          <w:rFonts w:ascii="Verdana" w:hAnsi="Verdana"/>
          <w:b/>
          <w:sz w:val="16"/>
          <w:szCs w:val="16"/>
        </w:rPr>
        <w:t>w kolejnych latach s</w:t>
      </w:r>
      <w:r w:rsidRPr="00F95AD2">
        <w:rPr>
          <w:rFonts w:ascii="Verdana" w:hAnsi="Verdana"/>
          <w:b/>
          <w:sz w:val="16"/>
          <w:szCs w:val="16"/>
        </w:rPr>
        <w:t xml:space="preserve">powoduje </w:t>
      </w:r>
      <w:r>
        <w:rPr>
          <w:rFonts w:ascii="Verdana" w:hAnsi="Verdana"/>
          <w:b/>
          <w:sz w:val="16"/>
          <w:szCs w:val="16"/>
        </w:rPr>
        <w:t xml:space="preserve">pogłębienie ubytków w potencjale dochodowym m.st. Warszawy. </w:t>
      </w:r>
    </w:p>
    <w:p w:rsidR="008A572A" w:rsidRDefault="008A572A" w:rsidP="008A572A">
      <w:pPr>
        <w:spacing w:before="60" w:after="60"/>
        <w:jc w:val="both"/>
        <w:rPr>
          <w:rFonts w:ascii="Verdana" w:hAnsi="Verdana"/>
          <w:sz w:val="16"/>
          <w:szCs w:val="16"/>
        </w:rPr>
      </w:pPr>
      <w:r>
        <w:rPr>
          <w:rFonts w:ascii="Verdana" w:hAnsi="Verdana"/>
          <w:sz w:val="16"/>
          <w:szCs w:val="16"/>
        </w:rPr>
        <w:t xml:space="preserve">Poza samym trwałym ograniczeniem potencjału dochodowego samorządów problemem jest częstotliwość zmian przepisów, podważająca stabilność finansową samorządów i tym samym utrudniająca opracowywanie długofalowych prognoz finansowych stanowiących fundament planowania strategicznego kierunków rozwoju jednostek lokalnych. W skład pakietu rozwiązań programu Polski Ład weszły ustawy uchwalone w 2021 r. wprowadzające zmiany podatkowe i korekty w systemie dochodów jednostek samorządu terytorialnego. Następnie rozwiązania przyjęte w 2021 r. podlegały w 2022 r. modyfikacjom, zarówno w zakresie rozwiązań podatkowych, jak i systemu rekompensat dla samorządów utraty dochodów z PIT na skutek zmian legislacyjnych. </w:t>
      </w:r>
    </w:p>
    <w:p w:rsidR="008A572A" w:rsidRPr="008B2941" w:rsidRDefault="008A572A" w:rsidP="008A572A">
      <w:pPr>
        <w:spacing w:before="60" w:after="60"/>
        <w:jc w:val="both"/>
        <w:rPr>
          <w:rFonts w:ascii="Verdana" w:hAnsi="Verdana"/>
          <w:sz w:val="16"/>
          <w:szCs w:val="16"/>
        </w:rPr>
      </w:pPr>
      <w:r w:rsidRPr="008B2941">
        <w:rPr>
          <w:rFonts w:ascii="Verdana" w:hAnsi="Verdana"/>
          <w:sz w:val="16"/>
          <w:szCs w:val="16"/>
        </w:rPr>
        <w:t>Pakiet aktów prawnych wchodzących w skład programu Polski Ład objął:</w:t>
      </w:r>
    </w:p>
    <w:p w:rsidR="008A572A" w:rsidRDefault="008A572A" w:rsidP="008A572A">
      <w:pPr>
        <w:numPr>
          <w:ilvl w:val="0"/>
          <w:numId w:val="59"/>
        </w:numPr>
        <w:tabs>
          <w:tab w:val="clear" w:pos="720"/>
          <w:tab w:val="num" w:pos="284"/>
        </w:tabs>
        <w:ind w:left="284" w:hanging="142"/>
        <w:jc w:val="both"/>
        <w:rPr>
          <w:rFonts w:ascii="Verdana" w:hAnsi="Verdana"/>
          <w:iCs/>
          <w:sz w:val="16"/>
          <w:szCs w:val="16"/>
        </w:rPr>
      </w:pPr>
      <w:r w:rsidRPr="008B2941">
        <w:rPr>
          <w:rFonts w:ascii="Verdana" w:hAnsi="Verdana"/>
          <w:iCs/>
          <w:sz w:val="16"/>
          <w:szCs w:val="16"/>
        </w:rPr>
        <w:t>ustaw</w:t>
      </w:r>
      <w:r>
        <w:rPr>
          <w:rFonts w:ascii="Verdana" w:hAnsi="Verdana"/>
          <w:iCs/>
          <w:sz w:val="16"/>
          <w:szCs w:val="16"/>
        </w:rPr>
        <w:t>ę</w:t>
      </w:r>
      <w:r w:rsidRPr="008B2941">
        <w:rPr>
          <w:rFonts w:ascii="Verdana" w:hAnsi="Verdana"/>
          <w:iCs/>
          <w:sz w:val="16"/>
          <w:szCs w:val="16"/>
        </w:rPr>
        <w:t xml:space="preserve"> z 14 października 2021 r. </w:t>
      </w:r>
      <w:r w:rsidRPr="008B2941">
        <w:rPr>
          <w:rFonts w:ascii="Verdana" w:hAnsi="Verdana"/>
          <w:i/>
          <w:iCs/>
          <w:sz w:val="16"/>
          <w:szCs w:val="16"/>
        </w:rPr>
        <w:t xml:space="preserve">o zmianie ustawy o dochodach jednostek samorządu terytorialnego </w:t>
      </w:r>
      <w:r w:rsidRPr="008B2941">
        <w:rPr>
          <w:rFonts w:ascii="Verdana" w:hAnsi="Verdana"/>
          <w:i/>
          <w:iCs/>
          <w:sz w:val="16"/>
          <w:szCs w:val="16"/>
        </w:rPr>
        <w:br/>
        <w:t xml:space="preserve">oraz niektórych innych ustaw </w:t>
      </w:r>
      <w:r w:rsidRPr="008B2941">
        <w:rPr>
          <w:rFonts w:ascii="Verdana" w:hAnsi="Verdana"/>
          <w:iCs/>
          <w:sz w:val="16"/>
          <w:szCs w:val="16"/>
        </w:rPr>
        <w:t>(zmiany w systemie dochodów JST związane ze zmianami podatkowymi w PIT),</w:t>
      </w:r>
    </w:p>
    <w:p w:rsidR="008A572A" w:rsidRPr="008B2941" w:rsidRDefault="008A572A" w:rsidP="008A572A">
      <w:pPr>
        <w:numPr>
          <w:ilvl w:val="0"/>
          <w:numId w:val="59"/>
        </w:numPr>
        <w:tabs>
          <w:tab w:val="clear" w:pos="720"/>
          <w:tab w:val="num" w:pos="284"/>
        </w:tabs>
        <w:ind w:left="284" w:hanging="142"/>
        <w:jc w:val="both"/>
        <w:rPr>
          <w:rFonts w:ascii="Verdana" w:hAnsi="Verdana"/>
          <w:iCs/>
          <w:sz w:val="16"/>
          <w:szCs w:val="16"/>
        </w:rPr>
      </w:pPr>
      <w:r w:rsidRPr="008B2941">
        <w:rPr>
          <w:rFonts w:ascii="Verdana" w:hAnsi="Verdana"/>
          <w:bCs/>
          <w:sz w:val="16"/>
          <w:szCs w:val="16"/>
        </w:rPr>
        <w:t>ustawę z 29 października 2021 r.</w:t>
      </w:r>
      <w:r w:rsidRPr="008B2941">
        <w:rPr>
          <w:rFonts w:ascii="Verdana" w:hAnsi="Verdana"/>
          <w:sz w:val="16"/>
          <w:szCs w:val="16"/>
        </w:rPr>
        <w:t xml:space="preserve"> </w:t>
      </w:r>
      <w:r w:rsidRPr="008B2941">
        <w:rPr>
          <w:rFonts w:ascii="Verdana" w:hAnsi="Verdana"/>
          <w:i/>
          <w:iCs/>
          <w:sz w:val="16"/>
          <w:szCs w:val="16"/>
        </w:rPr>
        <w:t xml:space="preserve">o zmianie ustawy o podatku dochodowym od osób fizycznych, </w:t>
      </w:r>
      <w:r w:rsidRPr="008B2941">
        <w:rPr>
          <w:rFonts w:ascii="Verdana" w:hAnsi="Verdana"/>
          <w:i/>
          <w:iCs/>
          <w:sz w:val="16"/>
          <w:szCs w:val="16"/>
        </w:rPr>
        <w:br/>
        <w:t xml:space="preserve">ustawy o podatku dochodowym od osób prawnych oraz niektórych innych ustaw </w:t>
      </w:r>
      <w:r w:rsidRPr="008B2941">
        <w:rPr>
          <w:rFonts w:ascii="Verdana" w:hAnsi="Verdana"/>
          <w:sz w:val="16"/>
          <w:szCs w:val="16"/>
        </w:rPr>
        <w:t>(zmiany podatkowe w PIT),</w:t>
      </w:r>
    </w:p>
    <w:p w:rsidR="008A572A" w:rsidRDefault="008A572A" w:rsidP="008A572A">
      <w:pPr>
        <w:numPr>
          <w:ilvl w:val="0"/>
          <w:numId w:val="59"/>
        </w:numPr>
        <w:tabs>
          <w:tab w:val="clear" w:pos="720"/>
          <w:tab w:val="num" w:pos="284"/>
        </w:tabs>
        <w:ind w:left="284" w:hanging="142"/>
        <w:jc w:val="both"/>
        <w:rPr>
          <w:rFonts w:ascii="Verdana" w:hAnsi="Verdana"/>
          <w:iCs/>
          <w:sz w:val="16"/>
          <w:szCs w:val="16"/>
        </w:rPr>
      </w:pPr>
      <w:r>
        <w:rPr>
          <w:rFonts w:ascii="Verdana" w:hAnsi="Verdana"/>
          <w:iCs/>
          <w:sz w:val="16"/>
          <w:szCs w:val="16"/>
        </w:rPr>
        <w:t>ustawę</w:t>
      </w:r>
      <w:r w:rsidRPr="008B2941">
        <w:rPr>
          <w:rFonts w:ascii="Verdana" w:hAnsi="Verdana"/>
          <w:iCs/>
          <w:sz w:val="16"/>
          <w:szCs w:val="16"/>
        </w:rPr>
        <w:t xml:space="preserve"> z 9 czerwca 2022 r. </w:t>
      </w:r>
      <w:r w:rsidRPr="008B2941">
        <w:rPr>
          <w:rFonts w:ascii="Verdana" w:hAnsi="Verdana"/>
          <w:i/>
          <w:iCs/>
          <w:sz w:val="16"/>
          <w:szCs w:val="16"/>
        </w:rPr>
        <w:t>o zmianie ustawy o podatku dochodowym od osób fizycznych oraz niektórych innych ustaw</w:t>
      </w:r>
      <w:r w:rsidRPr="008B2941">
        <w:rPr>
          <w:rFonts w:ascii="Verdana" w:hAnsi="Verdana"/>
          <w:iCs/>
          <w:sz w:val="16"/>
          <w:szCs w:val="16"/>
        </w:rPr>
        <w:t xml:space="preserve"> (kolejne zmiany podatkowe w PIT oraz modyfikacja systemu dochodów JST)</w:t>
      </w:r>
      <w:r>
        <w:rPr>
          <w:rFonts w:ascii="Verdana" w:hAnsi="Verdana"/>
          <w:iCs/>
          <w:sz w:val="16"/>
          <w:szCs w:val="16"/>
        </w:rPr>
        <w:t>,</w:t>
      </w:r>
    </w:p>
    <w:p w:rsidR="008A572A" w:rsidRPr="008B2941" w:rsidRDefault="008A572A" w:rsidP="008A572A">
      <w:pPr>
        <w:numPr>
          <w:ilvl w:val="0"/>
          <w:numId w:val="59"/>
        </w:numPr>
        <w:tabs>
          <w:tab w:val="clear" w:pos="720"/>
          <w:tab w:val="num" w:pos="284"/>
        </w:tabs>
        <w:spacing w:before="60" w:after="60"/>
        <w:ind w:left="284" w:hanging="142"/>
        <w:jc w:val="both"/>
        <w:rPr>
          <w:rFonts w:ascii="Verdana" w:hAnsi="Verdana"/>
          <w:sz w:val="16"/>
          <w:szCs w:val="16"/>
        </w:rPr>
      </w:pPr>
      <w:r w:rsidRPr="008B2941">
        <w:rPr>
          <w:rFonts w:ascii="Verdana" w:hAnsi="Verdana"/>
          <w:iCs/>
          <w:sz w:val="16"/>
          <w:szCs w:val="16"/>
        </w:rPr>
        <w:t xml:space="preserve">ustawę z 15 września 2022 r. </w:t>
      </w:r>
      <w:r w:rsidRPr="008B2941">
        <w:rPr>
          <w:rFonts w:ascii="Verdana" w:hAnsi="Verdana"/>
          <w:i/>
          <w:iCs/>
          <w:sz w:val="16"/>
          <w:szCs w:val="16"/>
        </w:rPr>
        <w:t xml:space="preserve">o zmianie ustawy o dochodach jednostek samorządu terytorialnego </w:t>
      </w:r>
      <w:r w:rsidRPr="008B2941">
        <w:rPr>
          <w:rFonts w:ascii="Verdana" w:hAnsi="Verdana"/>
          <w:i/>
          <w:iCs/>
          <w:sz w:val="16"/>
          <w:szCs w:val="16"/>
        </w:rPr>
        <w:br/>
        <w:t>oraz niektórych innych ustaw</w:t>
      </w:r>
      <w:r w:rsidRPr="008B2941">
        <w:rPr>
          <w:rFonts w:ascii="Verdana" w:hAnsi="Verdana"/>
          <w:iCs/>
          <w:sz w:val="16"/>
          <w:szCs w:val="16"/>
        </w:rPr>
        <w:t xml:space="preserve"> (kolejna modyfikacja systemu dochodów JST).</w:t>
      </w:r>
    </w:p>
    <w:p w:rsidR="008A572A" w:rsidRDefault="008A572A" w:rsidP="008A572A">
      <w:pPr>
        <w:spacing w:before="60" w:after="60"/>
        <w:jc w:val="both"/>
        <w:rPr>
          <w:rFonts w:ascii="Verdana" w:hAnsi="Verdana"/>
          <w:sz w:val="16"/>
          <w:szCs w:val="16"/>
        </w:rPr>
      </w:pPr>
      <w:r>
        <w:rPr>
          <w:rFonts w:ascii="Verdana" w:hAnsi="Verdana"/>
          <w:sz w:val="16"/>
          <w:szCs w:val="16"/>
        </w:rPr>
        <w:lastRenderedPageBreak/>
        <w:t xml:space="preserve">Główne zmiany w zakresie podatku PIT wprowadzone w </w:t>
      </w:r>
      <w:r w:rsidRPr="008B2941">
        <w:rPr>
          <w:rFonts w:ascii="Verdana" w:hAnsi="Verdana"/>
          <w:sz w:val="16"/>
          <w:szCs w:val="16"/>
        </w:rPr>
        <w:t>ramach programu Polski Ład</w:t>
      </w:r>
      <w:r>
        <w:rPr>
          <w:rFonts w:ascii="Verdana" w:hAnsi="Verdana"/>
          <w:sz w:val="16"/>
          <w:szCs w:val="16"/>
        </w:rPr>
        <w:t xml:space="preserve"> z mocą obowiązującą </w:t>
      </w:r>
      <w:r>
        <w:rPr>
          <w:rFonts w:ascii="Verdana" w:hAnsi="Verdana"/>
          <w:sz w:val="16"/>
          <w:szCs w:val="16"/>
        </w:rPr>
        <w:br/>
        <w:t xml:space="preserve">od 1 stycznia 2022 r. dotyczyły: </w:t>
      </w:r>
    </w:p>
    <w:p w:rsidR="008A572A" w:rsidRPr="00B23B19" w:rsidRDefault="008A572A" w:rsidP="008A572A">
      <w:pPr>
        <w:pStyle w:val="Akapitzlist"/>
        <w:numPr>
          <w:ilvl w:val="0"/>
          <w:numId w:val="66"/>
        </w:numPr>
        <w:spacing w:before="60" w:after="60"/>
        <w:jc w:val="both"/>
        <w:rPr>
          <w:rFonts w:ascii="Verdana" w:hAnsi="Verdana"/>
          <w:b/>
          <w:bCs/>
          <w:sz w:val="16"/>
          <w:szCs w:val="16"/>
        </w:rPr>
      </w:pPr>
      <w:r w:rsidRPr="00B23B19">
        <w:rPr>
          <w:rFonts w:ascii="Verdana" w:hAnsi="Verdana"/>
          <w:sz w:val="16"/>
          <w:szCs w:val="16"/>
        </w:rPr>
        <w:t>podwyższeni</w:t>
      </w:r>
      <w:r>
        <w:rPr>
          <w:rFonts w:ascii="Verdana" w:hAnsi="Verdana"/>
          <w:sz w:val="16"/>
          <w:szCs w:val="16"/>
        </w:rPr>
        <w:t>a</w:t>
      </w:r>
      <w:r w:rsidRPr="00B23B19">
        <w:rPr>
          <w:rFonts w:ascii="Verdana" w:hAnsi="Verdana"/>
          <w:sz w:val="16"/>
          <w:szCs w:val="16"/>
        </w:rPr>
        <w:t xml:space="preserve"> do </w:t>
      </w:r>
      <w:r w:rsidRPr="00B23B19">
        <w:rPr>
          <w:rFonts w:ascii="Verdana" w:hAnsi="Verdana"/>
          <w:bCs/>
          <w:sz w:val="16"/>
          <w:szCs w:val="16"/>
        </w:rPr>
        <w:t xml:space="preserve">30 tys. zł </w:t>
      </w:r>
      <w:r w:rsidRPr="00B23B19">
        <w:rPr>
          <w:rFonts w:ascii="Verdana" w:hAnsi="Verdana"/>
          <w:sz w:val="16"/>
          <w:szCs w:val="16"/>
        </w:rPr>
        <w:t xml:space="preserve">„kwoty wolnej” od podatku dla ogółu podatników obliczających podatek </w:t>
      </w:r>
      <w:r>
        <w:rPr>
          <w:rFonts w:ascii="Verdana" w:hAnsi="Verdana"/>
          <w:sz w:val="16"/>
          <w:szCs w:val="16"/>
        </w:rPr>
        <w:br/>
      </w:r>
      <w:r w:rsidRPr="00B23B19">
        <w:rPr>
          <w:rFonts w:ascii="Verdana" w:hAnsi="Verdana"/>
          <w:sz w:val="16"/>
          <w:szCs w:val="16"/>
        </w:rPr>
        <w:t xml:space="preserve">wg skali podatkowej; </w:t>
      </w:r>
    </w:p>
    <w:p w:rsidR="008A572A" w:rsidRPr="00B23B19" w:rsidRDefault="008A572A" w:rsidP="008A572A">
      <w:pPr>
        <w:pStyle w:val="Akapitzlist"/>
        <w:numPr>
          <w:ilvl w:val="0"/>
          <w:numId w:val="66"/>
        </w:numPr>
        <w:spacing w:before="60" w:after="60"/>
        <w:jc w:val="both"/>
        <w:rPr>
          <w:rFonts w:ascii="Verdana" w:hAnsi="Verdana"/>
          <w:b/>
          <w:bCs/>
          <w:sz w:val="16"/>
          <w:szCs w:val="16"/>
        </w:rPr>
      </w:pPr>
      <w:r w:rsidRPr="00B23B19">
        <w:rPr>
          <w:rFonts w:ascii="Verdana" w:hAnsi="Verdana"/>
          <w:sz w:val="16"/>
          <w:szCs w:val="16"/>
        </w:rPr>
        <w:t>podwyższeni</w:t>
      </w:r>
      <w:r>
        <w:rPr>
          <w:rFonts w:ascii="Verdana" w:hAnsi="Verdana"/>
          <w:sz w:val="16"/>
          <w:szCs w:val="16"/>
        </w:rPr>
        <w:t>a</w:t>
      </w:r>
      <w:r w:rsidRPr="00B23B19">
        <w:rPr>
          <w:rFonts w:ascii="Verdana" w:hAnsi="Verdana"/>
          <w:sz w:val="16"/>
          <w:szCs w:val="16"/>
        </w:rPr>
        <w:t xml:space="preserve"> do </w:t>
      </w:r>
      <w:r w:rsidRPr="00B23B19">
        <w:rPr>
          <w:rFonts w:ascii="Verdana" w:hAnsi="Verdana"/>
          <w:bCs/>
          <w:sz w:val="16"/>
          <w:szCs w:val="16"/>
        </w:rPr>
        <w:t xml:space="preserve">120 tys. zł </w:t>
      </w:r>
      <w:r w:rsidRPr="00B23B19">
        <w:rPr>
          <w:rFonts w:ascii="Verdana" w:hAnsi="Verdana"/>
          <w:sz w:val="16"/>
          <w:szCs w:val="16"/>
        </w:rPr>
        <w:t xml:space="preserve">progu dochodów, po przekroczeniu którego ma zastosowanie </w:t>
      </w:r>
      <w:r w:rsidRPr="00B23B19">
        <w:rPr>
          <w:rFonts w:ascii="Verdana" w:hAnsi="Verdana"/>
          <w:bCs/>
          <w:sz w:val="16"/>
          <w:szCs w:val="16"/>
        </w:rPr>
        <w:t>32%</w:t>
      </w:r>
      <w:r w:rsidRPr="00B23B19">
        <w:rPr>
          <w:rFonts w:ascii="Verdana" w:hAnsi="Verdana"/>
          <w:sz w:val="16"/>
          <w:szCs w:val="16"/>
        </w:rPr>
        <w:t xml:space="preserve"> stawka podatku; </w:t>
      </w:r>
    </w:p>
    <w:p w:rsidR="008A572A" w:rsidRPr="00B23B19" w:rsidRDefault="008A572A" w:rsidP="008A572A">
      <w:pPr>
        <w:pStyle w:val="Akapitzlist"/>
        <w:numPr>
          <w:ilvl w:val="0"/>
          <w:numId w:val="66"/>
        </w:numPr>
        <w:spacing w:before="60" w:after="60"/>
        <w:jc w:val="both"/>
        <w:rPr>
          <w:rFonts w:ascii="Verdana" w:hAnsi="Verdana"/>
          <w:b/>
          <w:bCs/>
          <w:sz w:val="16"/>
          <w:szCs w:val="16"/>
        </w:rPr>
      </w:pPr>
      <w:r>
        <w:rPr>
          <w:rFonts w:ascii="Verdana" w:hAnsi="Verdana"/>
          <w:sz w:val="16"/>
          <w:szCs w:val="16"/>
        </w:rPr>
        <w:t>likwidacji</w:t>
      </w:r>
      <w:r w:rsidRPr="00B23B19">
        <w:rPr>
          <w:rFonts w:ascii="Verdana" w:hAnsi="Verdana"/>
          <w:sz w:val="16"/>
          <w:szCs w:val="16"/>
        </w:rPr>
        <w:t xml:space="preserve"> możliwości odliczenia od podatku składki na ubezpieczenie zdrowotne; </w:t>
      </w:r>
    </w:p>
    <w:p w:rsidR="008A572A" w:rsidRPr="00B23B19" w:rsidRDefault="008A572A" w:rsidP="008A572A">
      <w:pPr>
        <w:pStyle w:val="Akapitzlist"/>
        <w:numPr>
          <w:ilvl w:val="0"/>
          <w:numId w:val="66"/>
        </w:numPr>
        <w:spacing w:before="60" w:after="60"/>
        <w:jc w:val="both"/>
        <w:rPr>
          <w:rFonts w:ascii="Verdana" w:hAnsi="Verdana"/>
          <w:b/>
          <w:bCs/>
          <w:sz w:val="16"/>
          <w:szCs w:val="16"/>
        </w:rPr>
      </w:pPr>
      <w:r w:rsidRPr="00B23B19">
        <w:rPr>
          <w:rFonts w:ascii="Verdana" w:hAnsi="Verdana"/>
          <w:sz w:val="16"/>
          <w:szCs w:val="16"/>
        </w:rPr>
        <w:t>wprowa</w:t>
      </w:r>
      <w:r>
        <w:rPr>
          <w:rFonts w:ascii="Verdana" w:hAnsi="Verdana"/>
          <w:sz w:val="16"/>
          <w:szCs w:val="16"/>
        </w:rPr>
        <w:t>dzenia</w:t>
      </w:r>
      <w:r w:rsidRPr="00B23B19">
        <w:rPr>
          <w:rFonts w:ascii="Verdana" w:hAnsi="Verdana"/>
          <w:sz w:val="16"/>
          <w:szCs w:val="16"/>
        </w:rPr>
        <w:t xml:space="preserve"> tzw. ulgi dla klasy średniej. </w:t>
      </w:r>
    </w:p>
    <w:p w:rsidR="008A572A" w:rsidRDefault="008A572A" w:rsidP="008A572A">
      <w:pPr>
        <w:spacing w:before="60" w:after="60"/>
        <w:jc w:val="both"/>
        <w:rPr>
          <w:rFonts w:ascii="Verdana" w:hAnsi="Verdana"/>
          <w:sz w:val="16"/>
          <w:szCs w:val="16"/>
        </w:rPr>
      </w:pPr>
      <w:r w:rsidRPr="00B23B19">
        <w:rPr>
          <w:rFonts w:ascii="Verdana" w:hAnsi="Verdana"/>
          <w:sz w:val="16"/>
          <w:szCs w:val="16"/>
        </w:rPr>
        <w:t>Następnie powyższe rozwiązania podatkowe zostały zmodyfikowane</w:t>
      </w:r>
      <w:r>
        <w:rPr>
          <w:rFonts w:ascii="Verdana" w:hAnsi="Verdana"/>
          <w:sz w:val="16"/>
          <w:szCs w:val="16"/>
        </w:rPr>
        <w:t xml:space="preserve"> - </w:t>
      </w:r>
      <w:r w:rsidRPr="00B23B19">
        <w:rPr>
          <w:rFonts w:ascii="Verdana" w:hAnsi="Verdana"/>
          <w:sz w:val="16"/>
          <w:szCs w:val="16"/>
        </w:rPr>
        <w:t xml:space="preserve">z datą wprowadzenia od 1 lipca 2022 r. </w:t>
      </w:r>
      <w:r>
        <w:rPr>
          <w:rFonts w:ascii="Verdana" w:hAnsi="Verdana"/>
          <w:sz w:val="16"/>
          <w:szCs w:val="16"/>
        </w:rPr>
        <w:br/>
      </w:r>
      <w:r w:rsidRPr="00B23B19">
        <w:rPr>
          <w:rFonts w:ascii="Verdana" w:hAnsi="Verdana"/>
          <w:sz w:val="16"/>
          <w:szCs w:val="16"/>
        </w:rPr>
        <w:t xml:space="preserve">z mocą obowiązującą od 1 stycznia 2022 r. Wprowadzone zmiany polegały przede wszystkim na: </w:t>
      </w:r>
    </w:p>
    <w:p w:rsidR="008A572A" w:rsidRPr="00B23B19" w:rsidRDefault="008A572A" w:rsidP="008A572A">
      <w:pPr>
        <w:pStyle w:val="Akapitzlist"/>
        <w:numPr>
          <w:ilvl w:val="0"/>
          <w:numId w:val="67"/>
        </w:numPr>
        <w:spacing w:before="60" w:after="60"/>
        <w:jc w:val="both"/>
        <w:rPr>
          <w:rFonts w:ascii="Verdana" w:hAnsi="Verdana"/>
          <w:b/>
          <w:bCs/>
          <w:sz w:val="16"/>
          <w:szCs w:val="16"/>
        </w:rPr>
      </w:pPr>
      <w:r w:rsidRPr="00B23B19">
        <w:rPr>
          <w:rFonts w:ascii="Verdana" w:hAnsi="Verdana"/>
          <w:sz w:val="16"/>
          <w:szCs w:val="16"/>
        </w:rPr>
        <w:t xml:space="preserve">obniżeniu stawki podatkowej w I przedziale skali podatkowej z </w:t>
      </w:r>
      <w:r w:rsidRPr="00B23B19">
        <w:rPr>
          <w:rFonts w:ascii="Verdana" w:hAnsi="Verdana"/>
          <w:bCs/>
          <w:sz w:val="16"/>
          <w:szCs w:val="16"/>
        </w:rPr>
        <w:t>17%</w:t>
      </w:r>
      <w:r w:rsidRPr="00B23B19">
        <w:rPr>
          <w:rFonts w:ascii="Verdana" w:hAnsi="Verdana"/>
          <w:sz w:val="16"/>
          <w:szCs w:val="16"/>
        </w:rPr>
        <w:t xml:space="preserve"> do </w:t>
      </w:r>
      <w:r w:rsidRPr="00B23B19">
        <w:rPr>
          <w:rFonts w:ascii="Verdana" w:hAnsi="Verdana"/>
          <w:bCs/>
          <w:sz w:val="16"/>
          <w:szCs w:val="16"/>
        </w:rPr>
        <w:t xml:space="preserve">12%; </w:t>
      </w:r>
    </w:p>
    <w:p w:rsidR="008A572A" w:rsidRPr="008D6D9E" w:rsidRDefault="008A572A" w:rsidP="008A572A">
      <w:pPr>
        <w:pStyle w:val="Akapitzlist"/>
        <w:numPr>
          <w:ilvl w:val="0"/>
          <w:numId w:val="67"/>
        </w:numPr>
        <w:spacing w:before="60" w:after="60"/>
        <w:jc w:val="both"/>
        <w:rPr>
          <w:rFonts w:ascii="Verdana" w:hAnsi="Verdana"/>
          <w:b/>
          <w:bCs/>
          <w:sz w:val="16"/>
          <w:szCs w:val="16"/>
        </w:rPr>
      </w:pPr>
      <w:r w:rsidRPr="00B23B19">
        <w:rPr>
          <w:rFonts w:ascii="Verdana" w:hAnsi="Verdana"/>
          <w:sz w:val="16"/>
          <w:szCs w:val="16"/>
        </w:rPr>
        <w:t xml:space="preserve">likwidacji tzw. ulgi dla klasy średniej; </w:t>
      </w:r>
    </w:p>
    <w:p w:rsidR="008A572A" w:rsidRPr="00B23B19" w:rsidRDefault="008A572A" w:rsidP="008A572A">
      <w:pPr>
        <w:pStyle w:val="Akapitzlist"/>
        <w:numPr>
          <w:ilvl w:val="0"/>
          <w:numId w:val="67"/>
        </w:numPr>
        <w:spacing w:before="60" w:after="60"/>
        <w:jc w:val="both"/>
        <w:rPr>
          <w:rFonts w:ascii="Verdana" w:hAnsi="Verdana"/>
          <w:b/>
          <w:bCs/>
          <w:sz w:val="16"/>
          <w:szCs w:val="16"/>
        </w:rPr>
      </w:pPr>
      <w:r w:rsidRPr="00B23B19">
        <w:rPr>
          <w:rFonts w:ascii="Verdana" w:hAnsi="Verdana"/>
          <w:sz w:val="16"/>
          <w:szCs w:val="16"/>
        </w:rPr>
        <w:t>przywróceniu wspólnego rozliczenia samotnych rodziców z dzieckiem zastępujące ulgę z art. 27ea. ustawy o podatku dochodowym od osób fizycznych</w:t>
      </w:r>
      <w:r w:rsidRPr="00B23B19">
        <w:rPr>
          <w:rFonts w:ascii="Verdana" w:hAnsi="Verdana"/>
          <w:bCs/>
          <w:sz w:val="16"/>
          <w:szCs w:val="16"/>
        </w:rPr>
        <w:t>.</w:t>
      </w:r>
    </w:p>
    <w:p w:rsidR="008A572A" w:rsidRDefault="008A572A" w:rsidP="008A572A">
      <w:pPr>
        <w:spacing w:before="60" w:after="60"/>
        <w:jc w:val="both"/>
        <w:rPr>
          <w:rFonts w:ascii="Verdana" w:hAnsi="Verdana"/>
          <w:sz w:val="16"/>
          <w:szCs w:val="16"/>
        </w:rPr>
      </w:pPr>
      <w:r>
        <w:rPr>
          <w:rFonts w:ascii="Verdana" w:hAnsi="Verdana"/>
          <w:sz w:val="16"/>
          <w:szCs w:val="16"/>
        </w:rPr>
        <w:t>W zakresie systemu dochodów samorządów z</w:t>
      </w:r>
      <w:r w:rsidRPr="00EB6725">
        <w:rPr>
          <w:rFonts w:ascii="Verdana" w:hAnsi="Verdana"/>
          <w:sz w:val="16"/>
          <w:szCs w:val="16"/>
        </w:rPr>
        <w:t>godnie z nowymi zas</w:t>
      </w:r>
      <w:r>
        <w:rPr>
          <w:rFonts w:ascii="Verdana" w:hAnsi="Verdana"/>
          <w:sz w:val="16"/>
          <w:szCs w:val="16"/>
        </w:rPr>
        <w:t>adami przewidzianymi w p</w:t>
      </w:r>
      <w:r w:rsidRPr="00EB6725">
        <w:rPr>
          <w:rFonts w:ascii="Verdana" w:hAnsi="Verdana"/>
          <w:sz w:val="16"/>
          <w:szCs w:val="16"/>
        </w:rPr>
        <w:t xml:space="preserve">rogramie Polski Ład, od 2022 r. samorządy </w:t>
      </w:r>
      <w:r>
        <w:rPr>
          <w:rFonts w:ascii="Verdana" w:hAnsi="Verdana"/>
          <w:sz w:val="16"/>
          <w:szCs w:val="16"/>
        </w:rPr>
        <w:t>otrzymują</w:t>
      </w:r>
      <w:r w:rsidRPr="00EB6725">
        <w:rPr>
          <w:rFonts w:ascii="Verdana" w:hAnsi="Verdana"/>
          <w:sz w:val="16"/>
          <w:szCs w:val="16"/>
        </w:rPr>
        <w:t xml:space="preserve"> zaplanowane przez Ministerstwo Finansów dochody z udziałów w PIT i CIT </w:t>
      </w:r>
      <w:r>
        <w:rPr>
          <w:rFonts w:ascii="Verdana" w:hAnsi="Verdana"/>
          <w:sz w:val="16"/>
          <w:szCs w:val="16"/>
        </w:rPr>
        <w:br/>
      </w:r>
      <w:r w:rsidRPr="00EB6725">
        <w:rPr>
          <w:rFonts w:ascii="Verdana" w:hAnsi="Verdana"/>
          <w:sz w:val="16"/>
          <w:szCs w:val="16"/>
        </w:rPr>
        <w:t>w równych 12 miesięcznych ratach, z tym że po dwóch latach następować będzie rozliczenie przekazanych środków w odnies</w:t>
      </w:r>
      <w:r>
        <w:rPr>
          <w:rFonts w:ascii="Verdana" w:hAnsi="Verdana"/>
          <w:sz w:val="16"/>
          <w:szCs w:val="16"/>
        </w:rPr>
        <w:t xml:space="preserve">ieniu do rzeczywistych wpływów - </w:t>
      </w:r>
      <w:r w:rsidRPr="00EB6725">
        <w:rPr>
          <w:rFonts w:ascii="Verdana" w:hAnsi="Verdana"/>
          <w:sz w:val="16"/>
          <w:szCs w:val="16"/>
        </w:rPr>
        <w:t>wykonanie dochodów niższe od planu spowoduje odpowiednie pomniejszenie dochodów JST natomiast realizacja przewyższa</w:t>
      </w:r>
      <w:r>
        <w:rPr>
          <w:rFonts w:ascii="Verdana" w:hAnsi="Verdana"/>
          <w:sz w:val="16"/>
          <w:szCs w:val="16"/>
        </w:rPr>
        <w:t>jąca plan podwyższy dochody JST</w:t>
      </w:r>
      <w:r w:rsidRPr="00EB6725">
        <w:rPr>
          <w:rFonts w:ascii="Verdana" w:hAnsi="Verdana"/>
          <w:sz w:val="16"/>
          <w:szCs w:val="16"/>
        </w:rPr>
        <w:t>.</w:t>
      </w:r>
      <w:r>
        <w:rPr>
          <w:rFonts w:ascii="Verdana" w:hAnsi="Verdana"/>
          <w:sz w:val="16"/>
          <w:szCs w:val="16"/>
        </w:rPr>
        <w:t xml:space="preserve"> Zaplanowane przez </w:t>
      </w:r>
      <w:r w:rsidRPr="00EB6725">
        <w:rPr>
          <w:rFonts w:ascii="Verdana" w:hAnsi="Verdana"/>
          <w:sz w:val="16"/>
          <w:szCs w:val="16"/>
        </w:rPr>
        <w:t>Ministerstwo Finansów</w:t>
      </w:r>
      <w:r>
        <w:rPr>
          <w:rFonts w:ascii="Verdana" w:hAnsi="Verdana"/>
          <w:sz w:val="16"/>
          <w:szCs w:val="16"/>
        </w:rPr>
        <w:t xml:space="preserve"> dochody z PIT i CIT na poziomie łącznie dla gmin, powiatów i województw konfrontowane są z wysokością ustalonych arbitralnie w ustawie waloryzowanych kwot referencyjnych dochodów z PIT i CIT dla powyższych szczebli JST i w przypadku, gdy zaplanowane dochody są niższe od poziomów referencyjnych następuje odpowiednie zwiększenie wysokości subwencji rozwojowej.</w:t>
      </w:r>
    </w:p>
    <w:p w:rsidR="008A572A" w:rsidRPr="00974DF9" w:rsidRDefault="008A572A" w:rsidP="008A572A">
      <w:pPr>
        <w:spacing w:before="60" w:after="60"/>
        <w:jc w:val="both"/>
        <w:rPr>
          <w:rFonts w:ascii="Verdana" w:hAnsi="Verdana"/>
          <w:b/>
          <w:sz w:val="16"/>
          <w:szCs w:val="16"/>
        </w:rPr>
      </w:pPr>
      <w:r w:rsidRPr="00EB6725">
        <w:rPr>
          <w:rFonts w:ascii="Verdana" w:hAnsi="Verdana"/>
          <w:b/>
          <w:sz w:val="16"/>
          <w:szCs w:val="16"/>
        </w:rPr>
        <w:t xml:space="preserve">Polski Ład już w 2022 r. skutkuje znaczącym uszczupleniem dochodów własnych samorządów, </w:t>
      </w:r>
      <w:r>
        <w:rPr>
          <w:rFonts w:ascii="Verdana" w:hAnsi="Verdana"/>
          <w:b/>
          <w:sz w:val="16"/>
          <w:szCs w:val="16"/>
        </w:rPr>
        <w:br/>
      </w:r>
      <w:r w:rsidRPr="00EB6725">
        <w:rPr>
          <w:rFonts w:ascii="Verdana" w:hAnsi="Verdana"/>
          <w:b/>
          <w:sz w:val="16"/>
          <w:szCs w:val="16"/>
        </w:rPr>
        <w:t xml:space="preserve">a w szczególności w istotnym stopniu trwale ograniczył potencjał dochodowy największych miast, </w:t>
      </w:r>
      <w:r>
        <w:rPr>
          <w:rFonts w:ascii="Verdana" w:hAnsi="Verdana"/>
          <w:b/>
          <w:sz w:val="16"/>
          <w:szCs w:val="16"/>
        </w:rPr>
        <w:br/>
      </w:r>
      <w:r w:rsidRPr="00EB6725">
        <w:rPr>
          <w:rFonts w:ascii="Verdana" w:hAnsi="Verdana"/>
          <w:b/>
          <w:sz w:val="16"/>
          <w:szCs w:val="16"/>
        </w:rPr>
        <w:t>w tym Warszawy</w:t>
      </w:r>
      <w:r w:rsidRPr="00974DF9">
        <w:rPr>
          <w:rFonts w:ascii="Verdana" w:hAnsi="Verdana"/>
          <w:b/>
          <w:sz w:val="16"/>
          <w:szCs w:val="16"/>
        </w:rPr>
        <w:t>. Świadczy o tym</w:t>
      </w:r>
      <w:r>
        <w:rPr>
          <w:rFonts w:ascii="Verdana" w:hAnsi="Verdana"/>
          <w:sz w:val="16"/>
          <w:szCs w:val="16"/>
        </w:rPr>
        <w:t xml:space="preserve"> </w:t>
      </w:r>
      <w:r w:rsidRPr="00974DF9">
        <w:rPr>
          <w:rFonts w:ascii="Verdana" w:hAnsi="Verdana"/>
          <w:b/>
          <w:sz w:val="16"/>
          <w:szCs w:val="16"/>
        </w:rPr>
        <w:t>zaplanowany przez</w:t>
      </w:r>
      <w:r>
        <w:rPr>
          <w:rFonts w:ascii="Verdana" w:hAnsi="Verdana"/>
          <w:sz w:val="16"/>
          <w:szCs w:val="16"/>
        </w:rPr>
        <w:t xml:space="preserve"> </w:t>
      </w:r>
      <w:r>
        <w:rPr>
          <w:rFonts w:ascii="Verdana" w:hAnsi="Verdana"/>
          <w:b/>
          <w:sz w:val="16"/>
          <w:szCs w:val="16"/>
        </w:rPr>
        <w:t>Ministerstwo Finansów na lata 2022-2023 bezwzględny spadek dochodów m.st. Warszawy z PIT z uwzględnieniem rekompensat w stosunku do zrealizowanych dochodów z tego tytułu w 2021 r.</w:t>
      </w:r>
    </w:p>
    <w:p w:rsidR="008A572A" w:rsidRDefault="008A572A" w:rsidP="008A572A">
      <w:pPr>
        <w:spacing w:before="60" w:after="60"/>
        <w:jc w:val="both"/>
        <w:rPr>
          <w:rFonts w:ascii="Verdana" w:hAnsi="Verdana"/>
          <w:b/>
          <w:sz w:val="16"/>
          <w:szCs w:val="16"/>
        </w:rPr>
      </w:pPr>
      <w:r w:rsidRPr="003409A9">
        <w:rPr>
          <w:rFonts w:ascii="Verdana" w:hAnsi="Verdana"/>
          <w:b/>
          <w:sz w:val="16"/>
          <w:szCs w:val="16"/>
        </w:rPr>
        <w:t xml:space="preserve">W ostatnim roku przed wprowadzeniem rozwiązań </w:t>
      </w:r>
      <w:r>
        <w:rPr>
          <w:rFonts w:ascii="Verdana" w:hAnsi="Verdana"/>
          <w:b/>
          <w:sz w:val="16"/>
          <w:szCs w:val="16"/>
        </w:rPr>
        <w:t xml:space="preserve">Polskiego Ładu, tj. w roku 2021, </w:t>
      </w:r>
      <w:r w:rsidRPr="003409A9">
        <w:rPr>
          <w:rFonts w:ascii="Verdana" w:hAnsi="Verdana"/>
          <w:b/>
          <w:sz w:val="16"/>
          <w:szCs w:val="16"/>
        </w:rPr>
        <w:t xml:space="preserve">dochody </w:t>
      </w:r>
      <w:r>
        <w:rPr>
          <w:rFonts w:ascii="Verdana" w:hAnsi="Verdana"/>
          <w:b/>
          <w:sz w:val="16"/>
          <w:szCs w:val="16"/>
        </w:rPr>
        <w:br/>
        <w:t xml:space="preserve">m.st. </w:t>
      </w:r>
      <w:r w:rsidRPr="003409A9">
        <w:rPr>
          <w:rFonts w:ascii="Verdana" w:hAnsi="Verdana"/>
          <w:b/>
          <w:sz w:val="16"/>
          <w:szCs w:val="16"/>
        </w:rPr>
        <w:t>Warszawy pochodzące z głównego źródła finansowania zadań własnych</w:t>
      </w:r>
      <w:r>
        <w:rPr>
          <w:rFonts w:ascii="Verdana" w:hAnsi="Verdana"/>
          <w:b/>
          <w:sz w:val="16"/>
          <w:szCs w:val="16"/>
        </w:rPr>
        <w:t xml:space="preserve"> -</w:t>
      </w:r>
      <w:r w:rsidRPr="003409A9">
        <w:rPr>
          <w:rFonts w:ascii="Verdana" w:hAnsi="Verdana"/>
          <w:b/>
          <w:sz w:val="16"/>
          <w:szCs w:val="16"/>
        </w:rPr>
        <w:t xml:space="preserve"> </w:t>
      </w:r>
      <w:r>
        <w:rPr>
          <w:rFonts w:ascii="Verdana" w:hAnsi="Verdana"/>
          <w:b/>
          <w:sz w:val="16"/>
          <w:szCs w:val="16"/>
        </w:rPr>
        <w:t xml:space="preserve">wpływów </w:t>
      </w:r>
      <w:r w:rsidRPr="003409A9">
        <w:rPr>
          <w:rFonts w:ascii="Verdana" w:hAnsi="Verdana"/>
          <w:b/>
          <w:sz w:val="16"/>
          <w:szCs w:val="16"/>
        </w:rPr>
        <w:t>z podatku dochodowego od osób fizycznych (PIT)</w:t>
      </w:r>
      <w:r>
        <w:rPr>
          <w:rFonts w:ascii="Verdana" w:hAnsi="Verdana"/>
          <w:b/>
          <w:sz w:val="16"/>
          <w:szCs w:val="16"/>
        </w:rPr>
        <w:t xml:space="preserve"> - </w:t>
      </w:r>
      <w:r w:rsidRPr="003409A9">
        <w:rPr>
          <w:rFonts w:ascii="Verdana" w:hAnsi="Verdana"/>
          <w:b/>
          <w:sz w:val="16"/>
          <w:szCs w:val="16"/>
        </w:rPr>
        <w:t xml:space="preserve">wyniosły 6,932 mld zł, stanowiąc 47% ogółu dochodów własnych. </w:t>
      </w:r>
      <w:r w:rsidRPr="006F3152">
        <w:rPr>
          <w:rFonts w:ascii="Verdana" w:hAnsi="Verdana"/>
          <w:b/>
          <w:sz w:val="16"/>
          <w:szCs w:val="16"/>
        </w:rPr>
        <w:t xml:space="preserve">W konsekwencji Polskiego Ładu dochody Warszawy z PIT w 2022 r. będą niższe niż </w:t>
      </w:r>
      <w:r>
        <w:rPr>
          <w:rFonts w:ascii="Verdana" w:hAnsi="Verdana"/>
          <w:b/>
          <w:sz w:val="16"/>
          <w:szCs w:val="16"/>
        </w:rPr>
        <w:br/>
      </w:r>
      <w:r w:rsidRPr="006F3152">
        <w:rPr>
          <w:rFonts w:ascii="Verdana" w:hAnsi="Verdana"/>
          <w:b/>
          <w:sz w:val="16"/>
          <w:szCs w:val="16"/>
        </w:rPr>
        <w:t xml:space="preserve">w </w:t>
      </w:r>
      <w:r>
        <w:rPr>
          <w:rFonts w:ascii="Verdana" w:hAnsi="Verdana"/>
          <w:b/>
          <w:sz w:val="16"/>
          <w:szCs w:val="16"/>
        </w:rPr>
        <w:t>2021 r. o 848 mln</w:t>
      </w:r>
      <w:r w:rsidRPr="006F3152">
        <w:rPr>
          <w:rFonts w:ascii="Verdana" w:hAnsi="Verdana"/>
          <w:b/>
          <w:sz w:val="16"/>
          <w:szCs w:val="16"/>
        </w:rPr>
        <w:t xml:space="preserve"> </w:t>
      </w:r>
      <w:r w:rsidRPr="00876097">
        <w:rPr>
          <w:rFonts w:ascii="Verdana" w:hAnsi="Verdana"/>
          <w:b/>
          <w:sz w:val="16"/>
          <w:szCs w:val="16"/>
        </w:rPr>
        <w:t>zł i wyniosą 6,084 mld zł</w:t>
      </w:r>
      <w:r>
        <w:rPr>
          <w:rFonts w:ascii="Verdana" w:hAnsi="Verdana"/>
          <w:b/>
          <w:sz w:val="16"/>
          <w:szCs w:val="16"/>
        </w:rPr>
        <w:t xml:space="preserve">, taka kwota zostanie bowiem przekazana </w:t>
      </w:r>
      <w:r>
        <w:rPr>
          <w:rFonts w:ascii="Verdana" w:hAnsi="Verdana"/>
          <w:b/>
          <w:sz w:val="16"/>
          <w:szCs w:val="16"/>
        </w:rPr>
        <w:br/>
        <w:t>m.st. Warszawie w 2022 r. zgodnie z pismami Ministerstwa Finansów z 14 października 2021 r.</w:t>
      </w:r>
      <w:r w:rsidRPr="00876097">
        <w:rPr>
          <w:rStyle w:val="Odwoanieprzypisudolnego"/>
          <w:rFonts w:ascii="Verdana" w:hAnsi="Verdana"/>
          <w:b/>
          <w:sz w:val="16"/>
          <w:szCs w:val="16"/>
        </w:rPr>
        <w:footnoteReference w:id="10"/>
      </w:r>
      <w:r>
        <w:rPr>
          <w:rFonts w:ascii="Verdana" w:hAnsi="Verdana"/>
          <w:b/>
          <w:sz w:val="16"/>
          <w:szCs w:val="16"/>
        </w:rPr>
        <w:t xml:space="preserve"> Natomiast w odniesieniu do 2023 r. </w:t>
      </w:r>
      <w:r w:rsidRPr="00876097">
        <w:rPr>
          <w:rFonts w:ascii="Verdana" w:hAnsi="Verdana"/>
          <w:b/>
          <w:sz w:val="16"/>
          <w:szCs w:val="16"/>
        </w:rPr>
        <w:t xml:space="preserve">Ministerstwo Finansów </w:t>
      </w:r>
      <w:r>
        <w:rPr>
          <w:rFonts w:ascii="Verdana" w:hAnsi="Verdana"/>
          <w:b/>
          <w:sz w:val="16"/>
          <w:szCs w:val="16"/>
        </w:rPr>
        <w:t>w pismach z 13 października</w:t>
      </w:r>
      <w:r w:rsidRPr="00876097">
        <w:rPr>
          <w:rFonts w:ascii="Verdana" w:hAnsi="Verdana"/>
          <w:b/>
          <w:sz w:val="16"/>
          <w:szCs w:val="16"/>
        </w:rPr>
        <w:t xml:space="preserve"> 2022 r.</w:t>
      </w:r>
      <w:r w:rsidRPr="00876097">
        <w:rPr>
          <w:rStyle w:val="Odwoanieprzypisudolnego"/>
          <w:rFonts w:ascii="Verdana" w:hAnsi="Verdana"/>
          <w:b/>
          <w:sz w:val="16"/>
          <w:szCs w:val="16"/>
        </w:rPr>
        <w:footnoteReference w:id="11"/>
      </w:r>
      <w:r w:rsidRPr="00876097">
        <w:rPr>
          <w:rFonts w:ascii="Verdana" w:hAnsi="Verdana"/>
          <w:b/>
          <w:sz w:val="16"/>
          <w:szCs w:val="16"/>
        </w:rPr>
        <w:t xml:space="preserve"> </w:t>
      </w:r>
      <w:r>
        <w:rPr>
          <w:rFonts w:ascii="Verdana" w:hAnsi="Verdana"/>
          <w:b/>
          <w:sz w:val="16"/>
          <w:szCs w:val="16"/>
        </w:rPr>
        <w:t xml:space="preserve">poinformowało o ustaleniu planu dochodów </w:t>
      </w:r>
      <w:r w:rsidRPr="00876097">
        <w:rPr>
          <w:rFonts w:ascii="Verdana" w:hAnsi="Verdana"/>
          <w:b/>
          <w:sz w:val="16"/>
          <w:szCs w:val="16"/>
        </w:rPr>
        <w:t xml:space="preserve">Warszawy z PIT </w:t>
      </w:r>
      <w:r>
        <w:rPr>
          <w:rFonts w:ascii="Verdana" w:hAnsi="Verdana"/>
          <w:b/>
          <w:sz w:val="16"/>
          <w:szCs w:val="16"/>
        </w:rPr>
        <w:t>na</w:t>
      </w:r>
      <w:r w:rsidRPr="00876097">
        <w:rPr>
          <w:rFonts w:ascii="Verdana" w:hAnsi="Verdana"/>
          <w:b/>
          <w:sz w:val="16"/>
          <w:szCs w:val="16"/>
        </w:rPr>
        <w:t xml:space="preserve"> 2023 r. </w:t>
      </w:r>
      <w:r>
        <w:rPr>
          <w:rFonts w:ascii="Verdana" w:hAnsi="Verdana"/>
          <w:b/>
          <w:sz w:val="16"/>
          <w:szCs w:val="16"/>
        </w:rPr>
        <w:t xml:space="preserve">w kwocie 5 mld 799 mln zł. Oznacza to, że na skutek programu Polski Ład dochody z PIT spadną do poziomu sprzed 5 lat, </w:t>
      </w:r>
      <w:r>
        <w:rPr>
          <w:rFonts w:ascii="Verdana" w:hAnsi="Verdana"/>
          <w:b/>
          <w:sz w:val="16"/>
          <w:szCs w:val="16"/>
        </w:rPr>
        <w:br/>
        <w:t xml:space="preserve">tj. 2018 r. </w:t>
      </w:r>
      <w:r w:rsidRPr="006F3152">
        <w:rPr>
          <w:rFonts w:ascii="Verdana" w:hAnsi="Verdana"/>
          <w:b/>
          <w:sz w:val="16"/>
          <w:szCs w:val="16"/>
        </w:rPr>
        <w:t xml:space="preserve"> </w:t>
      </w:r>
      <w:r>
        <w:rPr>
          <w:rFonts w:ascii="Verdana" w:hAnsi="Verdana"/>
          <w:b/>
          <w:sz w:val="16"/>
          <w:szCs w:val="16"/>
        </w:rPr>
        <w:t xml:space="preserve">W rezultacie w </w:t>
      </w:r>
      <w:r w:rsidRPr="006F3152">
        <w:rPr>
          <w:rFonts w:ascii="Verdana" w:hAnsi="Verdana"/>
          <w:b/>
          <w:sz w:val="16"/>
          <w:szCs w:val="16"/>
        </w:rPr>
        <w:t xml:space="preserve">2023 r. </w:t>
      </w:r>
      <w:r>
        <w:rPr>
          <w:rFonts w:ascii="Verdana" w:hAnsi="Verdana"/>
          <w:b/>
          <w:sz w:val="16"/>
          <w:szCs w:val="16"/>
        </w:rPr>
        <w:t xml:space="preserve">m.st. </w:t>
      </w:r>
      <w:r w:rsidRPr="006F3152">
        <w:rPr>
          <w:rFonts w:ascii="Verdana" w:hAnsi="Verdana"/>
          <w:b/>
          <w:sz w:val="16"/>
          <w:szCs w:val="16"/>
        </w:rPr>
        <w:t xml:space="preserve">Warszawa będzie dysponować kwotą dochodów z PIT niższą </w:t>
      </w:r>
      <w:r>
        <w:rPr>
          <w:rFonts w:ascii="Verdana" w:hAnsi="Verdana"/>
          <w:b/>
          <w:sz w:val="16"/>
          <w:szCs w:val="16"/>
        </w:rPr>
        <w:t xml:space="preserve">nominalnie </w:t>
      </w:r>
      <w:r w:rsidRPr="006F3152">
        <w:rPr>
          <w:rFonts w:ascii="Verdana" w:hAnsi="Verdana"/>
          <w:b/>
          <w:sz w:val="16"/>
          <w:szCs w:val="16"/>
        </w:rPr>
        <w:t xml:space="preserve">o 1 mld 133 mln zł w porównaniu </w:t>
      </w:r>
      <w:r>
        <w:rPr>
          <w:rFonts w:ascii="Verdana" w:hAnsi="Verdana"/>
          <w:b/>
          <w:sz w:val="16"/>
          <w:szCs w:val="16"/>
        </w:rPr>
        <w:t>do</w:t>
      </w:r>
      <w:r w:rsidRPr="006F3152">
        <w:rPr>
          <w:rFonts w:ascii="Verdana" w:hAnsi="Verdana"/>
          <w:b/>
          <w:sz w:val="16"/>
          <w:szCs w:val="16"/>
        </w:rPr>
        <w:t xml:space="preserve"> 2021 r</w:t>
      </w:r>
      <w:r w:rsidRPr="00002468">
        <w:rPr>
          <w:rFonts w:ascii="Verdana" w:hAnsi="Verdana"/>
          <w:b/>
          <w:sz w:val="16"/>
          <w:szCs w:val="16"/>
        </w:rPr>
        <w:t>.</w:t>
      </w:r>
      <w:r>
        <w:rPr>
          <w:rFonts w:ascii="Verdana" w:hAnsi="Verdana"/>
          <w:b/>
          <w:sz w:val="16"/>
          <w:szCs w:val="16"/>
        </w:rPr>
        <w:t xml:space="preserve"> oraz </w:t>
      </w:r>
      <w:r w:rsidRPr="00002468">
        <w:rPr>
          <w:rFonts w:ascii="Verdana" w:hAnsi="Verdana"/>
          <w:b/>
          <w:sz w:val="16"/>
          <w:szCs w:val="16"/>
        </w:rPr>
        <w:t xml:space="preserve">o 285 mln zł niższą </w:t>
      </w:r>
      <w:r>
        <w:rPr>
          <w:rFonts w:ascii="Verdana" w:hAnsi="Verdana"/>
          <w:b/>
          <w:sz w:val="16"/>
          <w:szCs w:val="16"/>
        </w:rPr>
        <w:t xml:space="preserve">niż w </w:t>
      </w:r>
      <w:r w:rsidRPr="00002468">
        <w:rPr>
          <w:rFonts w:ascii="Verdana" w:hAnsi="Verdana"/>
          <w:b/>
          <w:sz w:val="16"/>
          <w:szCs w:val="16"/>
        </w:rPr>
        <w:t>2022 r.</w:t>
      </w:r>
      <w:r>
        <w:rPr>
          <w:rFonts w:ascii="Verdana" w:hAnsi="Verdana"/>
          <w:b/>
          <w:sz w:val="16"/>
          <w:szCs w:val="16"/>
        </w:rPr>
        <w:t>, przy skumulowanej inflacji w latach 2022-2023 prognozowanej przez Ministerstwo Finansów na poziomie 24,6%.</w:t>
      </w:r>
      <w:r w:rsidRPr="00002468">
        <w:rPr>
          <w:rFonts w:ascii="Verdana" w:hAnsi="Verdana"/>
          <w:b/>
          <w:sz w:val="16"/>
          <w:szCs w:val="16"/>
        </w:rPr>
        <w:t xml:space="preserve"> </w:t>
      </w:r>
      <w:r>
        <w:rPr>
          <w:rFonts w:ascii="Verdana" w:hAnsi="Verdana"/>
          <w:b/>
          <w:sz w:val="16"/>
          <w:szCs w:val="16"/>
        </w:rPr>
        <w:br w:type="page"/>
      </w:r>
    </w:p>
    <w:p w:rsidR="008A572A" w:rsidRPr="006F3152" w:rsidRDefault="008A572A" w:rsidP="008A572A">
      <w:pPr>
        <w:spacing w:before="60" w:after="60"/>
        <w:jc w:val="both"/>
        <w:rPr>
          <w:rFonts w:ascii="Verdana" w:hAnsi="Verdana"/>
          <w:sz w:val="14"/>
          <w:szCs w:val="14"/>
        </w:rPr>
      </w:pPr>
      <w:r w:rsidRPr="00011AAA">
        <w:rPr>
          <w:rFonts w:ascii="Verdana" w:hAnsi="Verdana"/>
          <w:b/>
          <w:bCs/>
          <w:iCs/>
          <w:sz w:val="14"/>
          <w:szCs w:val="14"/>
        </w:rPr>
        <w:lastRenderedPageBreak/>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sidR="00DB2126">
        <w:rPr>
          <w:rFonts w:ascii="Verdana" w:hAnsi="Verdana"/>
          <w:b/>
          <w:bCs/>
          <w:iCs/>
          <w:noProof/>
          <w:sz w:val="14"/>
          <w:szCs w:val="14"/>
        </w:rPr>
        <w:t>3</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DOCHODY M.ST. WARSZAWY Z PIT W LATACH 2018-2023</w:t>
      </w:r>
    </w:p>
    <w:p w:rsidR="008A572A" w:rsidRDefault="008A572A" w:rsidP="008A572A">
      <w:pPr>
        <w:spacing w:before="60" w:after="60"/>
        <w:jc w:val="both"/>
        <w:rPr>
          <w:rFonts w:ascii="Verdana" w:hAnsi="Verdana"/>
          <w:sz w:val="16"/>
          <w:szCs w:val="16"/>
        </w:rPr>
      </w:pPr>
      <w:r w:rsidRPr="003409A9">
        <w:rPr>
          <w:noProof/>
        </w:rPr>
        <w:drawing>
          <wp:inline distT="0" distB="0" distL="0" distR="0" wp14:anchorId="750679F8" wp14:editId="148227B1">
            <wp:extent cx="5053706" cy="2665562"/>
            <wp:effectExtent l="0" t="0" r="0" b="190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63870" cy="2670923"/>
                    </a:xfrm>
                    <a:prstGeom prst="rect">
                      <a:avLst/>
                    </a:prstGeom>
                  </pic:spPr>
                </pic:pic>
              </a:graphicData>
            </a:graphic>
          </wp:inline>
        </w:drawing>
      </w:r>
    </w:p>
    <w:p w:rsidR="008A572A" w:rsidRDefault="008A572A" w:rsidP="008A572A">
      <w:pPr>
        <w:spacing w:before="60" w:after="60"/>
        <w:jc w:val="both"/>
        <w:rPr>
          <w:rStyle w:val="markedcontent"/>
          <w:rFonts w:ascii="Verdana" w:hAnsi="Verdana" w:cs="Arial"/>
          <w:sz w:val="16"/>
          <w:szCs w:val="16"/>
        </w:rPr>
      </w:pPr>
      <w:r>
        <w:rPr>
          <w:rStyle w:val="markedcontent"/>
          <w:rFonts w:ascii="Verdana" w:hAnsi="Verdana" w:cs="Arial"/>
          <w:b/>
          <w:sz w:val="16"/>
          <w:szCs w:val="16"/>
        </w:rPr>
        <w:t>W ramach Polskiego Ładu wprowadzony został mechanizm rekompensat ubytków dochodów samorządów w PIT i CIT na skutek zmian legislacyjnych. Jednak problem stanowi nieadekwatność funkcjonującego systemu rekompensat względem t</w:t>
      </w:r>
      <w:r w:rsidRPr="00E3641D">
        <w:rPr>
          <w:rStyle w:val="markedcontent"/>
          <w:rFonts w:ascii="Verdana" w:hAnsi="Verdana" w:cs="Arial"/>
          <w:b/>
          <w:sz w:val="16"/>
          <w:szCs w:val="16"/>
        </w:rPr>
        <w:t>rwałego ograniczenia dochodów JST z PIT na skutek programu Polski Ład</w:t>
      </w:r>
      <w:r>
        <w:rPr>
          <w:rStyle w:val="markedcontent"/>
          <w:rFonts w:ascii="Verdana" w:hAnsi="Verdana" w:cs="Arial"/>
          <w:b/>
          <w:sz w:val="16"/>
          <w:szCs w:val="16"/>
        </w:rPr>
        <w:t>.</w:t>
      </w:r>
      <w:r w:rsidRPr="00E3641D">
        <w:rPr>
          <w:rStyle w:val="markedcontent"/>
          <w:rFonts w:ascii="Verdana" w:hAnsi="Verdana" w:cs="Arial"/>
          <w:b/>
          <w:sz w:val="16"/>
          <w:szCs w:val="16"/>
        </w:rPr>
        <w:t xml:space="preserve"> </w:t>
      </w:r>
      <w:r>
        <w:rPr>
          <w:rStyle w:val="markedcontent"/>
          <w:rFonts w:ascii="Verdana" w:hAnsi="Verdana" w:cs="Arial"/>
          <w:b/>
          <w:sz w:val="16"/>
          <w:szCs w:val="16"/>
        </w:rPr>
        <w:t xml:space="preserve">Dotyczy to zarówno </w:t>
      </w:r>
      <w:r w:rsidRPr="00E3641D">
        <w:rPr>
          <w:rStyle w:val="markedcontent"/>
          <w:rFonts w:ascii="Verdana" w:hAnsi="Verdana" w:cs="Arial"/>
          <w:b/>
          <w:sz w:val="16"/>
          <w:szCs w:val="16"/>
        </w:rPr>
        <w:t>ogóln</w:t>
      </w:r>
      <w:r>
        <w:rPr>
          <w:rStyle w:val="markedcontent"/>
          <w:rFonts w:ascii="Verdana" w:hAnsi="Verdana" w:cs="Arial"/>
          <w:b/>
          <w:sz w:val="16"/>
          <w:szCs w:val="16"/>
        </w:rPr>
        <w:t>ego</w:t>
      </w:r>
      <w:r w:rsidRPr="00E3641D">
        <w:rPr>
          <w:rStyle w:val="markedcontent"/>
          <w:rFonts w:ascii="Verdana" w:hAnsi="Verdana" w:cs="Arial"/>
          <w:b/>
          <w:sz w:val="16"/>
          <w:szCs w:val="16"/>
        </w:rPr>
        <w:t xml:space="preserve"> poziom</w:t>
      </w:r>
      <w:r>
        <w:rPr>
          <w:rStyle w:val="markedcontent"/>
          <w:rFonts w:ascii="Verdana" w:hAnsi="Verdana" w:cs="Arial"/>
          <w:b/>
          <w:sz w:val="16"/>
          <w:szCs w:val="16"/>
        </w:rPr>
        <w:t>u</w:t>
      </w:r>
      <w:r w:rsidRPr="00E3641D">
        <w:rPr>
          <w:rStyle w:val="markedcontent"/>
          <w:rFonts w:ascii="Verdana" w:hAnsi="Verdana" w:cs="Arial"/>
          <w:b/>
          <w:sz w:val="16"/>
          <w:szCs w:val="16"/>
        </w:rPr>
        <w:t xml:space="preserve"> rekompensat dla </w:t>
      </w:r>
      <w:r>
        <w:rPr>
          <w:rStyle w:val="markedcontent"/>
          <w:rFonts w:ascii="Verdana" w:hAnsi="Verdana" w:cs="Arial"/>
          <w:b/>
          <w:sz w:val="16"/>
          <w:szCs w:val="16"/>
        </w:rPr>
        <w:t>samorządów,</w:t>
      </w:r>
      <w:r w:rsidRPr="00E3641D">
        <w:rPr>
          <w:rStyle w:val="markedcontent"/>
          <w:rFonts w:ascii="Verdana" w:hAnsi="Verdana" w:cs="Arial"/>
          <w:b/>
          <w:sz w:val="16"/>
          <w:szCs w:val="16"/>
        </w:rPr>
        <w:t xml:space="preserve"> jak i nieproporcjonaln</w:t>
      </w:r>
      <w:r>
        <w:rPr>
          <w:rStyle w:val="markedcontent"/>
          <w:rFonts w:ascii="Verdana" w:hAnsi="Verdana" w:cs="Arial"/>
          <w:b/>
          <w:sz w:val="16"/>
          <w:szCs w:val="16"/>
        </w:rPr>
        <w:t>ego</w:t>
      </w:r>
      <w:r w:rsidRPr="00E3641D">
        <w:rPr>
          <w:rStyle w:val="markedcontent"/>
          <w:rFonts w:ascii="Verdana" w:hAnsi="Verdana" w:cs="Arial"/>
          <w:b/>
          <w:sz w:val="16"/>
          <w:szCs w:val="16"/>
        </w:rPr>
        <w:t xml:space="preserve"> do ubytku dochodów podz</w:t>
      </w:r>
      <w:r>
        <w:rPr>
          <w:rStyle w:val="markedcontent"/>
          <w:rFonts w:ascii="Verdana" w:hAnsi="Verdana" w:cs="Arial"/>
          <w:b/>
          <w:sz w:val="16"/>
          <w:szCs w:val="16"/>
        </w:rPr>
        <w:t>iału kwot zaniżonych rekompensat pomiędzy poszczególne jednostki samorządu terytorialnego</w:t>
      </w:r>
      <w:r w:rsidRPr="00E3641D">
        <w:rPr>
          <w:rStyle w:val="markedcontent"/>
          <w:rFonts w:ascii="Verdana" w:hAnsi="Verdana" w:cs="Arial"/>
          <w:b/>
          <w:sz w:val="16"/>
          <w:szCs w:val="16"/>
        </w:rPr>
        <w:t>.</w:t>
      </w:r>
      <w:r>
        <w:rPr>
          <w:rStyle w:val="markedcontent"/>
          <w:rFonts w:ascii="Verdana" w:hAnsi="Verdana" w:cs="Arial"/>
          <w:b/>
          <w:sz w:val="16"/>
          <w:szCs w:val="16"/>
        </w:rPr>
        <w:t xml:space="preserve"> </w:t>
      </w:r>
      <w:r>
        <w:rPr>
          <w:rFonts w:ascii="Verdana" w:hAnsi="Verdana"/>
          <w:b/>
          <w:sz w:val="16"/>
          <w:szCs w:val="16"/>
        </w:rPr>
        <w:t xml:space="preserve">Problem nieadekwatności systemu rekompensat w odniesieniu do rzeczywistych ubytków dochodów z PIT w konsekwencji rozwiązań Polskiego Ładu będzie narastał, ponieważ stosowanie kryteriów podziału rekompensat skorelowanych ze strukturą wpływów podatkowych z PIT w Polsce jest ograniczone wyłącznie do lat 2022-2023 (w 2022 r. </w:t>
      </w:r>
      <w:r>
        <w:rPr>
          <w:rFonts w:ascii="Verdana" w:hAnsi="Verdana"/>
          <w:b/>
          <w:sz w:val="16"/>
          <w:szCs w:val="16"/>
        </w:rPr>
        <w:br/>
        <w:t xml:space="preserve">z dodatkowymi ograniczeniami dotyczącymi zamożności i limitów kwot rekompensat). Zgodnie </w:t>
      </w:r>
      <w:r>
        <w:rPr>
          <w:rFonts w:ascii="Verdana" w:hAnsi="Verdana"/>
          <w:b/>
          <w:sz w:val="16"/>
          <w:szCs w:val="16"/>
        </w:rPr>
        <w:br/>
        <w:t xml:space="preserve">z obowiązującymi przepisami docelowo od 2024 r. podział rekompensat będzie się odbywał na podstawie struktury liczby mieszkańców w Polsce z dolnymi i górnymi limitami kwot. </w:t>
      </w:r>
      <w:r w:rsidRPr="00F51A5A">
        <w:rPr>
          <w:rStyle w:val="markedcontent"/>
          <w:rFonts w:ascii="Verdana" w:hAnsi="Verdana" w:cs="Arial"/>
          <w:b/>
          <w:sz w:val="16"/>
          <w:szCs w:val="16"/>
        </w:rPr>
        <w:t xml:space="preserve">Przy czym górny limit ogranicza kwotę należną m.st. Warszawie powodując dodatkowe obniżenie kwoty dla Miasta </w:t>
      </w:r>
      <w:r>
        <w:rPr>
          <w:rStyle w:val="markedcontent"/>
          <w:rFonts w:ascii="Verdana" w:hAnsi="Verdana" w:cs="Arial"/>
          <w:b/>
          <w:sz w:val="16"/>
          <w:szCs w:val="16"/>
        </w:rPr>
        <w:br/>
      </w:r>
      <w:r w:rsidRPr="00F51A5A">
        <w:rPr>
          <w:rStyle w:val="markedcontent"/>
          <w:rFonts w:ascii="Verdana" w:hAnsi="Verdana" w:cs="Arial"/>
          <w:b/>
          <w:sz w:val="16"/>
          <w:szCs w:val="16"/>
        </w:rPr>
        <w:t xml:space="preserve">w stosunku do utraty dochodów. </w:t>
      </w:r>
      <w:r w:rsidRPr="00C92718">
        <w:rPr>
          <w:rStyle w:val="markedcontent"/>
          <w:rFonts w:ascii="Verdana" w:hAnsi="Verdana" w:cs="Arial"/>
          <w:sz w:val="16"/>
          <w:szCs w:val="16"/>
        </w:rPr>
        <w:t xml:space="preserve">W konsekwencji od 2024 r. kwoty rekompensat dla </w:t>
      </w:r>
      <w:r>
        <w:rPr>
          <w:rStyle w:val="markedcontent"/>
          <w:rFonts w:ascii="Verdana" w:hAnsi="Verdana" w:cs="Arial"/>
          <w:sz w:val="16"/>
          <w:szCs w:val="16"/>
        </w:rPr>
        <w:t xml:space="preserve">m.st. </w:t>
      </w:r>
      <w:r w:rsidRPr="00C92718">
        <w:rPr>
          <w:rStyle w:val="markedcontent"/>
          <w:rFonts w:ascii="Verdana" w:hAnsi="Verdana" w:cs="Arial"/>
          <w:sz w:val="16"/>
          <w:szCs w:val="16"/>
        </w:rPr>
        <w:t>Warszawy będą</w:t>
      </w:r>
      <w:r>
        <w:rPr>
          <w:rStyle w:val="markedcontent"/>
          <w:rFonts w:ascii="Verdana" w:hAnsi="Verdana" w:cs="Arial"/>
          <w:sz w:val="16"/>
          <w:szCs w:val="16"/>
        </w:rPr>
        <w:t xml:space="preserve"> </w:t>
      </w:r>
      <w:r>
        <w:rPr>
          <w:rStyle w:val="markedcontent"/>
          <w:rFonts w:ascii="Verdana" w:hAnsi="Verdana" w:cs="Arial"/>
          <w:sz w:val="16"/>
          <w:szCs w:val="16"/>
        </w:rPr>
        <w:br/>
        <w:t>w jeszcze większym stopniu niż ma to miejsce w latach 2022-2023, odbiegały</w:t>
      </w:r>
      <w:r w:rsidRPr="00C92718">
        <w:rPr>
          <w:rStyle w:val="markedcontent"/>
          <w:rFonts w:ascii="Verdana" w:hAnsi="Verdana" w:cs="Arial"/>
          <w:sz w:val="16"/>
          <w:szCs w:val="16"/>
        </w:rPr>
        <w:t xml:space="preserve"> od strat w dochodach z PIT</w:t>
      </w:r>
      <w:r>
        <w:rPr>
          <w:rStyle w:val="markedcontent"/>
          <w:rFonts w:ascii="Verdana" w:hAnsi="Verdana" w:cs="Arial"/>
          <w:sz w:val="16"/>
          <w:szCs w:val="16"/>
        </w:rPr>
        <w:t xml:space="preserve"> Będzie to wynikało </w:t>
      </w:r>
      <w:r w:rsidRPr="00C92718">
        <w:rPr>
          <w:rStyle w:val="markedcontent"/>
          <w:rFonts w:ascii="Verdana" w:hAnsi="Verdana" w:cs="Arial"/>
          <w:sz w:val="16"/>
          <w:szCs w:val="16"/>
        </w:rPr>
        <w:t xml:space="preserve">z rozbieżności między udziałem </w:t>
      </w:r>
      <w:r>
        <w:rPr>
          <w:rStyle w:val="markedcontent"/>
          <w:rFonts w:ascii="Verdana" w:hAnsi="Verdana" w:cs="Arial"/>
          <w:sz w:val="16"/>
          <w:szCs w:val="16"/>
        </w:rPr>
        <w:t xml:space="preserve">m.st. </w:t>
      </w:r>
      <w:r w:rsidRPr="00C92718">
        <w:rPr>
          <w:rStyle w:val="markedcontent"/>
          <w:rFonts w:ascii="Verdana" w:hAnsi="Verdana" w:cs="Arial"/>
          <w:sz w:val="16"/>
          <w:szCs w:val="16"/>
        </w:rPr>
        <w:t xml:space="preserve">Warszawy w PIT wynoszącym 11,3%, a udziałem w liczbie ludności wynoszącym 4,7%, a po uwzględnieniu górnego limitu przy podziale rekompensaty udział </w:t>
      </w:r>
      <w:r>
        <w:rPr>
          <w:rStyle w:val="markedcontent"/>
          <w:rFonts w:ascii="Verdana" w:hAnsi="Verdana" w:cs="Arial"/>
          <w:sz w:val="16"/>
          <w:szCs w:val="16"/>
        </w:rPr>
        <w:br/>
        <w:t xml:space="preserve">m.st. </w:t>
      </w:r>
      <w:r w:rsidRPr="00C92718">
        <w:rPr>
          <w:rStyle w:val="markedcontent"/>
          <w:rFonts w:ascii="Verdana" w:hAnsi="Verdana" w:cs="Arial"/>
          <w:sz w:val="16"/>
          <w:szCs w:val="16"/>
        </w:rPr>
        <w:t>Warszawy w podziale rekompensaty spada do 2,3%.</w:t>
      </w:r>
      <w:r>
        <w:rPr>
          <w:rStyle w:val="markedcontent"/>
          <w:rFonts w:ascii="Verdana" w:hAnsi="Verdana" w:cs="Arial"/>
          <w:sz w:val="16"/>
          <w:szCs w:val="16"/>
        </w:rPr>
        <w:t xml:space="preserve"> </w:t>
      </w:r>
      <w:r w:rsidRPr="00F51A5A">
        <w:rPr>
          <w:rStyle w:val="markedcontent"/>
          <w:rFonts w:ascii="Verdana" w:hAnsi="Verdana" w:cs="Arial"/>
          <w:b/>
          <w:sz w:val="16"/>
          <w:szCs w:val="16"/>
        </w:rPr>
        <w:t>Obok niedostosowania struktury podziału kwot rekompensat do struktury trwałych ubytków dochodów z PIT, ze szkodą dla największych jednostek samorządu terytorialnego, a w szczególności dla m.st. Warszawy, na systemowe zaniżenie kwot rekompensat względem rzeczywistych ubytków dochodów z PIT wpływa ustalenie na niewłaściwym poziomie tzw. kwot referencyjnych dochodów samorządów, od których uzależnione są kwoty rekompensat.</w:t>
      </w:r>
      <w:r>
        <w:rPr>
          <w:rStyle w:val="markedcontent"/>
          <w:rFonts w:ascii="Verdana" w:hAnsi="Verdana" w:cs="Arial"/>
          <w:sz w:val="16"/>
          <w:szCs w:val="16"/>
        </w:rPr>
        <w:t xml:space="preserve"> Na problem ten </w:t>
      </w:r>
      <w:r w:rsidRPr="005D2666">
        <w:rPr>
          <w:rStyle w:val="markedcontent"/>
          <w:rFonts w:ascii="Verdana" w:hAnsi="Verdana" w:cs="Arial"/>
          <w:sz w:val="16"/>
          <w:szCs w:val="16"/>
        </w:rPr>
        <w:t xml:space="preserve">zwrócił uwagę </w:t>
      </w:r>
      <w:r>
        <w:rPr>
          <w:rStyle w:val="markedcontent"/>
          <w:rFonts w:ascii="Verdana" w:hAnsi="Verdana" w:cs="Arial"/>
          <w:sz w:val="16"/>
          <w:szCs w:val="16"/>
        </w:rPr>
        <w:t xml:space="preserve">także </w:t>
      </w:r>
      <w:r w:rsidRPr="005D2666">
        <w:rPr>
          <w:rStyle w:val="markedcontent"/>
          <w:rFonts w:ascii="Verdana" w:hAnsi="Verdana" w:cs="Arial"/>
          <w:sz w:val="16"/>
          <w:szCs w:val="16"/>
        </w:rPr>
        <w:t>N</w:t>
      </w:r>
      <w:r>
        <w:rPr>
          <w:rStyle w:val="markedcontent"/>
          <w:rFonts w:ascii="Verdana" w:hAnsi="Verdana" w:cs="Arial"/>
          <w:sz w:val="16"/>
          <w:szCs w:val="16"/>
        </w:rPr>
        <w:t xml:space="preserve">arodowy Bank Polski (NBP) w opinii z </w:t>
      </w:r>
      <w:r w:rsidRPr="005D2666">
        <w:rPr>
          <w:rStyle w:val="markedcontent"/>
          <w:rFonts w:ascii="Verdana" w:hAnsi="Verdana" w:cs="Arial"/>
          <w:sz w:val="16"/>
          <w:szCs w:val="16"/>
        </w:rPr>
        <w:t xml:space="preserve">21 września 2021 r. sporządzonej do rządowego projektu ustawy o wsparciu jednostek samorządu terytorialnego w związku </w:t>
      </w:r>
      <w:r>
        <w:rPr>
          <w:rStyle w:val="markedcontent"/>
          <w:rFonts w:ascii="Verdana" w:hAnsi="Verdana" w:cs="Arial"/>
          <w:sz w:val="16"/>
          <w:szCs w:val="16"/>
        </w:rPr>
        <w:br/>
      </w:r>
      <w:r w:rsidRPr="005D2666">
        <w:rPr>
          <w:rStyle w:val="markedcontent"/>
          <w:rFonts w:ascii="Verdana" w:hAnsi="Verdana" w:cs="Arial"/>
          <w:sz w:val="16"/>
          <w:szCs w:val="16"/>
        </w:rPr>
        <w:t xml:space="preserve">z Programem Polski Ład. Uwaga NBP nie została uwzględniona przez </w:t>
      </w:r>
      <w:r>
        <w:rPr>
          <w:rStyle w:val="markedcontent"/>
          <w:rFonts w:ascii="Verdana" w:hAnsi="Verdana" w:cs="Arial"/>
          <w:sz w:val="16"/>
          <w:szCs w:val="16"/>
        </w:rPr>
        <w:t>Ministerstwo Finansów</w:t>
      </w:r>
      <w:r w:rsidRPr="005D2666">
        <w:rPr>
          <w:rStyle w:val="markedcontent"/>
          <w:rFonts w:ascii="Verdana" w:hAnsi="Verdana" w:cs="Arial"/>
          <w:sz w:val="16"/>
          <w:szCs w:val="16"/>
        </w:rPr>
        <w:t xml:space="preserve"> w przedłożonej propozycji dotyczącej rozwiązań w zakresie kompensowania zmniejszenia dochodów z PIT.</w:t>
      </w:r>
      <w:r>
        <w:rPr>
          <w:rStyle w:val="markedcontent"/>
          <w:rFonts w:ascii="Verdana" w:hAnsi="Verdana" w:cs="Arial"/>
          <w:sz w:val="16"/>
          <w:szCs w:val="16"/>
        </w:rPr>
        <w:t xml:space="preserve"> W świetle stanowiska NBP wyrażonego w opinii z 21 września 2021 r. </w:t>
      </w:r>
      <w:r w:rsidRPr="005D2666">
        <w:rPr>
          <w:rStyle w:val="markedcontent"/>
          <w:rFonts w:ascii="Verdana" w:hAnsi="Verdana" w:cs="Arial"/>
          <w:sz w:val="16"/>
          <w:szCs w:val="16"/>
        </w:rPr>
        <w:t>kwota referencyjna na 2022 r. ustalona w ustawie o dochodach JST j</w:t>
      </w:r>
      <w:r>
        <w:rPr>
          <w:rStyle w:val="markedcontent"/>
          <w:rFonts w:ascii="Verdana" w:hAnsi="Verdana" w:cs="Arial"/>
          <w:sz w:val="16"/>
          <w:szCs w:val="16"/>
        </w:rPr>
        <w:t xml:space="preserve">est zaniżona o blisko 10 mld zł, co dla m.st. Warszawy oznacza ograniczenie kwoty rekompensaty </w:t>
      </w:r>
      <w:r>
        <w:rPr>
          <w:rStyle w:val="markedcontent"/>
          <w:rFonts w:ascii="Verdana" w:hAnsi="Verdana" w:cs="Arial"/>
          <w:sz w:val="16"/>
          <w:szCs w:val="16"/>
        </w:rPr>
        <w:br/>
        <w:t>o ok. 1,130 mld zł, przy założeniu podziału kwot rekompensat pomiędzy JST proporcjonalnego do utraty dochod</w:t>
      </w:r>
      <w:r w:rsidRPr="005D2666">
        <w:rPr>
          <w:rStyle w:val="markedcontent"/>
          <w:rFonts w:ascii="Verdana" w:hAnsi="Verdana" w:cs="Arial"/>
          <w:sz w:val="16"/>
          <w:szCs w:val="16"/>
        </w:rPr>
        <w:t>ó</w:t>
      </w:r>
      <w:r>
        <w:rPr>
          <w:rStyle w:val="markedcontent"/>
          <w:rFonts w:ascii="Verdana" w:hAnsi="Verdana" w:cs="Arial"/>
          <w:sz w:val="16"/>
          <w:szCs w:val="16"/>
        </w:rPr>
        <w:t xml:space="preserve">w z PIT. </w:t>
      </w:r>
    </w:p>
    <w:p w:rsidR="008A572A" w:rsidRDefault="008A572A" w:rsidP="008A572A">
      <w:pPr>
        <w:spacing w:before="60" w:after="60"/>
        <w:jc w:val="both"/>
        <w:rPr>
          <w:rFonts w:ascii="Verdana" w:hAnsi="Verdana"/>
          <w:sz w:val="16"/>
          <w:szCs w:val="16"/>
        </w:rPr>
      </w:pPr>
      <w:r>
        <w:rPr>
          <w:rStyle w:val="markedcontent"/>
          <w:rFonts w:ascii="Verdana" w:hAnsi="Verdana" w:cs="Arial"/>
          <w:b/>
          <w:sz w:val="16"/>
          <w:szCs w:val="16"/>
        </w:rPr>
        <w:lastRenderedPageBreak/>
        <w:t xml:space="preserve">Trwałe </w:t>
      </w:r>
      <w:r w:rsidRPr="00E3641D">
        <w:rPr>
          <w:rStyle w:val="markedcontent"/>
          <w:rFonts w:ascii="Verdana" w:hAnsi="Verdana" w:cs="Arial"/>
          <w:b/>
          <w:sz w:val="16"/>
          <w:szCs w:val="16"/>
        </w:rPr>
        <w:t>ograniczeni</w:t>
      </w:r>
      <w:r>
        <w:rPr>
          <w:rStyle w:val="markedcontent"/>
          <w:rFonts w:ascii="Verdana" w:hAnsi="Verdana" w:cs="Arial"/>
          <w:b/>
          <w:sz w:val="16"/>
          <w:szCs w:val="16"/>
        </w:rPr>
        <w:t>e</w:t>
      </w:r>
      <w:r w:rsidRPr="00E3641D">
        <w:rPr>
          <w:rStyle w:val="markedcontent"/>
          <w:rFonts w:ascii="Verdana" w:hAnsi="Verdana" w:cs="Arial"/>
          <w:b/>
          <w:sz w:val="16"/>
          <w:szCs w:val="16"/>
        </w:rPr>
        <w:t xml:space="preserve"> dochodów JST z PIT na skutek programu Polski Ład</w:t>
      </w:r>
      <w:r>
        <w:rPr>
          <w:rStyle w:val="markedcontent"/>
          <w:rFonts w:ascii="Verdana" w:hAnsi="Verdana" w:cs="Arial"/>
          <w:b/>
          <w:sz w:val="16"/>
          <w:szCs w:val="16"/>
        </w:rPr>
        <w:t xml:space="preserve">, przy jednoczesnym niedostosowaniu mechanizmu rekompensat do skali strat dochodów z PIT, znacząco obniża </w:t>
      </w:r>
      <w:r w:rsidRPr="00E3641D">
        <w:rPr>
          <w:rStyle w:val="markedcontent"/>
          <w:rFonts w:ascii="Verdana" w:hAnsi="Verdana" w:cs="Arial"/>
          <w:b/>
          <w:sz w:val="16"/>
          <w:szCs w:val="16"/>
        </w:rPr>
        <w:t xml:space="preserve">potencjał dochodowy </w:t>
      </w:r>
      <w:r>
        <w:rPr>
          <w:rStyle w:val="markedcontent"/>
          <w:rFonts w:ascii="Verdana" w:hAnsi="Verdana" w:cs="Arial"/>
          <w:b/>
          <w:sz w:val="16"/>
          <w:szCs w:val="16"/>
        </w:rPr>
        <w:t xml:space="preserve">m.st. </w:t>
      </w:r>
      <w:r w:rsidRPr="00E3641D">
        <w:rPr>
          <w:rStyle w:val="markedcontent"/>
          <w:rFonts w:ascii="Verdana" w:hAnsi="Verdana" w:cs="Arial"/>
          <w:b/>
          <w:sz w:val="16"/>
          <w:szCs w:val="16"/>
        </w:rPr>
        <w:t>Warszawy od 2022 r</w:t>
      </w:r>
      <w:r>
        <w:rPr>
          <w:rStyle w:val="markedcontent"/>
          <w:rFonts w:ascii="Verdana" w:hAnsi="Verdana" w:cs="Arial"/>
          <w:b/>
          <w:sz w:val="16"/>
          <w:szCs w:val="16"/>
        </w:rPr>
        <w:t>.</w:t>
      </w:r>
    </w:p>
    <w:p w:rsidR="008A572A" w:rsidRPr="00733DD7" w:rsidRDefault="008A572A" w:rsidP="008A572A">
      <w:pPr>
        <w:spacing w:before="60" w:after="60"/>
        <w:jc w:val="both"/>
        <w:rPr>
          <w:rFonts w:ascii="Verdana" w:hAnsi="Verdana"/>
          <w:sz w:val="16"/>
          <w:szCs w:val="16"/>
        </w:rPr>
      </w:pPr>
      <w:r>
        <w:rPr>
          <w:rFonts w:ascii="Verdana" w:hAnsi="Verdana"/>
          <w:b/>
          <w:sz w:val="16"/>
          <w:szCs w:val="16"/>
        </w:rPr>
        <w:t xml:space="preserve">Należy podkreślić, że </w:t>
      </w:r>
      <w:r w:rsidRPr="00F95AD2">
        <w:rPr>
          <w:rFonts w:ascii="Verdana" w:hAnsi="Verdana"/>
          <w:b/>
          <w:sz w:val="16"/>
          <w:szCs w:val="16"/>
        </w:rPr>
        <w:t>zmiana w systemie dochodów JST</w:t>
      </w:r>
      <w:r>
        <w:rPr>
          <w:rFonts w:ascii="Verdana" w:hAnsi="Verdana"/>
          <w:sz w:val="16"/>
          <w:szCs w:val="16"/>
        </w:rPr>
        <w:t xml:space="preserve"> </w:t>
      </w:r>
      <w:r>
        <w:rPr>
          <w:rFonts w:ascii="Verdana" w:hAnsi="Verdana"/>
          <w:b/>
          <w:sz w:val="16"/>
          <w:szCs w:val="16"/>
        </w:rPr>
        <w:t xml:space="preserve"> wprowadzona ustawą</w:t>
      </w:r>
      <w:r w:rsidRPr="00E2563C">
        <w:rPr>
          <w:rFonts w:ascii="Verdana" w:hAnsi="Verdana"/>
          <w:b/>
          <w:sz w:val="16"/>
          <w:szCs w:val="16"/>
        </w:rPr>
        <w:t xml:space="preserve"> z 15 września 2022 r.</w:t>
      </w:r>
      <w:r>
        <w:rPr>
          <w:rFonts w:ascii="Verdana" w:hAnsi="Verdana"/>
          <w:sz w:val="16"/>
          <w:szCs w:val="16"/>
        </w:rPr>
        <w:t xml:space="preserve"> </w:t>
      </w:r>
      <w:r w:rsidRPr="005E6EBB">
        <w:rPr>
          <w:rFonts w:ascii="Verdana" w:hAnsi="Verdana"/>
          <w:i/>
          <w:sz w:val="16"/>
          <w:szCs w:val="16"/>
        </w:rPr>
        <w:t>o zmianie ustawy o dochodach jednostek samorządu terytorialnego oraz niektórych innych ustaw</w:t>
      </w:r>
      <w:r>
        <w:rPr>
          <w:rFonts w:ascii="Verdana" w:hAnsi="Verdana"/>
          <w:sz w:val="16"/>
          <w:szCs w:val="16"/>
        </w:rPr>
        <w:t xml:space="preserve"> </w:t>
      </w:r>
      <w:r w:rsidRPr="00B23B19">
        <w:rPr>
          <w:rFonts w:ascii="Verdana" w:hAnsi="Verdana"/>
          <w:b/>
          <w:sz w:val="16"/>
          <w:szCs w:val="16"/>
        </w:rPr>
        <w:t>polegająca na przesunięciu na 2022 r. wypłaty należnej m.st. Warszawie w 2023 r</w:t>
      </w:r>
      <w:r>
        <w:rPr>
          <w:rFonts w:ascii="Verdana" w:hAnsi="Verdana"/>
          <w:sz w:val="16"/>
          <w:szCs w:val="16"/>
        </w:rPr>
        <w:t xml:space="preserve">. (i tak zaniżonej w stosunku do rzeczywistej straty dochodów z PIT) </w:t>
      </w:r>
      <w:r w:rsidRPr="00B23B19">
        <w:rPr>
          <w:rFonts w:ascii="Verdana" w:hAnsi="Verdana"/>
          <w:b/>
          <w:sz w:val="16"/>
          <w:szCs w:val="16"/>
        </w:rPr>
        <w:t xml:space="preserve">rekompensaty skutków Polskiego Ładu w kwocie </w:t>
      </w:r>
      <w:r w:rsidRPr="00A53993">
        <w:rPr>
          <w:rFonts w:ascii="Verdana" w:hAnsi="Verdana"/>
          <w:b/>
          <w:sz w:val="16"/>
          <w:szCs w:val="16"/>
        </w:rPr>
        <w:t>852 mln zł</w:t>
      </w:r>
      <w:r w:rsidRPr="00B23B19">
        <w:rPr>
          <w:rFonts w:ascii="Verdana" w:hAnsi="Verdana"/>
          <w:b/>
          <w:sz w:val="16"/>
          <w:szCs w:val="16"/>
        </w:rPr>
        <w:t xml:space="preserve">, </w:t>
      </w:r>
      <w:r>
        <w:rPr>
          <w:rFonts w:ascii="Verdana" w:hAnsi="Verdana"/>
          <w:sz w:val="16"/>
          <w:szCs w:val="16"/>
        </w:rPr>
        <w:t xml:space="preserve">nie stanowi dodatkowego zasilenia finansów Warszawy. Ten sam akt prawny jednocześnie zawiesza wypłatę subwencji rozwojowej samorządom w 2023 r. Ponadto przewidziany we wspomnianej ustawie sposób rozdysponowania rekompensaty pomiędzy jednostki samorządu terytorialnego wyeliminował m.st. Warszawę </w:t>
      </w:r>
      <w:r>
        <w:rPr>
          <w:rFonts w:ascii="Verdana" w:hAnsi="Verdana"/>
          <w:sz w:val="16"/>
          <w:szCs w:val="16"/>
        </w:rPr>
        <w:br/>
        <w:t>z podziału części środków.</w:t>
      </w:r>
    </w:p>
    <w:p w:rsidR="008A572A" w:rsidRDefault="008A572A" w:rsidP="008A572A">
      <w:pPr>
        <w:spacing w:before="60" w:after="60"/>
        <w:jc w:val="both"/>
        <w:rPr>
          <w:rFonts w:ascii="Verdana" w:hAnsi="Verdana"/>
          <w:sz w:val="16"/>
          <w:szCs w:val="16"/>
        </w:rPr>
      </w:pPr>
      <w:r>
        <w:rPr>
          <w:rFonts w:ascii="Verdana" w:hAnsi="Verdana"/>
          <w:sz w:val="16"/>
          <w:szCs w:val="16"/>
        </w:rPr>
        <w:t>Zgodnie z informacjami Ministerstwa Finansów (MF)</w:t>
      </w:r>
      <w:r w:rsidRPr="00C32A8A">
        <w:rPr>
          <w:rStyle w:val="Odwoanieprzypisudolnego"/>
          <w:rFonts w:ascii="Verdana" w:hAnsi="Verdana"/>
          <w:sz w:val="16"/>
          <w:szCs w:val="16"/>
        </w:rPr>
        <w:footnoteReference w:id="12"/>
      </w:r>
      <w:r w:rsidRPr="00BC5C38">
        <w:rPr>
          <w:rFonts w:ascii="Verdana" w:hAnsi="Verdana"/>
          <w:sz w:val="16"/>
          <w:szCs w:val="16"/>
        </w:rPr>
        <w:t xml:space="preserve"> przewiduje</w:t>
      </w:r>
      <w:r>
        <w:rPr>
          <w:rFonts w:ascii="Verdana" w:hAnsi="Verdana"/>
          <w:sz w:val="16"/>
          <w:szCs w:val="16"/>
        </w:rPr>
        <w:t xml:space="preserve"> się</w:t>
      </w:r>
      <w:r w:rsidRPr="00BC5C38">
        <w:rPr>
          <w:rFonts w:ascii="Verdana" w:hAnsi="Verdana"/>
          <w:sz w:val="16"/>
          <w:szCs w:val="16"/>
        </w:rPr>
        <w:t xml:space="preserve"> przekazanie </w:t>
      </w:r>
      <w:r>
        <w:rPr>
          <w:rFonts w:ascii="Verdana" w:hAnsi="Verdana"/>
          <w:sz w:val="16"/>
          <w:szCs w:val="16"/>
        </w:rPr>
        <w:t xml:space="preserve">m.st. Warszawie dochodów </w:t>
      </w:r>
      <w:r>
        <w:rPr>
          <w:rFonts w:ascii="Verdana" w:hAnsi="Verdana"/>
          <w:sz w:val="16"/>
          <w:szCs w:val="16"/>
        </w:rPr>
        <w:br/>
        <w:t>z PIT w kwocie 6 mld 084 mln zł w 2022 r. i 5 mld 799</w:t>
      </w:r>
      <w:r w:rsidRPr="00BC5C38">
        <w:rPr>
          <w:rFonts w:ascii="Verdana" w:hAnsi="Verdana"/>
          <w:sz w:val="16"/>
          <w:szCs w:val="16"/>
        </w:rPr>
        <w:t xml:space="preserve"> mln zł</w:t>
      </w:r>
      <w:r>
        <w:rPr>
          <w:rFonts w:ascii="Verdana" w:hAnsi="Verdana"/>
          <w:sz w:val="16"/>
          <w:szCs w:val="16"/>
        </w:rPr>
        <w:t xml:space="preserve"> w 2023 r.</w:t>
      </w:r>
      <w:r w:rsidRPr="00BC5C38">
        <w:rPr>
          <w:rFonts w:ascii="Verdana" w:hAnsi="Verdana"/>
          <w:sz w:val="16"/>
          <w:szCs w:val="16"/>
        </w:rPr>
        <w:t>, co wraz z rekompensatami w wysokości kolejno 468 mln zł</w:t>
      </w:r>
      <w:r>
        <w:rPr>
          <w:rFonts w:ascii="Verdana" w:hAnsi="Verdana"/>
          <w:sz w:val="16"/>
          <w:szCs w:val="16"/>
        </w:rPr>
        <w:t xml:space="preserve"> (kwota przekazana w 2021 r.)</w:t>
      </w:r>
      <w:r w:rsidRPr="00BC5C38">
        <w:rPr>
          <w:rFonts w:ascii="Verdana" w:hAnsi="Verdana"/>
          <w:sz w:val="16"/>
          <w:szCs w:val="16"/>
        </w:rPr>
        <w:t xml:space="preserve"> i 852 mln zł</w:t>
      </w:r>
      <w:r>
        <w:rPr>
          <w:rFonts w:ascii="Verdana" w:hAnsi="Verdana"/>
          <w:sz w:val="16"/>
          <w:szCs w:val="16"/>
        </w:rPr>
        <w:t xml:space="preserve"> (kwota ta zostanie przekazana w 2022 r.)</w:t>
      </w:r>
      <w:r w:rsidRPr="00BC5C38">
        <w:rPr>
          <w:rFonts w:ascii="Verdana" w:hAnsi="Verdana"/>
          <w:sz w:val="16"/>
          <w:szCs w:val="16"/>
        </w:rPr>
        <w:t xml:space="preserve">, oznacza kwoty niższe </w:t>
      </w:r>
      <w:r>
        <w:rPr>
          <w:rFonts w:ascii="Verdana" w:hAnsi="Verdana"/>
          <w:sz w:val="16"/>
          <w:szCs w:val="16"/>
        </w:rPr>
        <w:t xml:space="preserve">odpowiednio o 381 mln zł i 281 mln zł </w:t>
      </w:r>
      <w:r w:rsidRPr="00BC5C38">
        <w:rPr>
          <w:rFonts w:ascii="Verdana" w:hAnsi="Verdana"/>
          <w:sz w:val="16"/>
          <w:szCs w:val="16"/>
        </w:rPr>
        <w:t>niż dochody z PIT u</w:t>
      </w:r>
      <w:r>
        <w:rPr>
          <w:rFonts w:ascii="Verdana" w:hAnsi="Verdana"/>
          <w:sz w:val="16"/>
          <w:szCs w:val="16"/>
        </w:rPr>
        <w:t>zyskane przez m.st. Warszawę w 2021 r</w:t>
      </w:r>
      <w:r w:rsidRPr="00BC5C38">
        <w:rPr>
          <w:rFonts w:ascii="Verdana" w:hAnsi="Verdana"/>
          <w:sz w:val="16"/>
          <w:szCs w:val="16"/>
        </w:rPr>
        <w:t xml:space="preserve">. </w:t>
      </w:r>
      <w:r w:rsidRPr="00BC5C38">
        <w:rPr>
          <w:rFonts w:ascii="Verdana" w:hAnsi="Verdana"/>
          <w:b/>
          <w:sz w:val="16"/>
          <w:szCs w:val="16"/>
        </w:rPr>
        <w:t xml:space="preserve">Zatem </w:t>
      </w:r>
      <w:r>
        <w:rPr>
          <w:rFonts w:ascii="Verdana" w:hAnsi="Verdana"/>
          <w:b/>
          <w:sz w:val="16"/>
          <w:szCs w:val="16"/>
        </w:rPr>
        <w:t xml:space="preserve">funkcjonujący </w:t>
      </w:r>
      <w:r w:rsidRPr="00BC5C38">
        <w:rPr>
          <w:rFonts w:ascii="Verdana" w:hAnsi="Verdana"/>
          <w:b/>
          <w:sz w:val="16"/>
          <w:szCs w:val="16"/>
        </w:rPr>
        <w:t xml:space="preserve">system rekompensat nie zapewnia </w:t>
      </w:r>
      <w:r>
        <w:rPr>
          <w:rFonts w:ascii="Verdana" w:hAnsi="Verdana"/>
          <w:b/>
          <w:sz w:val="16"/>
          <w:szCs w:val="16"/>
        </w:rPr>
        <w:t xml:space="preserve">m.st. </w:t>
      </w:r>
      <w:r w:rsidRPr="00BC5C38">
        <w:rPr>
          <w:rFonts w:ascii="Verdana" w:hAnsi="Verdana"/>
          <w:b/>
          <w:sz w:val="16"/>
          <w:szCs w:val="16"/>
        </w:rPr>
        <w:t xml:space="preserve">Warszawie </w:t>
      </w:r>
      <w:r>
        <w:rPr>
          <w:rFonts w:ascii="Verdana" w:hAnsi="Verdana"/>
          <w:b/>
          <w:sz w:val="16"/>
          <w:szCs w:val="16"/>
        </w:rPr>
        <w:t xml:space="preserve">na lata </w:t>
      </w:r>
      <w:r w:rsidRPr="00BC5C38">
        <w:rPr>
          <w:rFonts w:ascii="Verdana" w:hAnsi="Verdana"/>
          <w:b/>
          <w:sz w:val="16"/>
          <w:szCs w:val="16"/>
        </w:rPr>
        <w:t>2022-2023 nawet bezwzględnego poziomu dochodów z PIT z 2021 r.</w:t>
      </w:r>
      <w:r>
        <w:rPr>
          <w:rFonts w:ascii="Verdana" w:hAnsi="Verdana"/>
          <w:b/>
          <w:sz w:val="16"/>
          <w:szCs w:val="16"/>
        </w:rPr>
        <w:t xml:space="preserve"> </w:t>
      </w:r>
      <w:r w:rsidRPr="00BC5C38">
        <w:rPr>
          <w:rFonts w:ascii="Verdana" w:hAnsi="Verdana"/>
          <w:b/>
          <w:sz w:val="16"/>
          <w:szCs w:val="16"/>
        </w:rPr>
        <w:t xml:space="preserve">przy </w:t>
      </w:r>
      <w:r>
        <w:rPr>
          <w:rFonts w:ascii="Verdana" w:hAnsi="Verdana"/>
          <w:b/>
          <w:sz w:val="16"/>
          <w:szCs w:val="16"/>
        </w:rPr>
        <w:t xml:space="preserve">średniorocznej </w:t>
      </w:r>
      <w:r w:rsidRPr="00BC5C38">
        <w:rPr>
          <w:rFonts w:ascii="Verdana" w:hAnsi="Verdana"/>
          <w:b/>
          <w:sz w:val="16"/>
          <w:szCs w:val="16"/>
        </w:rPr>
        <w:t xml:space="preserve">inflacji prognozowanej przez </w:t>
      </w:r>
      <w:r>
        <w:rPr>
          <w:rFonts w:ascii="Verdana" w:hAnsi="Verdana"/>
          <w:b/>
          <w:sz w:val="16"/>
          <w:szCs w:val="16"/>
        </w:rPr>
        <w:t>MF</w:t>
      </w:r>
      <w:r w:rsidRPr="00BC5C38">
        <w:rPr>
          <w:rFonts w:ascii="Verdana" w:hAnsi="Verdana"/>
          <w:b/>
          <w:sz w:val="16"/>
          <w:szCs w:val="16"/>
        </w:rPr>
        <w:t xml:space="preserve"> w projekcie ustawy budżetowej </w:t>
      </w:r>
      <w:r>
        <w:rPr>
          <w:rFonts w:ascii="Verdana" w:hAnsi="Verdana"/>
          <w:b/>
          <w:sz w:val="16"/>
          <w:szCs w:val="16"/>
        </w:rPr>
        <w:t xml:space="preserve">państwa </w:t>
      </w:r>
      <w:r w:rsidRPr="00BC5C38">
        <w:rPr>
          <w:rFonts w:ascii="Verdana" w:hAnsi="Verdana"/>
          <w:b/>
          <w:sz w:val="16"/>
          <w:szCs w:val="16"/>
        </w:rPr>
        <w:t>na 2023 r</w:t>
      </w:r>
      <w:r>
        <w:rPr>
          <w:rFonts w:ascii="Verdana" w:hAnsi="Verdana"/>
          <w:b/>
          <w:sz w:val="16"/>
          <w:szCs w:val="16"/>
        </w:rPr>
        <w:t>.</w:t>
      </w:r>
      <w:r w:rsidRPr="00BC5C38">
        <w:rPr>
          <w:rFonts w:ascii="Verdana" w:hAnsi="Verdana"/>
          <w:b/>
          <w:sz w:val="16"/>
          <w:szCs w:val="16"/>
        </w:rPr>
        <w:t xml:space="preserve"> na poziomie 13,5% w 2022 r. i 9,8% </w:t>
      </w:r>
      <w:r>
        <w:rPr>
          <w:rFonts w:ascii="Verdana" w:hAnsi="Verdana"/>
          <w:b/>
          <w:sz w:val="16"/>
          <w:szCs w:val="16"/>
        </w:rPr>
        <w:br/>
      </w:r>
      <w:r w:rsidRPr="00BC5C38">
        <w:rPr>
          <w:rFonts w:ascii="Verdana" w:hAnsi="Verdana"/>
          <w:b/>
          <w:sz w:val="16"/>
          <w:szCs w:val="16"/>
        </w:rPr>
        <w:t xml:space="preserve">w 2023 r. </w:t>
      </w:r>
      <w:r>
        <w:rPr>
          <w:rFonts w:ascii="Verdana" w:hAnsi="Verdana"/>
          <w:b/>
          <w:sz w:val="16"/>
          <w:szCs w:val="16"/>
        </w:rPr>
        <w:t>W</w:t>
      </w:r>
      <w:r w:rsidRPr="00BC5C38">
        <w:rPr>
          <w:rFonts w:ascii="Verdana" w:hAnsi="Verdana"/>
          <w:b/>
          <w:sz w:val="16"/>
          <w:szCs w:val="16"/>
        </w:rPr>
        <w:t xml:space="preserve"> świetle </w:t>
      </w:r>
      <w:r>
        <w:rPr>
          <w:rFonts w:ascii="Verdana" w:hAnsi="Verdana"/>
          <w:b/>
          <w:sz w:val="16"/>
          <w:szCs w:val="16"/>
        </w:rPr>
        <w:t>danych</w:t>
      </w:r>
      <w:r w:rsidRPr="00BC5C38">
        <w:rPr>
          <w:rFonts w:ascii="Verdana" w:hAnsi="Verdana"/>
          <w:b/>
          <w:sz w:val="16"/>
          <w:szCs w:val="16"/>
        </w:rPr>
        <w:t xml:space="preserve"> MF </w:t>
      </w:r>
      <w:r>
        <w:rPr>
          <w:rFonts w:ascii="Verdana" w:hAnsi="Verdana"/>
          <w:b/>
          <w:sz w:val="16"/>
          <w:szCs w:val="16"/>
        </w:rPr>
        <w:t xml:space="preserve">prognozowana </w:t>
      </w:r>
      <w:r w:rsidRPr="00BC5C38">
        <w:rPr>
          <w:rFonts w:ascii="Verdana" w:hAnsi="Verdana"/>
          <w:b/>
          <w:sz w:val="16"/>
          <w:szCs w:val="16"/>
        </w:rPr>
        <w:t>skumulowana inflacja w latach 2022-2023 ma wynieść 24,6%</w:t>
      </w:r>
      <w:r>
        <w:rPr>
          <w:rFonts w:ascii="Verdana" w:hAnsi="Verdana"/>
          <w:b/>
          <w:sz w:val="16"/>
          <w:szCs w:val="16"/>
        </w:rPr>
        <w:t>, natomiast dochody Warszawy z PIT powiększone o rekompensatę ulegają bezwzględnemu obniżeniu</w:t>
      </w:r>
      <w:r w:rsidRPr="00BC5C38">
        <w:rPr>
          <w:rFonts w:ascii="Verdana" w:hAnsi="Verdana"/>
          <w:b/>
          <w:sz w:val="16"/>
          <w:szCs w:val="16"/>
        </w:rPr>
        <w:t>.</w:t>
      </w:r>
    </w:p>
    <w:p w:rsidR="008A572A" w:rsidRPr="003D68D6" w:rsidRDefault="008A572A" w:rsidP="008A572A">
      <w:pPr>
        <w:spacing w:before="60" w:after="60"/>
        <w:rPr>
          <w:rFonts w:ascii="Verdana" w:hAnsi="Verdana" w:cs="Arial"/>
          <w:b/>
          <w:bCs/>
          <w:iCs/>
          <w:sz w:val="14"/>
          <w:szCs w:val="14"/>
        </w:rPr>
      </w:pPr>
      <w:r w:rsidRPr="00011AAA">
        <w:rPr>
          <w:rFonts w:ascii="Verdana" w:hAnsi="Verdana"/>
          <w:b/>
          <w:bCs/>
          <w:iCs/>
          <w:sz w:val="14"/>
          <w:szCs w:val="14"/>
        </w:rPr>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sidR="00DB2126">
        <w:rPr>
          <w:rFonts w:ascii="Verdana" w:hAnsi="Verdana"/>
          <w:b/>
          <w:bCs/>
          <w:iCs/>
          <w:noProof/>
          <w:sz w:val="14"/>
          <w:szCs w:val="14"/>
        </w:rPr>
        <w:t>4</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sidRPr="003D68D6">
        <w:rPr>
          <w:rFonts w:ascii="Verdana" w:hAnsi="Verdana" w:cs="Arial"/>
          <w:b/>
          <w:bCs/>
          <w:iCs/>
          <w:sz w:val="14"/>
          <w:szCs w:val="14"/>
        </w:rPr>
        <w:t xml:space="preserve">DOCHODY </w:t>
      </w:r>
      <w:r>
        <w:rPr>
          <w:rFonts w:ascii="Verdana" w:hAnsi="Verdana" w:cs="Arial"/>
          <w:b/>
          <w:bCs/>
          <w:iCs/>
          <w:sz w:val="14"/>
          <w:szCs w:val="14"/>
        </w:rPr>
        <w:t xml:space="preserve">M.ST. </w:t>
      </w:r>
      <w:r w:rsidRPr="003D68D6">
        <w:rPr>
          <w:rFonts w:ascii="Verdana" w:hAnsi="Verdana" w:cs="Arial"/>
          <w:b/>
          <w:bCs/>
          <w:iCs/>
          <w:sz w:val="14"/>
          <w:szCs w:val="14"/>
        </w:rPr>
        <w:t xml:space="preserve">WARSZAWY Z PIT W LATACH 2018-2023 POWIĘKSZONE W LATACH 2022-2023 </w:t>
      </w:r>
      <w:r>
        <w:rPr>
          <w:rFonts w:ascii="Verdana" w:hAnsi="Verdana" w:cs="Arial"/>
          <w:b/>
          <w:bCs/>
          <w:iCs/>
          <w:sz w:val="14"/>
          <w:szCs w:val="14"/>
        </w:rPr>
        <w:br/>
        <w:t xml:space="preserve">               </w:t>
      </w:r>
      <w:r w:rsidRPr="003D68D6">
        <w:rPr>
          <w:rFonts w:ascii="Verdana" w:hAnsi="Verdana" w:cs="Arial"/>
          <w:b/>
          <w:bCs/>
          <w:iCs/>
          <w:sz w:val="14"/>
          <w:szCs w:val="14"/>
        </w:rPr>
        <w:t>O REKOMPENS</w:t>
      </w:r>
      <w:r>
        <w:rPr>
          <w:rFonts w:ascii="Verdana" w:hAnsi="Verdana" w:cs="Arial"/>
          <w:b/>
          <w:bCs/>
          <w:iCs/>
          <w:sz w:val="14"/>
          <w:szCs w:val="14"/>
        </w:rPr>
        <w:t>ATĘ SKUTKÓW PROGRAMU POLSKI ŁAD</w:t>
      </w:r>
    </w:p>
    <w:p w:rsidR="008A572A" w:rsidRDefault="008A572A" w:rsidP="008A572A">
      <w:pPr>
        <w:spacing w:before="60" w:after="60"/>
        <w:jc w:val="both"/>
        <w:rPr>
          <w:rFonts w:ascii="Verdana" w:hAnsi="Verdana"/>
          <w:sz w:val="16"/>
          <w:szCs w:val="16"/>
        </w:rPr>
      </w:pPr>
      <w:r w:rsidRPr="00535F79">
        <w:rPr>
          <w:noProof/>
        </w:rPr>
        <w:drawing>
          <wp:inline distT="0" distB="0" distL="0" distR="0" wp14:anchorId="603969DF" wp14:editId="159F6F2C">
            <wp:extent cx="5020574" cy="2636465"/>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5562" cy="2649587"/>
                    </a:xfrm>
                    <a:prstGeom prst="rect">
                      <a:avLst/>
                    </a:prstGeom>
                  </pic:spPr>
                </pic:pic>
              </a:graphicData>
            </a:graphic>
          </wp:inline>
        </w:drawing>
      </w:r>
    </w:p>
    <w:p w:rsidR="008A572A" w:rsidRDefault="008A572A" w:rsidP="008A572A">
      <w:pPr>
        <w:spacing w:before="60" w:after="60"/>
        <w:jc w:val="both"/>
        <w:rPr>
          <w:rFonts w:ascii="Verdana" w:hAnsi="Verdana"/>
          <w:b/>
          <w:sz w:val="16"/>
          <w:szCs w:val="16"/>
        </w:rPr>
      </w:pPr>
      <w:r w:rsidRPr="000A3B60">
        <w:rPr>
          <w:rFonts w:ascii="Verdana" w:hAnsi="Verdana"/>
          <w:b/>
          <w:sz w:val="16"/>
          <w:szCs w:val="16"/>
        </w:rPr>
        <w:t>Zaplanowany przez Ministerstwo Finansów (MF) spadek dochodów Warszawy z PIT w</w:t>
      </w:r>
      <w:r>
        <w:rPr>
          <w:rFonts w:ascii="Verdana" w:hAnsi="Verdana"/>
          <w:b/>
          <w:sz w:val="16"/>
          <w:szCs w:val="16"/>
        </w:rPr>
        <w:t xml:space="preserve"> latach</w:t>
      </w:r>
      <w:r w:rsidRPr="000A3B60">
        <w:rPr>
          <w:rFonts w:ascii="Verdana" w:hAnsi="Verdana"/>
          <w:b/>
          <w:sz w:val="16"/>
          <w:szCs w:val="16"/>
        </w:rPr>
        <w:t xml:space="preserve"> 2022-2023 </w:t>
      </w:r>
      <w:r>
        <w:rPr>
          <w:rFonts w:ascii="Verdana" w:hAnsi="Verdana"/>
          <w:b/>
          <w:sz w:val="16"/>
          <w:szCs w:val="16"/>
        </w:rPr>
        <w:t>w porównaniu do</w:t>
      </w:r>
      <w:r w:rsidRPr="000A3B60">
        <w:rPr>
          <w:rFonts w:ascii="Verdana" w:hAnsi="Verdana"/>
          <w:b/>
          <w:sz w:val="16"/>
          <w:szCs w:val="16"/>
        </w:rPr>
        <w:t xml:space="preserve"> 2021 r. występujący już po uwzględnieniu rekompensat skutków programu Polski Ład, dowodzi </w:t>
      </w:r>
      <w:r>
        <w:rPr>
          <w:rFonts w:ascii="Verdana" w:hAnsi="Verdana"/>
          <w:b/>
          <w:sz w:val="16"/>
          <w:szCs w:val="16"/>
        </w:rPr>
        <w:t>wadliwości</w:t>
      </w:r>
      <w:r w:rsidRPr="000A3B60">
        <w:rPr>
          <w:rFonts w:ascii="Verdana" w:hAnsi="Verdana"/>
          <w:b/>
          <w:sz w:val="16"/>
          <w:szCs w:val="16"/>
        </w:rPr>
        <w:t xml:space="preserve"> funkcjonującego systemu </w:t>
      </w:r>
      <w:r>
        <w:rPr>
          <w:rFonts w:ascii="Verdana" w:hAnsi="Verdana"/>
          <w:b/>
          <w:sz w:val="16"/>
          <w:szCs w:val="16"/>
        </w:rPr>
        <w:t>rekompensat</w:t>
      </w:r>
      <w:r w:rsidRPr="000A3B60">
        <w:rPr>
          <w:rFonts w:ascii="Verdana" w:hAnsi="Verdana"/>
          <w:b/>
          <w:sz w:val="16"/>
          <w:szCs w:val="16"/>
        </w:rPr>
        <w:t xml:space="preserve"> ubytków dochodów samorządów z PIT będących skutkiem zmian legislacyjnych.</w:t>
      </w:r>
    </w:p>
    <w:p w:rsidR="008A572A" w:rsidRDefault="008A572A" w:rsidP="008A572A">
      <w:pPr>
        <w:spacing w:before="60" w:after="60"/>
        <w:jc w:val="both"/>
        <w:rPr>
          <w:rFonts w:ascii="Verdana" w:hAnsi="Verdana"/>
          <w:b/>
          <w:sz w:val="16"/>
          <w:szCs w:val="16"/>
        </w:rPr>
      </w:pPr>
      <w:r w:rsidRPr="006C256C">
        <w:rPr>
          <w:rFonts w:ascii="Verdana" w:hAnsi="Verdana"/>
          <w:sz w:val="16"/>
          <w:szCs w:val="16"/>
        </w:rPr>
        <w:lastRenderedPageBreak/>
        <w:t>Gdyby uwzględnić prognoz</w:t>
      </w:r>
      <w:r>
        <w:rPr>
          <w:rFonts w:ascii="Verdana" w:hAnsi="Verdana"/>
          <w:sz w:val="16"/>
          <w:szCs w:val="16"/>
        </w:rPr>
        <w:t>owany na lata 2022-2023 przez Ministerstwo Finansów</w:t>
      </w:r>
      <w:r w:rsidRPr="006C256C">
        <w:rPr>
          <w:rFonts w:ascii="Verdana" w:hAnsi="Verdana"/>
          <w:sz w:val="16"/>
          <w:szCs w:val="16"/>
        </w:rPr>
        <w:t xml:space="preserve"> </w:t>
      </w:r>
      <w:r>
        <w:rPr>
          <w:rFonts w:ascii="Verdana" w:hAnsi="Verdana"/>
          <w:sz w:val="16"/>
          <w:szCs w:val="16"/>
        </w:rPr>
        <w:t xml:space="preserve">w projekcie ustawy budżetowej państwa na 2023 r. </w:t>
      </w:r>
      <w:r w:rsidRPr="006C256C">
        <w:rPr>
          <w:rFonts w:ascii="Verdana" w:hAnsi="Verdana"/>
          <w:sz w:val="16"/>
          <w:szCs w:val="16"/>
        </w:rPr>
        <w:t xml:space="preserve">wzrost zatrudnienia i płac w gospodarce narodowej, dochody Warszawy z PIT </w:t>
      </w:r>
      <w:r>
        <w:rPr>
          <w:rFonts w:ascii="Verdana" w:hAnsi="Verdana"/>
          <w:sz w:val="16"/>
          <w:szCs w:val="16"/>
        </w:rPr>
        <w:br/>
      </w:r>
      <w:r w:rsidRPr="006C256C">
        <w:rPr>
          <w:rFonts w:ascii="Verdana" w:hAnsi="Verdana"/>
          <w:sz w:val="16"/>
          <w:szCs w:val="16"/>
        </w:rPr>
        <w:t xml:space="preserve">w warunkach sprzed Polskiego Ładu szacuje się na kwoty </w:t>
      </w:r>
      <w:r>
        <w:rPr>
          <w:rFonts w:ascii="Verdana" w:hAnsi="Verdana"/>
          <w:sz w:val="16"/>
          <w:szCs w:val="16"/>
        </w:rPr>
        <w:t>8</w:t>
      </w:r>
      <w:r w:rsidRPr="006C256C">
        <w:rPr>
          <w:rFonts w:ascii="Verdana" w:hAnsi="Verdana"/>
          <w:sz w:val="16"/>
          <w:szCs w:val="16"/>
        </w:rPr>
        <w:t xml:space="preserve"> mld </w:t>
      </w:r>
      <w:r>
        <w:rPr>
          <w:rFonts w:ascii="Verdana" w:hAnsi="Verdana"/>
          <w:sz w:val="16"/>
          <w:szCs w:val="16"/>
        </w:rPr>
        <w:t>016</w:t>
      </w:r>
      <w:r w:rsidRPr="006C256C">
        <w:rPr>
          <w:rFonts w:ascii="Verdana" w:hAnsi="Verdana"/>
          <w:sz w:val="16"/>
          <w:szCs w:val="16"/>
        </w:rPr>
        <w:t xml:space="preserve"> mln zł</w:t>
      </w:r>
      <w:r>
        <w:rPr>
          <w:rFonts w:ascii="Verdana" w:hAnsi="Verdana"/>
          <w:sz w:val="16"/>
          <w:szCs w:val="16"/>
        </w:rPr>
        <w:t xml:space="preserve"> w 2022 r.</w:t>
      </w:r>
      <w:r w:rsidRPr="00C32A8A">
        <w:rPr>
          <w:rStyle w:val="Odwoanieprzypisudolnego"/>
          <w:rFonts w:ascii="Verdana" w:hAnsi="Verdana"/>
          <w:sz w:val="16"/>
          <w:szCs w:val="16"/>
        </w:rPr>
        <w:footnoteReference w:id="13"/>
      </w:r>
      <w:r>
        <w:rPr>
          <w:rFonts w:ascii="Verdana" w:hAnsi="Verdana"/>
          <w:sz w:val="16"/>
          <w:szCs w:val="16"/>
        </w:rPr>
        <w:t xml:space="preserve"> i 8 mld 581</w:t>
      </w:r>
      <w:r w:rsidRPr="006C256C">
        <w:rPr>
          <w:rFonts w:ascii="Verdana" w:hAnsi="Verdana"/>
          <w:sz w:val="16"/>
          <w:szCs w:val="16"/>
        </w:rPr>
        <w:t xml:space="preserve"> mln zł</w:t>
      </w:r>
      <w:r>
        <w:rPr>
          <w:rFonts w:ascii="Verdana" w:hAnsi="Verdana"/>
          <w:sz w:val="16"/>
          <w:szCs w:val="16"/>
        </w:rPr>
        <w:t xml:space="preserve"> </w:t>
      </w:r>
      <w:r>
        <w:rPr>
          <w:rFonts w:ascii="Verdana" w:hAnsi="Verdana"/>
          <w:sz w:val="16"/>
          <w:szCs w:val="16"/>
        </w:rPr>
        <w:br/>
      </w:r>
      <w:r w:rsidRPr="006C256C">
        <w:rPr>
          <w:rFonts w:ascii="Verdana" w:hAnsi="Verdana"/>
          <w:sz w:val="16"/>
          <w:szCs w:val="16"/>
        </w:rPr>
        <w:t>w 2023 r.</w:t>
      </w:r>
      <w:r w:rsidRPr="00C32A8A">
        <w:rPr>
          <w:rStyle w:val="Odwoanieprzypisudolnego"/>
          <w:rFonts w:ascii="Verdana" w:hAnsi="Verdana"/>
          <w:sz w:val="16"/>
          <w:szCs w:val="16"/>
        </w:rPr>
        <w:footnoteReference w:id="14"/>
      </w:r>
      <w:r w:rsidRPr="006C256C">
        <w:rPr>
          <w:rFonts w:ascii="Verdana" w:hAnsi="Verdana"/>
          <w:sz w:val="16"/>
          <w:szCs w:val="16"/>
        </w:rPr>
        <w:t xml:space="preserve"> </w:t>
      </w:r>
      <w:r>
        <w:rPr>
          <w:rFonts w:ascii="Verdana" w:hAnsi="Verdana"/>
          <w:sz w:val="16"/>
          <w:szCs w:val="16"/>
        </w:rPr>
        <w:t xml:space="preserve">Są to kwoty wyższe odpowiednio o 1 mld 464 mln zł i 1 mld 930 mln zł od zaplanowanych przez MF do przekazania Warszawie w latach 2022-2023 dochodów z PIT powiększonych o rekompensaty skutków Programu Polski Ład. </w:t>
      </w:r>
      <w:r>
        <w:rPr>
          <w:rFonts w:ascii="Verdana" w:hAnsi="Verdana"/>
          <w:b/>
          <w:sz w:val="16"/>
          <w:szCs w:val="16"/>
        </w:rPr>
        <w:t>Głęboki poziom</w:t>
      </w:r>
      <w:r w:rsidRPr="00721ADB">
        <w:rPr>
          <w:rFonts w:ascii="Verdana" w:hAnsi="Verdana"/>
          <w:b/>
          <w:sz w:val="16"/>
          <w:szCs w:val="16"/>
        </w:rPr>
        <w:t xml:space="preserve"> niedoszacowania dla </w:t>
      </w:r>
      <w:r>
        <w:rPr>
          <w:rFonts w:ascii="Verdana" w:hAnsi="Verdana"/>
          <w:b/>
          <w:sz w:val="16"/>
          <w:szCs w:val="16"/>
        </w:rPr>
        <w:t xml:space="preserve">m.st. </w:t>
      </w:r>
      <w:r w:rsidRPr="00721ADB">
        <w:rPr>
          <w:rFonts w:ascii="Verdana" w:hAnsi="Verdana"/>
          <w:b/>
          <w:sz w:val="16"/>
          <w:szCs w:val="16"/>
        </w:rPr>
        <w:t xml:space="preserve">Warszawy rekompensaty </w:t>
      </w:r>
      <w:r>
        <w:rPr>
          <w:rFonts w:ascii="Verdana" w:hAnsi="Verdana"/>
          <w:b/>
          <w:sz w:val="16"/>
          <w:szCs w:val="16"/>
        </w:rPr>
        <w:t>skutków Polskiego Ładu wynoszący</w:t>
      </w:r>
      <w:r w:rsidRPr="00721ADB">
        <w:rPr>
          <w:rFonts w:ascii="Verdana" w:hAnsi="Verdana"/>
          <w:b/>
          <w:sz w:val="16"/>
          <w:szCs w:val="16"/>
        </w:rPr>
        <w:t xml:space="preserve"> 1 mld </w:t>
      </w:r>
      <w:r>
        <w:rPr>
          <w:rFonts w:ascii="Verdana" w:hAnsi="Verdana"/>
          <w:b/>
          <w:sz w:val="16"/>
          <w:szCs w:val="16"/>
        </w:rPr>
        <w:t>464</w:t>
      </w:r>
      <w:r w:rsidRPr="00721ADB">
        <w:rPr>
          <w:rFonts w:ascii="Verdana" w:hAnsi="Verdana"/>
          <w:b/>
          <w:sz w:val="16"/>
          <w:szCs w:val="16"/>
        </w:rPr>
        <w:t xml:space="preserve"> mln zł w 2022 r. i 1 mld 9</w:t>
      </w:r>
      <w:r>
        <w:rPr>
          <w:rFonts w:ascii="Verdana" w:hAnsi="Verdana"/>
          <w:b/>
          <w:sz w:val="16"/>
          <w:szCs w:val="16"/>
        </w:rPr>
        <w:t>30</w:t>
      </w:r>
      <w:r w:rsidRPr="00721ADB">
        <w:rPr>
          <w:rFonts w:ascii="Verdana" w:hAnsi="Verdana"/>
          <w:b/>
          <w:sz w:val="16"/>
          <w:szCs w:val="16"/>
        </w:rPr>
        <w:t xml:space="preserve"> mln zł w 2023 r. wskazuje na systemowe wady funkcjonującego mechanizmu kompensacji ubytków dochodów samorządów.</w:t>
      </w:r>
      <w:r>
        <w:rPr>
          <w:rFonts w:ascii="Verdana" w:hAnsi="Verdana"/>
          <w:b/>
          <w:sz w:val="16"/>
          <w:szCs w:val="16"/>
        </w:rPr>
        <w:t xml:space="preserve"> </w:t>
      </w:r>
    </w:p>
    <w:p w:rsidR="008A572A" w:rsidRDefault="008A572A" w:rsidP="008A572A">
      <w:pPr>
        <w:spacing w:before="120" w:after="60" w:line="240" w:lineRule="auto"/>
        <w:rPr>
          <w:rFonts w:ascii="Verdana" w:hAnsi="Verdana"/>
          <w:sz w:val="16"/>
          <w:szCs w:val="16"/>
        </w:rPr>
      </w:pPr>
      <w:r w:rsidRPr="00011AAA">
        <w:rPr>
          <w:rFonts w:ascii="Verdana" w:hAnsi="Verdana"/>
          <w:b/>
          <w:bCs/>
          <w:iCs/>
          <w:sz w:val="14"/>
          <w:szCs w:val="14"/>
        </w:rPr>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sidR="00DB2126">
        <w:rPr>
          <w:rFonts w:ascii="Verdana" w:hAnsi="Verdana"/>
          <w:b/>
          <w:bCs/>
          <w:iCs/>
          <w:noProof/>
          <w:sz w:val="14"/>
          <w:szCs w:val="14"/>
        </w:rPr>
        <w:t>5</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sidRPr="00CF6A9C">
        <w:rPr>
          <w:rFonts w:ascii="Verdana" w:hAnsi="Verdana" w:cs="Arial"/>
          <w:b/>
          <w:bCs/>
          <w:iCs/>
          <w:sz w:val="14"/>
          <w:szCs w:val="14"/>
        </w:rPr>
        <w:t xml:space="preserve">DOCHODY WARSZAWY Z PIT W LATACH 2022-2023 BEZ I Z UWZGLĘDNIENIEM SKUTKÓW PROGRAMU </w:t>
      </w:r>
      <w:r>
        <w:rPr>
          <w:rFonts w:ascii="Verdana" w:hAnsi="Verdana" w:cs="Arial"/>
          <w:b/>
          <w:bCs/>
          <w:iCs/>
          <w:sz w:val="14"/>
          <w:szCs w:val="14"/>
        </w:rPr>
        <w:br/>
        <w:t xml:space="preserve">                </w:t>
      </w:r>
      <w:r w:rsidRPr="00CF6A9C">
        <w:rPr>
          <w:rFonts w:ascii="Verdana" w:hAnsi="Verdana" w:cs="Arial"/>
          <w:b/>
          <w:bCs/>
          <w:iCs/>
          <w:sz w:val="14"/>
          <w:szCs w:val="14"/>
        </w:rPr>
        <w:t xml:space="preserve">POLSKI ŁAD ZE WSKAZANIEM KWOT NIEDOSZACOWANIA REKOMPENSAT SKUTKÓW PROGRAMU </w:t>
      </w:r>
      <w:r>
        <w:rPr>
          <w:rFonts w:ascii="Verdana" w:hAnsi="Verdana" w:cs="Arial"/>
          <w:b/>
          <w:bCs/>
          <w:iCs/>
          <w:sz w:val="14"/>
          <w:szCs w:val="14"/>
        </w:rPr>
        <w:br/>
        <w:t xml:space="preserve">                </w:t>
      </w:r>
      <w:r w:rsidRPr="00CF6A9C">
        <w:rPr>
          <w:rFonts w:ascii="Verdana" w:hAnsi="Verdana" w:cs="Arial"/>
          <w:b/>
          <w:bCs/>
          <w:iCs/>
          <w:sz w:val="14"/>
          <w:szCs w:val="14"/>
        </w:rPr>
        <w:t>POLSKI ŁAD</w:t>
      </w:r>
    </w:p>
    <w:p w:rsidR="008A572A" w:rsidRDefault="008A572A" w:rsidP="008A572A">
      <w:pPr>
        <w:spacing w:before="60" w:after="60"/>
        <w:jc w:val="both"/>
        <w:rPr>
          <w:rFonts w:ascii="Verdana" w:hAnsi="Verdana"/>
          <w:sz w:val="16"/>
          <w:szCs w:val="16"/>
        </w:rPr>
      </w:pPr>
      <w:r>
        <w:rPr>
          <w:noProof/>
        </w:rPr>
        <w:drawing>
          <wp:inline distT="0" distB="0" distL="0" distR="0" wp14:anchorId="2078B8B0" wp14:editId="5251F946">
            <wp:extent cx="5427785" cy="3645849"/>
            <wp:effectExtent l="0" t="0" r="190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38515" cy="3653057"/>
                    </a:xfrm>
                    <a:prstGeom prst="rect">
                      <a:avLst/>
                    </a:prstGeom>
                  </pic:spPr>
                </pic:pic>
              </a:graphicData>
            </a:graphic>
          </wp:inline>
        </w:drawing>
      </w:r>
    </w:p>
    <w:p w:rsidR="008A572A" w:rsidRDefault="008A572A" w:rsidP="008A572A">
      <w:pPr>
        <w:spacing w:before="60" w:after="60"/>
        <w:ind w:firstLine="567"/>
        <w:jc w:val="both"/>
        <w:rPr>
          <w:rStyle w:val="markedcontent"/>
          <w:rFonts w:ascii="Verdana" w:hAnsi="Verdana" w:cs="Arial"/>
          <w:b/>
          <w:sz w:val="16"/>
          <w:szCs w:val="16"/>
        </w:rPr>
      </w:pPr>
      <w:r>
        <w:rPr>
          <w:rFonts w:ascii="Verdana" w:hAnsi="Verdana"/>
          <w:b/>
          <w:sz w:val="16"/>
          <w:szCs w:val="16"/>
        </w:rPr>
        <w:t>Jednocześnie m.st. Warszawa będzie zobowiązana zaplanować i odprowadzić do budżetu państwa w 2023 r. wyższą o 126 mln zł w porównaniu do 2021 r. i wyższą o 116 mln zł w stosunku do 2022 r. wpłatę na tzw. Janosikowe. Obciążenie budżetu m.st. Warszawy w 2023 r. z tego tytułu wyniesie 1 mld 420 mln zł. Na skutek zmian przepisów dotyczących kalkulacji tzw. Janosikowego wpłata m.st. Warszawy została podwyższona o 100 mln zł w 2022 r. i 68 mln zł w 2023 r.</w:t>
      </w:r>
    </w:p>
    <w:p w:rsidR="008A572A" w:rsidRDefault="008A572A" w:rsidP="008A572A">
      <w:pPr>
        <w:spacing w:before="60" w:after="60"/>
        <w:ind w:firstLine="567"/>
        <w:jc w:val="both"/>
        <w:rPr>
          <w:rFonts w:ascii="Verdana" w:hAnsi="Verdana"/>
          <w:b/>
          <w:sz w:val="16"/>
          <w:szCs w:val="16"/>
        </w:rPr>
      </w:pPr>
      <w:r w:rsidRPr="00E3641D">
        <w:rPr>
          <w:rStyle w:val="markedcontent"/>
          <w:rFonts w:ascii="Verdana" w:hAnsi="Verdana" w:cs="Arial"/>
          <w:b/>
          <w:sz w:val="16"/>
          <w:szCs w:val="16"/>
        </w:rPr>
        <w:t xml:space="preserve">Skalę zawężenia możliwości budżetowych </w:t>
      </w:r>
      <w:r>
        <w:rPr>
          <w:rStyle w:val="markedcontent"/>
          <w:rFonts w:ascii="Verdana" w:hAnsi="Verdana" w:cs="Arial"/>
          <w:b/>
          <w:sz w:val="16"/>
          <w:szCs w:val="16"/>
        </w:rPr>
        <w:t xml:space="preserve">m.st. </w:t>
      </w:r>
      <w:r w:rsidRPr="00E3641D">
        <w:rPr>
          <w:rStyle w:val="markedcontent"/>
          <w:rFonts w:ascii="Verdana" w:hAnsi="Verdana" w:cs="Arial"/>
          <w:b/>
          <w:sz w:val="16"/>
          <w:szCs w:val="16"/>
        </w:rPr>
        <w:t>Warszawy na skutek zmian w podatku PIT wprowadzony</w:t>
      </w:r>
      <w:r>
        <w:rPr>
          <w:rStyle w:val="markedcontent"/>
          <w:rFonts w:ascii="Verdana" w:hAnsi="Verdana" w:cs="Arial"/>
          <w:b/>
          <w:sz w:val="16"/>
          <w:szCs w:val="16"/>
        </w:rPr>
        <w:t>ch w ramach programu Polski Ład</w:t>
      </w:r>
      <w:r w:rsidRPr="00E3641D">
        <w:rPr>
          <w:rStyle w:val="markedcontent"/>
          <w:rFonts w:ascii="Verdana" w:hAnsi="Verdana" w:cs="Arial"/>
          <w:b/>
          <w:sz w:val="16"/>
          <w:szCs w:val="16"/>
        </w:rPr>
        <w:t xml:space="preserve"> w obiektywny sposób obrazuje zestawienie dochodów </w:t>
      </w:r>
      <w:r>
        <w:rPr>
          <w:rStyle w:val="markedcontent"/>
          <w:rFonts w:ascii="Verdana" w:hAnsi="Verdana" w:cs="Arial"/>
          <w:b/>
          <w:sz w:val="16"/>
          <w:szCs w:val="16"/>
        </w:rPr>
        <w:t xml:space="preserve">m.st. </w:t>
      </w:r>
      <w:r w:rsidRPr="00E3641D">
        <w:rPr>
          <w:rStyle w:val="markedcontent"/>
          <w:rFonts w:ascii="Verdana" w:hAnsi="Verdana" w:cs="Arial"/>
          <w:b/>
          <w:sz w:val="16"/>
          <w:szCs w:val="16"/>
        </w:rPr>
        <w:t xml:space="preserve">Warszawy z udziału w PIT powiększonych o rekompensaty z Produktem Krajowym </w:t>
      </w:r>
      <w:r w:rsidRPr="00E3641D">
        <w:rPr>
          <w:rStyle w:val="markedcontent"/>
          <w:rFonts w:ascii="Verdana" w:hAnsi="Verdana" w:cs="Arial"/>
          <w:b/>
          <w:sz w:val="16"/>
          <w:szCs w:val="16"/>
        </w:rPr>
        <w:lastRenderedPageBreak/>
        <w:t xml:space="preserve">Brutto wytwarzanym na obszarze Warszawy (a więc także z uwzględnieniem tendencji inflacyjnych wyrażających się w wielkości nominalnego PKB). </w:t>
      </w:r>
      <w:r w:rsidRPr="003E5D76">
        <w:rPr>
          <w:rStyle w:val="markedcontent"/>
          <w:rFonts w:ascii="Verdana" w:hAnsi="Verdana" w:cs="Arial"/>
          <w:sz w:val="16"/>
          <w:szCs w:val="16"/>
        </w:rPr>
        <w:t xml:space="preserve">Relacja potencjału dochodowego </w:t>
      </w:r>
      <w:r>
        <w:rPr>
          <w:rStyle w:val="markedcontent"/>
          <w:rFonts w:ascii="Verdana" w:hAnsi="Verdana" w:cs="Arial"/>
          <w:sz w:val="16"/>
          <w:szCs w:val="16"/>
        </w:rPr>
        <w:t xml:space="preserve">m.st. </w:t>
      </w:r>
      <w:r w:rsidRPr="003E5D76">
        <w:rPr>
          <w:rStyle w:val="markedcontent"/>
          <w:rFonts w:ascii="Verdana" w:hAnsi="Verdana" w:cs="Arial"/>
          <w:sz w:val="16"/>
          <w:szCs w:val="16"/>
        </w:rPr>
        <w:t xml:space="preserve">Warszawy z PIT </w:t>
      </w:r>
      <w:r>
        <w:rPr>
          <w:rStyle w:val="markedcontent"/>
          <w:rFonts w:ascii="Verdana" w:hAnsi="Verdana" w:cs="Arial"/>
          <w:sz w:val="16"/>
          <w:szCs w:val="16"/>
        </w:rPr>
        <w:br/>
      </w:r>
      <w:r w:rsidRPr="003E5D76">
        <w:rPr>
          <w:rStyle w:val="markedcontent"/>
          <w:rFonts w:ascii="Verdana" w:hAnsi="Verdana" w:cs="Arial"/>
          <w:sz w:val="16"/>
          <w:szCs w:val="16"/>
        </w:rPr>
        <w:t xml:space="preserve">do wielkości gospodarki pozwala ocenić rozmiar ograniczenia możliwości realizacji zadań Miasta w konsekwencji rozwiązań programu Polski Ład. Przewidziane przez Ministerstwo Finansów dochody </w:t>
      </w:r>
      <w:r>
        <w:rPr>
          <w:rStyle w:val="markedcontent"/>
          <w:rFonts w:ascii="Verdana" w:hAnsi="Verdana" w:cs="Arial"/>
          <w:sz w:val="16"/>
          <w:szCs w:val="16"/>
        </w:rPr>
        <w:t xml:space="preserve">m.st. </w:t>
      </w:r>
      <w:r w:rsidRPr="003E5D76">
        <w:rPr>
          <w:rStyle w:val="markedcontent"/>
          <w:rFonts w:ascii="Verdana" w:hAnsi="Verdana" w:cs="Arial"/>
          <w:sz w:val="16"/>
          <w:szCs w:val="16"/>
        </w:rPr>
        <w:t xml:space="preserve">Warszawy z udziału </w:t>
      </w:r>
      <w:r>
        <w:rPr>
          <w:rStyle w:val="markedcontent"/>
          <w:rFonts w:ascii="Verdana" w:hAnsi="Verdana" w:cs="Arial"/>
          <w:sz w:val="16"/>
          <w:szCs w:val="16"/>
        </w:rPr>
        <w:br/>
      </w:r>
      <w:r w:rsidRPr="003E5D76">
        <w:rPr>
          <w:rStyle w:val="markedcontent"/>
          <w:rFonts w:ascii="Verdana" w:hAnsi="Verdana" w:cs="Arial"/>
          <w:sz w:val="16"/>
          <w:szCs w:val="16"/>
        </w:rPr>
        <w:t>w PIT w 2022 r. powiększone o rekompensatę jednorazową stanowią 1,</w:t>
      </w:r>
      <w:r>
        <w:rPr>
          <w:rStyle w:val="markedcontent"/>
          <w:rFonts w:ascii="Verdana" w:hAnsi="Verdana" w:cs="Arial"/>
          <w:sz w:val="16"/>
          <w:szCs w:val="16"/>
        </w:rPr>
        <w:t>57</w:t>
      </w:r>
      <w:r w:rsidRPr="003E5D76">
        <w:rPr>
          <w:rStyle w:val="markedcontent"/>
          <w:rFonts w:ascii="Verdana" w:hAnsi="Verdana" w:cs="Arial"/>
          <w:sz w:val="16"/>
          <w:szCs w:val="16"/>
        </w:rPr>
        <w:t xml:space="preserve">% wartości prognozowanego </w:t>
      </w:r>
      <w:r>
        <w:rPr>
          <w:rStyle w:val="markedcontent"/>
          <w:rFonts w:ascii="Verdana" w:hAnsi="Verdana" w:cs="Arial"/>
          <w:sz w:val="16"/>
          <w:szCs w:val="16"/>
        </w:rPr>
        <w:br/>
      </w:r>
      <w:r w:rsidRPr="003E5D76">
        <w:rPr>
          <w:rStyle w:val="markedcontent"/>
          <w:rFonts w:ascii="Verdana" w:hAnsi="Verdana" w:cs="Arial"/>
          <w:sz w:val="16"/>
          <w:szCs w:val="16"/>
        </w:rPr>
        <w:t xml:space="preserve">na 2022 r. PKB Warszawy. </w:t>
      </w:r>
      <w:r>
        <w:rPr>
          <w:rStyle w:val="markedcontent"/>
          <w:rFonts w:ascii="Verdana" w:hAnsi="Verdana" w:cs="Arial"/>
          <w:sz w:val="16"/>
          <w:szCs w:val="16"/>
        </w:rPr>
        <w:t xml:space="preserve">Na poniższym wykresie nr 6 widać wyraźny spadek </w:t>
      </w:r>
      <w:r w:rsidRPr="003E5D76">
        <w:rPr>
          <w:rStyle w:val="markedcontent"/>
          <w:rFonts w:ascii="Verdana" w:hAnsi="Verdana" w:cs="Arial"/>
          <w:sz w:val="16"/>
          <w:szCs w:val="16"/>
        </w:rPr>
        <w:t xml:space="preserve">tej relacji w 2022 r. </w:t>
      </w:r>
      <w:r>
        <w:rPr>
          <w:rStyle w:val="markedcontent"/>
          <w:rFonts w:ascii="Verdana" w:hAnsi="Verdana" w:cs="Arial"/>
          <w:sz w:val="16"/>
          <w:szCs w:val="16"/>
        </w:rPr>
        <w:t>w porównaniu z wcześniejszymi latami.</w:t>
      </w:r>
      <w:r w:rsidRPr="003E5D76">
        <w:rPr>
          <w:rStyle w:val="markedcontent"/>
          <w:rFonts w:ascii="Verdana" w:hAnsi="Verdana" w:cs="Arial"/>
          <w:sz w:val="16"/>
          <w:szCs w:val="16"/>
        </w:rPr>
        <w:t xml:space="preserve"> W latach 2008-2021 potencjał Warszawy do realizacji zadań ze środków pochodzących z dochodów z PIT, a więc ze źródła zapewniającego w zależności od roku od 40% do 50% dochodów własnych, wyrażony relacją tych dochodów do PKB Warszawy, wynosił średnio 1,86%. Program Polski Ład obniżył tak zdefiniowaną zdolność zadaniową Warszawy do poziomu 1,</w:t>
      </w:r>
      <w:r>
        <w:rPr>
          <w:rStyle w:val="markedcontent"/>
          <w:rFonts w:ascii="Verdana" w:hAnsi="Verdana" w:cs="Arial"/>
          <w:sz w:val="16"/>
          <w:szCs w:val="16"/>
        </w:rPr>
        <w:t>57</w:t>
      </w:r>
      <w:r w:rsidRPr="003E5D76">
        <w:rPr>
          <w:rStyle w:val="markedcontent"/>
          <w:rFonts w:ascii="Verdana" w:hAnsi="Verdana" w:cs="Arial"/>
          <w:sz w:val="16"/>
          <w:szCs w:val="16"/>
        </w:rPr>
        <w:t xml:space="preserve">% w 2022 roku, co oznacza obniżenie potencjału </w:t>
      </w:r>
      <w:r>
        <w:rPr>
          <w:rStyle w:val="markedcontent"/>
          <w:rFonts w:ascii="Verdana" w:hAnsi="Verdana" w:cs="Arial"/>
          <w:sz w:val="16"/>
          <w:szCs w:val="16"/>
        </w:rPr>
        <w:br/>
      </w:r>
      <w:r w:rsidRPr="003E5D76">
        <w:rPr>
          <w:rStyle w:val="markedcontent"/>
          <w:rFonts w:ascii="Verdana" w:hAnsi="Verdana" w:cs="Arial"/>
          <w:sz w:val="16"/>
          <w:szCs w:val="16"/>
        </w:rPr>
        <w:t>o 1</w:t>
      </w:r>
      <w:r>
        <w:rPr>
          <w:rStyle w:val="markedcontent"/>
          <w:rFonts w:ascii="Verdana" w:hAnsi="Verdana" w:cs="Arial"/>
          <w:sz w:val="16"/>
          <w:szCs w:val="16"/>
        </w:rPr>
        <w:t>6% (o 18</w:t>
      </w:r>
      <w:r w:rsidRPr="003E5D76">
        <w:rPr>
          <w:rStyle w:val="markedcontent"/>
          <w:rFonts w:ascii="Verdana" w:hAnsi="Verdana" w:cs="Arial"/>
          <w:sz w:val="16"/>
          <w:szCs w:val="16"/>
        </w:rPr>
        <w:t xml:space="preserve">% w stosunku do 2021 r.). Modyfikacja programu Polski Ład </w:t>
      </w:r>
      <w:r>
        <w:rPr>
          <w:rStyle w:val="markedcontent"/>
          <w:rFonts w:ascii="Verdana" w:hAnsi="Verdana" w:cs="Arial"/>
          <w:sz w:val="16"/>
          <w:szCs w:val="16"/>
        </w:rPr>
        <w:t>obowiązująca</w:t>
      </w:r>
      <w:r w:rsidRPr="003E5D76">
        <w:rPr>
          <w:rStyle w:val="markedcontent"/>
          <w:rFonts w:ascii="Verdana" w:hAnsi="Verdana" w:cs="Arial"/>
          <w:sz w:val="16"/>
          <w:szCs w:val="16"/>
        </w:rPr>
        <w:t xml:space="preserve"> od 1 lipca 2022 r. ze skutkami budżetowymi dla samorządów od 2023 r. powoduje kolejne istotne ograniczenie możliwości budżetowych </w:t>
      </w:r>
      <w:r>
        <w:rPr>
          <w:rStyle w:val="markedcontent"/>
          <w:rFonts w:ascii="Verdana" w:hAnsi="Verdana" w:cs="Arial"/>
          <w:sz w:val="16"/>
          <w:szCs w:val="16"/>
        </w:rPr>
        <w:t xml:space="preserve">m.st. </w:t>
      </w:r>
      <w:r w:rsidRPr="003E5D76">
        <w:rPr>
          <w:rStyle w:val="markedcontent"/>
          <w:rFonts w:ascii="Verdana" w:hAnsi="Verdana" w:cs="Arial"/>
          <w:sz w:val="16"/>
          <w:szCs w:val="16"/>
        </w:rPr>
        <w:t>Warszawy</w:t>
      </w:r>
      <w:r>
        <w:rPr>
          <w:rStyle w:val="markedcontent"/>
          <w:rFonts w:ascii="Verdana" w:hAnsi="Verdana" w:cs="Arial"/>
          <w:sz w:val="16"/>
          <w:szCs w:val="16"/>
        </w:rPr>
        <w:t xml:space="preserve"> mierzone relacją dochodów z PIT wraz z rekompensatami do PKB Warszawy spadającą do 1,45% w 2023 r.</w:t>
      </w:r>
      <w:r w:rsidRPr="003E5D76">
        <w:rPr>
          <w:rStyle w:val="markedcontent"/>
          <w:rFonts w:ascii="Verdana" w:hAnsi="Verdana" w:cs="Arial"/>
          <w:sz w:val="16"/>
          <w:szCs w:val="16"/>
        </w:rPr>
        <w:t xml:space="preserve">, pogłębiając dysonans między zapotrzebowaniem na usługi publiczne świadczone przez samorząd w celu wspierania rozwoju społeczno-gospodarczego a możliwościami sprostania przez </w:t>
      </w:r>
      <w:r>
        <w:rPr>
          <w:rStyle w:val="markedcontent"/>
          <w:rFonts w:ascii="Verdana" w:hAnsi="Verdana" w:cs="Arial"/>
          <w:sz w:val="16"/>
          <w:szCs w:val="16"/>
        </w:rPr>
        <w:br/>
        <w:t xml:space="preserve">m.st. </w:t>
      </w:r>
      <w:r w:rsidRPr="003E5D76">
        <w:rPr>
          <w:rStyle w:val="markedcontent"/>
          <w:rFonts w:ascii="Verdana" w:hAnsi="Verdana" w:cs="Arial"/>
          <w:sz w:val="16"/>
          <w:szCs w:val="16"/>
        </w:rPr>
        <w:t>Warszawę temu zapotrzebowaniu</w:t>
      </w:r>
      <w:r>
        <w:rPr>
          <w:rStyle w:val="markedcontent"/>
          <w:rFonts w:ascii="Verdana" w:hAnsi="Verdana" w:cs="Arial"/>
          <w:sz w:val="16"/>
          <w:szCs w:val="16"/>
        </w:rPr>
        <w:t>, w szczególności w dobie podwyższonej inflacji.</w:t>
      </w:r>
    </w:p>
    <w:p w:rsidR="008A572A" w:rsidRDefault="008A572A" w:rsidP="008A572A">
      <w:pPr>
        <w:spacing w:before="120" w:after="60" w:line="240" w:lineRule="auto"/>
        <w:rPr>
          <w:rFonts w:ascii="Verdana" w:hAnsi="Verdana"/>
          <w:sz w:val="16"/>
          <w:szCs w:val="16"/>
        </w:rPr>
      </w:pPr>
      <w:r w:rsidRPr="00011AAA">
        <w:rPr>
          <w:rFonts w:ascii="Verdana" w:hAnsi="Verdana"/>
          <w:b/>
          <w:bCs/>
          <w:iCs/>
          <w:sz w:val="14"/>
          <w:szCs w:val="14"/>
        </w:rPr>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sidR="00DB2126">
        <w:rPr>
          <w:rFonts w:ascii="Verdana" w:hAnsi="Verdana"/>
          <w:b/>
          <w:bCs/>
          <w:iCs/>
          <w:noProof/>
          <w:sz w:val="14"/>
          <w:szCs w:val="14"/>
        </w:rPr>
        <w:t>6</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 xml:space="preserve">DOCHODY Z PIT M.ST. WARSZAWY POWIĘKSZONE O REKOMPENSATĘ SKUTKÓW POLSKIEGO ŁADU </w:t>
      </w:r>
      <w:r>
        <w:rPr>
          <w:rFonts w:ascii="Verdana" w:hAnsi="Verdana" w:cs="Arial"/>
          <w:b/>
          <w:bCs/>
          <w:iCs/>
          <w:sz w:val="14"/>
          <w:szCs w:val="14"/>
        </w:rPr>
        <w:br/>
        <w:t xml:space="preserve">               ORAZ ICH RELACJA DO PRODUKTU KRAJOWEGO BRUTTO WARSZAWY W CENACH BIEŻĄCYCH </w:t>
      </w:r>
      <w:r>
        <w:rPr>
          <w:rFonts w:ascii="Verdana" w:hAnsi="Verdana" w:cs="Arial"/>
          <w:b/>
          <w:bCs/>
          <w:iCs/>
          <w:sz w:val="14"/>
          <w:szCs w:val="14"/>
        </w:rPr>
        <w:br/>
        <w:t xml:space="preserve">               W LATACH 2008-2023</w:t>
      </w:r>
    </w:p>
    <w:p w:rsidR="008A572A" w:rsidRDefault="008A572A" w:rsidP="008A572A">
      <w:pPr>
        <w:spacing w:before="60" w:after="60"/>
        <w:jc w:val="both"/>
        <w:rPr>
          <w:rFonts w:ascii="Verdana" w:hAnsi="Verdana"/>
          <w:b/>
          <w:sz w:val="16"/>
          <w:szCs w:val="16"/>
        </w:rPr>
      </w:pPr>
      <w:r w:rsidRPr="00FA6F3E">
        <w:rPr>
          <w:noProof/>
        </w:rPr>
        <w:drawing>
          <wp:inline distT="0" distB="0" distL="0" distR="0" wp14:anchorId="2DD4DB41" wp14:editId="59EC2ADF">
            <wp:extent cx="5760085" cy="2889181"/>
            <wp:effectExtent l="0" t="0" r="0" b="698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85" cy="2889181"/>
                    </a:xfrm>
                    <a:prstGeom prst="rect">
                      <a:avLst/>
                    </a:prstGeom>
                    <a:noFill/>
                    <a:ln>
                      <a:noFill/>
                    </a:ln>
                  </pic:spPr>
                </pic:pic>
              </a:graphicData>
            </a:graphic>
          </wp:inline>
        </w:drawing>
      </w:r>
    </w:p>
    <w:p w:rsidR="008A572A" w:rsidRDefault="008A572A" w:rsidP="008A572A">
      <w:pPr>
        <w:spacing w:before="60" w:after="60"/>
        <w:ind w:firstLine="567"/>
        <w:jc w:val="both"/>
        <w:rPr>
          <w:rFonts w:ascii="Verdana" w:hAnsi="Verdana"/>
          <w:sz w:val="16"/>
          <w:szCs w:val="16"/>
        </w:rPr>
      </w:pPr>
      <w:r w:rsidRPr="00072E65">
        <w:rPr>
          <w:rFonts w:ascii="Verdana" w:hAnsi="Verdana"/>
          <w:b/>
          <w:sz w:val="16"/>
          <w:szCs w:val="16"/>
        </w:rPr>
        <w:t>Podsumowując skutki finansowe programu Polski Ład dla m.st. Warszawy</w:t>
      </w:r>
      <w:r>
        <w:rPr>
          <w:rFonts w:ascii="Verdana" w:hAnsi="Verdana"/>
          <w:sz w:val="16"/>
          <w:szCs w:val="16"/>
        </w:rPr>
        <w:t xml:space="preserve">, biorąc pod uwagę szacunki Ministerstwa Finansów przedstawiane na etapie legislacji ustaw tworzących pakiet Programu oceniano, że dochody m.st. Warszawy w okresie 10 lat obejmującym lata 2022-2031 zostaną ograniczone </w:t>
      </w:r>
      <w:r>
        <w:rPr>
          <w:rFonts w:ascii="Verdana" w:hAnsi="Verdana"/>
          <w:sz w:val="16"/>
          <w:szCs w:val="16"/>
        </w:rPr>
        <w:br/>
        <w:t xml:space="preserve">o </w:t>
      </w:r>
      <w:r w:rsidRPr="005C6EE0">
        <w:rPr>
          <w:rFonts w:ascii="Verdana" w:hAnsi="Verdana"/>
          <w:b/>
          <w:sz w:val="16"/>
          <w:szCs w:val="16"/>
        </w:rPr>
        <w:t>18,</w:t>
      </w:r>
      <w:r>
        <w:rPr>
          <w:rFonts w:ascii="Verdana" w:hAnsi="Verdana"/>
          <w:b/>
          <w:sz w:val="16"/>
          <w:szCs w:val="16"/>
        </w:rPr>
        <w:t>797</w:t>
      </w:r>
      <w:r w:rsidRPr="005C6EE0">
        <w:rPr>
          <w:rFonts w:ascii="Verdana" w:hAnsi="Verdana"/>
          <w:b/>
          <w:sz w:val="16"/>
          <w:szCs w:val="16"/>
        </w:rPr>
        <w:t xml:space="preserve"> mld zł</w:t>
      </w:r>
      <w:r>
        <w:rPr>
          <w:rFonts w:ascii="Verdana" w:hAnsi="Verdana"/>
          <w:sz w:val="16"/>
          <w:szCs w:val="16"/>
        </w:rPr>
        <w:t xml:space="preserve">, tj. w skali odpowiadającej w przybliżeniu rocznym dochodom m.st. Warszawy, co przedstawia tabela nr 2. Na kwotę tą składa się ograniczenie dochodów z podatku dochodowego od osób fizycznych PIT </w:t>
      </w:r>
      <w:r>
        <w:rPr>
          <w:rFonts w:ascii="Verdana" w:hAnsi="Verdana"/>
          <w:sz w:val="16"/>
          <w:szCs w:val="16"/>
        </w:rPr>
        <w:br/>
        <w:t xml:space="preserve">w wysokości </w:t>
      </w:r>
      <w:r w:rsidRPr="00262534">
        <w:rPr>
          <w:rFonts w:ascii="Verdana" w:hAnsi="Verdana"/>
          <w:b/>
          <w:sz w:val="16"/>
          <w:szCs w:val="16"/>
        </w:rPr>
        <w:t>22,461 mld zł</w:t>
      </w:r>
      <w:r>
        <w:rPr>
          <w:rFonts w:ascii="Verdana" w:hAnsi="Verdana"/>
          <w:sz w:val="16"/>
          <w:szCs w:val="16"/>
        </w:rPr>
        <w:t xml:space="preserve"> powiększone o wyższą wpłatę na tzw. Janosikowe o </w:t>
      </w:r>
      <w:r w:rsidRPr="00262534">
        <w:rPr>
          <w:rFonts w:ascii="Verdana" w:hAnsi="Verdana"/>
          <w:b/>
          <w:sz w:val="16"/>
          <w:szCs w:val="16"/>
        </w:rPr>
        <w:t>168 mln zł</w:t>
      </w:r>
      <w:r>
        <w:rPr>
          <w:rFonts w:ascii="Verdana" w:hAnsi="Verdana"/>
          <w:sz w:val="16"/>
          <w:szCs w:val="16"/>
        </w:rPr>
        <w:t xml:space="preserve"> pomniejszone </w:t>
      </w:r>
      <w:r>
        <w:rPr>
          <w:rFonts w:ascii="Verdana" w:hAnsi="Verdana"/>
          <w:sz w:val="16"/>
          <w:szCs w:val="16"/>
        </w:rPr>
        <w:br/>
        <w:t xml:space="preserve">o dochody z subwencji jednorazowej w kwocie </w:t>
      </w:r>
      <w:r w:rsidRPr="00262534">
        <w:rPr>
          <w:rFonts w:ascii="Verdana" w:hAnsi="Verdana"/>
          <w:b/>
          <w:sz w:val="16"/>
          <w:szCs w:val="16"/>
        </w:rPr>
        <w:t>468 mln zł</w:t>
      </w:r>
      <w:r>
        <w:rPr>
          <w:rFonts w:ascii="Verdana" w:hAnsi="Verdana"/>
          <w:sz w:val="16"/>
          <w:szCs w:val="16"/>
        </w:rPr>
        <w:t xml:space="preserve"> oraz dochody z nowej subwencji rozwojowej </w:t>
      </w:r>
      <w:r>
        <w:rPr>
          <w:rFonts w:ascii="Verdana" w:hAnsi="Verdana"/>
          <w:sz w:val="16"/>
          <w:szCs w:val="16"/>
        </w:rPr>
        <w:br/>
        <w:t xml:space="preserve">w kwocie </w:t>
      </w:r>
      <w:r w:rsidRPr="00262534">
        <w:rPr>
          <w:rFonts w:ascii="Verdana" w:hAnsi="Verdana"/>
          <w:b/>
          <w:sz w:val="16"/>
          <w:szCs w:val="16"/>
        </w:rPr>
        <w:t>3,115 mld zł</w:t>
      </w:r>
      <w:r>
        <w:rPr>
          <w:rFonts w:ascii="Verdana" w:hAnsi="Verdana"/>
          <w:sz w:val="16"/>
          <w:szCs w:val="16"/>
        </w:rPr>
        <w:t xml:space="preserve"> i środki z Programu Inwestycji Strategicznych w kwocie </w:t>
      </w:r>
      <w:r w:rsidRPr="00262534">
        <w:rPr>
          <w:rFonts w:ascii="Verdana" w:hAnsi="Verdana"/>
          <w:b/>
          <w:sz w:val="16"/>
          <w:szCs w:val="16"/>
        </w:rPr>
        <w:t>249 mln zł</w:t>
      </w:r>
      <w:r>
        <w:rPr>
          <w:rFonts w:ascii="Verdana" w:hAnsi="Verdana"/>
          <w:sz w:val="16"/>
          <w:szCs w:val="16"/>
        </w:rPr>
        <w:t xml:space="preserve">. W ramach powyższych szacunków sporządzonych na etapie procedowania ustaw Polskiego Ładu, strata m.st. Warszawy </w:t>
      </w:r>
      <w:r>
        <w:rPr>
          <w:rFonts w:ascii="Verdana" w:hAnsi="Verdana"/>
          <w:sz w:val="16"/>
          <w:szCs w:val="16"/>
        </w:rPr>
        <w:br/>
        <w:t xml:space="preserve">w dochodach z PIT w latach 2022-2023 miała wynieść </w:t>
      </w:r>
      <w:r w:rsidRPr="000F08EE">
        <w:rPr>
          <w:rFonts w:ascii="Verdana" w:hAnsi="Verdana"/>
          <w:b/>
          <w:sz w:val="16"/>
          <w:szCs w:val="16"/>
        </w:rPr>
        <w:t>1,416 mld zł</w:t>
      </w:r>
      <w:r>
        <w:rPr>
          <w:rFonts w:ascii="Verdana" w:hAnsi="Verdana"/>
          <w:sz w:val="16"/>
          <w:szCs w:val="16"/>
        </w:rPr>
        <w:t xml:space="preserve"> w 2022 r. i </w:t>
      </w:r>
      <w:r w:rsidRPr="000F08EE">
        <w:rPr>
          <w:rFonts w:ascii="Verdana" w:hAnsi="Verdana"/>
          <w:b/>
          <w:sz w:val="16"/>
          <w:szCs w:val="16"/>
        </w:rPr>
        <w:t>2,637 mld zł</w:t>
      </w:r>
      <w:r>
        <w:rPr>
          <w:rFonts w:ascii="Verdana" w:hAnsi="Verdana"/>
          <w:sz w:val="16"/>
          <w:szCs w:val="16"/>
        </w:rPr>
        <w:t xml:space="preserve"> w 2023 r. Aktualnie na podstawie bieżących prognoz makroekonomicznych Ministerstwa Finansów w zakresie wzrostu płac </w:t>
      </w:r>
      <w:r>
        <w:rPr>
          <w:rFonts w:ascii="Verdana" w:hAnsi="Verdana"/>
          <w:sz w:val="16"/>
          <w:szCs w:val="16"/>
        </w:rPr>
        <w:br/>
        <w:t xml:space="preserve">i zatrudnienia ocenia się, iż ubytek dochodów m.st. Warszawy z PIT w konsekwencji rozwiązań Polskiego Ładu wyniesie w latach 2022-2023 kolejno </w:t>
      </w:r>
      <w:r w:rsidRPr="000F08EE">
        <w:rPr>
          <w:rFonts w:ascii="Verdana" w:hAnsi="Verdana"/>
          <w:b/>
          <w:sz w:val="16"/>
          <w:szCs w:val="16"/>
        </w:rPr>
        <w:t>1,</w:t>
      </w:r>
      <w:r>
        <w:rPr>
          <w:rFonts w:ascii="Verdana" w:hAnsi="Verdana"/>
          <w:b/>
          <w:sz w:val="16"/>
          <w:szCs w:val="16"/>
        </w:rPr>
        <w:t>932</w:t>
      </w:r>
      <w:r w:rsidRPr="000F08EE">
        <w:rPr>
          <w:rFonts w:ascii="Verdana" w:hAnsi="Verdana"/>
          <w:b/>
          <w:sz w:val="16"/>
          <w:szCs w:val="16"/>
        </w:rPr>
        <w:t xml:space="preserve"> mld zł</w:t>
      </w:r>
      <w:r>
        <w:rPr>
          <w:rFonts w:ascii="Verdana" w:hAnsi="Verdana"/>
          <w:sz w:val="16"/>
          <w:szCs w:val="16"/>
        </w:rPr>
        <w:t xml:space="preserve"> i </w:t>
      </w:r>
      <w:r w:rsidRPr="000F08EE">
        <w:rPr>
          <w:rFonts w:ascii="Verdana" w:hAnsi="Verdana"/>
          <w:b/>
          <w:sz w:val="16"/>
          <w:szCs w:val="16"/>
        </w:rPr>
        <w:t>2,7</w:t>
      </w:r>
      <w:r>
        <w:rPr>
          <w:rFonts w:ascii="Verdana" w:hAnsi="Verdana"/>
          <w:b/>
          <w:sz w:val="16"/>
          <w:szCs w:val="16"/>
        </w:rPr>
        <w:t>82</w:t>
      </w:r>
      <w:r w:rsidRPr="000F08EE">
        <w:rPr>
          <w:rFonts w:ascii="Verdana" w:hAnsi="Verdana"/>
          <w:b/>
          <w:sz w:val="16"/>
          <w:szCs w:val="16"/>
        </w:rPr>
        <w:t xml:space="preserve"> mld zł</w:t>
      </w:r>
      <w:r>
        <w:rPr>
          <w:rFonts w:ascii="Verdana" w:hAnsi="Verdana"/>
          <w:sz w:val="16"/>
          <w:szCs w:val="16"/>
        </w:rPr>
        <w:t xml:space="preserve">, co zaprezentowano na zamieszczonym na </w:t>
      </w:r>
      <w:r>
        <w:rPr>
          <w:rFonts w:ascii="Verdana" w:hAnsi="Verdana"/>
          <w:sz w:val="16"/>
          <w:szCs w:val="16"/>
        </w:rPr>
        <w:lastRenderedPageBreak/>
        <w:t xml:space="preserve">poprzedniej stronie wykresie nr 5. Zatem zaktualizowane o bieżące prognozy makroekonomiczne, w tym podwyższoną inflację przekładającą się na wzrost płac i informację o zaplanowanych przez Ministerstwo Finansów dochodach z PIT m.st. Warszawy, szacunki dotyczące skutków programu Polski Ład dla m.st. Warszawy przynoszą wyższy ubytek w dochodach z PIT o </w:t>
      </w:r>
      <w:r>
        <w:rPr>
          <w:rFonts w:ascii="Verdana" w:hAnsi="Verdana"/>
          <w:b/>
          <w:sz w:val="16"/>
          <w:szCs w:val="16"/>
        </w:rPr>
        <w:t>516</w:t>
      </w:r>
      <w:r w:rsidRPr="005E6837">
        <w:rPr>
          <w:rFonts w:ascii="Verdana" w:hAnsi="Verdana"/>
          <w:b/>
          <w:sz w:val="16"/>
          <w:szCs w:val="16"/>
        </w:rPr>
        <w:t xml:space="preserve"> mln zł</w:t>
      </w:r>
      <w:r>
        <w:rPr>
          <w:rFonts w:ascii="Verdana" w:hAnsi="Verdana"/>
          <w:sz w:val="16"/>
          <w:szCs w:val="16"/>
        </w:rPr>
        <w:t xml:space="preserve"> w 2022 r. (1,932 mld zł zamiast 1,416 mld zł) i o </w:t>
      </w:r>
      <w:r w:rsidRPr="005E6837">
        <w:rPr>
          <w:rFonts w:ascii="Verdana" w:hAnsi="Verdana"/>
          <w:b/>
          <w:sz w:val="16"/>
          <w:szCs w:val="16"/>
        </w:rPr>
        <w:t>1</w:t>
      </w:r>
      <w:r>
        <w:rPr>
          <w:rFonts w:ascii="Verdana" w:hAnsi="Verdana"/>
          <w:b/>
          <w:sz w:val="16"/>
          <w:szCs w:val="16"/>
        </w:rPr>
        <w:t>45</w:t>
      </w:r>
      <w:r w:rsidRPr="005E6837">
        <w:rPr>
          <w:rFonts w:ascii="Verdana" w:hAnsi="Verdana"/>
          <w:b/>
          <w:sz w:val="16"/>
          <w:szCs w:val="16"/>
        </w:rPr>
        <w:t xml:space="preserve"> mln zł</w:t>
      </w:r>
      <w:r>
        <w:rPr>
          <w:rFonts w:ascii="Verdana" w:hAnsi="Verdana"/>
          <w:sz w:val="16"/>
          <w:szCs w:val="16"/>
        </w:rPr>
        <w:t xml:space="preserve"> </w:t>
      </w:r>
      <w:r>
        <w:rPr>
          <w:rFonts w:ascii="Verdana" w:hAnsi="Verdana"/>
          <w:sz w:val="16"/>
          <w:szCs w:val="16"/>
        </w:rPr>
        <w:br/>
        <w:t xml:space="preserve">w 2023 r. (2,782 mld zł zamiast 2,637 mld zł). W zakresie rekompensat zmiana dotyczy 2023 r. Na podstawie Ocen Skutków Regulacji ustaw Polskiego Ładu szacowano jej wysokość dla m.st. Warszawy w 2023 r. na kwotę </w:t>
      </w:r>
      <w:r w:rsidRPr="00562396">
        <w:rPr>
          <w:rFonts w:ascii="Verdana" w:hAnsi="Verdana"/>
          <w:b/>
          <w:sz w:val="16"/>
          <w:szCs w:val="16"/>
        </w:rPr>
        <w:t>1,168 mld zł</w:t>
      </w:r>
      <w:r>
        <w:rPr>
          <w:rFonts w:ascii="Verdana" w:hAnsi="Verdana"/>
          <w:sz w:val="16"/>
          <w:szCs w:val="16"/>
        </w:rPr>
        <w:t xml:space="preserve">. Ostatecznie m.st. Warszawa otrzyma rekompensatę w wysokości </w:t>
      </w:r>
      <w:r w:rsidRPr="00862C76">
        <w:rPr>
          <w:rFonts w:ascii="Verdana" w:hAnsi="Verdana"/>
          <w:b/>
          <w:sz w:val="16"/>
          <w:szCs w:val="16"/>
        </w:rPr>
        <w:t>852 mln zł</w:t>
      </w:r>
      <w:r>
        <w:rPr>
          <w:rFonts w:ascii="Verdana" w:hAnsi="Verdana"/>
          <w:sz w:val="16"/>
          <w:szCs w:val="16"/>
        </w:rPr>
        <w:t xml:space="preserve"> (zostanie przekazana w 2022 r.), a więc niższą o </w:t>
      </w:r>
      <w:r w:rsidRPr="00862C76">
        <w:rPr>
          <w:rFonts w:ascii="Verdana" w:hAnsi="Verdana"/>
          <w:b/>
          <w:sz w:val="16"/>
          <w:szCs w:val="16"/>
        </w:rPr>
        <w:t>316 mln zł</w:t>
      </w:r>
      <w:r>
        <w:rPr>
          <w:rFonts w:ascii="Verdana" w:hAnsi="Verdana"/>
          <w:sz w:val="16"/>
          <w:szCs w:val="16"/>
        </w:rPr>
        <w:t xml:space="preserve">. Konfrontacja aktualnych szacunków dotyczących skutków Polskiego Ładu dla dochodów m.st. Warszawy z PIT z uwzględnieniem rekompensat z wyliczeniami prezentowanymi na etapie procedowania ustaw, przynosi zatem wyższe negatywne skutki finansowe dla m.st. Warszawy. W odniesieniu do 2022 r. ubytek dochodów m.st. Warszawy z PIT miał wynieść </w:t>
      </w:r>
      <w:r w:rsidRPr="008853B9">
        <w:rPr>
          <w:rFonts w:ascii="Verdana" w:hAnsi="Verdana"/>
          <w:b/>
          <w:sz w:val="16"/>
          <w:szCs w:val="16"/>
        </w:rPr>
        <w:t>1,416 mld zł</w:t>
      </w:r>
      <w:r>
        <w:rPr>
          <w:rFonts w:ascii="Verdana" w:hAnsi="Verdana"/>
          <w:sz w:val="16"/>
          <w:szCs w:val="16"/>
        </w:rPr>
        <w:t xml:space="preserve">, co po pomniejszeniu o kwotę rekompensaty w wysokości </w:t>
      </w:r>
      <w:r w:rsidRPr="00201377">
        <w:rPr>
          <w:rFonts w:ascii="Verdana" w:hAnsi="Verdana"/>
          <w:b/>
          <w:sz w:val="16"/>
          <w:szCs w:val="16"/>
        </w:rPr>
        <w:t>468 mln zł</w:t>
      </w:r>
      <w:r>
        <w:rPr>
          <w:rFonts w:ascii="Verdana" w:hAnsi="Verdana"/>
          <w:sz w:val="16"/>
          <w:szCs w:val="16"/>
        </w:rPr>
        <w:t xml:space="preserve">, daje ubytek netto w kwocie </w:t>
      </w:r>
      <w:r w:rsidRPr="008853B9">
        <w:rPr>
          <w:rFonts w:ascii="Verdana" w:hAnsi="Verdana"/>
          <w:b/>
          <w:sz w:val="16"/>
          <w:szCs w:val="16"/>
        </w:rPr>
        <w:t>948 mln zł</w:t>
      </w:r>
      <w:r>
        <w:rPr>
          <w:rFonts w:ascii="Verdana" w:hAnsi="Verdana"/>
          <w:sz w:val="16"/>
          <w:szCs w:val="16"/>
        </w:rPr>
        <w:t xml:space="preserve">, natomiast bieżące szacunki mówią o stracie w PIT rzędu </w:t>
      </w:r>
      <w:r w:rsidRPr="00201377">
        <w:rPr>
          <w:rFonts w:ascii="Verdana" w:hAnsi="Verdana"/>
          <w:b/>
          <w:sz w:val="16"/>
          <w:szCs w:val="16"/>
        </w:rPr>
        <w:t>1,</w:t>
      </w:r>
      <w:r>
        <w:rPr>
          <w:rFonts w:ascii="Verdana" w:hAnsi="Verdana"/>
          <w:b/>
          <w:sz w:val="16"/>
          <w:szCs w:val="16"/>
        </w:rPr>
        <w:t>932</w:t>
      </w:r>
      <w:r w:rsidRPr="00201377">
        <w:rPr>
          <w:rFonts w:ascii="Verdana" w:hAnsi="Verdana"/>
          <w:b/>
          <w:sz w:val="16"/>
          <w:szCs w:val="16"/>
        </w:rPr>
        <w:t xml:space="preserve"> mld zł</w:t>
      </w:r>
      <w:r>
        <w:rPr>
          <w:rFonts w:ascii="Verdana" w:hAnsi="Verdana"/>
          <w:sz w:val="16"/>
          <w:szCs w:val="16"/>
        </w:rPr>
        <w:t xml:space="preserve">, co po uwzględnieniu rekompensaty w wysokości </w:t>
      </w:r>
      <w:r w:rsidRPr="00201377">
        <w:rPr>
          <w:rFonts w:ascii="Verdana" w:hAnsi="Verdana"/>
          <w:b/>
          <w:sz w:val="16"/>
          <w:szCs w:val="16"/>
        </w:rPr>
        <w:t>468 mln zł</w:t>
      </w:r>
      <w:r>
        <w:rPr>
          <w:rFonts w:ascii="Verdana" w:hAnsi="Verdana"/>
          <w:sz w:val="16"/>
          <w:szCs w:val="16"/>
        </w:rPr>
        <w:t xml:space="preserve">, oznacza ubytek netto w kwocie </w:t>
      </w:r>
      <w:r>
        <w:rPr>
          <w:rFonts w:ascii="Verdana" w:hAnsi="Verdana"/>
          <w:b/>
          <w:sz w:val="16"/>
          <w:szCs w:val="16"/>
        </w:rPr>
        <w:t>1,464</w:t>
      </w:r>
      <w:r w:rsidRPr="00201377">
        <w:rPr>
          <w:rFonts w:ascii="Verdana" w:hAnsi="Verdana"/>
          <w:b/>
          <w:sz w:val="16"/>
          <w:szCs w:val="16"/>
        </w:rPr>
        <w:t xml:space="preserve"> mld zł</w:t>
      </w:r>
      <w:r>
        <w:rPr>
          <w:rFonts w:ascii="Verdana" w:hAnsi="Verdana"/>
          <w:sz w:val="16"/>
          <w:szCs w:val="16"/>
        </w:rPr>
        <w:t xml:space="preserve">, a więc aktualizacja skutków Polskiego Ładu dla 2022 r. przynosi wyższy </w:t>
      </w:r>
      <w:r>
        <w:rPr>
          <w:rFonts w:ascii="Verdana" w:hAnsi="Verdana"/>
          <w:sz w:val="16"/>
          <w:szCs w:val="16"/>
        </w:rPr>
        <w:br/>
        <w:t xml:space="preserve">o </w:t>
      </w:r>
      <w:r>
        <w:rPr>
          <w:rFonts w:ascii="Verdana" w:hAnsi="Verdana"/>
          <w:b/>
          <w:sz w:val="16"/>
          <w:szCs w:val="16"/>
        </w:rPr>
        <w:t>516</w:t>
      </w:r>
      <w:r w:rsidRPr="00201377">
        <w:rPr>
          <w:rFonts w:ascii="Verdana" w:hAnsi="Verdana"/>
          <w:b/>
          <w:sz w:val="16"/>
          <w:szCs w:val="16"/>
        </w:rPr>
        <w:t xml:space="preserve"> mln zł</w:t>
      </w:r>
      <w:r>
        <w:rPr>
          <w:rFonts w:ascii="Verdana" w:hAnsi="Verdana"/>
          <w:sz w:val="16"/>
          <w:szCs w:val="16"/>
        </w:rPr>
        <w:t xml:space="preserve">, tj. o </w:t>
      </w:r>
      <w:r>
        <w:rPr>
          <w:rFonts w:ascii="Verdana" w:hAnsi="Verdana"/>
          <w:b/>
          <w:sz w:val="16"/>
          <w:szCs w:val="16"/>
        </w:rPr>
        <w:t>54,4</w:t>
      </w:r>
      <w:r w:rsidRPr="00201377">
        <w:rPr>
          <w:rFonts w:ascii="Verdana" w:hAnsi="Verdana"/>
          <w:b/>
          <w:sz w:val="16"/>
          <w:szCs w:val="16"/>
        </w:rPr>
        <w:t>%</w:t>
      </w:r>
      <w:r>
        <w:rPr>
          <w:rFonts w:ascii="Verdana" w:hAnsi="Verdana"/>
          <w:sz w:val="16"/>
          <w:szCs w:val="16"/>
        </w:rPr>
        <w:t xml:space="preserve">, negatywny efekt dla dochodów m.st. Warszawy. Natomiast dla 2023 r. ubytek dochodów m.st. Warszawy z PIT miał wynieść </w:t>
      </w:r>
      <w:r>
        <w:rPr>
          <w:rFonts w:ascii="Verdana" w:hAnsi="Verdana"/>
          <w:b/>
          <w:sz w:val="16"/>
          <w:szCs w:val="16"/>
        </w:rPr>
        <w:t>2,637</w:t>
      </w:r>
      <w:r w:rsidRPr="008853B9">
        <w:rPr>
          <w:rFonts w:ascii="Verdana" w:hAnsi="Verdana"/>
          <w:b/>
          <w:sz w:val="16"/>
          <w:szCs w:val="16"/>
        </w:rPr>
        <w:t xml:space="preserve"> mld zł</w:t>
      </w:r>
      <w:r>
        <w:rPr>
          <w:rFonts w:ascii="Verdana" w:hAnsi="Verdana"/>
          <w:sz w:val="16"/>
          <w:szCs w:val="16"/>
        </w:rPr>
        <w:t xml:space="preserve">, co po pomniejszeniu o kwotę rekompensaty </w:t>
      </w:r>
      <w:r>
        <w:rPr>
          <w:rFonts w:ascii="Verdana" w:hAnsi="Verdana"/>
          <w:sz w:val="16"/>
          <w:szCs w:val="16"/>
        </w:rPr>
        <w:br/>
        <w:t xml:space="preserve">w wysokości </w:t>
      </w:r>
      <w:r>
        <w:rPr>
          <w:rFonts w:ascii="Verdana" w:hAnsi="Verdana"/>
          <w:b/>
          <w:sz w:val="16"/>
          <w:szCs w:val="16"/>
        </w:rPr>
        <w:t>1,208 mld</w:t>
      </w:r>
      <w:r w:rsidRPr="00201377">
        <w:rPr>
          <w:rFonts w:ascii="Verdana" w:hAnsi="Verdana"/>
          <w:b/>
          <w:sz w:val="16"/>
          <w:szCs w:val="16"/>
        </w:rPr>
        <w:t xml:space="preserve"> zł</w:t>
      </w:r>
      <w:r>
        <w:rPr>
          <w:rFonts w:ascii="Verdana" w:hAnsi="Verdana"/>
          <w:sz w:val="16"/>
          <w:szCs w:val="16"/>
        </w:rPr>
        <w:t xml:space="preserve">, daje ubytek netto w kwocie </w:t>
      </w:r>
      <w:r>
        <w:rPr>
          <w:rFonts w:ascii="Verdana" w:hAnsi="Verdana"/>
          <w:b/>
          <w:sz w:val="16"/>
          <w:szCs w:val="16"/>
        </w:rPr>
        <w:t>1,429 mld</w:t>
      </w:r>
      <w:r w:rsidRPr="008853B9">
        <w:rPr>
          <w:rFonts w:ascii="Verdana" w:hAnsi="Verdana"/>
          <w:b/>
          <w:sz w:val="16"/>
          <w:szCs w:val="16"/>
        </w:rPr>
        <w:t xml:space="preserve"> zł</w:t>
      </w:r>
      <w:r>
        <w:rPr>
          <w:rFonts w:ascii="Verdana" w:hAnsi="Verdana"/>
          <w:sz w:val="16"/>
          <w:szCs w:val="16"/>
        </w:rPr>
        <w:t xml:space="preserve">, natomiast bieżące szacunki mówią </w:t>
      </w:r>
      <w:r>
        <w:rPr>
          <w:rFonts w:ascii="Verdana" w:hAnsi="Verdana"/>
          <w:sz w:val="16"/>
          <w:szCs w:val="16"/>
        </w:rPr>
        <w:br/>
        <w:t xml:space="preserve">o stracie w PIT rzędu </w:t>
      </w:r>
      <w:r>
        <w:rPr>
          <w:rFonts w:ascii="Verdana" w:hAnsi="Verdana"/>
          <w:b/>
          <w:sz w:val="16"/>
          <w:szCs w:val="16"/>
        </w:rPr>
        <w:t>2,782</w:t>
      </w:r>
      <w:r w:rsidRPr="00201377">
        <w:rPr>
          <w:rFonts w:ascii="Verdana" w:hAnsi="Verdana"/>
          <w:b/>
          <w:sz w:val="16"/>
          <w:szCs w:val="16"/>
        </w:rPr>
        <w:t xml:space="preserve"> mld zł</w:t>
      </w:r>
      <w:r>
        <w:rPr>
          <w:rFonts w:ascii="Verdana" w:hAnsi="Verdana"/>
          <w:sz w:val="16"/>
          <w:szCs w:val="16"/>
        </w:rPr>
        <w:t xml:space="preserve">, co po uwzględnieniu rekompensaty w wysokości </w:t>
      </w:r>
      <w:r>
        <w:rPr>
          <w:rFonts w:ascii="Verdana" w:hAnsi="Verdana"/>
          <w:b/>
          <w:sz w:val="16"/>
          <w:szCs w:val="16"/>
        </w:rPr>
        <w:t>852</w:t>
      </w:r>
      <w:r w:rsidRPr="00201377">
        <w:rPr>
          <w:rFonts w:ascii="Verdana" w:hAnsi="Verdana"/>
          <w:b/>
          <w:sz w:val="16"/>
          <w:szCs w:val="16"/>
        </w:rPr>
        <w:t xml:space="preserve"> mln zł</w:t>
      </w:r>
      <w:r>
        <w:rPr>
          <w:rFonts w:ascii="Verdana" w:hAnsi="Verdana"/>
          <w:sz w:val="16"/>
          <w:szCs w:val="16"/>
        </w:rPr>
        <w:t xml:space="preserve">, oznacza ubytek netto w kwocie </w:t>
      </w:r>
      <w:r w:rsidRPr="00201377">
        <w:rPr>
          <w:rFonts w:ascii="Verdana" w:hAnsi="Verdana"/>
          <w:b/>
          <w:sz w:val="16"/>
          <w:szCs w:val="16"/>
        </w:rPr>
        <w:t>1,</w:t>
      </w:r>
      <w:r>
        <w:rPr>
          <w:rFonts w:ascii="Verdana" w:hAnsi="Verdana"/>
          <w:b/>
          <w:sz w:val="16"/>
          <w:szCs w:val="16"/>
        </w:rPr>
        <w:t>930</w:t>
      </w:r>
      <w:r w:rsidRPr="00201377">
        <w:rPr>
          <w:rFonts w:ascii="Verdana" w:hAnsi="Verdana"/>
          <w:b/>
          <w:sz w:val="16"/>
          <w:szCs w:val="16"/>
        </w:rPr>
        <w:t xml:space="preserve"> mld zł</w:t>
      </w:r>
      <w:r>
        <w:rPr>
          <w:rFonts w:ascii="Verdana" w:hAnsi="Verdana"/>
          <w:sz w:val="16"/>
          <w:szCs w:val="16"/>
        </w:rPr>
        <w:t xml:space="preserve">, a więc aktualizacja skutków Polskiego Ładu dla 2023 r. przynosi wyższy </w:t>
      </w:r>
      <w:r>
        <w:rPr>
          <w:rFonts w:ascii="Verdana" w:hAnsi="Verdana"/>
          <w:sz w:val="16"/>
          <w:szCs w:val="16"/>
        </w:rPr>
        <w:br/>
        <w:t xml:space="preserve">o </w:t>
      </w:r>
      <w:r>
        <w:rPr>
          <w:rFonts w:ascii="Verdana" w:hAnsi="Verdana"/>
          <w:b/>
          <w:sz w:val="16"/>
          <w:szCs w:val="16"/>
        </w:rPr>
        <w:t>516</w:t>
      </w:r>
      <w:r w:rsidRPr="00201377">
        <w:rPr>
          <w:rFonts w:ascii="Verdana" w:hAnsi="Verdana"/>
          <w:b/>
          <w:sz w:val="16"/>
          <w:szCs w:val="16"/>
        </w:rPr>
        <w:t xml:space="preserve"> mln zł</w:t>
      </w:r>
      <w:r>
        <w:rPr>
          <w:rFonts w:ascii="Verdana" w:hAnsi="Verdana"/>
          <w:sz w:val="16"/>
          <w:szCs w:val="16"/>
        </w:rPr>
        <w:t xml:space="preserve">, tj. o </w:t>
      </w:r>
      <w:r>
        <w:rPr>
          <w:rFonts w:ascii="Verdana" w:hAnsi="Verdana"/>
          <w:b/>
          <w:sz w:val="16"/>
          <w:szCs w:val="16"/>
        </w:rPr>
        <w:t>35,1</w:t>
      </w:r>
      <w:r w:rsidRPr="00201377">
        <w:rPr>
          <w:rFonts w:ascii="Verdana" w:hAnsi="Verdana"/>
          <w:b/>
          <w:sz w:val="16"/>
          <w:szCs w:val="16"/>
        </w:rPr>
        <w:t>%</w:t>
      </w:r>
      <w:r>
        <w:rPr>
          <w:rFonts w:ascii="Verdana" w:hAnsi="Verdana"/>
          <w:sz w:val="16"/>
          <w:szCs w:val="16"/>
        </w:rPr>
        <w:t>, negatywny efekt dla dochodów m.st. Warszawy.</w:t>
      </w:r>
    </w:p>
    <w:p w:rsidR="008A572A" w:rsidRPr="00011AAA" w:rsidRDefault="008A572A" w:rsidP="008A572A">
      <w:pPr>
        <w:spacing w:before="60" w:after="60" w:line="240" w:lineRule="auto"/>
        <w:rPr>
          <w:rFonts w:ascii="Verdana" w:hAnsi="Verdana"/>
          <w:b/>
          <w:bCs/>
          <w:iCs/>
          <w:sz w:val="14"/>
          <w:szCs w:val="14"/>
        </w:rPr>
      </w:pPr>
      <w:r w:rsidRPr="00011AAA">
        <w:rPr>
          <w:rFonts w:ascii="Verdana" w:hAnsi="Verdana"/>
          <w:b/>
          <w:bCs/>
          <w:iCs/>
          <w:sz w:val="14"/>
          <w:szCs w:val="14"/>
        </w:rPr>
        <w:t xml:space="preserve">TAB. </w:t>
      </w:r>
      <w:r w:rsidRPr="00011AAA">
        <w:rPr>
          <w:rFonts w:ascii="Verdana" w:hAnsi="Verdana"/>
          <w:b/>
          <w:bCs/>
          <w:iCs/>
          <w:sz w:val="14"/>
          <w:szCs w:val="14"/>
        </w:rPr>
        <w:fldChar w:fldCharType="begin"/>
      </w:r>
      <w:r w:rsidRPr="00011AAA">
        <w:rPr>
          <w:rFonts w:ascii="Verdana" w:hAnsi="Verdana"/>
          <w:b/>
          <w:bCs/>
          <w:iCs/>
          <w:sz w:val="14"/>
          <w:szCs w:val="14"/>
        </w:rPr>
        <w:instrText xml:space="preserve"> SEQ Tab. \* ARABIC </w:instrText>
      </w:r>
      <w:r w:rsidRPr="00011AAA">
        <w:rPr>
          <w:rFonts w:ascii="Verdana" w:hAnsi="Verdana"/>
          <w:b/>
          <w:bCs/>
          <w:iCs/>
          <w:sz w:val="14"/>
          <w:szCs w:val="14"/>
        </w:rPr>
        <w:fldChar w:fldCharType="separate"/>
      </w:r>
      <w:r w:rsidR="00DB2126">
        <w:rPr>
          <w:rFonts w:ascii="Verdana" w:hAnsi="Verdana"/>
          <w:b/>
          <w:bCs/>
          <w:iCs/>
          <w:noProof/>
          <w:sz w:val="14"/>
          <w:szCs w:val="14"/>
        </w:rPr>
        <w:t>2</w:t>
      </w:r>
      <w:r w:rsidRPr="00011AAA">
        <w:rPr>
          <w:rFonts w:ascii="Verdana" w:hAnsi="Verdana"/>
          <w:b/>
          <w:bCs/>
          <w:iCs/>
          <w:sz w:val="14"/>
          <w:szCs w:val="14"/>
        </w:rPr>
        <w:fldChar w:fldCharType="end"/>
      </w:r>
      <w:r w:rsidRPr="00011AAA">
        <w:rPr>
          <w:rFonts w:ascii="Verdana" w:hAnsi="Verdana"/>
          <w:b/>
          <w:bCs/>
          <w:iCs/>
          <w:sz w:val="14"/>
          <w:szCs w:val="14"/>
        </w:rPr>
        <w:t>.</w:t>
      </w:r>
      <w:r w:rsidRPr="00011AAA">
        <w:rPr>
          <w:b/>
          <w:bCs/>
          <w:iCs/>
          <w:sz w:val="14"/>
          <w:szCs w:val="14"/>
        </w:rPr>
        <w:t xml:space="preserve"> </w:t>
      </w:r>
      <w:r>
        <w:rPr>
          <w:rFonts w:ascii="Verdana" w:hAnsi="Verdana" w:cs="Arial"/>
          <w:b/>
          <w:bCs/>
          <w:iCs/>
          <w:sz w:val="14"/>
          <w:szCs w:val="14"/>
        </w:rPr>
        <w:t xml:space="preserve">SKUTKI FINANSOWE DLA M.ST. WARSZAWY PROGRAMU POLSKI ŁAD W LATACH 2022-2031 </w:t>
      </w:r>
      <w:r>
        <w:rPr>
          <w:rFonts w:ascii="Verdana" w:hAnsi="Verdana" w:cs="Arial"/>
          <w:b/>
          <w:bCs/>
          <w:iCs/>
          <w:sz w:val="14"/>
          <w:szCs w:val="14"/>
        </w:rPr>
        <w:br/>
        <w:t xml:space="preserve">            NA PODSTAWIE OCEN SKUTKÓW REGULACJI USTAW OBJĘTYCH PAKIETEM PROGRAMU POLSKI ŁAD</w:t>
      </w:r>
    </w:p>
    <w:p w:rsidR="008A572A" w:rsidRDefault="008A572A" w:rsidP="008A572A">
      <w:pPr>
        <w:spacing w:before="60" w:after="60"/>
        <w:jc w:val="both"/>
        <w:rPr>
          <w:rFonts w:ascii="Verdana" w:hAnsi="Verdana"/>
          <w:sz w:val="16"/>
          <w:szCs w:val="16"/>
        </w:rPr>
      </w:pPr>
      <w:r w:rsidRPr="005C6EE0">
        <w:rPr>
          <w:noProof/>
        </w:rPr>
        <w:drawing>
          <wp:inline distT="0" distB="0" distL="0" distR="0" wp14:anchorId="54359A2E" wp14:editId="2768C981">
            <wp:extent cx="5760720" cy="4297583"/>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297583"/>
                    </a:xfrm>
                    <a:prstGeom prst="rect">
                      <a:avLst/>
                    </a:prstGeom>
                    <a:noFill/>
                    <a:ln>
                      <a:noFill/>
                    </a:ln>
                  </pic:spPr>
                </pic:pic>
              </a:graphicData>
            </a:graphic>
          </wp:inline>
        </w:drawing>
      </w:r>
    </w:p>
    <w:p w:rsidR="008A572A" w:rsidRDefault="008A572A" w:rsidP="008A572A">
      <w:pPr>
        <w:spacing w:before="60" w:after="60"/>
        <w:ind w:firstLine="567"/>
        <w:jc w:val="both"/>
        <w:rPr>
          <w:rFonts w:ascii="Verdana" w:hAnsi="Verdana"/>
          <w:sz w:val="16"/>
          <w:szCs w:val="16"/>
        </w:rPr>
      </w:pPr>
      <w:r w:rsidRPr="004D417C">
        <w:rPr>
          <w:rFonts w:ascii="Verdana" w:hAnsi="Verdana"/>
          <w:b/>
          <w:sz w:val="16"/>
          <w:szCs w:val="16"/>
        </w:rPr>
        <w:t xml:space="preserve">Systematycznemu ograniczaniu potencjału dochodowego Warszawy towarzyszy zwiększające się niedoszacowanie subwencji oświatowej w stosunku do rzeczywistych potrzeb wydatkowych, </w:t>
      </w:r>
      <w:r>
        <w:rPr>
          <w:rFonts w:ascii="Verdana" w:hAnsi="Verdana"/>
          <w:b/>
          <w:sz w:val="16"/>
          <w:szCs w:val="16"/>
        </w:rPr>
        <w:br/>
      </w:r>
      <w:r w:rsidRPr="004D417C">
        <w:rPr>
          <w:rFonts w:ascii="Verdana" w:hAnsi="Verdana"/>
          <w:b/>
          <w:sz w:val="16"/>
          <w:szCs w:val="16"/>
        </w:rPr>
        <w:lastRenderedPageBreak/>
        <w:t xml:space="preserve">co skutkuje dynamicznym wzrostem dopłaty </w:t>
      </w:r>
      <w:r>
        <w:rPr>
          <w:rFonts w:ascii="Verdana" w:hAnsi="Verdana"/>
          <w:b/>
          <w:sz w:val="16"/>
          <w:szCs w:val="16"/>
        </w:rPr>
        <w:t xml:space="preserve">m.st. </w:t>
      </w:r>
      <w:r w:rsidRPr="004D417C">
        <w:rPr>
          <w:rFonts w:ascii="Verdana" w:hAnsi="Verdana"/>
          <w:b/>
          <w:sz w:val="16"/>
          <w:szCs w:val="16"/>
        </w:rPr>
        <w:t xml:space="preserve">Warszawy do oświaty ze środków własnych. </w:t>
      </w:r>
      <w:r>
        <w:rPr>
          <w:rFonts w:ascii="Verdana" w:hAnsi="Verdana"/>
          <w:b/>
          <w:sz w:val="16"/>
          <w:szCs w:val="16"/>
        </w:rPr>
        <w:br/>
        <w:t>Z uwagi na zaniżony poziom subwencji oświatowej w stosunku do potrzeb wydatkowych, w ostatnich latach konieczny był</w:t>
      </w:r>
      <w:r w:rsidRPr="003E49F3">
        <w:rPr>
          <w:rFonts w:ascii="Verdana" w:hAnsi="Verdana"/>
          <w:b/>
          <w:sz w:val="16"/>
          <w:szCs w:val="16"/>
        </w:rPr>
        <w:t xml:space="preserve"> wzrost dopłaty </w:t>
      </w:r>
      <w:r>
        <w:rPr>
          <w:rFonts w:ascii="Verdana" w:hAnsi="Verdana"/>
          <w:b/>
          <w:sz w:val="16"/>
          <w:szCs w:val="16"/>
        </w:rPr>
        <w:t xml:space="preserve">m.st. </w:t>
      </w:r>
      <w:r w:rsidRPr="003E49F3">
        <w:rPr>
          <w:rFonts w:ascii="Verdana" w:hAnsi="Verdana"/>
          <w:b/>
          <w:sz w:val="16"/>
          <w:szCs w:val="16"/>
        </w:rPr>
        <w:t>Warszawy do bieżącego funkcjonowania oświaty ponad środki otrzymywane na ten cel z budżetu państwa w formie subwencji oświatowej oraz dotacji przedszkolnej.</w:t>
      </w:r>
      <w:r>
        <w:rPr>
          <w:rFonts w:ascii="Verdana" w:hAnsi="Verdana"/>
          <w:sz w:val="16"/>
          <w:szCs w:val="16"/>
        </w:rPr>
        <w:t xml:space="preserve"> </w:t>
      </w:r>
    </w:p>
    <w:p w:rsidR="008A572A" w:rsidRPr="00B32066" w:rsidRDefault="008A572A" w:rsidP="008A572A">
      <w:pPr>
        <w:spacing w:before="60" w:after="60"/>
        <w:jc w:val="both"/>
        <w:rPr>
          <w:rFonts w:ascii="Verdana" w:hAnsi="Verdana"/>
          <w:sz w:val="16"/>
          <w:szCs w:val="16"/>
        </w:rPr>
      </w:pPr>
      <w:r>
        <w:rPr>
          <w:rFonts w:ascii="Verdana" w:hAnsi="Verdana"/>
          <w:sz w:val="16"/>
          <w:szCs w:val="16"/>
        </w:rPr>
        <w:t xml:space="preserve">W stosunku do 2014 r. dopłata Warszawy do oświaty finansowana ze środków własnych uległa przeszło podwojeniu do poziomu 2 mld 878 mln zł w 2022 r. i planuje się utrzymanie jej na zbliżonym poziomie, </w:t>
      </w:r>
      <w:r>
        <w:rPr>
          <w:rFonts w:ascii="Verdana" w:hAnsi="Verdana"/>
          <w:sz w:val="16"/>
          <w:szCs w:val="16"/>
        </w:rPr>
        <w:br/>
        <w:t xml:space="preserve">tj. 2 mld 754 mln zł, w 2023 r. Środki pochodzące z subwencji oświatowej i dotacji przedszkolnej pozwalają obecnie jedynie w około połowie sfinansować wydatki bieżące Warszawy przeznaczane na zadania oświatowe. </w:t>
      </w:r>
      <w:r w:rsidRPr="00B32066">
        <w:rPr>
          <w:rFonts w:ascii="Verdana" w:hAnsi="Verdana"/>
          <w:bCs/>
          <w:sz w:val="16"/>
          <w:szCs w:val="16"/>
        </w:rPr>
        <w:t>Subwencja oświatowa</w:t>
      </w:r>
      <w:r w:rsidRPr="00B32066">
        <w:rPr>
          <w:rFonts w:ascii="Verdana" w:hAnsi="Verdana"/>
          <w:b/>
          <w:bCs/>
          <w:sz w:val="16"/>
          <w:szCs w:val="16"/>
        </w:rPr>
        <w:t xml:space="preserve"> </w:t>
      </w:r>
      <w:r>
        <w:rPr>
          <w:rFonts w:ascii="Verdana" w:hAnsi="Verdana"/>
          <w:sz w:val="16"/>
          <w:szCs w:val="16"/>
        </w:rPr>
        <w:t>jest dalece niewystarczająca</w:t>
      </w:r>
      <w:r w:rsidRPr="00B32066">
        <w:rPr>
          <w:rFonts w:ascii="Verdana" w:hAnsi="Verdana"/>
          <w:sz w:val="16"/>
          <w:szCs w:val="16"/>
        </w:rPr>
        <w:t xml:space="preserve"> nawet do pokrycia wydatków na wynagrodzenia w oświacie.</w:t>
      </w:r>
    </w:p>
    <w:p w:rsidR="008A572A" w:rsidRDefault="008A572A" w:rsidP="008A572A">
      <w:pPr>
        <w:spacing w:before="60" w:after="60"/>
        <w:jc w:val="both"/>
        <w:rPr>
          <w:rFonts w:ascii="Verdana" w:hAnsi="Verdana"/>
          <w:b/>
          <w:sz w:val="16"/>
          <w:szCs w:val="16"/>
        </w:rPr>
      </w:pPr>
      <w:r>
        <w:rPr>
          <w:rFonts w:ascii="Verdana" w:hAnsi="Verdana"/>
          <w:sz w:val="16"/>
          <w:szCs w:val="16"/>
        </w:rPr>
        <w:t xml:space="preserve">Źródłem finansowania dopłaty do oświaty są dochody własne m.st. Warszawy, które do czasu rozwiązań wprowadzonych przez Polski Ład blisko w połowie pochodziły z wpływów z PIT (47% w 2021 r.). </w:t>
      </w:r>
      <w:r w:rsidRPr="00137500">
        <w:rPr>
          <w:rFonts w:ascii="Verdana" w:hAnsi="Verdana"/>
          <w:b/>
          <w:sz w:val="16"/>
          <w:szCs w:val="16"/>
        </w:rPr>
        <w:t xml:space="preserve">Utrzymanie zdolności Warszawy do pokrywania ze środków własnych luki w finansowaniu wydatków bieżących w oświacie </w:t>
      </w:r>
      <w:r>
        <w:rPr>
          <w:rFonts w:ascii="Verdana" w:hAnsi="Verdana"/>
          <w:b/>
          <w:sz w:val="16"/>
          <w:szCs w:val="16"/>
        </w:rPr>
        <w:t>subwencją oświatową</w:t>
      </w:r>
      <w:r w:rsidRPr="00137500">
        <w:rPr>
          <w:rFonts w:ascii="Verdana" w:hAnsi="Verdana"/>
          <w:b/>
          <w:sz w:val="16"/>
          <w:szCs w:val="16"/>
        </w:rPr>
        <w:t xml:space="preserve">, w warunkach drastycznego ograniczenia dochodów Warszawy </w:t>
      </w:r>
      <w:r>
        <w:rPr>
          <w:rFonts w:ascii="Verdana" w:hAnsi="Verdana"/>
          <w:b/>
          <w:sz w:val="16"/>
          <w:szCs w:val="16"/>
        </w:rPr>
        <w:br/>
      </w:r>
      <w:r w:rsidRPr="00137500">
        <w:rPr>
          <w:rFonts w:ascii="Verdana" w:hAnsi="Verdana"/>
          <w:b/>
          <w:sz w:val="16"/>
          <w:szCs w:val="16"/>
        </w:rPr>
        <w:t>z PIT bez adekwatnych rekompensat</w:t>
      </w:r>
      <w:r>
        <w:rPr>
          <w:rFonts w:ascii="Verdana" w:hAnsi="Verdana"/>
          <w:b/>
          <w:sz w:val="16"/>
          <w:szCs w:val="16"/>
        </w:rPr>
        <w:t>,</w:t>
      </w:r>
      <w:r w:rsidRPr="00645561">
        <w:rPr>
          <w:rFonts w:ascii="Verdana" w:hAnsi="Verdana"/>
          <w:b/>
          <w:sz w:val="16"/>
          <w:szCs w:val="16"/>
        </w:rPr>
        <w:t xml:space="preserve"> </w:t>
      </w:r>
      <w:r w:rsidRPr="00137500">
        <w:rPr>
          <w:rFonts w:ascii="Verdana" w:hAnsi="Verdana"/>
          <w:b/>
          <w:sz w:val="16"/>
          <w:szCs w:val="16"/>
        </w:rPr>
        <w:t xml:space="preserve">będzie </w:t>
      </w:r>
      <w:r>
        <w:rPr>
          <w:rFonts w:ascii="Verdana" w:hAnsi="Verdana"/>
          <w:b/>
          <w:sz w:val="16"/>
          <w:szCs w:val="16"/>
        </w:rPr>
        <w:t>w przyszłości wyjątkowo trudne</w:t>
      </w:r>
      <w:r w:rsidRPr="00137500">
        <w:rPr>
          <w:rFonts w:ascii="Verdana" w:hAnsi="Verdana"/>
          <w:b/>
          <w:sz w:val="16"/>
          <w:szCs w:val="16"/>
        </w:rPr>
        <w:t>.</w:t>
      </w:r>
    </w:p>
    <w:p w:rsidR="008A572A" w:rsidRDefault="008A572A" w:rsidP="008A572A">
      <w:pPr>
        <w:spacing w:before="120" w:after="60" w:line="240" w:lineRule="auto"/>
        <w:rPr>
          <w:rFonts w:ascii="Verdana" w:hAnsi="Verdana"/>
          <w:sz w:val="16"/>
          <w:szCs w:val="16"/>
        </w:rPr>
      </w:pPr>
      <w:r w:rsidRPr="00011AAA">
        <w:rPr>
          <w:rFonts w:ascii="Verdana" w:hAnsi="Verdana"/>
          <w:b/>
          <w:bCs/>
          <w:iCs/>
          <w:sz w:val="14"/>
          <w:szCs w:val="14"/>
        </w:rPr>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sidR="00DB2126">
        <w:rPr>
          <w:rFonts w:ascii="Verdana" w:hAnsi="Verdana"/>
          <w:b/>
          <w:bCs/>
          <w:iCs/>
          <w:noProof/>
          <w:sz w:val="14"/>
          <w:szCs w:val="14"/>
        </w:rPr>
        <w:t>7</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sidRPr="00AB47E5">
        <w:rPr>
          <w:rFonts w:ascii="Verdana" w:hAnsi="Verdana" w:cs="Arial"/>
          <w:b/>
          <w:bCs/>
          <w:iCs/>
          <w:sz w:val="14"/>
          <w:szCs w:val="14"/>
        </w:rPr>
        <w:t xml:space="preserve">DOPŁATA WARSZAWY Z DOCHODÓW WŁASNYCH DO WYDATKÓW BIEŻĄCYCH NA OŚWIATĘ </w:t>
      </w:r>
      <w:r>
        <w:rPr>
          <w:rFonts w:ascii="Verdana" w:hAnsi="Verdana" w:cs="Arial"/>
          <w:b/>
          <w:bCs/>
          <w:iCs/>
          <w:sz w:val="14"/>
          <w:szCs w:val="14"/>
        </w:rPr>
        <w:br/>
        <w:t xml:space="preserve">               </w:t>
      </w:r>
      <w:r w:rsidRPr="00AB47E5">
        <w:rPr>
          <w:rFonts w:ascii="Verdana" w:hAnsi="Verdana" w:cs="Arial"/>
          <w:b/>
          <w:bCs/>
          <w:iCs/>
          <w:sz w:val="14"/>
          <w:szCs w:val="14"/>
        </w:rPr>
        <w:t xml:space="preserve">PONAD SUBWENCJĘ OŚWIATOWĄ </w:t>
      </w:r>
      <w:r>
        <w:rPr>
          <w:rFonts w:ascii="Verdana" w:hAnsi="Verdana" w:cs="Arial"/>
          <w:b/>
          <w:bCs/>
          <w:iCs/>
          <w:sz w:val="14"/>
          <w:szCs w:val="14"/>
        </w:rPr>
        <w:t>I</w:t>
      </w:r>
      <w:r w:rsidRPr="00AB47E5">
        <w:rPr>
          <w:rFonts w:ascii="Verdana" w:hAnsi="Verdana" w:cs="Arial"/>
          <w:b/>
          <w:bCs/>
          <w:iCs/>
          <w:sz w:val="14"/>
          <w:szCs w:val="14"/>
        </w:rPr>
        <w:t xml:space="preserve"> DOTACJĘ PRZEDSZKOLNĄ W LATACH 2008-2023</w:t>
      </w:r>
    </w:p>
    <w:p w:rsidR="008A572A" w:rsidRDefault="008A572A" w:rsidP="008A572A">
      <w:pPr>
        <w:spacing w:before="60" w:after="60"/>
        <w:jc w:val="both"/>
        <w:rPr>
          <w:rFonts w:ascii="Verdana" w:hAnsi="Verdana"/>
          <w:sz w:val="16"/>
          <w:szCs w:val="16"/>
        </w:rPr>
      </w:pPr>
      <w:r w:rsidRPr="009737AB">
        <w:rPr>
          <w:noProof/>
        </w:rPr>
        <w:drawing>
          <wp:inline distT="0" distB="0" distL="0" distR="0" wp14:anchorId="7A0717D3" wp14:editId="7D2A022B">
            <wp:extent cx="5052646" cy="214258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82607" cy="2155290"/>
                    </a:xfrm>
                    <a:prstGeom prst="rect">
                      <a:avLst/>
                    </a:prstGeom>
                  </pic:spPr>
                </pic:pic>
              </a:graphicData>
            </a:graphic>
          </wp:inline>
        </w:drawing>
      </w:r>
    </w:p>
    <w:p w:rsidR="008A572A" w:rsidRDefault="008A572A" w:rsidP="008A572A">
      <w:pPr>
        <w:spacing w:before="60" w:after="60"/>
        <w:ind w:firstLine="567"/>
        <w:jc w:val="both"/>
        <w:rPr>
          <w:rFonts w:ascii="Verdana" w:hAnsi="Verdana"/>
          <w:sz w:val="16"/>
          <w:szCs w:val="16"/>
        </w:rPr>
      </w:pPr>
      <w:r w:rsidRPr="00445AD2">
        <w:rPr>
          <w:rFonts w:ascii="Verdana" w:hAnsi="Verdana"/>
          <w:b/>
          <w:sz w:val="16"/>
          <w:szCs w:val="16"/>
        </w:rPr>
        <w:t>Pomoc m.st. Warszawy dla obywateli Ukrainy w związku z konfliktem zbrojnym na terytorium tego kraju również pociąga za sobą wymierne wydatki budżetowe.</w:t>
      </w:r>
      <w:r>
        <w:rPr>
          <w:rFonts w:ascii="Verdana" w:hAnsi="Verdana"/>
          <w:sz w:val="16"/>
          <w:szCs w:val="16"/>
        </w:rPr>
        <w:t xml:space="preserve"> </w:t>
      </w:r>
      <w:r w:rsidRPr="00C315AC">
        <w:rPr>
          <w:rFonts w:ascii="Verdana" w:hAnsi="Verdana"/>
          <w:sz w:val="16"/>
          <w:szCs w:val="16"/>
        </w:rPr>
        <w:t xml:space="preserve">Od początku inwazji zbrojnej Rosji na Ukrainę samorząd </w:t>
      </w:r>
      <w:r>
        <w:rPr>
          <w:rFonts w:ascii="Verdana" w:hAnsi="Verdana"/>
          <w:sz w:val="16"/>
          <w:szCs w:val="16"/>
        </w:rPr>
        <w:t xml:space="preserve">m.st. </w:t>
      </w:r>
      <w:r w:rsidRPr="00C315AC">
        <w:rPr>
          <w:rFonts w:ascii="Verdana" w:hAnsi="Verdana"/>
          <w:sz w:val="16"/>
          <w:szCs w:val="16"/>
        </w:rPr>
        <w:t xml:space="preserve">Warszawy mierzy się z nowymi wyzwaniami związanymi z napływem do Miasta dużej fali migracji obywateli Ukrainy w poszukiwaniu w Mieście schronienia i pomocy. Od początku samorząd Warszawy we współpracy z organizacjami pozarządowymi, z wolontariuszami i przy ogromnym zaangażowaniu mieszkańców Warszawy organizuje, udziela i koordynuje kompleksową pomoc ukraińskim uchodźcom we wszystkich obszarach, w tym w szczególności w opiece i pomocy społecznej, w komunikacji i w transporcie, w edukacji, w ochronie zdrowia, w kulturze, w integracji, w ramach miejskiego zasobu mieszkaniowego, w sferze usług w gospodarce komunalnej i w pozostałych sferach. Przekłada się to na budżet Miasta poprzez zwiększone wydatki bieżące </w:t>
      </w:r>
      <w:r>
        <w:rPr>
          <w:rFonts w:ascii="Verdana" w:hAnsi="Verdana"/>
          <w:sz w:val="16"/>
          <w:szCs w:val="16"/>
        </w:rPr>
        <w:br/>
      </w:r>
      <w:r w:rsidRPr="00C315AC">
        <w:rPr>
          <w:rFonts w:ascii="Verdana" w:hAnsi="Verdana"/>
          <w:sz w:val="16"/>
          <w:szCs w:val="16"/>
        </w:rPr>
        <w:t>w związku z zapewnieniem infrastruktury miejskiej i usług miejskich dla osób z Ukrainy w tych obszarach.</w:t>
      </w:r>
      <w:r>
        <w:rPr>
          <w:rFonts w:ascii="Verdana" w:hAnsi="Verdana"/>
          <w:sz w:val="16"/>
          <w:szCs w:val="16"/>
        </w:rPr>
        <w:t xml:space="preserve"> Łączne zaplanowane na 2022 r. wydatki budżetowe m.st. Warszawy na ten cel wynoszą 567,3 mln zł, z czego </w:t>
      </w:r>
      <w:r>
        <w:rPr>
          <w:rFonts w:ascii="Verdana" w:hAnsi="Verdana"/>
          <w:sz w:val="16"/>
          <w:szCs w:val="16"/>
        </w:rPr>
        <w:br/>
        <w:t xml:space="preserve">77,7 mln zł jest finansowane ze środków własnych m.st. Warszawy. W niniejszym zakresie w budżecie na </w:t>
      </w:r>
      <w:r>
        <w:rPr>
          <w:rFonts w:ascii="Verdana" w:hAnsi="Verdana"/>
          <w:sz w:val="16"/>
          <w:szCs w:val="16"/>
        </w:rPr>
        <w:br/>
        <w:t>2023 r. zabezpieczono finansowanie na poziomie 174,9 mln zł, w tym 160,7 mln zł ze środków własnych.</w:t>
      </w:r>
    </w:p>
    <w:p w:rsidR="008A572A" w:rsidRDefault="008A572A" w:rsidP="008A572A">
      <w:pPr>
        <w:spacing w:before="60" w:after="60"/>
        <w:ind w:firstLine="567"/>
        <w:jc w:val="both"/>
        <w:rPr>
          <w:rFonts w:ascii="Verdana" w:hAnsi="Verdana"/>
          <w:sz w:val="16"/>
          <w:szCs w:val="16"/>
        </w:rPr>
      </w:pPr>
      <w:r w:rsidRPr="00722AF0">
        <w:rPr>
          <w:rFonts w:ascii="Verdana" w:hAnsi="Verdana"/>
          <w:b/>
          <w:sz w:val="16"/>
          <w:szCs w:val="16"/>
        </w:rPr>
        <w:t xml:space="preserve">Podsumowując, w warunkach drastycznego obniżenia dochodów Warszawy z PIT będącego skutkiem rozwiązań programu Polski Ład bez funkcjonującego adekwatnego do strat w PIT systemu rekompensat oraz </w:t>
      </w:r>
      <w:r>
        <w:rPr>
          <w:rFonts w:ascii="Verdana" w:hAnsi="Verdana"/>
          <w:b/>
          <w:sz w:val="16"/>
          <w:szCs w:val="16"/>
        </w:rPr>
        <w:t>z uwagi na postępujące niedostosowanie</w:t>
      </w:r>
      <w:r w:rsidRPr="00722AF0">
        <w:rPr>
          <w:rFonts w:ascii="Verdana" w:hAnsi="Verdana"/>
          <w:b/>
          <w:sz w:val="16"/>
          <w:szCs w:val="16"/>
        </w:rPr>
        <w:t xml:space="preserve"> wysokości subwencji oświatowej względem rzeczywistych potrzeb, możliwości budżetowe </w:t>
      </w:r>
      <w:r>
        <w:rPr>
          <w:rFonts w:ascii="Verdana" w:hAnsi="Verdana"/>
          <w:b/>
          <w:sz w:val="16"/>
          <w:szCs w:val="16"/>
        </w:rPr>
        <w:t xml:space="preserve">m.st. </w:t>
      </w:r>
      <w:r w:rsidRPr="00722AF0">
        <w:rPr>
          <w:rFonts w:ascii="Verdana" w:hAnsi="Verdana"/>
          <w:b/>
          <w:sz w:val="16"/>
          <w:szCs w:val="16"/>
        </w:rPr>
        <w:t xml:space="preserve">Warszawy w sposób trwały zostały znacząco ograniczone. W szczególności w dobie podwyższonej inflacji, bezwzględny spadek </w:t>
      </w:r>
      <w:r w:rsidRPr="00722AF0">
        <w:rPr>
          <w:rFonts w:ascii="Verdana" w:hAnsi="Verdana"/>
          <w:b/>
          <w:sz w:val="16"/>
          <w:szCs w:val="16"/>
        </w:rPr>
        <w:lastRenderedPageBreak/>
        <w:t xml:space="preserve">dochodów </w:t>
      </w:r>
      <w:r>
        <w:rPr>
          <w:rFonts w:ascii="Verdana" w:hAnsi="Verdana"/>
          <w:b/>
          <w:sz w:val="16"/>
          <w:szCs w:val="16"/>
        </w:rPr>
        <w:t>stanowi wyzwanie dla utrzymania</w:t>
      </w:r>
      <w:r w:rsidRPr="00722AF0">
        <w:rPr>
          <w:rFonts w:ascii="Verdana" w:hAnsi="Verdana"/>
          <w:b/>
          <w:sz w:val="16"/>
          <w:szCs w:val="16"/>
        </w:rPr>
        <w:t xml:space="preserve"> wydatków bieżących na realnym poziomie z okresu sprzed obowiązywania przepisów programu Polski Ład.</w:t>
      </w:r>
    </w:p>
    <w:p w:rsidR="008A572A" w:rsidRPr="007E1B62" w:rsidRDefault="008A572A" w:rsidP="008A572A">
      <w:pPr>
        <w:pStyle w:val="Default"/>
        <w:spacing w:before="60" w:after="60" w:line="360" w:lineRule="auto"/>
        <w:ind w:firstLine="567"/>
        <w:jc w:val="both"/>
        <w:rPr>
          <w:rFonts w:ascii="Verdana" w:hAnsi="Verdana" w:cs="Times New Roman"/>
          <w:color w:val="auto"/>
          <w:sz w:val="16"/>
          <w:szCs w:val="16"/>
        </w:rPr>
      </w:pPr>
      <w:r w:rsidRPr="007E1B62">
        <w:rPr>
          <w:rFonts w:ascii="Verdana" w:hAnsi="Verdana" w:cs="Times New Roman"/>
          <w:b/>
          <w:color w:val="auto"/>
          <w:sz w:val="16"/>
          <w:szCs w:val="16"/>
        </w:rPr>
        <w:t xml:space="preserve">Istotny wymiar negatywnych dla dochodów m.st. Warszawy skutków programu Polski Ład obniża ustawowe limity obsługi długu już od pierwszego roku funkcjonowania Programu, </w:t>
      </w:r>
      <w:r>
        <w:rPr>
          <w:rFonts w:ascii="Verdana" w:hAnsi="Verdana" w:cs="Times New Roman"/>
          <w:b/>
          <w:color w:val="auto"/>
          <w:sz w:val="16"/>
          <w:szCs w:val="16"/>
        </w:rPr>
        <w:br/>
      </w:r>
      <w:r w:rsidRPr="007E1B62">
        <w:rPr>
          <w:rFonts w:ascii="Verdana" w:hAnsi="Verdana" w:cs="Times New Roman"/>
          <w:b/>
          <w:color w:val="auto"/>
          <w:sz w:val="16"/>
          <w:szCs w:val="16"/>
        </w:rPr>
        <w:t>tj. od 2022 r., ograniczając tym samym potencjał kredytowy Miasta</w:t>
      </w:r>
      <w:r w:rsidRPr="007E1B62">
        <w:rPr>
          <w:rFonts w:ascii="Verdana" w:hAnsi="Verdana" w:cs="Times New Roman"/>
          <w:color w:val="auto"/>
          <w:sz w:val="16"/>
          <w:szCs w:val="16"/>
        </w:rPr>
        <w:t>. Nadmienić warto, iż ustawowy limit obsługi długu na dany rok wyznaczany jest na podstawie uśrednionej nadwyżki operacyjnej (różnica między dochodami bieżącymi a wydatkami bieżącymi) z okresu siedmiu poprzedzających lat. Oznacza to, że ograniczenie dochodów w konsekwencji programu Polski Ład zapoczątkowane od 2022 r. negatywne oddziałuje na limit obsługi długu w latach 2023-2029, natomiast ubytek dochodów w 2023 r. obniża limit obsługi długu w latach 2024-2030 i odpowiednio w kolejnych latach.</w:t>
      </w:r>
    </w:p>
    <w:p w:rsidR="008A572A" w:rsidRPr="007E1B62" w:rsidRDefault="008A572A" w:rsidP="008A572A">
      <w:pPr>
        <w:pStyle w:val="Default"/>
        <w:spacing w:before="60" w:after="60" w:line="360" w:lineRule="auto"/>
        <w:jc w:val="both"/>
        <w:rPr>
          <w:rFonts w:ascii="Verdana" w:hAnsi="Verdana" w:cs="Times New Roman"/>
          <w:b/>
          <w:color w:val="auto"/>
          <w:sz w:val="16"/>
          <w:szCs w:val="16"/>
        </w:rPr>
      </w:pPr>
      <w:r w:rsidRPr="007E1B62">
        <w:rPr>
          <w:rFonts w:ascii="Verdana" w:hAnsi="Verdana" w:cs="Times New Roman"/>
          <w:b/>
          <w:color w:val="auto"/>
          <w:sz w:val="16"/>
          <w:szCs w:val="16"/>
        </w:rPr>
        <w:t>W rezultacie parametry budżetowe na 2023 r.</w:t>
      </w:r>
      <w:r>
        <w:rPr>
          <w:rFonts w:ascii="Verdana" w:hAnsi="Verdana" w:cs="Times New Roman"/>
          <w:b/>
          <w:color w:val="auto"/>
          <w:sz w:val="16"/>
          <w:szCs w:val="16"/>
        </w:rPr>
        <w:t xml:space="preserve"> i kolejne lata</w:t>
      </w:r>
      <w:r w:rsidRPr="007E1B62">
        <w:rPr>
          <w:rFonts w:ascii="Verdana" w:hAnsi="Verdana" w:cs="Times New Roman"/>
          <w:b/>
          <w:color w:val="auto"/>
          <w:sz w:val="16"/>
          <w:szCs w:val="16"/>
        </w:rPr>
        <w:t xml:space="preserve"> opracowano z uwzględnieniem faktu, iż: </w:t>
      </w:r>
    </w:p>
    <w:p w:rsidR="008A572A" w:rsidRPr="007E1B62" w:rsidRDefault="008A572A" w:rsidP="008A572A">
      <w:pPr>
        <w:pStyle w:val="Default"/>
        <w:numPr>
          <w:ilvl w:val="0"/>
          <w:numId w:val="58"/>
        </w:numPr>
        <w:spacing w:before="60" w:after="60" w:line="360" w:lineRule="auto"/>
        <w:ind w:left="567" w:hanging="283"/>
        <w:jc w:val="both"/>
        <w:rPr>
          <w:rFonts w:ascii="Verdana" w:hAnsi="Verdana" w:cs="Times New Roman"/>
          <w:b/>
          <w:color w:val="auto"/>
          <w:sz w:val="16"/>
          <w:szCs w:val="16"/>
        </w:rPr>
      </w:pPr>
      <w:r w:rsidRPr="007E1B62">
        <w:rPr>
          <w:rFonts w:ascii="Verdana" w:hAnsi="Verdana" w:cs="Times New Roman"/>
          <w:b/>
          <w:color w:val="auto"/>
          <w:sz w:val="16"/>
          <w:szCs w:val="16"/>
        </w:rPr>
        <w:t xml:space="preserve">Zmiany systemowe w podatku PIT wprowadzone w wyniku tzw. 5 Kaczyńskiego i programu Polski Ład trwale, w istotnym wymiarze ograniczają dochody m.st. Warszawy z PIT bez zapewnienia adekwatnej do strat wysokości rekompensat. </w:t>
      </w:r>
    </w:p>
    <w:p w:rsidR="008A572A" w:rsidRPr="007E1B62" w:rsidRDefault="008A572A" w:rsidP="008A572A">
      <w:pPr>
        <w:pStyle w:val="Default"/>
        <w:numPr>
          <w:ilvl w:val="0"/>
          <w:numId w:val="58"/>
        </w:numPr>
        <w:spacing w:before="60" w:after="60" w:line="360" w:lineRule="auto"/>
        <w:ind w:left="567" w:hanging="283"/>
        <w:jc w:val="both"/>
        <w:rPr>
          <w:rFonts w:ascii="Verdana" w:hAnsi="Verdana" w:cs="Times New Roman"/>
          <w:b/>
          <w:color w:val="auto"/>
          <w:sz w:val="16"/>
          <w:szCs w:val="16"/>
        </w:rPr>
      </w:pPr>
      <w:r w:rsidRPr="007E1B62">
        <w:rPr>
          <w:rFonts w:ascii="Verdana" w:hAnsi="Verdana" w:cs="Times New Roman"/>
          <w:b/>
          <w:color w:val="auto"/>
          <w:sz w:val="16"/>
          <w:szCs w:val="16"/>
        </w:rPr>
        <w:t xml:space="preserve">Dochody m.st. Warszawy z PIT z uwzględnieniem rekompensaty zaplanowane przez Ministerstwo Finansów (MF) na 2022 r. są niższe o 5,5% w porównaniu do dochodów z PIT zrealizowanych w 2021 r., przy prognozowanej przez MF średniorocznej inflacji w 2022 r. na poziomie 13,5%. </w:t>
      </w:r>
    </w:p>
    <w:p w:rsidR="008A572A" w:rsidRPr="007E1B62" w:rsidRDefault="008A572A" w:rsidP="008A572A">
      <w:pPr>
        <w:pStyle w:val="Default"/>
        <w:numPr>
          <w:ilvl w:val="0"/>
          <w:numId w:val="58"/>
        </w:numPr>
        <w:spacing w:before="60" w:after="60" w:line="360" w:lineRule="auto"/>
        <w:ind w:left="567" w:hanging="283"/>
        <w:jc w:val="both"/>
        <w:rPr>
          <w:rFonts w:ascii="Verdana" w:hAnsi="Verdana" w:cs="Times New Roman"/>
          <w:b/>
          <w:color w:val="auto"/>
          <w:sz w:val="16"/>
          <w:szCs w:val="16"/>
        </w:rPr>
      </w:pPr>
      <w:r w:rsidRPr="007E1B62">
        <w:rPr>
          <w:rFonts w:ascii="Verdana" w:hAnsi="Verdana" w:cs="Times New Roman"/>
          <w:b/>
          <w:color w:val="auto"/>
          <w:sz w:val="16"/>
          <w:szCs w:val="16"/>
        </w:rPr>
        <w:t xml:space="preserve">Zgodnie z danymi przedstawionymi przez Ministerstwo Finansów (MF), dochody </w:t>
      </w:r>
      <w:r>
        <w:rPr>
          <w:rFonts w:ascii="Verdana" w:hAnsi="Verdana" w:cs="Times New Roman"/>
          <w:b/>
          <w:color w:val="auto"/>
          <w:sz w:val="16"/>
          <w:szCs w:val="16"/>
        </w:rPr>
        <w:br/>
      </w:r>
      <w:r w:rsidRPr="007E1B62">
        <w:rPr>
          <w:rFonts w:ascii="Verdana" w:hAnsi="Verdana" w:cs="Times New Roman"/>
          <w:b/>
          <w:color w:val="auto"/>
          <w:sz w:val="16"/>
          <w:szCs w:val="16"/>
        </w:rPr>
        <w:t>m.st. Warszawy z PIT w 2023 r. wraz z rekompensatą będą nadal niższe - o 4,1% - niż dochody z PIT uzyskane w 2021 r., przy prognozowanej przez MF skumulowanej średniorocznej inflacji w latach 2022-2023 na poziomie 24,6%</w:t>
      </w:r>
      <w:r>
        <w:rPr>
          <w:rFonts w:ascii="Verdana" w:hAnsi="Verdana" w:cs="Times New Roman"/>
          <w:b/>
          <w:color w:val="auto"/>
          <w:sz w:val="16"/>
          <w:szCs w:val="16"/>
        </w:rPr>
        <w:t>.</w:t>
      </w:r>
    </w:p>
    <w:p w:rsidR="008A572A" w:rsidRPr="007E1B62" w:rsidRDefault="008A572A" w:rsidP="008A572A">
      <w:pPr>
        <w:pStyle w:val="Default"/>
        <w:numPr>
          <w:ilvl w:val="0"/>
          <w:numId w:val="58"/>
        </w:numPr>
        <w:spacing w:before="60" w:after="60" w:line="360" w:lineRule="auto"/>
        <w:ind w:left="567" w:hanging="283"/>
        <w:jc w:val="both"/>
        <w:rPr>
          <w:rFonts w:ascii="Verdana" w:hAnsi="Verdana" w:cs="Times New Roman"/>
          <w:b/>
          <w:color w:val="auto"/>
          <w:sz w:val="16"/>
          <w:szCs w:val="16"/>
        </w:rPr>
      </w:pPr>
      <w:r w:rsidRPr="007E1B62">
        <w:rPr>
          <w:rFonts w:ascii="Verdana" w:hAnsi="Verdana" w:cs="Times New Roman"/>
          <w:b/>
          <w:color w:val="auto"/>
          <w:sz w:val="16"/>
          <w:szCs w:val="16"/>
        </w:rPr>
        <w:t xml:space="preserve">Bezwzględny spadek dochodów m.st. Warszawy z PIT z uwzględnieniem rekompensat w latach 2022-2023 w porównaniu z 2021 r., w warunkach prognozowanej przez Ministerstwo Finansów na lata 2022-2023 średniorocznej skumulowanej inflacji w wysokości 24,6% i przewidywanego wzrostu wynagrodzeń w gospodarce narodowej na poziomie 22,5%, na trwale zmniejsza potencjał dochodowy m.st. Warszawy. </w:t>
      </w:r>
    </w:p>
    <w:p w:rsidR="008A572A" w:rsidRPr="007E1B62" w:rsidRDefault="008A572A" w:rsidP="008A572A">
      <w:pPr>
        <w:pStyle w:val="Default"/>
        <w:numPr>
          <w:ilvl w:val="0"/>
          <w:numId w:val="58"/>
        </w:numPr>
        <w:spacing w:before="60" w:after="60" w:line="360" w:lineRule="auto"/>
        <w:ind w:left="567" w:hanging="283"/>
        <w:jc w:val="both"/>
        <w:rPr>
          <w:rFonts w:ascii="Verdana" w:hAnsi="Verdana" w:cs="Times New Roman"/>
          <w:b/>
          <w:color w:val="auto"/>
          <w:sz w:val="16"/>
          <w:szCs w:val="16"/>
        </w:rPr>
      </w:pPr>
      <w:r w:rsidRPr="00815F75">
        <w:rPr>
          <w:rFonts w:ascii="Verdana" w:hAnsi="Verdana"/>
          <w:b/>
          <w:sz w:val="16"/>
          <w:szCs w:val="16"/>
        </w:rPr>
        <w:t xml:space="preserve">Wpłata Warszawy do budżetu państwa w 2023 r. z tytułu tzw. Janosikowego sięgnie kwoty </w:t>
      </w:r>
      <w:r>
        <w:rPr>
          <w:rFonts w:ascii="Verdana" w:hAnsi="Verdana"/>
          <w:b/>
          <w:sz w:val="16"/>
          <w:szCs w:val="16"/>
        </w:rPr>
        <w:br/>
      </w:r>
      <w:r w:rsidRPr="00815F75">
        <w:rPr>
          <w:rFonts w:ascii="Verdana" w:hAnsi="Verdana"/>
          <w:b/>
          <w:sz w:val="16"/>
          <w:szCs w:val="16"/>
        </w:rPr>
        <w:t>1 mld 4</w:t>
      </w:r>
      <w:r>
        <w:rPr>
          <w:rFonts w:ascii="Verdana" w:hAnsi="Verdana"/>
          <w:b/>
          <w:sz w:val="16"/>
          <w:szCs w:val="16"/>
        </w:rPr>
        <w:t>20</w:t>
      </w:r>
      <w:r w:rsidRPr="00815F75">
        <w:rPr>
          <w:rFonts w:ascii="Verdana" w:hAnsi="Verdana"/>
          <w:b/>
          <w:sz w:val="16"/>
          <w:szCs w:val="16"/>
        </w:rPr>
        <w:t xml:space="preserve"> mln zł, co oznacza wzrost w stosunku do 2021 r. o 1</w:t>
      </w:r>
      <w:r>
        <w:rPr>
          <w:rFonts w:ascii="Verdana" w:hAnsi="Verdana"/>
          <w:b/>
          <w:sz w:val="16"/>
          <w:szCs w:val="16"/>
        </w:rPr>
        <w:t>26</w:t>
      </w:r>
      <w:r w:rsidRPr="00815F75">
        <w:rPr>
          <w:rFonts w:ascii="Verdana" w:hAnsi="Verdana"/>
          <w:b/>
          <w:sz w:val="16"/>
          <w:szCs w:val="16"/>
        </w:rPr>
        <w:t xml:space="preserve"> mln zł, tj. o </w:t>
      </w:r>
      <w:r>
        <w:rPr>
          <w:rFonts w:ascii="Verdana" w:hAnsi="Verdana"/>
          <w:b/>
          <w:sz w:val="16"/>
          <w:szCs w:val="16"/>
        </w:rPr>
        <w:t>9,7</w:t>
      </w:r>
      <w:r w:rsidRPr="00815F75">
        <w:rPr>
          <w:rFonts w:ascii="Verdana" w:hAnsi="Verdana"/>
          <w:b/>
          <w:sz w:val="16"/>
          <w:szCs w:val="16"/>
        </w:rPr>
        <w:t>% oraz wzr</w:t>
      </w:r>
      <w:r>
        <w:rPr>
          <w:rFonts w:ascii="Verdana" w:hAnsi="Verdana"/>
          <w:b/>
          <w:sz w:val="16"/>
          <w:szCs w:val="16"/>
        </w:rPr>
        <w:t>ost w porównaniu do 2022 r. o 116 mln zł, tj. o 8,9</w:t>
      </w:r>
      <w:r w:rsidRPr="00815F75">
        <w:rPr>
          <w:rFonts w:ascii="Verdana" w:hAnsi="Verdana"/>
          <w:b/>
          <w:sz w:val="16"/>
          <w:szCs w:val="16"/>
        </w:rPr>
        <w:t>%.</w:t>
      </w:r>
    </w:p>
    <w:p w:rsidR="008A572A" w:rsidRDefault="008A572A" w:rsidP="008A572A">
      <w:pPr>
        <w:autoSpaceDE w:val="0"/>
        <w:autoSpaceDN w:val="0"/>
        <w:adjustRightInd w:val="0"/>
        <w:spacing w:before="120" w:after="120"/>
        <w:ind w:firstLine="567"/>
        <w:jc w:val="both"/>
        <w:rPr>
          <w:rFonts w:ascii="Verdana" w:eastAsiaTheme="minorHAnsi" w:hAnsi="Verdana" w:cs="Verdana"/>
          <w:color w:val="000000"/>
          <w:sz w:val="16"/>
          <w:szCs w:val="16"/>
          <w:lang w:eastAsia="en-US"/>
        </w:rPr>
      </w:pPr>
      <w:r w:rsidRPr="005D38F6">
        <w:rPr>
          <w:rFonts w:ascii="Verdana" w:eastAsiaTheme="minorHAnsi" w:hAnsi="Verdana" w:cs="Verdana"/>
          <w:b/>
          <w:bCs/>
          <w:color w:val="000000"/>
          <w:sz w:val="16"/>
          <w:szCs w:val="16"/>
          <w:lang w:eastAsia="en-US"/>
        </w:rPr>
        <w:t xml:space="preserve">W celu minimalizacji negatywnych następstw rządowego </w:t>
      </w:r>
      <w:r>
        <w:rPr>
          <w:rFonts w:ascii="Verdana" w:eastAsiaTheme="minorHAnsi" w:hAnsi="Verdana" w:cs="Verdana"/>
          <w:b/>
          <w:bCs/>
          <w:color w:val="000000"/>
          <w:sz w:val="16"/>
          <w:szCs w:val="16"/>
          <w:lang w:eastAsia="en-US"/>
        </w:rPr>
        <w:t>p</w:t>
      </w:r>
      <w:r w:rsidRPr="005D38F6">
        <w:rPr>
          <w:rFonts w:ascii="Verdana" w:eastAsiaTheme="minorHAnsi" w:hAnsi="Verdana" w:cs="Verdana"/>
          <w:b/>
          <w:bCs/>
          <w:color w:val="000000"/>
          <w:sz w:val="16"/>
          <w:szCs w:val="16"/>
          <w:lang w:eastAsia="en-US"/>
        </w:rPr>
        <w:t xml:space="preserve">rogramu Polski Ład dla zapewnienia </w:t>
      </w:r>
      <w:r>
        <w:rPr>
          <w:rFonts w:ascii="Verdana" w:eastAsiaTheme="minorHAnsi" w:hAnsi="Verdana" w:cs="Verdana"/>
          <w:b/>
          <w:bCs/>
          <w:color w:val="000000"/>
          <w:sz w:val="16"/>
          <w:szCs w:val="16"/>
          <w:lang w:eastAsia="en-US"/>
        </w:rPr>
        <w:t>możliwie wysokiego</w:t>
      </w:r>
      <w:r w:rsidRPr="005D38F6">
        <w:rPr>
          <w:rFonts w:ascii="Verdana" w:eastAsiaTheme="minorHAnsi" w:hAnsi="Verdana" w:cs="Verdana"/>
          <w:b/>
          <w:bCs/>
          <w:color w:val="000000"/>
          <w:sz w:val="16"/>
          <w:szCs w:val="16"/>
          <w:lang w:eastAsia="en-US"/>
        </w:rPr>
        <w:t xml:space="preserve"> standardu bieżących usług publicznych, będących wynikiem znaczącej skali obniżenia potencjału dochodowego m.st. Warszawy oraz ze względu na konieczność zabezpieczenia finansowania kontynuacji realizowanego programu inwestycyjnego, założono iż dostosowania budżetowe do trwale ograniczonych dochodów będą miały charakter ewolucyjny, tzn. zostaną rozłożone w czasie. Proces absorbcji szoku dochodowego musi także uwzględniać konstytutywny wpływ na kształtowanie polityki budżetowej m.st. Warszawy wymogów ustawowych odnoszących się do limitowania co do zasady poziomu wydatków bieżących wysokością dochodów bieżących (art. 242 ustawy o finansach publicznych) oraz powiązania potencjału obsługi zadłużenia z wysokością generowanych historycznie nadwyżek operacyjnych (art. 243 ustawy o finansach publicznych). </w:t>
      </w:r>
      <w:r>
        <w:rPr>
          <w:rFonts w:ascii="Verdana" w:eastAsiaTheme="minorHAnsi" w:hAnsi="Verdana" w:cs="Verdana"/>
          <w:b/>
          <w:bCs/>
          <w:color w:val="000000"/>
          <w:sz w:val="16"/>
          <w:szCs w:val="16"/>
          <w:lang w:eastAsia="en-US"/>
        </w:rPr>
        <w:br/>
      </w:r>
      <w:r w:rsidRPr="005D38F6">
        <w:rPr>
          <w:rFonts w:ascii="Verdana" w:eastAsiaTheme="minorHAnsi" w:hAnsi="Verdana" w:cs="Verdana"/>
          <w:b/>
          <w:bCs/>
          <w:color w:val="000000"/>
          <w:sz w:val="16"/>
          <w:szCs w:val="16"/>
          <w:lang w:eastAsia="en-US"/>
        </w:rPr>
        <w:t>Z uwagi na o</w:t>
      </w:r>
      <w:r>
        <w:rPr>
          <w:rFonts w:ascii="Verdana" w:eastAsiaTheme="minorHAnsi" w:hAnsi="Verdana" w:cs="Verdana"/>
          <w:b/>
          <w:bCs/>
          <w:color w:val="000000"/>
          <w:sz w:val="16"/>
          <w:szCs w:val="16"/>
          <w:lang w:eastAsia="en-US"/>
        </w:rPr>
        <w:t>graniczenie dochodów na skutek p</w:t>
      </w:r>
      <w:r w:rsidRPr="005D38F6">
        <w:rPr>
          <w:rFonts w:ascii="Verdana" w:eastAsiaTheme="minorHAnsi" w:hAnsi="Verdana" w:cs="Verdana"/>
          <w:b/>
          <w:bCs/>
          <w:color w:val="000000"/>
          <w:sz w:val="16"/>
          <w:szCs w:val="16"/>
          <w:lang w:eastAsia="en-US"/>
        </w:rPr>
        <w:t>rogramu Polski Ład ustawowe rygory ostrożnościowe dotyczące gospodarki finansowej jednostek samorządu terytorialnego automatycznie obniżają możliwości wydatkowe m.st. Warszawy</w:t>
      </w:r>
      <w:r>
        <w:rPr>
          <w:rFonts w:ascii="Verdana" w:eastAsiaTheme="minorHAnsi" w:hAnsi="Verdana" w:cs="Verdana"/>
          <w:color w:val="000000"/>
          <w:sz w:val="16"/>
          <w:szCs w:val="16"/>
          <w:lang w:eastAsia="en-US"/>
        </w:rPr>
        <w:t>.</w:t>
      </w:r>
    </w:p>
    <w:p w:rsidR="008A572A" w:rsidRDefault="008A572A" w:rsidP="008A572A">
      <w:pPr>
        <w:autoSpaceDE w:val="0"/>
        <w:autoSpaceDN w:val="0"/>
        <w:adjustRightInd w:val="0"/>
        <w:spacing w:before="60" w:after="60"/>
        <w:jc w:val="both"/>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 xml:space="preserve">Ewolucyjny proces dostosowań budżetowych do znacząco ograniczonego potencjału dochodowego </w:t>
      </w:r>
      <w:r>
        <w:rPr>
          <w:rFonts w:ascii="Verdana" w:eastAsiaTheme="minorHAnsi" w:hAnsi="Verdana" w:cs="Verdana"/>
          <w:color w:val="000000"/>
          <w:sz w:val="16"/>
          <w:szCs w:val="16"/>
          <w:lang w:eastAsia="en-US"/>
        </w:rPr>
        <w:br/>
        <w:t xml:space="preserve">m.st. Warszawy będącego konsekwencją rozwiązań programu Polski Ład, przewiduje utrzymanie w 2023 r. zbliżonego do realnego poziomu wydatków bieżących z lat 2021-2022. Plan wydatków bieżących </w:t>
      </w:r>
      <w:r>
        <w:rPr>
          <w:rFonts w:ascii="Verdana" w:eastAsiaTheme="minorHAnsi" w:hAnsi="Verdana" w:cs="Verdana"/>
          <w:color w:val="000000"/>
          <w:sz w:val="16"/>
          <w:szCs w:val="16"/>
          <w:lang w:eastAsia="en-US"/>
        </w:rPr>
        <w:br/>
      </w:r>
      <w:r>
        <w:rPr>
          <w:rFonts w:ascii="Verdana" w:eastAsiaTheme="minorHAnsi" w:hAnsi="Verdana" w:cs="Verdana"/>
          <w:color w:val="000000"/>
          <w:sz w:val="16"/>
          <w:szCs w:val="16"/>
          <w:lang w:eastAsia="en-US"/>
        </w:rPr>
        <w:lastRenderedPageBreak/>
        <w:t xml:space="preserve">m.st. Warszawy na 2023 r. wynoszący 20,785 mld zł jest wyższy o 2,487 mld zł, tj. o 13,6%, w porównaniu </w:t>
      </w:r>
      <w:r>
        <w:rPr>
          <w:rFonts w:ascii="Verdana" w:eastAsiaTheme="minorHAnsi" w:hAnsi="Verdana" w:cs="Verdana"/>
          <w:color w:val="000000"/>
          <w:sz w:val="16"/>
          <w:szCs w:val="16"/>
          <w:lang w:eastAsia="en-US"/>
        </w:rPr>
        <w:br/>
        <w:t xml:space="preserve">z wydatkami bieżącymi poniesionymi w 2021 r. oraz wyższy o 1,117 mld zł, tj. o 5,7%, w stosunku do planowanych wydatków bieżących na 2022 r. (wg. stanu na 15 grudnia 2022 r.). Natomiast w celu zachowania porównywalności 2023 r. z latami 2021-2022 wyłączeniu podlegają wydatki związane z realizacją programu „Rodzina 500 plus”, którego obsługę od czerwca 2022 r. prowadzi Zakład Ubezpieczeń Społecznych, </w:t>
      </w:r>
      <w:r>
        <w:rPr>
          <w:rFonts w:ascii="Verdana" w:eastAsiaTheme="minorHAnsi" w:hAnsi="Verdana" w:cs="Verdana"/>
          <w:color w:val="000000"/>
          <w:sz w:val="16"/>
          <w:szCs w:val="16"/>
          <w:lang w:eastAsia="en-US"/>
        </w:rPr>
        <w:br/>
        <w:t xml:space="preserve">a także pomija się wydatki związane z pomocą obywatelom Ukrainy w związku z konfliktem zbrojnym toczonym na terytorium tego kraju. </w:t>
      </w:r>
      <w:r>
        <w:rPr>
          <w:rFonts w:ascii="Verdana" w:hAnsi="Verdana"/>
          <w:sz w:val="16"/>
          <w:szCs w:val="16"/>
        </w:rPr>
        <w:t xml:space="preserve">W warunkach porównywalnych, tj. po wyłączeniu wydatków bieżących związanych </w:t>
      </w:r>
      <w:r>
        <w:rPr>
          <w:rFonts w:ascii="Verdana" w:hAnsi="Verdana"/>
          <w:sz w:val="16"/>
          <w:szCs w:val="16"/>
        </w:rPr>
        <w:br/>
        <w:t>z realizacją programu „Rodzina 500 plus”</w:t>
      </w:r>
      <w:r w:rsidRPr="00543D26">
        <w:rPr>
          <w:rStyle w:val="Odwoanieprzypisudolnego"/>
          <w:rFonts w:ascii="Verdana" w:hAnsi="Verdana"/>
          <w:sz w:val="16"/>
          <w:szCs w:val="16"/>
        </w:rPr>
        <w:footnoteReference w:id="15"/>
      </w:r>
      <w:r>
        <w:rPr>
          <w:rFonts w:ascii="Verdana" w:hAnsi="Verdana"/>
          <w:sz w:val="16"/>
          <w:szCs w:val="16"/>
        </w:rPr>
        <w:t xml:space="preserve"> i wydatków bieżących związanych z pomocą obywatelom Ukrainy</w:t>
      </w:r>
      <w:r w:rsidRPr="00543D26">
        <w:rPr>
          <w:rStyle w:val="Odwoanieprzypisudolnego"/>
          <w:rFonts w:ascii="Verdana" w:hAnsi="Verdana"/>
          <w:sz w:val="16"/>
          <w:szCs w:val="16"/>
        </w:rPr>
        <w:footnoteReference w:id="16"/>
      </w:r>
      <w:r>
        <w:rPr>
          <w:rFonts w:ascii="Verdana" w:hAnsi="Verdana"/>
          <w:sz w:val="16"/>
          <w:szCs w:val="16"/>
        </w:rPr>
        <w:t xml:space="preserve"> </w:t>
      </w:r>
      <w:r>
        <w:rPr>
          <w:rFonts w:ascii="Verdana" w:hAnsi="Verdana"/>
          <w:sz w:val="16"/>
          <w:szCs w:val="16"/>
        </w:rPr>
        <w:br/>
        <w:t>w związku z konfliktem zbrojnym mającym miejsce na terytorium tego kraju, planowane na 2023 r. wydatki bieżące (20,610 mld zł</w:t>
      </w:r>
      <w:r w:rsidRPr="00543D26">
        <w:rPr>
          <w:rStyle w:val="Odwoanieprzypisudolnego"/>
          <w:rFonts w:ascii="Verdana" w:hAnsi="Verdana"/>
          <w:sz w:val="16"/>
          <w:szCs w:val="16"/>
        </w:rPr>
        <w:footnoteReference w:id="17"/>
      </w:r>
      <w:r>
        <w:rPr>
          <w:rFonts w:ascii="Verdana" w:hAnsi="Verdana"/>
          <w:sz w:val="16"/>
          <w:szCs w:val="16"/>
        </w:rPr>
        <w:t xml:space="preserve">) są wyższe o </w:t>
      </w:r>
      <w:r>
        <w:rPr>
          <w:rFonts w:ascii="Verdana" w:hAnsi="Verdana"/>
          <w:b/>
          <w:sz w:val="16"/>
          <w:szCs w:val="16"/>
        </w:rPr>
        <w:t>12,9</w:t>
      </w:r>
      <w:r w:rsidRPr="006C5070">
        <w:rPr>
          <w:rFonts w:ascii="Verdana" w:hAnsi="Verdana"/>
          <w:b/>
          <w:sz w:val="16"/>
          <w:szCs w:val="16"/>
        </w:rPr>
        <w:t>%</w:t>
      </w:r>
      <w:r>
        <w:rPr>
          <w:rFonts w:ascii="Verdana" w:hAnsi="Verdana"/>
          <w:sz w:val="16"/>
          <w:szCs w:val="16"/>
        </w:rPr>
        <w:t xml:space="preserve"> w stosunku do planu na 2022 r. (18,258 mld zł</w:t>
      </w:r>
      <w:r w:rsidRPr="00543D26">
        <w:rPr>
          <w:rStyle w:val="Odwoanieprzypisudolnego"/>
          <w:rFonts w:ascii="Verdana" w:hAnsi="Verdana"/>
          <w:sz w:val="16"/>
          <w:szCs w:val="16"/>
        </w:rPr>
        <w:footnoteReference w:id="18"/>
      </w:r>
      <w:r>
        <w:rPr>
          <w:rFonts w:ascii="Verdana" w:hAnsi="Verdana"/>
          <w:sz w:val="16"/>
          <w:szCs w:val="16"/>
        </w:rPr>
        <w:t xml:space="preserve">) wobec </w:t>
      </w:r>
      <w:r w:rsidRPr="006C5070">
        <w:rPr>
          <w:rFonts w:ascii="Verdana" w:hAnsi="Verdana"/>
          <w:b/>
          <w:sz w:val="16"/>
          <w:szCs w:val="16"/>
        </w:rPr>
        <w:t>9,8%</w:t>
      </w:r>
      <w:r>
        <w:rPr>
          <w:rFonts w:ascii="Verdana" w:hAnsi="Verdana"/>
          <w:sz w:val="16"/>
          <w:szCs w:val="16"/>
        </w:rPr>
        <w:t xml:space="preserve"> średniorocznej inflacji prognozowanej przez Ministerstwo Finansów na 2023 r. oraz są wyższe o </w:t>
      </w:r>
      <w:r w:rsidRPr="006C5070">
        <w:rPr>
          <w:rFonts w:ascii="Verdana" w:hAnsi="Verdana"/>
          <w:b/>
          <w:sz w:val="16"/>
          <w:szCs w:val="16"/>
        </w:rPr>
        <w:t>2</w:t>
      </w:r>
      <w:r>
        <w:rPr>
          <w:rFonts w:ascii="Verdana" w:hAnsi="Verdana"/>
          <w:b/>
          <w:sz w:val="16"/>
          <w:szCs w:val="16"/>
        </w:rPr>
        <w:t>6</w:t>
      </w:r>
      <w:r w:rsidRPr="006C5070">
        <w:rPr>
          <w:rFonts w:ascii="Verdana" w:hAnsi="Verdana"/>
          <w:b/>
          <w:sz w:val="16"/>
          <w:szCs w:val="16"/>
        </w:rPr>
        <w:t>,7%</w:t>
      </w:r>
      <w:r>
        <w:rPr>
          <w:rFonts w:ascii="Verdana" w:hAnsi="Verdana"/>
          <w:sz w:val="16"/>
          <w:szCs w:val="16"/>
        </w:rPr>
        <w:t xml:space="preserve"> </w:t>
      </w:r>
      <w:r>
        <w:rPr>
          <w:rFonts w:ascii="Verdana" w:hAnsi="Verdana"/>
          <w:sz w:val="16"/>
          <w:szCs w:val="16"/>
        </w:rPr>
        <w:br/>
        <w:t>w stosunku do wykonania w 2021 r. (16,271 mld zł</w:t>
      </w:r>
      <w:r w:rsidRPr="00543D26">
        <w:rPr>
          <w:rStyle w:val="Odwoanieprzypisudolnego"/>
          <w:rFonts w:ascii="Verdana" w:hAnsi="Verdana"/>
          <w:sz w:val="16"/>
          <w:szCs w:val="16"/>
        </w:rPr>
        <w:footnoteReference w:id="19"/>
      </w:r>
      <w:r>
        <w:rPr>
          <w:rFonts w:ascii="Verdana" w:hAnsi="Verdana"/>
          <w:sz w:val="16"/>
          <w:szCs w:val="16"/>
        </w:rPr>
        <w:t xml:space="preserve">) wobec </w:t>
      </w:r>
      <w:r w:rsidRPr="006C5070">
        <w:rPr>
          <w:rFonts w:ascii="Verdana" w:hAnsi="Verdana"/>
          <w:b/>
          <w:sz w:val="16"/>
          <w:szCs w:val="16"/>
        </w:rPr>
        <w:t>24,6%</w:t>
      </w:r>
      <w:r>
        <w:rPr>
          <w:rFonts w:ascii="Verdana" w:hAnsi="Verdana"/>
          <w:sz w:val="16"/>
          <w:szCs w:val="16"/>
        </w:rPr>
        <w:t xml:space="preserve"> skumulowanej w latach 2022-2023 średniorocznej inflacji prognozowanej przez Ministerstwo Finansów. W średnim terminie Wieloletnia Prognoza Finansowa edycji 2023-2050 przewiduje obniżenie limitów wydatków bieżących w stosunku do 2023 r. (lata 2024-2027), przy utrzymaniu poziomu wyższego w odniesieniu do lat 2021-2022, co obrazuje poniższy wykres nr 8.</w:t>
      </w:r>
      <w:r w:rsidRPr="00AA5770">
        <w:rPr>
          <w:rFonts w:ascii="Verdana" w:hAnsi="Verdana"/>
          <w:b/>
          <w:noProof/>
          <w:sz w:val="16"/>
          <w:szCs w:val="16"/>
        </w:rPr>
        <w:t xml:space="preserve"> </w:t>
      </w:r>
      <w:r>
        <w:rPr>
          <w:rFonts w:ascii="Verdana" w:hAnsi="Verdana"/>
          <w:noProof/>
          <w:sz w:val="16"/>
          <w:szCs w:val="16"/>
        </w:rPr>
        <w:t>Ustalony w budżecie</w:t>
      </w:r>
      <w:r w:rsidRPr="007D44FD">
        <w:rPr>
          <w:rFonts w:ascii="Verdana" w:hAnsi="Verdana"/>
          <w:noProof/>
          <w:sz w:val="16"/>
          <w:szCs w:val="16"/>
        </w:rPr>
        <w:t xml:space="preserve"> na </w:t>
      </w:r>
      <w:r>
        <w:rPr>
          <w:rFonts w:ascii="Verdana" w:hAnsi="Verdana"/>
          <w:noProof/>
          <w:sz w:val="16"/>
          <w:szCs w:val="16"/>
        </w:rPr>
        <w:t xml:space="preserve">2023 r. limit wydatków bieżących obejmuje już środki w wysokości </w:t>
      </w:r>
      <w:r>
        <w:rPr>
          <w:rFonts w:ascii="Verdana" w:hAnsi="Verdana"/>
          <w:b/>
          <w:noProof/>
          <w:sz w:val="16"/>
          <w:szCs w:val="16"/>
        </w:rPr>
        <w:t>430</w:t>
      </w:r>
      <w:r w:rsidRPr="00FF4034">
        <w:rPr>
          <w:rFonts w:ascii="Verdana" w:hAnsi="Verdana"/>
          <w:b/>
          <w:noProof/>
          <w:sz w:val="16"/>
          <w:szCs w:val="16"/>
        </w:rPr>
        <w:t xml:space="preserve"> mln zł</w:t>
      </w:r>
      <w:r>
        <w:rPr>
          <w:rFonts w:ascii="Verdana" w:hAnsi="Verdana"/>
          <w:noProof/>
          <w:sz w:val="16"/>
          <w:szCs w:val="16"/>
        </w:rPr>
        <w:t xml:space="preserve"> pochodzące z przewidywanych oszczędności planu wydatków bieżących w 2022 r. (kwota ta została ujętą </w:t>
      </w:r>
      <w:r>
        <w:rPr>
          <w:rFonts w:ascii="Verdana" w:hAnsi="Verdana"/>
          <w:noProof/>
          <w:sz w:val="16"/>
          <w:szCs w:val="16"/>
        </w:rPr>
        <w:br/>
        <w:t xml:space="preserve">w przychodach z tzw. wolnych środków). Ewentualne środki pochodzące z wyższych oszczędności w zakresie wydatków bieżących w 2022 r. posłużą finansowaniu wydatków bieżących w 2024 r. i latach kolejnych, </w:t>
      </w:r>
      <w:r>
        <w:rPr>
          <w:rFonts w:ascii="Verdana" w:hAnsi="Verdana"/>
          <w:noProof/>
          <w:sz w:val="16"/>
          <w:szCs w:val="16"/>
        </w:rPr>
        <w:br/>
        <w:t>w szczególności w obszarze edukacji.</w:t>
      </w:r>
    </w:p>
    <w:p w:rsidR="008A572A" w:rsidRDefault="008A572A" w:rsidP="008A572A">
      <w:pPr>
        <w:tabs>
          <w:tab w:val="left" w:pos="567"/>
        </w:tabs>
        <w:spacing w:before="120" w:after="60" w:line="240" w:lineRule="auto"/>
        <w:ind w:left="567" w:hanging="567"/>
        <w:rPr>
          <w:rFonts w:ascii="Verdana" w:hAnsi="Verdana" w:cs="Verdana"/>
          <w:sz w:val="16"/>
          <w:szCs w:val="16"/>
        </w:rPr>
      </w:pPr>
      <w:r w:rsidRPr="00011AAA">
        <w:rPr>
          <w:rFonts w:ascii="Verdana" w:hAnsi="Verdana"/>
          <w:b/>
          <w:bCs/>
          <w:iCs/>
          <w:sz w:val="14"/>
          <w:szCs w:val="14"/>
        </w:rPr>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sidR="00DB2126">
        <w:rPr>
          <w:rFonts w:ascii="Verdana" w:hAnsi="Verdana"/>
          <w:b/>
          <w:bCs/>
          <w:iCs/>
          <w:noProof/>
          <w:sz w:val="14"/>
          <w:szCs w:val="14"/>
        </w:rPr>
        <w:t>8</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 xml:space="preserve">LIMITY WYDATKÓW BIEŻĄCYCH NA LATA 2023-2031 NA TLE LAT 2021-2022 W M.ST. WARSZAWA </w:t>
      </w:r>
      <w:r>
        <w:rPr>
          <w:rFonts w:ascii="Verdana" w:hAnsi="Verdana" w:cs="Arial"/>
          <w:b/>
          <w:bCs/>
          <w:iCs/>
          <w:sz w:val="14"/>
          <w:szCs w:val="14"/>
        </w:rPr>
        <w:br/>
        <w:t xml:space="preserve">   W WARUNKACH PORÓWNYWALNYCH, TJ. PO WYŁĄCZENIU WYDATKÓW ZWIĄZANYCH Z PROGRAMEM </w:t>
      </w:r>
      <w:r>
        <w:rPr>
          <w:rFonts w:ascii="Verdana" w:hAnsi="Verdana" w:cs="Arial"/>
          <w:b/>
          <w:bCs/>
          <w:iCs/>
          <w:sz w:val="14"/>
          <w:szCs w:val="14"/>
        </w:rPr>
        <w:br/>
        <w:t xml:space="preserve">  „RODZINA 500 PLUS” I WYDATKÓW ZWIĄZANYCH Z POMOCĄ OBYWATELOM UKRAINY </w:t>
      </w:r>
      <w:r>
        <w:rPr>
          <w:rFonts w:ascii="Verdana" w:hAnsi="Verdana" w:cs="Arial"/>
          <w:bCs/>
          <w:iCs/>
          <w:sz w:val="14"/>
          <w:szCs w:val="14"/>
        </w:rPr>
        <w:t>[w mln zł]</w:t>
      </w:r>
    </w:p>
    <w:p w:rsidR="008A572A" w:rsidRDefault="008A572A" w:rsidP="008A572A">
      <w:pPr>
        <w:spacing w:before="60" w:after="60"/>
        <w:jc w:val="both"/>
        <w:rPr>
          <w:rFonts w:ascii="Verdana" w:hAnsi="Verdana" w:cs="Verdana"/>
          <w:sz w:val="16"/>
          <w:szCs w:val="16"/>
        </w:rPr>
      </w:pPr>
      <w:r>
        <w:rPr>
          <w:rFonts w:ascii="Verdana" w:hAnsi="Verdana" w:cs="Verdana"/>
          <w:noProof/>
          <w:sz w:val="16"/>
          <w:szCs w:val="16"/>
        </w:rPr>
        <w:drawing>
          <wp:inline distT="0" distB="0" distL="0" distR="0" wp14:anchorId="4FA22A06" wp14:editId="1B331281">
            <wp:extent cx="4650691" cy="2407577"/>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0795" cy="2417984"/>
                    </a:xfrm>
                    <a:prstGeom prst="rect">
                      <a:avLst/>
                    </a:prstGeom>
                    <a:noFill/>
                  </pic:spPr>
                </pic:pic>
              </a:graphicData>
            </a:graphic>
          </wp:inline>
        </w:drawing>
      </w:r>
    </w:p>
    <w:p w:rsidR="008A572A" w:rsidRDefault="008A572A" w:rsidP="008A572A">
      <w:pPr>
        <w:autoSpaceDE w:val="0"/>
        <w:autoSpaceDN w:val="0"/>
        <w:adjustRightInd w:val="0"/>
        <w:spacing w:before="60" w:after="60"/>
        <w:jc w:val="both"/>
        <w:rPr>
          <w:rFonts w:ascii="Verdana" w:eastAsiaTheme="minorHAnsi" w:hAnsi="Verdana" w:cs="Verdana"/>
          <w:color w:val="000000"/>
          <w:sz w:val="16"/>
          <w:szCs w:val="16"/>
          <w:lang w:eastAsia="en-US"/>
        </w:rPr>
      </w:pPr>
      <w:r w:rsidRPr="005D38F6">
        <w:rPr>
          <w:rFonts w:ascii="Verdana" w:eastAsiaTheme="minorHAnsi" w:hAnsi="Verdana" w:cs="Verdana"/>
          <w:color w:val="000000"/>
          <w:sz w:val="16"/>
          <w:szCs w:val="16"/>
          <w:lang w:eastAsia="en-US"/>
        </w:rPr>
        <w:lastRenderedPageBreak/>
        <w:t>Z uwagi na założone stopniowe dostosowania budżetowe do trwale ograniczonych dochodó</w:t>
      </w:r>
      <w:r>
        <w:rPr>
          <w:rFonts w:ascii="Verdana" w:eastAsiaTheme="minorHAnsi" w:hAnsi="Verdana" w:cs="Verdana"/>
          <w:color w:val="000000"/>
          <w:sz w:val="16"/>
          <w:szCs w:val="16"/>
          <w:lang w:eastAsia="en-US"/>
        </w:rPr>
        <w:t xml:space="preserve">w, budżet </w:t>
      </w:r>
      <w:r>
        <w:rPr>
          <w:rFonts w:ascii="Verdana" w:eastAsiaTheme="minorHAnsi" w:hAnsi="Verdana" w:cs="Verdana"/>
          <w:color w:val="000000"/>
          <w:sz w:val="16"/>
          <w:szCs w:val="16"/>
          <w:lang w:eastAsia="en-US"/>
        </w:rPr>
        <w:br/>
        <w:t>m.st. Warszawy na 2023</w:t>
      </w:r>
      <w:r w:rsidRPr="005D38F6">
        <w:rPr>
          <w:rFonts w:ascii="Verdana" w:eastAsiaTheme="minorHAnsi" w:hAnsi="Verdana" w:cs="Verdana"/>
          <w:color w:val="000000"/>
          <w:sz w:val="16"/>
          <w:szCs w:val="16"/>
          <w:lang w:eastAsia="en-US"/>
        </w:rPr>
        <w:t xml:space="preserve"> r. przewiduje wystąpienie </w:t>
      </w:r>
      <w:r w:rsidRPr="005D38F6">
        <w:rPr>
          <w:rFonts w:ascii="Verdana" w:eastAsiaTheme="minorHAnsi" w:hAnsi="Verdana" w:cs="Verdana"/>
          <w:b/>
          <w:bCs/>
          <w:color w:val="000000"/>
          <w:sz w:val="16"/>
          <w:szCs w:val="16"/>
          <w:lang w:eastAsia="en-US"/>
        </w:rPr>
        <w:t xml:space="preserve">deficytu operacyjnego w kwocie </w:t>
      </w:r>
      <w:r>
        <w:rPr>
          <w:rFonts w:ascii="Verdana" w:eastAsiaTheme="minorHAnsi" w:hAnsi="Verdana" w:cs="Verdana"/>
          <w:b/>
          <w:bCs/>
          <w:color w:val="000000"/>
          <w:sz w:val="16"/>
          <w:szCs w:val="16"/>
          <w:lang w:eastAsia="en-US"/>
        </w:rPr>
        <w:t>1,496 mld</w:t>
      </w:r>
      <w:r w:rsidRPr="005D38F6">
        <w:rPr>
          <w:rFonts w:ascii="Verdana" w:eastAsiaTheme="minorHAnsi" w:hAnsi="Verdana" w:cs="Verdana"/>
          <w:b/>
          <w:bCs/>
          <w:color w:val="000000"/>
          <w:sz w:val="16"/>
          <w:szCs w:val="16"/>
          <w:lang w:eastAsia="en-US"/>
        </w:rPr>
        <w:t xml:space="preserve"> zł</w:t>
      </w:r>
      <w:r>
        <w:rPr>
          <w:rFonts w:ascii="Verdana" w:eastAsiaTheme="minorHAnsi" w:hAnsi="Verdana" w:cs="Verdana"/>
          <w:color w:val="000000"/>
          <w:sz w:val="16"/>
          <w:szCs w:val="16"/>
          <w:lang w:eastAsia="en-US"/>
        </w:rPr>
        <w:t>.</w:t>
      </w:r>
      <w:r w:rsidRPr="005D38F6">
        <w:rPr>
          <w:rFonts w:ascii="Verdana" w:eastAsiaTheme="minorHAnsi" w:hAnsi="Verdana" w:cs="Verdana"/>
          <w:color w:val="000000"/>
          <w:sz w:val="16"/>
          <w:szCs w:val="16"/>
          <w:lang w:eastAsia="en-US"/>
        </w:rPr>
        <w:t xml:space="preserve"> </w:t>
      </w:r>
      <w:r>
        <w:rPr>
          <w:rFonts w:ascii="Verdana" w:eastAsiaTheme="minorHAnsi" w:hAnsi="Verdana" w:cs="Verdana"/>
          <w:color w:val="000000"/>
          <w:sz w:val="16"/>
          <w:szCs w:val="16"/>
          <w:lang w:eastAsia="en-US"/>
        </w:rPr>
        <w:t>Oznacza to</w:t>
      </w:r>
      <w:r w:rsidRPr="005D38F6">
        <w:rPr>
          <w:rFonts w:ascii="Verdana" w:eastAsiaTheme="minorHAnsi" w:hAnsi="Verdana" w:cs="Verdana"/>
          <w:color w:val="000000"/>
          <w:sz w:val="16"/>
          <w:szCs w:val="16"/>
          <w:lang w:eastAsia="en-US"/>
        </w:rPr>
        <w:t xml:space="preserve"> nierównowagę dochodów</w:t>
      </w:r>
      <w:r>
        <w:rPr>
          <w:rFonts w:ascii="Verdana" w:eastAsiaTheme="minorHAnsi" w:hAnsi="Verdana" w:cs="Verdana"/>
          <w:color w:val="000000"/>
          <w:sz w:val="16"/>
          <w:szCs w:val="16"/>
          <w:lang w:eastAsia="en-US"/>
        </w:rPr>
        <w:t xml:space="preserve"> bieżących i wydatków bieżących</w:t>
      </w:r>
      <w:r w:rsidRPr="005D38F6">
        <w:rPr>
          <w:rFonts w:ascii="Verdana" w:eastAsiaTheme="minorHAnsi" w:hAnsi="Verdana" w:cs="Verdana"/>
          <w:color w:val="000000"/>
          <w:sz w:val="16"/>
          <w:szCs w:val="16"/>
          <w:lang w:eastAsia="en-US"/>
        </w:rPr>
        <w:t xml:space="preserve"> na poziomie </w:t>
      </w:r>
      <w:r>
        <w:rPr>
          <w:rFonts w:ascii="Verdana" w:eastAsiaTheme="minorHAnsi" w:hAnsi="Verdana" w:cs="Verdana"/>
          <w:b/>
          <w:bCs/>
          <w:color w:val="000000"/>
          <w:sz w:val="16"/>
          <w:szCs w:val="16"/>
          <w:lang w:eastAsia="en-US"/>
        </w:rPr>
        <w:t>7,2</w:t>
      </w:r>
      <w:r w:rsidRPr="005D38F6">
        <w:rPr>
          <w:rFonts w:ascii="Verdana" w:eastAsiaTheme="minorHAnsi" w:hAnsi="Verdana" w:cs="Verdana"/>
          <w:b/>
          <w:bCs/>
          <w:color w:val="000000"/>
          <w:sz w:val="16"/>
          <w:szCs w:val="16"/>
          <w:lang w:eastAsia="en-US"/>
        </w:rPr>
        <w:t>%</w:t>
      </w:r>
      <w:r>
        <w:rPr>
          <w:rFonts w:ascii="Verdana" w:eastAsiaTheme="minorHAnsi" w:hAnsi="Verdana" w:cs="Verdana"/>
          <w:b/>
          <w:bCs/>
          <w:color w:val="000000"/>
          <w:sz w:val="16"/>
          <w:szCs w:val="16"/>
          <w:lang w:eastAsia="en-US"/>
        </w:rPr>
        <w:t xml:space="preserve"> </w:t>
      </w:r>
      <w:r w:rsidRPr="00D06BC1">
        <w:rPr>
          <w:rFonts w:ascii="Verdana" w:eastAsiaTheme="minorHAnsi" w:hAnsi="Verdana" w:cs="Verdana"/>
          <w:bCs/>
          <w:color w:val="000000"/>
          <w:sz w:val="16"/>
          <w:szCs w:val="16"/>
          <w:lang w:eastAsia="en-US"/>
        </w:rPr>
        <w:t>poziomu wydatków bieżących</w:t>
      </w:r>
      <w:r w:rsidRPr="005D38F6">
        <w:rPr>
          <w:rFonts w:ascii="Verdana" w:eastAsiaTheme="minorHAnsi" w:hAnsi="Verdana" w:cs="Verdana"/>
          <w:b/>
          <w:bCs/>
          <w:color w:val="000000"/>
          <w:sz w:val="16"/>
          <w:szCs w:val="16"/>
          <w:lang w:eastAsia="en-US"/>
        </w:rPr>
        <w:t xml:space="preserve"> </w:t>
      </w:r>
      <w:r>
        <w:rPr>
          <w:rFonts w:ascii="Verdana" w:eastAsiaTheme="minorHAnsi" w:hAnsi="Verdana" w:cs="Verdana"/>
          <w:b/>
          <w:bCs/>
          <w:color w:val="000000"/>
          <w:sz w:val="16"/>
          <w:szCs w:val="16"/>
          <w:lang w:eastAsia="en-US"/>
        </w:rPr>
        <w:br/>
      </w:r>
      <w:r w:rsidRPr="005D38F6">
        <w:rPr>
          <w:rFonts w:ascii="Verdana" w:eastAsiaTheme="minorHAnsi" w:hAnsi="Verdana" w:cs="Verdana"/>
          <w:color w:val="000000"/>
          <w:sz w:val="16"/>
          <w:szCs w:val="16"/>
          <w:lang w:eastAsia="en-US"/>
        </w:rPr>
        <w:t>(w kwestii formalnej zmienione przepisy ustaw</w:t>
      </w:r>
      <w:r>
        <w:rPr>
          <w:rFonts w:ascii="Verdana" w:eastAsiaTheme="minorHAnsi" w:hAnsi="Verdana" w:cs="Verdana"/>
          <w:color w:val="000000"/>
          <w:sz w:val="16"/>
          <w:szCs w:val="16"/>
          <w:lang w:eastAsia="en-US"/>
        </w:rPr>
        <w:t>owe pozwalają na pokrycie w 2023</w:t>
      </w:r>
      <w:r w:rsidRPr="005D38F6">
        <w:rPr>
          <w:rFonts w:ascii="Verdana" w:eastAsiaTheme="minorHAnsi" w:hAnsi="Verdana" w:cs="Verdana"/>
          <w:color w:val="000000"/>
          <w:sz w:val="16"/>
          <w:szCs w:val="16"/>
          <w:lang w:eastAsia="en-US"/>
        </w:rPr>
        <w:t xml:space="preserve"> r. deficytu operacyjnego </w:t>
      </w:r>
      <w:r>
        <w:rPr>
          <w:rFonts w:ascii="Verdana" w:eastAsiaTheme="minorHAnsi" w:hAnsi="Verdana" w:cs="Verdana"/>
          <w:color w:val="000000"/>
          <w:sz w:val="16"/>
          <w:szCs w:val="16"/>
          <w:lang w:eastAsia="en-US"/>
        </w:rPr>
        <w:br/>
      </w:r>
      <w:r w:rsidRPr="005D38F6">
        <w:rPr>
          <w:rFonts w:ascii="Verdana" w:eastAsiaTheme="minorHAnsi" w:hAnsi="Verdana" w:cs="Verdana"/>
          <w:color w:val="000000"/>
          <w:sz w:val="16"/>
          <w:szCs w:val="16"/>
          <w:lang w:eastAsia="en-US"/>
        </w:rPr>
        <w:t>tzw. wolnymi środkami</w:t>
      </w:r>
      <w:r>
        <w:rPr>
          <w:rFonts w:ascii="Verdana" w:eastAsiaTheme="minorHAnsi" w:hAnsi="Verdana" w:cs="Verdana"/>
          <w:color w:val="000000"/>
          <w:sz w:val="16"/>
          <w:szCs w:val="16"/>
          <w:lang w:eastAsia="en-US"/>
        </w:rPr>
        <w:t xml:space="preserve"> oraz środkami z lokat – art. 242 ustawy o finansach publicznych</w:t>
      </w:r>
      <w:r w:rsidRPr="005D38F6">
        <w:rPr>
          <w:rFonts w:ascii="Verdana" w:eastAsiaTheme="minorHAnsi" w:hAnsi="Verdana" w:cs="Verdana"/>
          <w:color w:val="000000"/>
          <w:sz w:val="16"/>
          <w:szCs w:val="16"/>
          <w:lang w:eastAsia="en-US"/>
        </w:rPr>
        <w:t xml:space="preserve">). </w:t>
      </w:r>
      <w:r>
        <w:rPr>
          <w:rFonts w:ascii="Verdana" w:hAnsi="Verdana" w:cs="Verdana"/>
          <w:color w:val="000000"/>
          <w:sz w:val="16"/>
          <w:szCs w:val="16"/>
        </w:rPr>
        <w:t xml:space="preserve">Po uwzględnieniu kwoty </w:t>
      </w:r>
      <w:r w:rsidRPr="009731B4">
        <w:rPr>
          <w:rFonts w:ascii="Verdana" w:hAnsi="Verdana" w:cs="Verdana"/>
          <w:b/>
          <w:color w:val="000000"/>
          <w:sz w:val="16"/>
          <w:szCs w:val="16"/>
        </w:rPr>
        <w:t>852 mln zł</w:t>
      </w:r>
      <w:r>
        <w:rPr>
          <w:rFonts w:ascii="Verdana" w:hAnsi="Verdana" w:cs="Verdana"/>
          <w:color w:val="000000"/>
          <w:sz w:val="16"/>
          <w:szCs w:val="16"/>
        </w:rPr>
        <w:t xml:space="preserve"> należnej na 2023 r. subwencji rozwojowej, która została przekazana w 2022 r. (środki te przechodzące z 2022 r. w formie przelewów z rachunków lokat</w:t>
      </w:r>
      <w:r w:rsidRPr="007864D0">
        <w:rPr>
          <w:rFonts w:ascii="Verdana" w:hAnsi="Verdana" w:cs="Verdana"/>
          <w:color w:val="000000"/>
          <w:sz w:val="16"/>
          <w:szCs w:val="16"/>
        </w:rPr>
        <w:t xml:space="preserve"> </w:t>
      </w:r>
      <w:r>
        <w:rPr>
          <w:rFonts w:ascii="Verdana" w:hAnsi="Verdana" w:cs="Verdana"/>
          <w:color w:val="000000"/>
          <w:sz w:val="16"/>
          <w:szCs w:val="16"/>
        </w:rPr>
        <w:t xml:space="preserve">zostaną wykorzystane w 2023 r.), skorygowany o tę kwotę planowany na 2023 r. deficyt operacyjny wynosi </w:t>
      </w:r>
      <w:r>
        <w:rPr>
          <w:rFonts w:ascii="Verdana" w:hAnsi="Verdana" w:cs="Verdana"/>
          <w:b/>
          <w:color w:val="000000"/>
          <w:sz w:val="16"/>
          <w:szCs w:val="16"/>
        </w:rPr>
        <w:t>644</w:t>
      </w:r>
      <w:r w:rsidRPr="009731B4">
        <w:rPr>
          <w:rFonts w:ascii="Verdana" w:hAnsi="Verdana" w:cs="Verdana"/>
          <w:b/>
          <w:color w:val="000000"/>
          <w:sz w:val="16"/>
          <w:szCs w:val="16"/>
        </w:rPr>
        <w:t xml:space="preserve"> mln zł</w:t>
      </w:r>
      <w:r>
        <w:rPr>
          <w:rFonts w:ascii="Verdana" w:hAnsi="Verdana" w:cs="Verdana"/>
          <w:color w:val="000000"/>
          <w:sz w:val="16"/>
          <w:szCs w:val="16"/>
        </w:rPr>
        <w:t xml:space="preserve"> stanowiąc </w:t>
      </w:r>
      <w:r>
        <w:rPr>
          <w:rFonts w:ascii="Verdana" w:hAnsi="Verdana" w:cs="Verdana"/>
          <w:b/>
          <w:color w:val="000000"/>
          <w:sz w:val="16"/>
          <w:szCs w:val="16"/>
        </w:rPr>
        <w:t>3,1</w:t>
      </w:r>
      <w:r w:rsidRPr="009731B4">
        <w:rPr>
          <w:rFonts w:ascii="Verdana" w:hAnsi="Verdana" w:cs="Verdana"/>
          <w:b/>
          <w:color w:val="000000"/>
          <w:sz w:val="16"/>
          <w:szCs w:val="16"/>
        </w:rPr>
        <w:t>%</w:t>
      </w:r>
      <w:r>
        <w:rPr>
          <w:rFonts w:ascii="Verdana" w:hAnsi="Verdana" w:cs="Verdana"/>
          <w:color w:val="000000"/>
          <w:sz w:val="16"/>
          <w:szCs w:val="16"/>
        </w:rPr>
        <w:t xml:space="preserve"> w odniesieniu do planowanych wydatków bieżących. </w:t>
      </w:r>
      <w:r w:rsidRPr="005D38F6">
        <w:rPr>
          <w:rFonts w:ascii="Verdana" w:eastAsiaTheme="minorHAnsi" w:hAnsi="Verdana" w:cs="Verdana"/>
          <w:color w:val="000000"/>
          <w:sz w:val="16"/>
          <w:szCs w:val="16"/>
          <w:lang w:eastAsia="en-US"/>
        </w:rPr>
        <w:t xml:space="preserve">W kolejnych latach zgodnie z </w:t>
      </w:r>
      <w:r>
        <w:rPr>
          <w:rFonts w:ascii="Verdana" w:eastAsiaTheme="minorHAnsi" w:hAnsi="Verdana" w:cs="Verdana"/>
          <w:color w:val="000000"/>
          <w:sz w:val="16"/>
          <w:szCs w:val="16"/>
          <w:lang w:eastAsia="en-US"/>
        </w:rPr>
        <w:t>Wieloletnią Prognozą Finansową</w:t>
      </w:r>
      <w:r w:rsidRPr="005D38F6">
        <w:rPr>
          <w:rFonts w:ascii="Verdana" w:eastAsiaTheme="minorHAnsi" w:hAnsi="Verdana" w:cs="Verdana"/>
          <w:color w:val="000000"/>
          <w:sz w:val="16"/>
          <w:szCs w:val="16"/>
          <w:lang w:eastAsia="en-US"/>
        </w:rPr>
        <w:t xml:space="preserve"> edycji 202</w:t>
      </w:r>
      <w:r>
        <w:rPr>
          <w:rFonts w:ascii="Verdana" w:eastAsiaTheme="minorHAnsi" w:hAnsi="Verdana" w:cs="Verdana"/>
          <w:color w:val="000000"/>
          <w:sz w:val="16"/>
          <w:szCs w:val="16"/>
          <w:lang w:eastAsia="en-US"/>
        </w:rPr>
        <w:t>3</w:t>
      </w:r>
      <w:r w:rsidRPr="005D38F6">
        <w:rPr>
          <w:rFonts w:ascii="Verdana" w:eastAsiaTheme="minorHAnsi" w:hAnsi="Verdana" w:cs="Verdana"/>
          <w:color w:val="000000"/>
          <w:sz w:val="16"/>
          <w:szCs w:val="16"/>
          <w:lang w:eastAsia="en-US"/>
        </w:rPr>
        <w:t>-2050 konieczny będzie powrót do generowania nadwyżek operacyjnych</w:t>
      </w:r>
      <w:r>
        <w:rPr>
          <w:rFonts w:ascii="Verdana" w:eastAsiaTheme="minorHAnsi" w:hAnsi="Verdana" w:cs="Verdana"/>
          <w:color w:val="000000"/>
          <w:sz w:val="16"/>
          <w:szCs w:val="16"/>
          <w:lang w:eastAsia="en-US"/>
        </w:rPr>
        <w:t xml:space="preserve">, z przejściowym wystąpieniem deficytu operacyjnego jeszcze w 2024 r. w wysokości </w:t>
      </w:r>
      <w:r>
        <w:rPr>
          <w:rFonts w:ascii="Verdana" w:eastAsiaTheme="minorHAnsi" w:hAnsi="Verdana" w:cs="Verdana"/>
          <w:b/>
          <w:color w:val="000000"/>
          <w:sz w:val="16"/>
          <w:szCs w:val="16"/>
          <w:lang w:eastAsia="en-US"/>
        </w:rPr>
        <w:t>164,5</w:t>
      </w:r>
      <w:r w:rsidRPr="00D06BC1">
        <w:rPr>
          <w:rFonts w:ascii="Verdana" w:eastAsiaTheme="minorHAnsi" w:hAnsi="Verdana" w:cs="Verdana"/>
          <w:b/>
          <w:color w:val="000000"/>
          <w:sz w:val="16"/>
          <w:szCs w:val="16"/>
          <w:lang w:eastAsia="en-US"/>
        </w:rPr>
        <w:t xml:space="preserve"> mln zł</w:t>
      </w:r>
      <w:r>
        <w:rPr>
          <w:rFonts w:ascii="Verdana" w:eastAsiaTheme="minorHAnsi" w:hAnsi="Verdana" w:cs="Verdana"/>
          <w:color w:val="000000"/>
          <w:sz w:val="16"/>
          <w:szCs w:val="16"/>
          <w:lang w:eastAsia="en-US"/>
        </w:rPr>
        <w:t xml:space="preserve"> (obowiązujące przepisy umożliwiają badanie spełnienia ustawowej reguły obsługi długu łącznie dla lat 2022-2025), co prezentuje poniższy wykres nr 9.</w:t>
      </w:r>
      <w:r w:rsidRPr="005D38F6">
        <w:rPr>
          <w:rFonts w:ascii="Verdana" w:eastAsiaTheme="minorHAnsi" w:hAnsi="Verdana" w:cs="Verdana"/>
          <w:color w:val="000000"/>
          <w:sz w:val="16"/>
          <w:szCs w:val="16"/>
          <w:lang w:eastAsia="en-US"/>
        </w:rPr>
        <w:t xml:space="preserve"> </w:t>
      </w:r>
      <w:r>
        <w:rPr>
          <w:rFonts w:ascii="Verdana" w:eastAsiaTheme="minorHAnsi" w:hAnsi="Verdana" w:cs="Verdana"/>
          <w:color w:val="000000"/>
          <w:sz w:val="16"/>
          <w:szCs w:val="16"/>
          <w:lang w:eastAsia="en-US"/>
        </w:rPr>
        <w:t>Konieczność zapewnienia odpowiedniej wysokości nadwyżek operacyjnych wynika z przepisów ustawowych wiążących potencjał obsługi długu z historycznie uzyskiwanymi nadwyżkami dochodów bieżących nad wydatkami bieżącymi (art. 243 ustawy o finansach publicznych).</w:t>
      </w:r>
    </w:p>
    <w:p w:rsidR="008A572A" w:rsidRDefault="008A572A" w:rsidP="008A572A">
      <w:pPr>
        <w:tabs>
          <w:tab w:val="left" w:pos="567"/>
        </w:tabs>
        <w:spacing w:before="120" w:after="60" w:line="240" w:lineRule="auto"/>
        <w:ind w:left="567" w:hanging="567"/>
        <w:rPr>
          <w:rFonts w:ascii="Verdana" w:hAnsi="Verdana" w:cs="Verdana"/>
          <w:sz w:val="16"/>
          <w:szCs w:val="16"/>
        </w:rPr>
      </w:pPr>
      <w:r w:rsidRPr="00011AAA">
        <w:rPr>
          <w:rFonts w:ascii="Verdana" w:hAnsi="Verdana"/>
          <w:b/>
          <w:bCs/>
          <w:iCs/>
          <w:sz w:val="14"/>
          <w:szCs w:val="14"/>
        </w:rPr>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sidR="00DB2126">
        <w:rPr>
          <w:rFonts w:ascii="Verdana" w:hAnsi="Verdana"/>
          <w:b/>
          <w:bCs/>
          <w:iCs/>
          <w:noProof/>
          <w:sz w:val="14"/>
          <w:szCs w:val="14"/>
        </w:rPr>
        <w:t>9</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 xml:space="preserve">PROGNOZA RELACJI DOCHODÓW BIEŻĄCYCH DO WYDATKÓW BIEŻĄCYCH NA LATA 2023-2031 </w:t>
      </w:r>
      <w:r>
        <w:rPr>
          <w:rFonts w:ascii="Verdana" w:hAnsi="Verdana" w:cs="Arial"/>
          <w:b/>
          <w:bCs/>
          <w:iCs/>
          <w:sz w:val="14"/>
          <w:szCs w:val="14"/>
        </w:rPr>
        <w:br/>
        <w:t xml:space="preserve">    NA TLE 2022 R. W M.ST. WARSZAWA </w:t>
      </w:r>
      <w:r>
        <w:rPr>
          <w:rFonts w:ascii="Verdana" w:hAnsi="Verdana" w:cs="Arial"/>
          <w:bCs/>
          <w:iCs/>
          <w:sz w:val="14"/>
          <w:szCs w:val="14"/>
        </w:rPr>
        <w:t>[w %]</w:t>
      </w:r>
    </w:p>
    <w:p w:rsidR="008A572A" w:rsidRDefault="008A572A" w:rsidP="008A572A">
      <w:pPr>
        <w:spacing w:before="60" w:after="60"/>
        <w:jc w:val="both"/>
        <w:rPr>
          <w:rFonts w:ascii="Verdana" w:hAnsi="Verdana" w:cs="Verdana"/>
          <w:sz w:val="16"/>
          <w:szCs w:val="16"/>
        </w:rPr>
      </w:pPr>
      <w:r w:rsidRPr="00757BE7">
        <w:rPr>
          <w:noProof/>
        </w:rPr>
        <w:drawing>
          <wp:inline distT="0" distB="0" distL="0" distR="0" wp14:anchorId="1159AF0A" wp14:editId="389CD3BF">
            <wp:extent cx="5760085" cy="2242023"/>
            <wp:effectExtent l="0" t="0" r="0" b="635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85" cy="2242023"/>
                    </a:xfrm>
                    <a:prstGeom prst="rect">
                      <a:avLst/>
                    </a:prstGeom>
                    <a:noFill/>
                    <a:ln>
                      <a:noFill/>
                    </a:ln>
                  </pic:spPr>
                </pic:pic>
              </a:graphicData>
            </a:graphic>
          </wp:inline>
        </w:drawing>
      </w:r>
    </w:p>
    <w:p w:rsidR="008A572A" w:rsidRDefault="008A572A" w:rsidP="008A572A">
      <w:pPr>
        <w:autoSpaceDE w:val="0"/>
        <w:autoSpaceDN w:val="0"/>
        <w:adjustRightInd w:val="0"/>
        <w:spacing w:before="60" w:after="60"/>
        <w:jc w:val="both"/>
        <w:rPr>
          <w:rFonts w:ascii="Verdana" w:eastAsiaTheme="minorHAnsi" w:hAnsi="Verdana" w:cs="Verdana"/>
          <w:sz w:val="16"/>
          <w:szCs w:val="16"/>
          <w:lang w:eastAsia="en-US"/>
        </w:rPr>
      </w:pPr>
      <w:r w:rsidRPr="005D38F6">
        <w:rPr>
          <w:rFonts w:ascii="Verdana" w:eastAsiaTheme="minorHAnsi" w:hAnsi="Verdana" w:cs="Verdana"/>
          <w:sz w:val="16"/>
          <w:szCs w:val="16"/>
          <w:lang w:eastAsia="en-US"/>
        </w:rPr>
        <w:t xml:space="preserve">Założona ścieżka adaptacji parametrów budżetowych do trwale obniżonych dochodów z udziału w PIT zachowuje </w:t>
      </w:r>
      <w:r w:rsidRPr="005D38F6">
        <w:rPr>
          <w:rFonts w:ascii="Verdana" w:eastAsiaTheme="minorHAnsi" w:hAnsi="Verdana" w:cs="Verdana"/>
          <w:b/>
          <w:bCs/>
          <w:sz w:val="16"/>
          <w:szCs w:val="16"/>
          <w:lang w:eastAsia="en-US"/>
        </w:rPr>
        <w:t xml:space="preserve">minimalną przestrzeń między ustawowym limitem a wskaźnikiem obsługi długu na poziomie </w:t>
      </w:r>
      <w:r>
        <w:rPr>
          <w:rFonts w:ascii="Verdana" w:eastAsiaTheme="minorHAnsi" w:hAnsi="Verdana" w:cs="Verdana"/>
          <w:b/>
          <w:bCs/>
          <w:sz w:val="16"/>
          <w:szCs w:val="16"/>
          <w:lang w:eastAsia="en-US"/>
        </w:rPr>
        <w:br/>
      </w:r>
      <w:r w:rsidRPr="005D38F6">
        <w:rPr>
          <w:rFonts w:ascii="Verdana" w:eastAsiaTheme="minorHAnsi" w:hAnsi="Verdana" w:cs="Verdana"/>
          <w:b/>
          <w:bCs/>
          <w:sz w:val="16"/>
          <w:szCs w:val="16"/>
          <w:lang w:eastAsia="en-US"/>
        </w:rPr>
        <w:t>0,</w:t>
      </w:r>
      <w:r>
        <w:rPr>
          <w:rFonts w:ascii="Verdana" w:eastAsiaTheme="minorHAnsi" w:hAnsi="Verdana" w:cs="Verdana"/>
          <w:b/>
          <w:bCs/>
          <w:sz w:val="16"/>
          <w:szCs w:val="16"/>
          <w:lang w:eastAsia="en-US"/>
        </w:rPr>
        <w:t>36</w:t>
      </w:r>
      <w:r w:rsidRPr="005D38F6">
        <w:rPr>
          <w:rFonts w:ascii="Verdana" w:eastAsiaTheme="minorHAnsi" w:hAnsi="Verdana" w:cs="Verdana"/>
          <w:b/>
          <w:bCs/>
          <w:sz w:val="16"/>
          <w:szCs w:val="16"/>
          <w:lang w:eastAsia="en-US"/>
        </w:rPr>
        <w:t xml:space="preserve"> pkt proc. występującą w 2027 r. (wskaźnik 3,</w:t>
      </w:r>
      <w:r>
        <w:rPr>
          <w:rFonts w:ascii="Verdana" w:eastAsiaTheme="minorHAnsi" w:hAnsi="Verdana" w:cs="Verdana"/>
          <w:b/>
          <w:bCs/>
          <w:sz w:val="16"/>
          <w:szCs w:val="16"/>
          <w:lang w:eastAsia="en-US"/>
        </w:rPr>
        <w:t>40</w:t>
      </w:r>
      <w:r w:rsidRPr="005D38F6">
        <w:rPr>
          <w:rFonts w:ascii="Verdana" w:eastAsiaTheme="minorHAnsi" w:hAnsi="Verdana" w:cs="Verdana"/>
          <w:b/>
          <w:bCs/>
          <w:sz w:val="16"/>
          <w:szCs w:val="16"/>
          <w:lang w:eastAsia="en-US"/>
        </w:rPr>
        <w:t>% wobec limitu 3,</w:t>
      </w:r>
      <w:r>
        <w:rPr>
          <w:rFonts w:ascii="Verdana" w:eastAsiaTheme="minorHAnsi" w:hAnsi="Verdana" w:cs="Verdana"/>
          <w:b/>
          <w:bCs/>
          <w:sz w:val="16"/>
          <w:szCs w:val="16"/>
          <w:lang w:eastAsia="en-US"/>
        </w:rPr>
        <w:t>76</w:t>
      </w:r>
      <w:r w:rsidRPr="005D38F6">
        <w:rPr>
          <w:rFonts w:ascii="Verdana" w:eastAsiaTheme="minorHAnsi" w:hAnsi="Verdana" w:cs="Verdana"/>
          <w:b/>
          <w:bCs/>
          <w:sz w:val="16"/>
          <w:szCs w:val="16"/>
          <w:lang w:eastAsia="en-US"/>
        </w:rPr>
        <w:t xml:space="preserve">%). Limit obsługi długu na 2027 r. wyznaczają poziomy nadwyżek operacyjnych z lat 2020-2026, a więc z okresu dotkniętego następstwami społeczno-gospodarczymi pandemii oraz negatywnych dla dochodów m.st. Warszawy zmian prawnych w podatku PIT (zmiany wprowadzone w 2019 r. z pełnymi skutkami od 2020 r. </w:t>
      </w:r>
      <w:r>
        <w:rPr>
          <w:rFonts w:ascii="Verdana" w:eastAsiaTheme="minorHAnsi" w:hAnsi="Verdana" w:cs="Verdana"/>
          <w:b/>
          <w:bCs/>
          <w:sz w:val="16"/>
          <w:szCs w:val="16"/>
          <w:lang w:eastAsia="en-US"/>
        </w:rPr>
        <w:br/>
      </w:r>
      <w:r w:rsidRPr="005D38F6">
        <w:rPr>
          <w:rFonts w:ascii="Verdana" w:eastAsiaTheme="minorHAnsi" w:hAnsi="Verdana" w:cs="Verdana"/>
          <w:b/>
          <w:bCs/>
          <w:sz w:val="16"/>
          <w:szCs w:val="16"/>
          <w:lang w:eastAsia="en-US"/>
        </w:rPr>
        <w:t>i zmiany zawarte w Programie Pol</w:t>
      </w:r>
      <w:r>
        <w:rPr>
          <w:rFonts w:ascii="Verdana" w:eastAsiaTheme="minorHAnsi" w:hAnsi="Verdana" w:cs="Verdana"/>
          <w:b/>
          <w:bCs/>
          <w:sz w:val="16"/>
          <w:szCs w:val="16"/>
          <w:lang w:eastAsia="en-US"/>
        </w:rPr>
        <w:t>ski Ład ze skutkami od 2022 r.). Z</w:t>
      </w:r>
      <w:r w:rsidRPr="005D38F6">
        <w:rPr>
          <w:rFonts w:ascii="Verdana" w:eastAsiaTheme="minorHAnsi" w:hAnsi="Verdana" w:cs="Verdana"/>
          <w:b/>
          <w:bCs/>
          <w:sz w:val="16"/>
          <w:szCs w:val="16"/>
          <w:lang w:eastAsia="en-US"/>
        </w:rPr>
        <w:t>arazem okres wyznaczania limitu obsługi długu na 2027 r. nie obejmuje nadwyżek operacyjnych generowanych przed 2020 r., a więc sprzed okresu pandemii i zmian w podatku PIT</w:t>
      </w:r>
      <w:r w:rsidRPr="005D38F6">
        <w:rPr>
          <w:rFonts w:ascii="Verdana" w:eastAsiaTheme="minorHAnsi" w:hAnsi="Verdana" w:cs="Verdana"/>
          <w:sz w:val="16"/>
          <w:szCs w:val="16"/>
          <w:lang w:eastAsia="en-US"/>
        </w:rPr>
        <w:t xml:space="preserve">. </w:t>
      </w:r>
      <w:r w:rsidRPr="00D041CB">
        <w:rPr>
          <w:rFonts w:ascii="Verdana" w:eastAsiaTheme="minorHAnsi" w:hAnsi="Verdana" w:cs="Verdana"/>
          <w:b/>
          <w:sz w:val="16"/>
          <w:szCs w:val="16"/>
          <w:lang w:eastAsia="en-US"/>
        </w:rPr>
        <w:t>Obniżony poziom relacji</w:t>
      </w:r>
      <w:r>
        <w:rPr>
          <w:rFonts w:ascii="Verdana" w:eastAsiaTheme="minorHAnsi" w:hAnsi="Verdana" w:cs="Verdana"/>
          <w:sz w:val="16"/>
          <w:szCs w:val="16"/>
          <w:lang w:eastAsia="en-US"/>
        </w:rPr>
        <w:t xml:space="preserve"> </w:t>
      </w:r>
      <w:r w:rsidRPr="00D041CB">
        <w:rPr>
          <w:rFonts w:ascii="Verdana" w:eastAsiaTheme="minorHAnsi" w:hAnsi="Verdana" w:cs="Verdana"/>
          <w:b/>
          <w:sz w:val="16"/>
          <w:szCs w:val="16"/>
          <w:lang w:eastAsia="en-US"/>
        </w:rPr>
        <w:t>między ustawowymi limitem a wskaźnikiem obsługi długu</w:t>
      </w:r>
      <w:r>
        <w:rPr>
          <w:rFonts w:ascii="Verdana" w:eastAsiaTheme="minorHAnsi" w:hAnsi="Verdana" w:cs="Verdana"/>
          <w:sz w:val="16"/>
          <w:szCs w:val="16"/>
          <w:lang w:eastAsia="en-US"/>
        </w:rPr>
        <w:t xml:space="preserve"> </w:t>
      </w:r>
      <w:r w:rsidRPr="00E63706">
        <w:rPr>
          <w:rFonts w:ascii="Verdana" w:eastAsiaTheme="minorHAnsi" w:hAnsi="Verdana" w:cs="Verdana"/>
          <w:b/>
          <w:sz w:val="16"/>
          <w:szCs w:val="16"/>
          <w:lang w:eastAsia="en-US"/>
        </w:rPr>
        <w:t>dotyczy kilkuletniego okresu obejmującego lata 2026-2029, z minimum w 2027 r.</w:t>
      </w:r>
      <w:r>
        <w:rPr>
          <w:rFonts w:ascii="Verdana" w:eastAsiaTheme="minorHAnsi" w:hAnsi="Verdana" w:cs="Verdana"/>
          <w:sz w:val="16"/>
          <w:szCs w:val="16"/>
          <w:lang w:eastAsia="en-US"/>
        </w:rPr>
        <w:t>, co prezentuje poniższy wykres nr 10. Wymóg</w:t>
      </w:r>
      <w:r w:rsidRPr="005D38F6">
        <w:rPr>
          <w:rFonts w:ascii="Verdana" w:eastAsiaTheme="minorHAnsi" w:hAnsi="Verdana" w:cs="Verdana"/>
          <w:sz w:val="16"/>
          <w:szCs w:val="16"/>
          <w:lang w:eastAsia="en-US"/>
        </w:rPr>
        <w:t xml:space="preserve"> zachowania odpowiednich relacji między ustawowymi limitem a wskaźnikiem obsługi długu, </w:t>
      </w:r>
      <w:r>
        <w:rPr>
          <w:rFonts w:ascii="Verdana" w:eastAsiaTheme="minorHAnsi" w:hAnsi="Verdana" w:cs="Verdana"/>
          <w:sz w:val="16"/>
          <w:szCs w:val="16"/>
          <w:lang w:eastAsia="en-US"/>
        </w:rPr>
        <w:t>w średnim okresie zdeterminowany</w:t>
      </w:r>
      <w:r w:rsidRPr="005D38F6">
        <w:rPr>
          <w:rFonts w:ascii="Verdana" w:eastAsiaTheme="minorHAnsi" w:hAnsi="Verdana" w:cs="Verdana"/>
          <w:sz w:val="16"/>
          <w:szCs w:val="16"/>
          <w:lang w:eastAsia="en-US"/>
        </w:rPr>
        <w:t xml:space="preserve"> jest przede wszystkim poziomem zapadalności długu zaciągniętego w latach ubiegłych, natomiast w dłuższym okresie musi także uwzględniać obciążenia związane z planowanym do zaciągnięcia długiem celem finansowania realizowanego programu inwestycyjnego.</w:t>
      </w:r>
      <w:r>
        <w:rPr>
          <w:rFonts w:ascii="Verdana" w:eastAsiaTheme="minorHAnsi" w:hAnsi="Verdana" w:cs="Verdana"/>
          <w:sz w:val="16"/>
          <w:szCs w:val="16"/>
          <w:lang w:eastAsia="en-US"/>
        </w:rPr>
        <w:br w:type="page"/>
      </w:r>
    </w:p>
    <w:p w:rsidR="008A572A" w:rsidRDefault="008A572A" w:rsidP="008A572A">
      <w:pPr>
        <w:tabs>
          <w:tab w:val="left" w:pos="567"/>
        </w:tabs>
        <w:spacing w:before="120" w:after="60" w:line="240" w:lineRule="auto"/>
        <w:ind w:left="567" w:hanging="567"/>
        <w:rPr>
          <w:rFonts w:ascii="Verdana" w:hAnsi="Verdana" w:cs="Verdana"/>
          <w:sz w:val="16"/>
          <w:szCs w:val="16"/>
        </w:rPr>
      </w:pPr>
      <w:r w:rsidRPr="00011AAA">
        <w:rPr>
          <w:rFonts w:ascii="Verdana" w:hAnsi="Verdana"/>
          <w:b/>
          <w:bCs/>
          <w:iCs/>
          <w:sz w:val="14"/>
          <w:szCs w:val="14"/>
        </w:rPr>
        <w:lastRenderedPageBreak/>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sidR="00DB2126">
        <w:rPr>
          <w:rFonts w:ascii="Verdana" w:hAnsi="Verdana"/>
          <w:b/>
          <w:bCs/>
          <w:iCs/>
          <w:noProof/>
          <w:sz w:val="14"/>
          <w:szCs w:val="14"/>
        </w:rPr>
        <w:t>10</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 xml:space="preserve">PROGNOZA RÓŻNICY MIĘDZY USTAWOWYMI LIMITEM A WSKAŹNIKIEM OBSŁUGI DŁUGU, TJ. REZERWA </w:t>
      </w:r>
      <w:r>
        <w:rPr>
          <w:rFonts w:ascii="Verdana" w:hAnsi="Verdana" w:cs="Arial"/>
          <w:b/>
          <w:bCs/>
          <w:iCs/>
          <w:sz w:val="14"/>
          <w:szCs w:val="14"/>
        </w:rPr>
        <w:br/>
        <w:t xml:space="preserve">      W LIMICIE OBSŁUGI DŁUGU (ART. 243 USTAWY O FINANSACH PUBLICZNYCH) NA LATA 2023-2031 </w:t>
      </w:r>
      <w:r>
        <w:rPr>
          <w:rFonts w:ascii="Verdana" w:hAnsi="Verdana" w:cs="Arial"/>
          <w:b/>
          <w:bCs/>
          <w:iCs/>
          <w:sz w:val="14"/>
          <w:szCs w:val="14"/>
        </w:rPr>
        <w:br/>
        <w:t xml:space="preserve">      NA TLE 2022 R. W M.ST. WARSZAWA </w:t>
      </w:r>
      <w:r>
        <w:rPr>
          <w:rFonts w:ascii="Verdana" w:hAnsi="Verdana" w:cs="Arial"/>
          <w:bCs/>
          <w:iCs/>
          <w:sz w:val="14"/>
          <w:szCs w:val="14"/>
        </w:rPr>
        <w:t>[w pkt proc.]</w:t>
      </w:r>
    </w:p>
    <w:p w:rsidR="008A572A" w:rsidRDefault="008A572A" w:rsidP="008A572A">
      <w:pPr>
        <w:spacing w:before="60" w:after="60"/>
        <w:jc w:val="both"/>
        <w:rPr>
          <w:rFonts w:ascii="Verdana" w:hAnsi="Verdana" w:cs="Verdana"/>
          <w:sz w:val="16"/>
          <w:szCs w:val="16"/>
        </w:rPr>
      </w:pPr>
      <w:r w:rsidRPr="002A706D">
        <w:rPr>
          <w:noProof/>
        </w:rPr>
        <w:drawing>
          <wp:inline distT="0" distB="0" distL="0" distR="0" wp14:anchorId="73741A4E" wp14:editId="48220CF5">
            <wp:extent cx="5760085" cy="213509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85" cy="2135090"/>
                    </a:xfrm>
                    <a:prstGeom prst="rect">
                      <a:avLst/>
                    </a:prstGeom>
                    <a:noFill/>
                    <a:ln>
                      <a:noFill/>
                    </a:ln>
                  </pic:spPr>
                </pic:pic>
              </a:graphicData>
            </a:graphic>
          </wp:inline>
        </w:drawing>
      </w:r>
    </w:p>
    <w:p w:rsidR="008A572A" w:rsidRPr="005D38F6" w:rsidRDefault="008A572A" w:rsidP="008A572A">
      <w:pPr>
        <w:autoSpaceDE w:val="0"/>
        <w:autoSpaceDN w:val="0"/>
        <w:adjustRightInd w:val="0"/>
        <w:spacing w:before="60" w:after="60"/>
        <w:jc w:val="both"/>
        <w:rPr>
          <w:rFonts w:ascii="Verdana" w:eastAsiaTheme="minorHAnsi" w:hAnsi="Verdana" w:cs="Verdana"/>
          <w:sz w:val="16"/>
          <w:szCs w:val="16"/>
          <w:lang w:eastAsia="en-US"/>
        </w:rPr>
      </w:pPr>
    </w:p>
    <w:p w:rsidR="008A572A" w:rsidRPr="005D38F6" w:rsidRDefault="008A572A" w:rsidP="008A572A">
      <w:pPr>
        <w:autoSpaceDE w:val="0"/>
        <w:autoSpaceDN w:val="0"/>
        <w:adjustRightInd w:val="0"/>
        <w:spacing w:before="60" w:after="60"/>
        <w:jc w:val="both"/>
        <w:rPr>
          <w:rFonts w:ascii="Verdana" w:eastAsiaTheme="minorHAnsi" w:hAnsi="Verdana" w:cs="Verdana"/>
          <w:sz w:val="16"/>
          <w:szCs w:val="16"/>
          <w:lang w:eastAsia="en-US"/>
        </w:rPr>
      </w:pPr>
      <w:r w:rsidRPr="005D38F6">
        <w:rPr>
          <w:rFonts w:ascii="Verdana" w:eastAsiaTheme="minorHAnsi" w:hAnsi="Verdana" w:cs="Verdana"/>
          <w:sz w:val="16"/>
          <w:szCs w:val="16"/>
          <w:lang w:eastAsia="en-US"/>
        </w:rPr>
        <w:t>Ze względu na skalę ubytku dochodów z udziału w PIT, pomimo założenia wystąpienia w 202</w:t>
      </w:r>
      <w:r>
        <w:rPr>
          <w:rFonts w:ascii="Verdana" w:eastAsiaTheme="minorHAnsi" w:hAnsi="Verdana" w:cs="Verdana"/>
          <w:sz w:val="16"/>
          <w:szCs w:val="16"/>
          <w:lang w:eastAsia="en-US"/>
        </w:rPr>
        <w:t>3</w:t>
      </w:r>
      <w:r w:rsidRPr="005D38F6">
        <w:rPr>
          <w:rFonts w:ascii="Verdana" w:eastAsiaTheme="minorHAnsi" w:hAnsi="Verdana" w:cs="Verdana"/>
          <w:sz w:val="16"/>
          <w:szCs w:val="16"/>
          <w:lang w:eastAsia="en-US"/>
        </w:rPr>
        <w:t xml:space="preserve"> r. deficytu operacyjnego i ograniczenia do minimum przestrzeni między ustawowymi limitem a wskaźnikiem obsługi długu, przyjęty w </w:t>
      </w:r>
      <w:r>
        <w:rPr>
          <w:rFonts w:ascii="Verdana" w:eastAsiaTheme="minorHAnsi" w:hAnsi="Verdana" w:cs="Verdana"/>
          <w:sz w:val="16"/>
          <w:szCs w:val="16"/>
          <w:lang w:eastAsia="en-US"/>
        </w:rPr>
        <w:t>budżecie m.st. Warszawy na 2023</w:t>
      </w:r>
      <w:r w:rsidRPr="005D38F6">
        <w:rPr>
          <w:rFonts w:ascii="Verdana" w:eastAsiaTheme="minorHAnsi" w:hAnsi="Verdana" w:cs="Verdana"/>
          <w:sz w:val="16"/>
          <w:szCs w:val="16"/>
          <w:lang w:eastAsia="en-US"/>
        </w:rPr>
        <w:t xml:space="preserve"> r. możliwy poziom wydatków bieżących jest ograniczony, </w:t>
      </w:r>
      <w:r>
        <w:rPr>
          <w:rFonts w:ascii="Verdana" w:eastAsiaTheme="minorHAnsi" w:hAnsi="Verdana" w:cs="Verdana"/>
          <w:sz w:val="16"/>
          <w:szCs w:val="16"/>
          <w:lang w:eastAsia="en-US"/>
        </w:rPr>
        <w:br/>
      </w:r>
      <w:r w:rsidRPr="005D38F6">
        <w:rPr>
          <w:rFonts w:ascii="Verdana" w:eastAsiaTheme="minorHAnsi" w:hAnsi="Verdana" w:cs="Verdana"/>
          <w:sz w:val="16"/>
          <w:szCs w:val="16"/>
          <w:lang w:eastAsia="en-US"/>
        </w:rPr>
        <w:t xml:space="preserve">w szczególności w kontekście zachodzących tendencji inflacyjnych. </w:t>
      </w:r>
      <w:r>
        <w:rPr>
          <w:rFonts w:ascii="Verdana" w:eastAsiaTheme="minorHAnsi" w:hAnsi="Verdana" w:cs="Verdana"/>
          <w:sz w:val="16"/>
          <w:szCs w:val="16"/>
          <w:lang w:eastAsia="en-US"/>
        </w:rPr>
        <w:t>Wymiar trwałego ograniczenia dochodów własnych m.st. Warszawy w konsekwencji rozwiązań programu Polski Ład wymusza bezwzględne ograniczenie poziomu wydatków bieżących w następnych latach. W związku z powyższym limity wydatków bieżących na lata 2024-2027 ujęte w projekcie Wieloletniej Prognozy Finansowej na lata 2023-2025 zostały założone na poziomie niższym niż w 2023 r., co oznacza jeszcze głębszy spadek w ujęciu realnym.</w:t>
      </w:r>
    </w:p>
    <w:p w:rsidR="008A572A" w:rsidRPr="005D38F6" w:rsidRDefault="008A572A" w:rsidP="008A572A">
      <w:pPr>
        <w:autoSpaceDE w:val="0"/>
        <w:autoSpaceDN w:val="0"/>
        <w:adjustRightInd w:val="0"/>
        <w:spacing w:before="60" w:after="60"/>
        <w:jc w:val="both"/>
        <w:rPr>
          <w:rFonts w:ascii="Verdana" w:eastAsiaTheme="minorHAnsi" w:hAnsi="Verdana" w:cs="Verdana"/>
          <w:sz w:val="16"/>
          <w:szCs w:val="16"/>
          <w:lang w:eastAsia="en-US"/>
        </w:rPr>
      </w:pPr>
      <w:r w:rsidRPr="005D38F6">
        <w:rPr>
          <w:rFonts w:ascii="Verdana" w:eastAsiaTheme="minorHAnsi" w:hAnsi="Verdana" w:cs="Verdana"/>
          <w:b/>
          <w:bCs/>
          <w:sz w:val="16"/>
          <w:szCs w:val="16"/>
          <w:lang w:eastAsia="en-US"/>
        </w:rPr>
        <w:t xml:space="preserve">W zakresie programu kredytowego </w:t>
      </w:r>
      <w:r>
        <w:rPr>
          <w:rFonts w:ascii="Verdana" w:eastAsiaTheme="minorHAnsi" w:hAnsi="Verdana" w:cs="Verdana"/>
          <w:b/>
          <w:bCs/>
          <w:sz w:val="16"/>
          <w:szCs w:val="16"/>
          <w:lang w:eastAsia="en-US"/>
        </w:rPr>
        <w:t>Wieloletnia Prognoza Finansowa edycji 2023</w:t>
      </w:r>
      <w:r w:rsidRPr="005D38F6">
        <w:rPr>
          <w:rFonts w:ascii="Verdana" w:eastAsiaTheme="minorHAnsi" w:hAnsi="Verdana" w:cs="Verdana"/>
          <w:b/>
          <w:bCs/>
          <w:sz w:val="16"/>
          <w:szCs w:val="16"/>
          <w:lang w:eastAsia="en-US"/>
        </w:rPr>
        <w:t xml:space="preserve">-2050 </w:t>
      </w:r>
      <w:r>
        <w:rPr>
          <w:rFonts w:ascii="Verdana" w:eastAsiaTheme="minorHAnsi" w:hAnsi="Verdana" w:cs="Verdana"/>
          <w:b/>
          <w:bCs/>
          <w:sz w:val="16"/>
          <w:szCs w:val="16"/>
          <w:lang w:eastAsia="en-US"/>
        </w:rPr>
        <w:br/>
      </w:r>
      <w:r w:rsidRPr="005D38F6">
        <w:rPr>
          <w:rFonts w:ascii="Verdana" w:eastAsiaTheme="minorHAnsi" w:hAnsi="Verdana" w:cs="Verdana"/>
          <w:b/>
          <w:bCs/>
          <w:sz w:val="16"/>
          <w:szCs w:val="16"/>
          <w:lang w:eastAsia="en-US"/>
        </w:rPr>
        <w:t>m.st. Warszawy przewiduje pozyskanie w latach 202</w:t>
      </w:r>
      <w:r>
        <w:rPr>
          <w:rFonts w:ascii="Verdana" w:eastAsiaTheme="minorHAnsi" w:hAnsi="Verdana" w:cs="Verdana"/>
          <w:b/>
          <w:bCs/>
          <w:sz w:val="16"/>
          <w:szCs w:val="16"/>
          <w:lang w:eastAsia="en-US"/>
        </w:rPr>
        <w:t>3</w:t>
      </w:r>
      <w:r w:rsidRPr="005D38F6">
        <w:rPr>
          <w:rFonts w:ascii="Verdana" w:eastAsiaTheme="minorHAnsi" w:hAnsi="Verdana" w:cs="Verdana"/>
          <w:b/>
          <w:bCs/>
          <w:sz w:val="16"/>
          <w:szCs w:val="16"/>
          <w:lang w:eastAsia="en-US"/>
        </w:rPr>
        <w:t>-202</w:t>
      </w:r>
      <w:r>
        <w:rPr>
          <w:rFonts w:ascii="Verdana" w:eastAsiaTheme="minorHAnsi" w:hAnsi="Verdana" w:cs="Verdana"/>
          <w:b/>
          <w:bCs/>
          <w:sz w:val="16"/>
          <w:szCs w:val="16"/>
          <w:lang w:eastAsia="en-US"/>
        </w:rPr>
        <w:t>7</w:t>
      </w:r>
      <w:r w:rsidRPr="005D38F6">
        <w:rPr>
          <w:rFonts w:ascii="Verdana" w:eastAsiaTheme="minorHAnsi" w:hAnsi="Verdana" w:cs="Verdana"/>
          <w:b/>
          <w:bCs/>
          <w:sz w:val="16"/>
          <w:szCs w:val="16"/>
          <w:lang w:eastAsia="en-US"/>
        </w:rPr>
        <w:t xml:space="preserve"> środków dłużnych w łącznej wysokości </w:t>
      </w:r>
      <w:r>
        <w:rPr>
          <w:rFonts w:ascii="Verdana" w:eastAsiaTheme="minorHAnsi" w:hAnsi="Verdana" w:cs="Verdana"/>
          <w:b/>
          <w:bCs/>
          <w:sz w:val="16"/>
          <w:szCs w:val="16"/>
          <w:lang w:eastAsia="en-US"/>
        </w:rPr>
        <w:t>7,371 mld zł, z tego w 2023</w:t>
      </w:r>
      <w:r w:rsidRPr="005D38F6">
        <w:rPr>
          <w:rFonts w:ascii="Verdana" w:eastAsiaTheme="minorHAnsi" w:hAnsi="Verdana" w:cs="Verdana"/>
          <w:b/>
          <w:bCs/>
          <w:sz w:val="16"/>
          <w:szCs w:val="16"/>
          <w:lang w:eastAsia="en-US"/>
        </w:rPr>
        <w:t xml:space="preserve"> r. </w:t>
      </w:r>
      <w:r>
        <w:rPr>
          <w:rFonts w:ascii="Verdana" w:eastAsiaTheme="minorHAnsi" w:hAnsi="Verdana" w:cs="Verdana"/>
          <w:b/>
          <w:bCs/>
          <w:sz w:val="16"/>
          <w:szCs w:val="16"/>
          <w:lang w:eastAsia="en-US"/>
        </w:rPr>
        <w:t>kwoty 1,670</w:t>
      </w:r>
      <w:r w:rsidRPr="005D38F6">
        <w:rPr>
          <w:rFonts w:ascii="Verdana" w:eastAsiaTheme="minorHAnsi" w:hAnsi="Verdana" w:cs="Verdana"/>
          <w:b/>
          <w:bCs/>
          <w:sz w:val="16"/>
          <w:szCs w:val="16"/>
          <w:lang w:eastAsia="en-US"/>
        </w:rPr>
        <w:t xml:space="preserve"> mld zł. </w:t>
      </w:r>
    </w:p>
    <w:p w:rsidR="008A572A" w:rsidRDefault="008A572A" w:rsidP="008A572A">
      <w:pPr>
        <w:autoSpaceDE w:val="0"/>
        <w:autoSpaceDN w:val="0"/>
        <w:adjustRightInd w:val="0"/>
        <w:spacing w:before="60" w:after="60"/>
        <w:jc w:val="both"/>
        <w:rPr>
          <w:rFonts w:ascii="Verdana" w:eastAsiaTheme="minorHAnsi" w:hAnsi="Verdana" w:cs="Verdana"/>
          <w:sz w:val="16"/>
          <w:szCs w:val="16"/>
          <w:lang w:eastAsia="en-US"/>
        </w:rPr>
      </w:pPr>
      <w:r w:rsidRPr="005D38F6">
        <w:rPr>
          <w:rFonts w:ascii="Verdana" w:eastAsiaTheme="minorHAnsi" w:hAnsi="Verdana" w:cs="Verdana"/>
          <w:sz w:val="16"/>
          <w:szCs w:val="16"/>
          <w:lang w:eastAsia="en-US"/>
        </w:rPr>
        <w:t xml:space="preserve">W </w:t>
      </w:r>
      <w:r>
        <w:rPr>
          <w:rFonts w:ascii="Verdana" w:eastAsiaTheme="minorHAnsi" w:hAnsi="Verdana" w:cs="Verdana"/>
          <w:sz w:val="16"/>
          <w:szCs w:val="16"/>
          <w:lang w:eastAsia="en-US"/>
        </w:rPr>
        <w:t>Wieloletniej Prognozie Finansowej edycji 2023</w:t>
      </w:r>
      <w:r w:rsidRPr="005D38F6">
        <w:rPr>
          <w:rFonts w:ascii="Verdana" w:eastAsiaTheme="minorHAnsi" w:hAnsi="Verdana" w:cs="Verdana"/>
          <w:sz w:val="16"/>
          <w:szCs w:val="16"/>
          <w:lang w:eastAsia="en-US"/>
        </w:rPr>
        <w:t>-2050 m.st. Warszawy zabezpieczone są środki na wydatki stanowiące przedsięwzięcia wieloletnie, które zostały uwzględnione w Wieloletniej Prognozie Finans</w:t>
      </w:r>
      <w:r>
        <w:rPr>
          <w:rFonts w:ascii="Verdana" w:eastAsiaTheme="minorHAnsi" w:hAnsi="Verdana" w:cs="Verdana"/>
          <w:sz w:val="16"/>
          <w:szCs w:val="16"/>
          <w:lang w:eastAsia="en-US"/>
        </w:rPr>
        <w:t xml:space="preserve">owej </w:t>
      </w:r>
      <w:r>
        <w:rPr>
          <w:rFonts w:ascii="Verdana" w:eastAsiaTheme="minorHAnsi" w:hAnsi="Verdana" w:cs="Verdana"/>
          <w:sz w:val="16"/>
          <w:szCs w:val="16"/>
          <w:lang w:eastAsia="en-US"/>
        </w:rPr>
        <w:br/>
        <w:t>m.st. Warszawy na lata 2022</w:t>
      </w:r>
      <w:r w:rsidRPr="005D38F6">
        <w:rPr>
          <w:rFonts w:ascii="Verdana" w:eastAsiaTheme="minorHAnsi" w:hAnsi="Verdana" w:cs="Verdana"/>
          <w:sz w:val="16"/>
          <w:szCs w:val="16"/>
          <w:lang w:eastAsia="en-US"/>
        </w:rPr>
        <w:t>-2050 w części dotyczącej 202</w:t>
      </w:r>
      <w:r>
        <w:rPr>
          <w:rFonts w:ascii="Verdana" w:eastAsiaTheme="minorHAnsi" w:hAnsi="Verdana" w:cs="Verdana"/>
          <w:sz w:val="16"/>
          <w:szCs w:val="16"/>
          <w:lang w:eastAsia="en-US"/>
        </w:rPr>
        <w:t>3</w:t>
      </w:r>
      <w:r w:rsidRPr="005D38F6">
        <w:rPr>
          <w:rFonts w:ascii="Verdana" w:eastAsiaTheme="minorHAnsi" w:hAnsi="Verdana" w:cs="Verdana"/>
          <w:sz w:val="16"/>
          <w:szCs w:val="16"/>
          <w:lang w:eastAsia="en-US"/>
        </w:rPr>
        <w:t xml:space="preserve"> r. oraz na wydatki </w:t>
      </w:r>
      <w:r>
        <w:rPr>
          <w:rFonts w:ascii="Verdana" w:eastAsiaTheme="minorHAnsi" w:hAnsi="Verdana" w:cs="Verdana"/>
          <w:sz w:val="16"/>
          <w:szCs w:val="16"/>
          <w:lang w:eastAsia="en-US"/>
        </w:rPr>
        <w:t xml:space="preserve">związane z przekazywanymi </w:t>
      </w:r>
      <w:r>
        <w:rPr>
          <w:rFonts w:ascii="Verdana" w:eastAsiaTheme="minorHAnsi" w:hAnsi="Verdana" w:cs="Verdana"/>
          <w:sz w:val="16"/>
          <w:szCs w:val="16"/>
          <w:lang w:eastAsia="en-US"/>
        </w:rPr>
        <w:br/>
        <w:t>w 2022</w:t>
      </w:r>
      <w:r w:rsidRPr="005D38F6">
        <w:rPr>
          <w:rFonts w:ascii="Verdana" w:eastAsiaTheme="minorHAnsi" w:hAnsi="Verdana" w:cs="Verdana"/>
          <w:sz w:val="16"/>
          <w:szCs w:val="16"/>
          <w:lang w:eastAsia="en-US"/>
        </w:rPr>
        <w:t xml:space="preserve"> r. i p</w:t>
      </w:r>
      <w:r>
        <w:rPr>
          <w:rFonts w:ascii="Verdana" w:eastAsiaTheme="minorHAnsi" w:hAnsi="Verdana" w:cs="Verdana"/>
          <w:sz w:val="16"/>
          <w:szCs w:val="16"/>
          <w:lang w:eastAsia="en-US"/>
        </w:rPr>
        <w:t>lanowanymi do przekazania w 2023</w:t>
      </w:r>
      <w:r w:rsidRPr="005D38F6">
        <w:rPr>
          <w:rFonts w:ascii="Verdana" w:eastAsiaTheme="minorHAnsi" w:hAnsi="Verdana" w:cs="Verdana"/>
          <w:sz w:val="16"/>
          <w:szCs w:val="16"/>
          <w:lang w:eastAsia="en-US"/>
        </w:rPr>
        <w:t xml:space="preserve"> r. do użytkowania i do bieżącego utrzymania inwestycjami, </w:t>
      </w:r>
      <w:r>
        <w:rPr>
          <w:rFonts w:ascii="Verdana" w:eastAsiaTheme="minorHAnsi" w:hAnsi="Verdana" w:cs="Verdana"/>
          <w:sz w:val="16"/>
          <w:szCs w:val="16"/>
          <w:lang w:eastAsia="en-US"/>
        </w:rPr>
        <w:br/>
      </w:r>
      <w:r w:rsidRPr="005D38F6">
        <w:rPr>
          <w:rFonts w:ascii="Verdana" w:eastAsiaTheme="minorHAnsi" w:hAnsi="Verdana" w:cs="Verdana"/>
          <w:sz w:val="16"/>
          <w:szCs w:val="16"/>
          <w:lang w:eastAsia="en-US"/>
        </w:rPr>
        <w:t xml:space="preserve">w tym w szczególności w zakresie infrastruktury transportowej oraz w obszarze oświaty i kultury. Ustalone parametry budżetowe w zakresie wydatków inwestycyjnych zapewniają kontynuację finansowania zadań wcześniej rozpoczętych wraz z dostosowaniem realizacji nowych projektów inwestycyjnych do możliwości finansowych Miasta. Jednocześnie w Wieloletniej Prognozie Finansowej m.st. Warszawy ujęte są programy strategiczne obejmujące realizację innych zadań na terenie poszczególnych dzielnic. Środki finansowe zaplanowane w ramach powyższych programów będą sukcesywnie – wraz z kolejnymi etapami ich wdrażania </w:t>
      </w:r>
      <w:r>
        <w:rPr>
          <w:rFonts w:ascii="Verdana" w:eastAsiaTheme="minorHAnsi" w:hAnsi="Verdana" w:cs="Verdana"/>
          <w:sz w:val="16"/>
          <w:szCs w:val="16"/>
          <w:lang w:eastAsia="en-US"/>
        </w:rPr>
        <w:br/>
      </w:r>
      <w:r w:rsidRPr="005D38F6">
        <w:rPr>
          <w:rFonts w:ascii="Verdana" w:eastAsiaTheme="minorHAnsi" w:hAnsi="Verdana" w:cs="Verdana"/>
          <w:sz w:val="16"/>
          <w:szCs w:val="16"/>
          <w:lang w:eastAsia="en-US"/>
        </w:rPr>
        <w:t xml:space="preserve">– rozdysponowywane między dysponentów na konkretne przedsięwzięcia inwestycyjne. </w:t>
      </w:r>
    </w:p>
    <w:p w:rsidR="008A572A" w:rsidRDefault="008A572A" w:rsidP="008A572A">
      <w:pPr>
        <w:autoSpaceDE w:val="0"/>
        <w:autoSpaceDN w:val="0"/>
        <w:adjustRightInd w:val="0"/>
        <w:spacing w:before="60" w:after="60"/>
        <w:jc w:val="both"/>
        <w:rPr>
          <w:rFonts w:ascii="Verdana" w:eastAsiaTheme="minorHAnsi" w:hAnsi="Verdana" w:cs="Verdana"/>
          <w:b/>
          <w:bCs/>
          <w:sz w:val="16"/>
          <w:szCs w:val="16"/>
          <w:lang w:eastAsia="en-US"/>
        </w:rPr>
      </w:pPr>
      <w:r w:rsidRPr="001925BC">
        <w:rPr>
          <w:rFonts w:ascii="Verdana" w:eastAsiaTheme="minorHAnsi" w:hAnsi="Verdana" w:cs="Verdana"/>
          <w:b/>
          <w:bCs/>
          <w:sz w:val="16"/>
          <w:szCs w:val="16"/>
          <w:lang w:eastAsia="en-US"/>
        </w:rPr>
        <w:t>Ogólny</w:t>
      </w:r>
      <w:r w:rsidRPr="005D38F6">
        <w:rPr>
          <w:rFonts w:ascii="Verdana" w:eastAsiaTheme="minorHAnsi" w:hAnsi="Verdana" w:cs="Verdana"/>
          <w:b/>
          <w:bCs/>
          <w:sz w:val="16"/>
          <w:szCs w:val="16"/>
          <w:lang w:eastAsia="en-US"/>
        </w:rPr>
        <w:t xml:space="preserve"> poziom programu inwestycyjnego </w:t>
      </w:r>
      <w:r>
        <w:rPr>
          <w:rFonts w:ascii="Verdana" w:eastAsiaTheme="minorHAnsi" w:hAnsi="Verdana" w:cs="Verdana"/>
          <w:b/>
          <w:bCs/>
          <w:sz w:val="16"/>
          <w:szCs w:val="16"/>
          <w:lang w:eastAsia="en-US"/>
        </w:rPr>
        <w:t xml:space="preserve">zawarty Wieloletniej Prognozie Finansowej edycji 2023-2050 do 2032 r. </w:t>
      </w:r>
      <w:r w:rsidRPr="005D38F6">
        <w:rPr>
          <w:rFonts w:ascii="Verdana" w:eastAsiaTheme="minorHAnsi" w:hAnsi="Verdana" w:cs="Verdana"/>
          <w:b/>
          <w:bCs/>
          <w:sz w:val="16"/>
          <w:szCs w:val="16"/>
          <w:lang w:eastAsia="en-US"/>
        </w:rPr>
        <w:t>nie ulega zmianie</w:t>
      </w:r>
      <w:r>
        <w:rPr>
          <w:rFonts w:ascii="Verdana" w:eastAsiaTheme="minorHAnsi" w:hAnsi="Verdana" w:cs="Verdana"/>
          <w:b/>
          <w:bCs/>
          <w:sz w:val="16"/>
          <w:szCs w:val="16"/>
          <w:lang w:eastAsia="en-US"/>
        </w:rPr>
        <w:t xml:space="preserve"> </w:t>
      </w:r>
      <w:r w:rsidRPr="005D38F6">
        <w:rPr>
          <w:rFonts w:ascii="Verdana" w:eastAsiaTheme="minorHAnsi" w:hAnsi="Verdana" w:cs="Verdana"/>
          <w:b/>
          <w:bCs/>
          <w:sz w:val="16"/>
          <w:szCs w:val="16"/>
          <w:lang w:eastAsia="en-US"/>
        </w:rPr>
        <w:t xml:space="preserve">w stosunku do Wieloletniej Prognozy Finansowej edycji </w:t>
      </w:r>
      <w:r>
        <w:rPr>
          <w:rFonts w:ascii="Verdana" w:eastAsiaTheme="minorHAnsi" w:hAnsi="Verdana" w:cs="Verdana"/>
          <w:b/>
          <w:bCs/>
          <w:sz w:val="16"/>
          <w:szCs w:val="16"/>
          <w:lang w:eastAsia="en-US"/>
        </w:rPr>
        <w:t>2022</w:t>
      </w:r>
      <w:r w:rsidRPr="005D38F6">
        <w:rPr>
          <w:rFonts w:ascii="Verdana" w:eastAsiaTheme="minorHAnsi" w:hAnsi="Verdana" w:cs="Verdana"/>
          <w:b/>
          <w:bCs/>
          <w:sz w:val="16"/>
          <w:szCs w:val="16"/>
          <w:lang w:eastAsia="en-US"/>
        </w:rPr>
        <w:t>-2050</w:t>
      </w:r>
      <w:r>
        <w:rPr>
          <w:rFonts w:ascii="Verdana" w:eastAsiaTheme="minorHAnsi" w:hAnsi="Verdana" w:cs="Verdana"/>
          <w:b/>
          <w:bCs/>
          <w:sz w:val="16"/>
          <w:szCs w:val="16"/>
          <w:lang w:eastAsia="en-US"/>
        </w:rPr>
        <w:t>,</w:t>
      </w:r>
      <w:r w:rsidRPr="00ED4BB6">
        <w:rPr>
          <w:rFonts w:ascii="Verdana" w:eastAsiaTheme="minorHAnsi" w:hAnsi="Verdana" w:cs="Verdana"/>
          <w:b/>
          <w:bCs/>
          <w:sz w:val="16"/>
          <w:szCs w:val="16"/>
          <w:lang w:eastAsia="en-US"/>
        </w:rPr>
        <w:t xml:space="preserve"> </w:t>
      </w:r>
      <w:r>
        <w:rPr>
          <w:rFonts w:ascii="Verdana" w:eastAsiaTheme="minorHAnsi" w:hAnsi="Verdana" w:cs="Verdana"/>
          <w:b/>
          <w:bCs/>
          <w:sz w:val="16"/>
          <w:szCs w:val="16"/>
          <w:lang w:eastAsia="en-US"/>
        </w:rPr>
        <w:t>poza zwiększeniem o 100 mln zł środków na inwestycje energooszczędnościowe</w:t>
      </w:r>
      <w:r w:rsidRPr="005D38F6">
        <w:rPr>
          <w:rFonts w:ascii="Verdana" w:eastAsiaTheme="minorHAnsi" w:hAnsi="Verdana" w:cs="Verdana"/>
          <w:b/>
          <w:bCs/>
          <w:sz w:val="16"/>
          <w:szCs w:val="16"/>
          <w:lang w:eastAsia="en-US"/>
        </w:rPr>
        <w:t xml:space="preserve">, z tym że modyfikacji podlega rozkład nakładów w latach zdeterminowany zmianami w harmonogramach realizacji inwestycji. </w:t>
      </w:r>
      <w:r>
        <w:rPr>
          <w:rFonts w:ascii="Verdana" w:eastAsiaTheme="minorHAnsi" w:hAnsi="Verdana" w:cs="Verdana"/>
          <w:b/>
          <w:bCs/>
          <w:sz w:val="16"/>
          <w:szCs w:val="16"/>
          <w:lang w:eastAsia="en-US"/>
        </w:rPr>
        <w:t xml:space="preserve">W konsekwencji ograniczeń dochodowych możliwe jest przeznaczenie w latach 2028-2030 na nakłady inwestycyjne od 3,8% do 6% wydatków. W kolejnych latach planowane jest sukcesywne zwiększanie poziomu finansowania inwestycji do poziomu 10% ogółu wydatków </w:t>
      </w:r>
      <w:r>
        <w:rPr>
          <w:rFonts w:ascii="Verdana" w:eastAsiaTheme="minorHAnsi" w:hAnsi="Verdana" w:cs="Verdana"/>
          <w:b/>
          <w:bCs/>
          <w:sz w:val="16"/>
          <w:szCs w:val="16"/>
          <w:lang w:eastAsia="en-US"/>
        </w:rPr>
        <w:br/>
        <w:t>w perspektywie 2035 r.</w:t>
      </w:r>
    </w:p>
    <w:p w:rsidR="008A572A" w:rsidRPr="0074282F" w:rsidRDefault="008A572A" w:rsidP="008A572A">
      <w:pPr>
        <w:spacing w:before="60" w:after="60"/>
        <w:ind w:firstLine="567"/>
        <w:jc w:val="both"/>
        <w:rPr>
          <w:rFonts w:ascii="Verdana" w:hAnsi="Verdana" w:cs="Verdana"/>
          <w:sz w:val="16"/>
          <w:szCs w:val="16"/>
        </w:rPr>
      </w:pPr>
      <w:r w:rsidRPr="005D38F6">
        <w:rPr>
          <w:rFonts w:ascii="Verdana" w:eastAsiaTheme="minorHAnsi" w:hAnsi="Verdana" w:cs="Verdana"/>
          <w:sz w:val="16"/>
          <w:szCs w:val="16"/>
          <w:lang w:eastAsia="en-US"/>
        </w:rPr>
        <w:t xml:space="preserve">Podsumowując, w obliczu znaczącego wymiaru finansowego negatywnych uwarunkowań budżetowych, </w:t>
      </w:r>
      <w:r>
        <w:rPr>
          <w:rFonts w:ascii="Verdana" w:eastAsiaTheme="minorHAnsi" w:hAnsi="Verdana" w:cs="Verdana"/>
          <w:sz w:val="16"/>
          <w:szCs w:val="16"/>
          <w:lang w:eastAsia="en-US"/>
        </w:rPr>
        <w:br/>
      </w:r>
      <w:r w:rsidRPr="005D38F6">
        <w:rPr>
          <w:rFonts w:ascii="Verdana" w:eastAsiaTheme="minorHAnsi" w:hAnsi="Verdana" w:cs="Verdana"/>
          <w:sz w:val="16"/>
          <w:szCs w:val="16"/>
          <w:lang w:eastAsia="en-US"/>
        </w:rPr>
        <w:t xml:space="preserve">a w szczególności istotnego trwałego ograniczenia dochodów z udziału w PIT związanego ze zmianami </w:t>
      </w:r>
      <w:r w:rsidRPr="005D38F6">
        <w:rPr>
          <w:rFonts w:ascii="Verdana" w:eastAsiaTheme="minorHAnsi" w:hAnsi="Verdana" w:cs="Verdana"/>
          <w:sz w:val="16"/>
          <w:szCs w:val="16"/>
          <w:lang w:eastAsia="en-US"/>
        </w:rPr>
        <w:lastRenderedPageBreak/>
        <w:t xml:space="preserve">legislacyjnymi objętymi rządowym Programem Polski Ład oraz </w:t>
      </w:r>
      <w:r>
        <w:rPr>
          <w:rFonts w:ascii="Verdana" w:eastAsiaTheme="minorHAnsi" w:hAnsi="Verdana" w:cs="Verdana"/>
          <w:sz w:val="16"/>
          <w:szCs w:val="16"/>
          <w:lang w:eastAsia="en-US"/>
        </w:rPr>
        <w:t xml:space="preserve">w świetle </w:t>
      </w:r>
      <w:r w:rsidRPr="005D38F6">
        <w:rPr>
          <w:rFonts w:ascii="Verdana" w:eastAsiaTheme="minorHAnsi" w:hAnsi="Verdana" w:cs="Verdana"/>
          <w:sz w:val="16"/>
          <w:szCs w:val="16"/>
          <w:lang w:eastAsia="en-US"/>
        </w:rPr>
        <w:t>aktualn</w:t>
      </w:r>
      <w:r>
        <w:rPr>
          <w:rFonts w:ascii="Verdana" w:eastAsiaTheme="minorHAnsi" w:hAnsi="Verdana" w:cs="Verdana"/>
          <w:sz w:val="16"/>
          <w:szCs w:val="16"/>
          <w:lang w:eastAsia="en-US"/>
        </w:rPr>
        <w:t>ego</w:t>
      </w:r>
      <w:r w:rsidRPr="005D38F6">
        <w:rPr>
          <w:rFonts w:ascii="Verdana" w:eastAsiaTheme="minorHAnsi" w:hAnsi="Verdana" w:cs="Verdana"/>
          <w:sz w:val="16"/>
          <w:szCs w:val="16"/>
          <w:lang w:eastAsia="en-US"/>
        </w:rPr>
        <w:t xml:space="preserve"> i prognozowan</w:t>
      </w:r>
      <w:r>
        <w:rPr>
          <w:rFonts w:ascii="Verdana" w:eastAsiaTheme="minorHAnsi" w:hAnsi="Verdana" w:cs="Verdana"/>
          <w:sz w:val="16"/>
          <w:szCs w:val="16"/>
          <w:lang w:eastAsia="en-US"/>
        </w:rPr>
        <w:t>ego</w:t>
      </w:r>
      <w:r w:rsidRPr="005D38F6">
        <w:rPr>
          <w:rFonts w:ascii="Verdana" w:eastAsiaTheme="minorHAnsi" w:hAnsi="Verdana" w:cs="Verdana"/>
          <w:sz w:val="16"/>
          <w:szCs w:val="16"/>
          <w:lang w:eastAsia="en-US"/>
        </w:rPr>
        <w:t xml:space="preserve"> stan</w:t>
      </w:r>
      <w:r>
        <w:rPr>
          <w:rFonts w:ascii="Verdana" w:eastAsiaTheme="minorHAnsi" w:hAnsi="Verdana" w:cs="Verdana"/>
          <w:sz w:val="16"/>
          <w:szCs w:val="16"/>
          <w:lang w:eastAsia="en-US"/>
        </w:rPr>
        <w:t>u</w:t>
      </w:r>
      <w:r w:rsidRPr="005D38F6">
        <w:rPr>
          <w:rFonts w:ascii="Verdana" w:eastAsiaTheme="minorHAnsi" w:hAnsi="Verdana" w:cs="Verdana"/>
          <w:sz w:val="16"/>
          <w:szCs w:val="16"/>
          <w:lang w:eastAsia="en-US"/>
        </w:rPr>
        <w:t xml:space="preserve"> koniunktury gospodarczej oraz mając na uwadze zachodzące tendencje inflacyjne, w warunkach konieczności respektowania ustawowych reguł limitujących wydatki bieżące i obciążenia związane z obsługą długu, </w:t>
      </w:r>
      <w:r>
        <w:rPr>
          <w:rFonts w:ascii="Verdana" w:eastAsiaTheme="minorHAnsi" w:hAnsi="Verdana" w:cs="Verdana"/>
          <w:sz w:val="16"/>
          <w:szCs w:val="16"/>
          <w:lang w:eastAsia="en-US"/>
        </w:rPr>
        <w:br/>
      </w:r>
      <w:r w:rsidRPr="005D38F6">
        <w:rPr>
          <w:rFonts w:ascii="Verdana" w:eastAsiaTheme="minorHAnsi" w:hAnsi="Verdana" w:cs="Verdana"/>
          <w:b/>
          <w:bCs/>
          <w:sz w:val="16"/>
          <w:szCs w:val="16"/>
          <w:lang w:eastAsia="en-US"/>
        </w:rPr>
        <w:t>w najbliższej perspektywie m.st. Warszawa będzie dysponowało znacznie ograniczonym potencjałem finansowania zadań</w:t>
      </w:r>
      <w:r>
        <w:rPr>
          <w:rFonts w:ascii="Verdana" w:hAnsi="Verdana" w:cs="Verdana"/>
          <w:sz w:val="16"/>
          <w:szCs w:val="16"/>
        </w:rPr>
        <w:t>.</w:t>
      </w:r>
    </w:p>
    <w:p w:rsidR="008A572A" w:rsidRPr="0055073A" w:rsidRDefault="008A572A" w:rsidP="008A572A">
      <w:pPr>
        <w:spacing w:before="60" w:after="60"/>
        <w:ind w:firstLine="567"/>
        <w:jc w:val="both"/>
        <w:rPr>
          <w:rFonts w:ascii="Verdana" w:hAnsi="Verdana"/>
          <w:iCs/>
          <w:sz w:val="16"/>
          <w:szCs w:val="16"/>
        </w:rPr>
      </w:pPr>
      <w:r w:rsidRPr="009E3E76">
        <w:rPr>
          <w:rFonts w:ascii="Verdana" w:hAnsi="Verdana"/>
          <w:b/>
          <w:iCs/>
          <w:sz w:val="16"/>
          <w:szCs w:val="16"/>
        </w:rPr>
        <w:t>Biorąc pod uwagę powyższe uwarunkowania budżetowe, a w szczególności skalę prognozowanego ograniczenia dochodów budżetowych oraz</w:t>
      </w:r>
      <w:r w:rsidRPr="0055073A">
        <w:rPr>
          <w:rFonts w:ascii="Verdana" w:hAnsi="Verdana"/>
          <w:b/>
          <w:iCs/>
          <w:sz w:val="16"/>
          <w:szCs w:val="16"/>
        </w:rPr>
        <w:t xml:space="preserve"> otoczenie prawne narzucające rygory </w:t>
      </w:r>
      <w:r>
        <w:rPr>
          <w:rFonts w:ascii="Verdana" w:hAnsi="Verdana"/>
          <w:b/>
          <w:iCs/>
          <w:sz w:val="16"/>
          <w:szCs w:val="16"/>
        </w:rPr>
        <w:br/>
      </w:r>
      <w:r w:rsidRPr="0055073A">
        <w:rPr>
          <w:rFonts w:ascii="Verdana" w:hAnsi="Verdana"/>
          <w:b/>
          <w:iCs/>
          <w:sz w:val="16"/>
          <w:szCs w:val="16"/>
        </w:rPr>
        <w:t>w zakresie limitowania wydatków bieżących i obciążeń budżetu związanych z obsługą długu, uwzględniając jednocześnie konieczność zapewnienia na odpowiednim</w:t>
      </w:r>
      <w:r>
        <w:rPr>
          <w:rFonts w:ascii="Verdana" w:hAnsi="Verdana"/>
          <w:b/>
          <w:iCs/>
          <w:sz w:val="16"/>
          <w:szCs w:val="16"/>
        </w:rPr>
        <w:t>, ograniczonym wszakże drastycznie obniżonymi na skutek decyzji legislacyjnych możliwościami dochodowymi,</w:t>
      </w:r>
      <w:r w:rsidRPr="0055073A">
        <w:rPr>
          <w:rFonts w:ascii="Verdana" w:hAnsi="Verdana"/>
          <w:b/>
          <w:iCs/>
          <w:sz w:val="16"/>
          <w:szCs w:val="16"/>
        </w:rPr>
        <w:t xml:space="preserve"> poziomie środków na finansowanie zadań realizowanych przez </w:t>
      </w:r>
      <w:r>
        <w:rPr>
          <w:rFonts w:ascii="Verdana" w:hAnsi="Verdana"/>
          <w:b/>
          <w:iCs/>
          <w:sz w:val="16"/>
          <w:szCs w:val="16"/>
        </w:rPr>
        <w:t>m.st. Warszawa</w:t>
      </w:r>
      <w:r w:rsidRPr="0055073A">
        <w:rPr>
          <w:rFonts w:ascii="Verdana" w:hAnsi="Verdana"/>
          <w:b/>
          <w:iCs/>
          <w:sz w:val="16"/>
          <w:szCs w:val="16"/>
        </w:rPr>
        <w:t xml:space="preserve">, opracowany program adaptacji finansów </w:t>
      </w:r>
      <w:r>
        <w:rPr>
          <w:rFonts w:ascii="Verdana" w:hAnsi="Verdana"/>
          <w:b/>
          <w:iCs/>
          <w:sz w:val="16"/>
          <w:szCs w:val="16"/>
        </w:rPr>
        <w:t>Miasta</w:t>
      </w:r>
      <w:r w:rsidRPr="0055073A">
        <w:rPr>
          <w:rFonts w:ascii="Verdana" w:hAnsi="Verdana"/>
          <w:b/>
          <w:iCs/>
          <w:sz w:val="16"/>
          <w:szCs w:val="16"/>
        </w:rPr>
        <w:t xml:space="preserve"> do ograniczonych dochodów budżetowych opiera się na następujących filarach:</w:t>
      </w:r>
    </w:p>
    <w:p w:rsidR="008A572A" w:rsidRPr="0055073A" w:rsidRDefault="008A572A" w:rsidP="008A572A">
      <w:pPr>
        <w:pStyle w:val="Akapitzlist"/>
        <w:numPr>
          <w:ilvl w:val="0"/>
          <w:numId w:val="47"/>
        </w:numPr>
        <w:spacing w:before="60" w:after="60"/>
        <w:ind w:left="426" w:hanging="284"/>
        <w:contextualSpacing w:val="0"/>
        <w:jc w:val="both"/>
        <w:rPr>
          <w:rFonts w:ascii="Verdana" w:hAnsi="Verdana"/>
          <w:b/>
          <w:iCs/>
          <w:sz w:val="16"/>
          <w:szCs w:val="16"/>
        </w:rPr>
      </w:pPr>
      <w:r w:rsidRPr="0055073A">
        <w:rPr>
          <w:rFonts w:ascii="Verdana" w:hAnsi="Verdana"/>
          <w:b/>
          <w:iCs/>
          <w:sz w:val="16"/>
          <w:szCs w:val="16"/>
        </w:rPr>
        <w:t xml:space="preserve">Maksymalnym wykorzystaniu potencjału zaangażowania instrumentu długu dla wsparcia działalności </w:t>
      </w:r>
      <w:r>
        <w:rPr>
          <w:rFonts w:ascii="Verdana" w:hAnsi="Verdana"/>
          <w:b/>
          <w:iCs/>
          <w:sz w:val="16"/>
          <w:szCs w:val="16"/>
        </w:rPr>
        <w:t xml:space="preserve">rozwojowej </w:t>
      </w:r>
      <w:r w:rsidRPr="0055073A">
        <w:rPr>
          <w:rFonts w:ascii="Verdana" w:hAnsi="Verdana"/>
          <w:b/>
          <w:iCs/>
          <w:sz w:val="16"/>
          <w:szCs w:val="16"/>
        </w:rPr>
        <w:t>Miasta.</w:t>
      </w:r>
    </w:p>
    <w:p w:rsidR="008A572A" w:rsidRPr="0055073A" w:rsidRDefault="008A572A" w:rsidP="008A572A">
      <w:pPr>
        <w:pStyle w:val="Tekstprzypisukocowego"/>
        <w:spacing w:before="60" w:after="60"/>
        <w:ind w:left="426"/>
        <w:jc w:val="both"/>
        <w:rPr>
          <w:rFonts w:ascii="Verdana" w:hAnsi="Verdana"/>
          <w:iCs/>
          <w:sz w:val="16"/>
          <w:szCs w:val="16"/>
        </w:rPr>
      </w:pPr>
      <w:r w:rsidRPr="0055073A">
        <w:rPr>
          <w:rFonts w:ascii="Verdana" w:hAnsi="Verdana"/>
          <w:iCs/>
          <w:sz w:val="16"/>
          <w:szCs w:val="16"/>
        </w:rPr>
        <w:t xml:space="preserve">Przyjęto założenie maksymalnego wykorzystania środków dłużnych dla sfinansowania </w:t>
      </w:r>
      <w:r>
        <w:rPr>
          <w:rFonts w:ascii="Verdana" w:hAnsi="Verdana"/>
          <w:iCs/>
          <w:sz w:val="16"/>
          <w:szCs w:val="16"/>
        </w:rPr>
        <w:t xml:space="preserve">wydatków majątkowych, przy uwzględnieniu </w:t>
      </w:r>
      <w:r w:rsidRPr="0055073A">
        <w:rPr>
          <w:rFonts w:ascii="Verdana" w:hAnsi="Verdana"/>
          <w:iCs/>
          <w:sz w:val="16"/>
          <w:szCs w:val="16"/>
        </w:rPr>
        <w:t xml:space="preserve">wewnętrznego limitu ostrożnościowego </w:t>
      </w:r>
      <w:r>
        <w:rPr>
          <w:rFonts w:ascii="Verdana" w:hAnsi="Verdana"/>
          <w:iCs/>
          <w:sz w:val="16"/>
          <w:szCs w:val="16"/>
        </w:rPr>
        <w:t>ograniczającego poziom zadłużenia do wysokości nie wyższej niż</w:t>
      </w:r>
      <w:r w:rsidRPr="0055073A">
        <w:rPr>
          <w:rFonts w:ascii="Verdana" w:hAnsi="Verdana"/>
          <w:iCs/>
          <w:sz w:val="16"/>
          <w:szCs w:val="16"/>
        </w:rPr>
        <w:t xml:space="preserve"> </w:t>
      </w:r>
      <w:r w:rsidRPr="000B349F">
        <w:rPr>
          <w:rFonts w:ascii="Verdana" w:hAnsi="Verdana"/>
          <w:b/>
          <w:iCs/>
          <w:color w:val="000000" w:themeColor="text1"/>
          <w:sz w:val="16"/>
          <w:szCs w:val="16"/>
        </w:rPr>
        <w:t>5</w:t>
      </w:r>
      <w:r>
        <w:rPr>
          <w:rFonts w:ascii="Verdana" w:hAnsi="Verdana"/>
          <w:b/>
          <w:iCs/>
          <w:color w:val="000000" w:themeColor="text1"/>
          <w:sz w:val="16"/>
          <w:szCs w:val="16"/>
        </w:rPr>
        <w:t>5</w:t>
      </w:r>
      <w:r w:rsidRPr="000B349F">
        <w:rPr>
          <w:rFonts w:ascii="Verdana" w:hAnsi="Verdana"/>
          <w:b/>
          <w:iCs/>
          <w:color w:val="000000" w:themeColor="text1"/>
          <w:sz w:val="16"/>
          <w:szCs w:val="16"/>
        </w:rPr>
        <w:t>%</w:t>
      </w:r>
      <w:r>
        <w:rPr>
          <w:rFonts w:ascii="Verdana" w:hAnsi="Verdana"/>
          <w:iCs/>
          <w:color w:val="000000" w:themeColor="text1"/>
          <w:sz w:val="16"/>
          <w:szCs w:val="16"/>
        </w:rPr>
        <w:t xml:space="preserve"> w relacji do dochodów ogółem</w:t>
      </w:r>
      <w:r w:rsidRPr="000B349F">
        <w:rPr>
          <w:rFonts w:ascii="Verdana" w:hAnsi="Verdana"/>
          <w:iCs/>
          <w:color w:val="000000" w:themeColor="text1"/>
          <w:sz w:val="16"/>
          <w:szCs w:val="16"/>
        </w:rPr>
        <w:t>.</w:t>
      </w:r>
    </w:p>
    <w:p w:rsidR="008A572A" w:rsidRPr="0055073A" w:rsidRDefault="008A572A" w:rsidP="008A572A">
      <w:pPr>
        <w:pStyle w:val="Akapitzlist"/>
        <w:numPr>
          <w:ilvl w:val="0"/>
          <w:numId w:val="47"/>
        </w:numPr>
        <w:spacing w:before="60" w:after="60"/>
        <w:ind w:left="426" w:hanging="284"/>
        <w:contextualSpacing w:val="0"/>
        <w:jc w:val="both"/>
        <w:rPr>
          <w:rFonts w:ascii="Verdana" w:hAnsi="Verdana"/>
          <w:b/>
          <w:iCs/>
          <w:sz w:val="16"/>
          <w:szCs w:val="16"/>
        </w:rPr>
      </w:pPr>
      <w:r w:rsidRPr="0055073A">
        <w:rPr>
          <w:rFonts w:ascii="Verdana" w:hAnsi="Verdana"/>
          <w:b/>
          <w:iCs/>
          <w:sz w:val="16"/>
          <w:szCs w:val="16"/>
        </w:rPr>
        <w:t>Aktywnym zarządzaniu programem inwestycyjnym przy zapewnieniu ochrony wysokości nakładów rozwojowych.</w:t>
      </w:r>
    </w:p>
    <w:p w:rsidR="008A572A" w:rsidRPr="0055073A" w:rsidRDefault="008A572A" w:rsidP="008A572A">
      <w:pPr>
        <w:pStyle w:val="Tekstprzypisukocowego"/>
        <w:spacing w:before="60" w:after="60"/>
        <w:ind w:left="426"/>
        <w:jc w:val="both"/>
        <w:rPr>
          <w:rFonts w:ascii="Verdana" w:hAnsi="Verdana"/>
          <w:iCs/>
          <w:sz w:val="16"/>
          <w:szCs w:val="16"/>
        </w:rPr>
      </w:pPr>
      <w:r>
        <w:rPr>
          <w:rFonts w:ascii="Verdana" w:hAnsi="Verdana"/>
          <w:iCs/>
          <w:sz w:val="16"/>
          <w:szCs w:val="16"/>
        </w:rPr>
        <w:t>Zasadniczo założono</w:t>
      </w:r>
      <w:r w:rsidRPr="002A750A">
        <w:rPr>
          <w:rFonts w:ascii="Verdana" w:hAnsi="Verdana"/>
          <w:iCs/>
          <w:sz w:val="16"/>
          <w:szCs w:val="16"/>
        </w:rPr>
        <w:t xml:space="preserve"> utrzymanie wartości programu inwestycyjnego z korektami w rozkładzie wydatków pomiędzy latami.</w:t>
      </w:r>
    </w:p>
    <w:p w:rsidR="008A572A" w:rsidRPr="0055073A" w:rsidRDefault="008A572A" w:rsidP="008A572A">
      <w:pPr>
        <w:pStyle w:val="Akapitzlist"/>
        <w:numPr>
          <w:ilvl w:val="0"/>
          <w:numId w:val="47"/>
        </w:numPr>
        <w:spacing w:before="60" w:after="60"/>
        <w:ind w:left="426" w:hanging="284"/>
        <w:contextualSpacing w:val="0"/>
        <w:jc w:val="both"/>
        <w:rPr>
          <w:rFonts w:ascii="Verdana" w:hAnsi="Verdana"/>
          <w:b/>
          <w:iCs/>
          <w:sz w:val="16"/>
          <w:szCs w:val="16"/>
        </w:rPr>
      </w:pPr>
      <w:r>
        <w:rPr>
          <w:rFonts w:ascii="Verdana" w:hAnsi="Verdana"/>
          <w:b/>
          <w:iCs/>
          <w:sz w:val="16"/>
          <w:szCs w:val="16"/>
        </w:rPr>
        <w:t>Dążeniu w ramach ograniczonych możliwości budżetowych do utrzymania</w:t>
      </w:r>
      <w:r w:rsidRPr="0055073A">
        <w:rPr>
          <w:rFonts w:ascii="Verdana" w:hAnsi="Verdana"/>
          <w:b/>
          <w:iCs/>
          <w:sz w:val="16"/>
          <w:szCs w:val="16"/>
        </w:rPr>
        <w:t xml:space="preserve"> zdolności Miasta do realizowania kluczowych zadań przy zapewnieniu standardów jakościowych.</w:t>
      </w:r>
    </w:p>
    <w:p w:rsidR="008A572A" w:rsidRDefault="008A572A" w:rsidP="008A572A">
      <w:pPr>
        <w:spacing w:before="60" w:after="60"/>
        <w:ind w:left="426"/>
        <w:jc w:val="both"/>
        <w:rPr>
          <w:rFonts w:ascii="Verdana" w:hAnsi="Verdana"/>
          <w:iCs/>
          <w:sz w:val="16"/>
          <w:szCs w:val="16"/>
        </w:rPr>
      </w:pPr>
      <w:r w:rsidRPr="002A750A">
        <w:rPr>
          <w:rFonts w:ascii="Verdana" w:hAnsi="Verdana"/>
          <w:iCs/>
          <w:sz w:val="16"/>
          <w:szCs w:val="16"/>
        </w:rPr>
        <w:t xml:space="preserve">Z uwagi na skalę </w:t>
      </w:r>
      <w:r>
        <w:rPr>
          <w:rFonts w:ascii="Verdana" w:hAnsi="Verdana"/>
          <w:iCs/>
          <w:sz w:val="16"/>
          <w:szCs w:val="16"/>
        </w:rPr>
        <w:t xml:space="preserve">już widocznego dla lat 2022-2023 oraz </w:t>
      </w:r>
      <w:r w:rsidRPr="002A750A">
        <w:rPr>
          <w:rFonts w:ascii="Verdana" w:hAnsi="Verdana"/>
          <w:iCs/>
          <w:sz w:val="16"/>
          <w:szCs w:val="16"/>
        </w:rPr>
        <w:t xml:space="preserve">szacowanego </w:t>
      </w:r>
      <w:r>
        <w:rPr>
          <w:rFonts w:ascii="Verdana" w:hAnsi="Verdana"/>
          <w:iCs/>
          <w:sz w:val="16"/>
          <w:szCs w:val="16"/>
        </w:rPr>
        <w:t xml:space="preserve">na lata następne </w:t>
      </w:r>
      <w:r w:rsidRPr="002A750A">
        <w:rPr>
          <w:rFonts w:ascii="Verdana" w:hAnsi="Verdana"/>
          <w:iCs/>
          <w:sz w:val="16"/>
          <w:szCs w:val="16"/>
        </w:rPr>
        <w:t>ubytku dochodów</w:t>
      </w:r>
      <w:r>
        <w:rPr>
          <w:rFonts w:ascii="Verdana" w:hAnsi="Verdana"/>
          <w:iCs/>
          <w:sz w:val="16"/>
          <w:szCs w:val="16"/>
        </w:rPr>
        <w:t>,</w:t>
      </w:r>
      <w:r w:rsidRPr="002A750A">
        <w:rPr>
          <w:rFonts w:ascii="Verdana" w:hAnsi="Verdana"/>
          <w:iCs/>
          <w:sz w:val="16"/>
          <w:szCs w:val="16"/>
        </w:rPr>
        <w:t xml:space="preserve"> w kontekście wymogu respektowania ustawowej reguły limitującej poziom dopuszczanych obciążeń budżetu związanych z obsługą długu (art. 243 ustawy o finansach publicznych)</w:t>
      </w:r>
      <w:r>
        <w:rPr>
          <w:rFonts w:ascii="Verdana" w:hAnsi="Verdana"/>
          <w:iCs/>
          <w:sz w:val="16"/>
          <w:szCs w:val="16"/>
        </w:rPr>
        <w:t>,</w:t>
      </w:r>
      <w:r w:rsidRPr="002A750A">
        <w:rPr>
          <w:rFonts w:ascii="Verdana" w:hAnsi="Verdana"/>
          <w:iCs/>
          <w:sz w:val="16"/>
          <w:szCs w:val="16"/>
        </w:rPr>
        <w:t xml:space="preserve"> założono stopniowe dostosowywanie wydatków bieżących do ograniczonego poziomu finansowania.  </w:t>
      </w:r>
    </w:p>
    <w:p w:rsidR="008A572A" w:rsidRPr="000A6485" w:rsidRDefault="008A572A" w:rsidP="008A572A">
      <w:pPr>
        <w:spacing w:before="120" w:after="120"/>
        <w:rPr>
          <w:rFonts w:ascii="Verdana" w:hAnsi="Verdana"/>
          <w:b/>
          <w:bCs/>
          <w:sz w:val="20"/>
          <w:szCs w:val="20"/>
        </w:rPr>
      </w:pPr>
      <w:r w:rsidRPr="000A6485">
        <w:rPr>
          <w:rFonts w:ascii="Verdana" w:hAnsi="Verdana"/>
          <w:b/>
          <w:bCs/>
          <w:sz w:val="20"/>
          <w:szCs w:val="20"/>
        </w:rPr>
        <w:t>4.</w:t>
      </w:r>
      <w:r>
        <w:rPr>
          <w:rFonts w:ascii="Verdana" w:hAnsi="Verdana"/>
          <w:b/>
          <w:bCs/>
          <w:sz w:val="20"/>
          <w:szCs w:val="20"/>
        </w:rPr>
        <w:t>4</w:t>
      </w:r>
      <w:r w:rsidRPr="000A6485">
        <w:rPr>
          <w:rFonts w:ascii="Verdana" w:hAnsi="Verdana"/>
          <w:b/>
          <w:bCs/>
          <w:sz w:val="20"/>
          <w:szCs w:val="20"/>
        </w:rPr>
        <w:t xml:space="preserve"> </w:t>
      </w:r>
      <w:r w:rsidRPr="00312621">
        <w:rPr>
          <w:rFonts w:ascii="Verdana" w:hAnsi="Verdana"/>
          <w:b/>
          <w:bCs/>
          <w:sz w:val="20"/>
          <w:szCs w:val="20"/>
        </w:rPr>
        <w:t xml:space="preserve">Uwarunkowania </w:t>
      </w:r>
      <w:r>
        <w:rPr>
          <w:rFonts w:ascii="Verdana" w:hAnsi="Verdana"/>
          <w:b/>
          <w:bCs/>
          <w:sz w:val="20"/>
          <w:szCs w:val="20"/>
        </w:rPr>
        <w:t xml:space="preserve">prawne polityki energooszczędności </w:t>
      </w:r>
      <w:r w:rsidRPr="00312621">
        <w:rPr>
          <w:rFonts w:ascii="Verdana" w:hAnsi="Verdana"/>
          <w:b/>
          <w:bCs/>
          <w:sz w:val="20"/>
          <w:szCs w:val="20"/>
        </w:rPr>
        <w:t>m.st. Warszawy</w:t>
      </w:r>
    </w:p>
    <w:p w:rsidR="008A572A" w:rsidRPr="00B6346D" w:rsidRDefault="008A572A" w:rsidP="008A572A">
      <w:pPr>
        <w:spacing w:before="60" w:after="60"/>
        <w:ind w:firstLine="567"/>
        <w:jc w:val="both"/>
        <w:rPr>
          <w:rFonts w:ascii="Verdana" w:hAnsi="Verdana"/>
          <w:sz w:val="16"/>
          <w:szCs w:val="16"/>
        </w:rPr>
      </w:pPr>
      <w:r w:rsidRPr="00B6346D">
        <w:rPr>
          <w:rFonts w:ascii="Verdana" w:hAnsi="Verdana"/>
          <w:sz w:val="16"/>
          <w:szCs w:val="16"/>
        </w:rPr>
        <w:t>Zgodnie z przepisem zawartym w art. 70k ust.</w:t>
      </w:r>
      <w:r>
        <w:rPr>
          <w:rFonts w:ascii="Verdana" w:hAnsi="Verdana"/>
          <w:sz w:val="16"/>
          <w:szCs w:val="16"/>
        </w:rPr>
        <w:t xml:space="preserve"> </w:t>
      </w:r>
      <w:r w:rsidRPr="00B6346D">
        <w:rPr>
          <w:rFonts w:ascii="Verdana" w:hAnsi="Verdana"/>
          <w:sz w:val="16"/>
          <w:szCs w:val="16"/>
        </w:rPr>
        <w:t xml:space="preserve">1 </w:t>
      </w:r>
      <w:r>
        <w:rPr>
          <w:rFonts w:ascii="Verdana" w:hAnsi="Verdana" w:cs="Arial"/>
          <w:sz w:val="16"/>
          <w:szCs w:val="16"/>
        </w:rPr>
        <w:t>ustawy</w:t>
      </w:r>
      <w:r w:rsidRPr="00006222">
        <w:rPr>
          <w:rFonts w:ascii="Verdana" w:hAnsi="Verdana" w:cs="Arial"/>
          <w:sz w:val="16"/>
          <w:szCs w:val="16"/>
        </w:rPr>
        <w:t xml:space="preserve"> z </w:t>
      </w:r>
      <w:r>
        <w:rPr>
          <w:rFonts w:ascii="Verdana" w:hAnsi="Verdana" w:cs="Arial"/>
          <w:sz w:val="16"/>
          <w:szCs w:val="16"/>
        </w:rPr>
        <w:t>15 września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 xml:space="preserve">zmianie ustawy </w:t>
      </w:r>
      <w:r>
        <w:rPr>
          <w:rFonts w:ascii="Verdana" w:hAnsi="Verdana" w:cs="Arial"/>
          <w:i/>
          <w:sz w:val="16"/>
          <w:szCs w:val="16"/>
        </w:rPr>
        <w:br/>
        <w:t>o dochodach jednostek samorządu terytorialnego oraz niektórych innych ustaw</w:t>
      </w:r>
      <w:r w:rsidRPr="00E7313D">
        <w:rPr>
          <w:rFonts w:ascii="Verdana" w:hAnsi="Verdana" w:cs="Arial"/>
          <w:sz w:val="16"/>
          <w:szCs w:val="16"/>
        </w:rPr>
        <w:t xml:space="preserve"> </w:t>
      </w:r>
      <w:r>
        <w:rPr>
          <w:rFonts w:ascii="Verdana" w:hAnsi="Verdana" w:cs="Arial"/>
          <w:sz w:val="16"/>
          <w:szCs w:val="16"/>
        </w:rPr>
        <w:t>(Dz. U. poz. 1964</w:t>
      </w:r>
      <w:r w:rsidRPr="00E7313D">
        <w:rPr>
          <w:rFonts w:ascii="Verdana" w:hAnsi="Verdana" w:cs="Arial"/>
          <w:sz w:val="16"/>
          <w:szCs w:val="16"/>
        </w:rPr>
        <w:t>)</w:t>
      </w:r>
      <w:r w:rsidRPr="00B6346D">
        <w:rPr>
          <w:rFonts w:ascii="Verdana" w:hAnsi="Verdana"/>
          <w:sz w:val="16"/>
          <w:szCs w:val="16"/>
        </w:rPr>
        <w:t xml:space="preserve"> </w:t>
      </w:r>
      <w:r w:rsidRPr="003E79CC">
        <w:rPr>
          <w:rFonts w:ascii="Verdana" w:hAnsi="Verdana"/>
          <w:b/>
          <w:sz w:val="16"/>
          <w:szCs w:val="16"/>
        </w:rPr>
        <w:t xml:space="preserve">w latach 2022–2027 jednostki samorządu terytorialnego mają obowiązek przeznaczyć co najmniej 15% </w:t>
      </w:r>
      <w:r w:rsidRPr="00733DD7">
        <w:rPr>
          <w:rFonts w:ascii="Verdana" w:hAnsi="Verdana"/>
          <w:b/>
          <w:sz w:val="16"/>
          <w:szCs w:val="16"/>
        </w:rPr>
        <w:t xml:space="preserve">środków uzyskanych z kwot zwiększenia dochodów </w:t>
      </w:r>
      <w:r>
        <w:rPr>
          <w:rFonts w:ascii="Verdana" w:hAnsi="Verdana"/>
          <w:b/>
          <w:sz w:val="16"/>
          <w:szCs w:val="16"/>
        </w:rPr>
        <w:t xml:space="preserve">z udziału w PIT </w:t>
      </w:r>
      <w:r w:rsidRPr="00733DD7">
        <w:rPr>
          <w:rFonts w:ascii="Verdana" w:hAnsi="Verdana"/>
          <w:b/>
          <w:sz w:val="16"/>
          <w:szCs w:val="16"/>
        </w:rPr>
        <w:t xml:space="preserve">w 2022 r. kosztem </w:t>
      </w:r>
      <w:r>
        <w:rPr>
          <w:rFonts w:ascii="Verdana" w:hAnsi="Verdana"/>
          <w:b/>
          <w:sz w:val="16"/>
          <w:szCs w:val="16"/>
        </w:rPr>
        <w:t xml:space="preserve">subwencji rozwojowej należnej w </w:t>
      </w:r>
      <w:r w:rsidRPr="00733DD7">
        <w:rPr>
          <w:rFonts w:ascii="Verdana" w:hAnsi="Verdana"/>
          <w:b/>
          <w:sz w:val="16"/>
          <w:szCs w:val="16"/>
        </w:rPr>
        <w:t>2023 r. na zadania z zakresu poprawy efektywności energetycznej, rozwoju odnawialnych źródeł energii oraz ograniczenia kosztów zakupu ciepła lub energii ponoszonych przez odbiorców</w:t>
      </w:r>
      <w:r w:rsidRPr="00B6346D">
        <w:rPr>
          <w:rFonts w:ascii="Verdana" w:hAnsi="Verdana"/>
          <w:sz w:val="16"/>
          <w:szCs w:val="16"/>
        </w:rPr>
        <w:t>.</w:t>
      </w:r>
      <w:r>
        <w:rPr>
          <w:rFonts w:ascii="Verdana" w:hAnsi="Verdana"/>
          <w:sz w:val="16"/>
          <w:szCs w:val="16"/>
        </w:rPr>
        <w:t xml:space="preserve"> Do wydatków tych zaliczane będą również (ust. 2) wydatki samorządowych instytucji kultury, dla których </w:t>
      </w:r>
      <w:proofErr w:type="spellStart"/>
      <w:r>
        <w:rPr>
          <w:rFonts w:ascii="Verdana" w:hAnsi="Verdana"/>
          <w:sz w:val="16"/>
          <w:szCs w:val="16"/>
        </w:rPr>
        <w:t>jst</w:t>
      </w:r>
      <w:proofErr w:type="spellEnd"/>
      <w:r>
        <w:rPr>
          <w:rFonts w:ascii="Verdana" w:hAnsi="Verdana"/>
          <w:sz w:val="16"/>
          <w:szCs w:val="16"/>
        </w:rPr>
        <w:t xml:space="preserve"> jest organizatorem, samodzielnych publicznych zakładów opieki zdrowotnej, dla których </w:t>
      </w:r>
      <w:proofErr w:type="spellStart"/>
      <w:r>
        <w:rPr>
          <w:rFonts w:ascii="Verdana" w:hAnsi="Verdana"/>
          <w:sz w:val="16"/>
          <w:szCs w:val="16"/>
        </w:rPr>
        <w:t>jst</w:t>
      </w:r>
      <w:proofErr w:type="spellEnd"/>
      <w:r>
        <w:rPr>
          <w:rFonts w:ascii="Verdana" w:hAnsi="Verdana"/>
          <w:sz w:val="16"/>
          <w:szCs w:val="16"/>
        </w:rPr>
        <w:t xml:space="preserve"> jest podmiotem tworzącym oraz wydatki spółek kapitałowych, w których wartość nominalna udziałów albo akcji należących do </w:t>
      </w:r>
      <w:proofErr w:type="spellStart"/>
      <w:r>
        <w:rPr>
          <w:rFonts w:ascii="Verdana" w:hAnsi="Verdana"/>
          <w:sz w:val="16"/>
          <w:szCs w:val="16"/>
        </w:rPr>
        <w:t>jst</w:t>
      </w:r>
      <w:proofErr w:type="spellEnd"/>
      <w:r>
        <w:rPr>
          <w:rFonts w:ascii="Verdana" w:hAnsi="Verdana"/>
          <w:sz w:val="16"/>
          <w:szCs w:val="16"/>
        </w:rPr>
        <w:t xml:space="preserve"> stanowi nie mniej niż 51% kapitału zakładowego spółki oraz </w:t>
      </w:r>
      <w:proofErr w:type="spellStart"/>
      <w:r>
        <w:rPr>
          <w:rFonts w:ascii="Verdana" w:hAnsi="Verdana"/>
          <w:sz w:val="16"/>
          <w:szCs w:val="16"/>
        </w:rPr>
        <w:t>jst</w:t>
      </w:r>
      <w:proofErr w:type="spellEnd"/>
      <w:r>
        <w:rPr>
          <w:rFonts w:ascii="Verdana" w:hAnsi="Verdana"/>
          <w:sz w:val="16"/>
          <w:szCs w:val="16"/>
        </w:rPr>
        <w:t xml:space="preserve"> dysponuje bezpośrednio większością głosów na zgromadzeniu wspólników albo walnym zgromadzeniu. </w:t>
      </w:r>
      <w:r w:rsidRPr="003E79CC">
        <w:rPr>
          <w:rFonts w:ascii="Verdana" w:hAnsi="Verdana"/>
          <w:sz w:val="16"/>
          <w:szCs w:val="16"/>
        </w:rPr>
        <w:t>Sankcją za niezrealizowanie powyższego wymogu będzie utrata w 2029 r. środków z rezerw subwencji ogólnej (ust. 3).</w:t>
      </w:r>
      <w:r w:rsidRPr="001220EA">
        <w:rPr>
          <w:rFonts w:ascii="Verdana" w:hAnsi="Verdana"/>
          <w:sz w:val="16"/>
          <w:szCs w:val="16"/>
        </w:rPr>
        <w:t xml:space="preserve"> </w:t>
      </w:r>
      <w:r w:rsidRPr="00237CF8">
        <w:rPr>
          <w:rFonts w:ascii="Verdana" w:hAnsi="Verdana"/>
          <w:sz w:val="16"/>
          <w:szCs w:val="16"/>
        </w:rPr>
        <w:t xml:space="preserve">Jednostki samorządu terytorialnego </w:t>
      </w:r>
      <w:r>
        <w:rPr>
          <w:rFonts w:ascii="Verdana" w:hAnsi="Verdana"/>
          <w:sz w:val="16"/>
          <w:szCs w:val="16"/>
        </w:rPr>
        <w:t>zostały zobligowane do złożenia</w:t>
      </w:r>
      <w:r w:rsidRPr="00237CF8">
        <w:rPr>
          <w:rFonts w:ascii="Verdana" w:hAnsi="Verdana"/>
          <w:sz w:val="16"/>
          <w:szCs w:val="16"/>
        </w:rPr>
        <w:t xml:space="preserve"> </w:t>
      </w:r>
      <w:r>
        <w:rPr>
          <w:rFonts w:ascii="Verdana" w:hAnsi="Verdana"/>
          <w:sz w:val="16"/>
          <w:szCs w:val="16"/>
        </w:rPr>
        <w:t>informacji w powyższym zakresie właściwemu terytorialnie wojewodzie</w:t>
      </w:r>
      <w:r w:rsidRPr="00237CF8">
        <w:rPr>
          <w:rFonts w:ascii="Verdana" w:hAnsi="Verdana"/>
          <w:sz w:val="16"/>
          <w:szCs w:val="16"/>
        </w:rPr>
        <w:t>, w te</w:t>
      </w:r>
      <w:r>
        <w:rPr>
          <w:rFonts w:ascii="Verdana" w:hAnsi="Verdana"/>
          <w:sz w:val="16"/>
          <w:szCs w:val="16"/>
        </w:rPr>
        <w:t>rminie do 31 marca 2028 r. (ust. 4).</w:t>
      </w:r>
    </w:p>
    <w:p w:rsidR="008A572A" w:rsidRPr="00B6346D" w:rsidRDefault="008A572A" w:rsidP="008A572A">
      <w:pPr>
        <w:spacing w:before="60" w:after="60"/>
        <w:jc w:val="both"/>
        <w:rPr>
          <w:rFonts w:ascii="Verdana" w:hAnsi="Verdana"/>
          <w:sz w:val="16"/>
          <w:szCs w:val="16"/>
        </w:rPr>
      </w:pPr>
      <w:r w:rsidRPr="00B6346D">
        <w:rPr>
          <w:rFonts w:ascii="Verdana" w:hAnsi="Verdana"/>
          <w:sz w:val="16"/>
          <w:szCs w:val="16"/>
        </w:rPr>
        <w:t xml:space="preserve">W myśl powyższych regulacji m.st. Warszawa w latach 2022-2027 winno przeznaczyć na powyższe cele kwotę </w:t>
      </w:r>
      <w:r w:rsidRPr="001220EA">
        <w:rPr>
          <w:rFonts w:ascii="Verdana" w:hAnsi="Verdana"/>
          <w:b/>
          <w:sz w:val="16"/>
          <w:szCs w:val="16"/>
        </w:rPr>
        <w:t>128 mln zł</w:t>
      </w:r>
      <w:r w:rsidRPr="00B6346D">
        <w:rPr>
          <w:rFonts w:ascii="Verdana" w:hAnsi="Verdana"/>
          <w:sz w:val="16"/>
          <w:szCs w:val="16"/>
        </w:rPr>
        <w:t xml:space="preserve">, która stanowi 15% z przekazanej z budżetu państwa kwoty 852 mln zł </w:t>
      </w:r>
      <w:r>
        <w:rPr>
          <w:rFonts w:ascii="Verdana" w:hAnsi="Verdana"/>
          <w:sz w:val="16"/>
          <w:szCs w:val="16"/>
        </w:rPr>
        <w:t>„</w:t>
      </w:r>
      <w:r w:rsidRPr="00B6346D">
        <w:rPr>
          <w:rFonts w:ascii="Verdana" w:hAnsi="Verdana"/>
          <w:sz w:val="16"/>
          <w:szCs w:val="16"/>
        </w:rPr>
        <w:t>dodatkowych</w:t>
      </w:r>
      <w:r>
        <w:rPr>
          <w:rFonts w:ascii="Verdana" w:hAnsi="Verdana"/>
          <w:sz w:val="16"/>
          <w:szCs w:val="16"/>
        </w:rPr>
        <w:t>”</w:t>
      </w:r>
      <w:r w:rsidRPr="00B6346D">
        <w:rPr>
          <w:rFonts w:ascii="Verdana" w:hAnsi="Verdana"/>
          <w:sz w:val="16"/>
          <w:szCs w:val="16"/>
        </w:rPr>
        <w:t xml:space="preserve"> dochodów </w:t>
      </w:r>
      <w:r>
        <w:rPr>
          <w:rFonts w:ascii="Verdana" w:hAnsi="Verdana"/>
          <w:sz w:val="16"/>
          <w:szCs w:val="16"/>
        </w:rPr>
        <w:br/>
      </w:r>
      <w:r w:rsidRPr="00B6346D">
        <w:rPr>
          <w:rFonts w:ascii="Verdana" w:hAnsi="Verdana"/>
          <w:sz w:val="16"/>
          <w:szCs w:val="16"/>
        </w:rPr>
        <w:t>z tytułu udziału we wpływach z podatku dochodowego od osób fizycznych</w:t>
      </w:r>
      <w:r>
        <w:rPr>
          <w:rFonts w:ascii="Verdana" w:hAnsi="Verdana"/>
          <w:sz w:val="16"/>
          <w:szCs w:val="16"/>
        </w:rPr>
        <w:t xml:space="preserve"> (PIT)</w:t>
      </w:r>
      <w:r w:rsidRPr="00B6346D">
        <w:rPr>
          <w:rFonts w:ascii="Verdana" w:hAnsi="Verdana"/>
          <w:sz w:val="16"/>
          <w:szCs w:val="16"/>
        </w:rPr>
        <w:t xml:space="preserve"> stanowiących częściową rekompensatę ubytków dochodu z tego źródła w wyniku wprowadzenia tzw. Pol</w:t>
      </w:r>
      <w:r>
        <w:rPr>
          <w:rFonts w:ascii="Verdana" w:hAnsi="Verdana"/>
          <w:sz w:val="16"/>
          <w:szCs w:val="16"/>
        </w:rPr>
        <w:t xml:space="preserve">skiego Ładu wynoszącego dla  </w:t>
      </w:r>
      <w:r>
        <w:rPr>
          <w:rFonts w:ascii="Verdana" w:hAnsi="Verdana"/>
          <w:sz w:val="16"/>
          <w:szCs w:val="16"/>
        </w:rPr>
        <w:lastRenderedPageBreak/>
        <w:t>m.</w:t>
      </w:r>
      <w:r w:rsidRPr="00B6346D">
        <w:rPr>
          <w:rFonts w:ascii="Verdana" w:hAnsi="Verdana"/>
          <w:sz w:val="16"/>
          <w:szCs w:val="16"/>
        </w:rPr>
        <w:t>st. Warszawy w 2023 r. 2 mld 7</w:t>
      </w:r>
      <w:r>
        <w:rPr>
          <w:rFonts w:ascii="Verdana" w:hAnsi="Verdana"/>
          <w:sz w:val="16"/>
          <w:szCs w:val="16"/>
        </w:rPr>
        <w:t>82</w:t>
      </w:r>
      <w:r w:rsidRPr="00B6346D">
        <w:rPr>
          <w:rFonts w:ascii="Verdana" w:hAnsi="Verdana"/>
          <w:sz w:val="16"/>
          <w:szCs w:val="16"/>
        </w:rPr>
        <w:t xml:space="preserve"> mln zł. Po uwzględnieniu powyższej dopłaty w kwocie 852 mln zł ubytek dochodu z tego źródła d</w:t>
      </w:r>
      <w:r>
        <w:rPr>
          <w:rFonts w:ascii="Verdana" w:hAnsi="Verdana"/>
          <w:sz w:val="16"/>
          <w:szCs w:val="16"/>
        </w:rPr>
        <w:t>la m.st. Warszawy wynosi 1 mld 930</w:t>
      </w:r>
      <w:r w:rsidRPr="00B6346D">
        <w:rPr>
          <w:rFonts w:ascii="Verdana" w:hAnsi="Verdana"/>
          <w:sz w:val="16"/>
          <w:szCs w:val="16"/>
        </w:rPr>
        <w:t xml:space="preserve"> mln zł.  </w:t>
      </w:r>
    </w:p>
    <w:p w:rsidR="008A572A" w:rsidRPr="00B6346D" w:rsidRDefault="008A572A" w:rsidP="008A572A">
      <w:pPr>
        <w:spacing w:before="60" w:after="60"/>
        <w:jc w:val="both"/>
        <w:rPr>
          <w:rFonts w:ascii="Verdana" w:hAnsi="Verdana"/>
          <w:sz w:val="16"/>
          <w:szCs w:val="16"/>
        </w:rPr>
      </w:pPr>
      <w:r w:rsidRPr="00B6346D">
        <w:rPr>
          <w:rFonts w:ascii="Verdana" w:hAnsi="Verdana"/>
          <w:sz w:val="16"/>
          <w:szCs w:val="16"/>
        </w:rPr>
        <w:t xml:space="preserve">W Wieloletniej Prognozy Finansowej m.st. Warszawy na lata 2023-2050 oraz </w:t>
      </w:r>
      <w:r>
        <w:rPr>
          <w:rFonts w:ascii="Verdana" w:hAnsi="Verdana"/>
          <w:sz w:val="16"/>
          <w:szCs w:val="16"/>
        </w:rPr>
        <w:t xml:space="preserve">w </w:t>
      </w:r>
      <w:r w:rsidRPr="00B6346D">
        <w:rPr>
          <w:rFonts w:ascii="Verdana" w:hAnsi="Verdana"/>
          <w:sz w:val="16"/>
          <w:szCs w:val="16"/>
        </w:rPr>
        <w:t xml:space="preserve">budżecie m.st. Warszawy na rok 2022 uwzględnione są wydatki inwestycyjne z zakresu poprawy efektywności energetycznej w latach 2022-2027 łącznie na kwotę </w:t>
      </w:r>
      <w:r w:rsidRPr="00B12D39">
        <w:rPr>
          <w:rFonts w:ascii="Verdana" w:hAnsi="Verdana"/>
          <w:b/>
          <w:bCs/>
          <w:sz w:val="16"/>
          <w:szCs w:val="16"/>
        </w:rPr>
        <w:t>3</w:t>
      </w:r>
      <w:r>
        <w:rPr>
          <w:rFonts w:ascii="Verdana" w:hAnsi="Verdana"/>
          <w:b/>
          <w:bCs/>
          <w:sz w:val="16"/>
          <w:szCs w:val="16"/>
        </w:rPr>
        <w:t>56</w:t>
      </w:r>
      <w:r w:rsidRPr="00B12D39">
        <w:rPr>
          <w:rFonts w:ascii="Verdana" w:hAnsi="Verdana"/>
          <w:b/>
          <w:bCs/>
          <w:sz w:val="16"/>
          <w:szCs w:val="16"/>
        </w:rPr>
        <w:t xml:space="preserve"> </w:t>
      </w:r>
      <w:r w:rsidRPr="00646B74">
        <w:rPr>
          <w:rFonts w:ascii="Verdana" w:hAnsi="Verdana"/>
          <w:b/>
          <w:sz w:val="16"/>
          <w:szCs w:val="16"/>
        </w:rPr>
        <w:t>mln zł</w:t>
      </w:r>
      <w:r w:rsidRPr="00B6346D">
        <w:rPr>
          <w:rFonts w:ascii="Verdana" w:hAnsi="Verdana"/>
          <w:sz w:val="16"/>
          <w:szCs w:val="16"/>
        </w:rPr>
        <w:t xml:space="preserve"> zaplanowane do realizacji przez </w:t>
      </w:r>
      <w:r>
        <w:rPr>
          <w:rFonts w:ascii="Verdana" w:hAnsi="Verdana"/>
          <w:sz w:val="16"/>
          <w:szCs w:val="16"/>
        </w:rPr>
        <w:t>31</w:t>
      </w:r>
      <w:r w:rsidRPr="00B6346D">
        <w:rPr>
          <w:rFonts w:ascii="Verdana" w:hAnsi="Verdana"/>
          <w:sz w:val="16"/>
          <w:szCs w:val="16"/>
        </w:rPr>
        <w:t xml:space="preserve"> jednostek organizacyjnych, w tym dzielnice</w:t>
      </w:r>
      <w:r>
        <w:rPr>
          <w:rFonts w:ascii="Verdana" w:hAnsi="Verdana"/>
          <w:sz w:val="16"/>
          <w:szCs w:val="16"/>
        </w:rPr>
        <w:t xml:space="preserve"> </w:t>
      </w:r>
      <w:r>
        <w:rPr>
          <w:rFonts w:ascii="Verdana" w:hAnsi="Verdana"/>
          <w:sz w:val="16"/>
          <w:szCs w:val="16"/>
        </w:rPr>
        <w:br/>
        <w:t>m</w:t>
      </w:r>
      <w:r w:rsidRPr="00B6346D">
        <w:rPr>
          <w:rFonts w:ascii="Verdana" w:hAnsi="Verdana"/>
          <w:sz w:val="16"/>
          <w:szCs w:val="16"/>
        </w:rPr>
        <w:t>.st. Warszawy, Zarząd Transportu Miejskiego, jednostki pomocy społecznej i biura Urzędu m.st. Warszawy.</w:t>
      </w:r>
    </w:p>
    <w:p w:rsidR="008A572A" w:rsidRPr="00F609F8" w:rsidRDefault="008A572A" w:rsidP="008A572A">
      <w:pPr>
        <w:spacing w:before="60" w:after="60"/>
        <w:jc w:val="both"/>
        <w:rPr>
          <w:rFonts w:ascii="Verdana" w:hAnsi="Verdana"/>
          <w:sz w:val="16"/>
          <w:szCs w:val="16"/>
        </w:rPr>
      </w:pPr>
      <w:r w:rsidRPr="00B6346D">
        <w:rPr>
          <w:rFonts w:ascii="Verdana" w:hAnsi="Verdana"/>
          <w:sz w:val="16"/>
          <w:szCs w:val="16"/>
        </w:rPr>
        <w:t>Główne programy mające na celu poprawę efektywności energetycznej i ich rozkład w latach 2022-2027 przedstawiono w poniższej tabeli:</w:t>
      </w:r>
    </w:p>
    <w:p w:rsidR="008A572A" w:rsidRPr="00F609F8" w:rsidRDefault="008A572A" w:rsidP="008A572A">
      <w:pPr>
        <w:spacing w:before="60" w:after="60"/>
        <w:jc w:val="both"/>
        <w:rPr>
          <w:rFonts w:ascii="Verdana" w:hAnsi="Verdana"/>
          <w:sz w:val="16"/>
          <w:szCs w:val="16"/>
        </w:rPr>
      </w:pPr>
      <w:r w:rsidRPr="00CC3009">
        <w:rPr>
          <w:noProof/>
        </w:rPr>
        <w:drawing>
          <wp:inline distT="0" distB="0" distL="0" distR="0" wp14:anchorId="5D57FF20" wp14:editId="13E34C97">
            <wp:extent cx="5760085" cy="2477907"/>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2477907"/>
                    </a:xfrm>
                    <a:prstGeom prst="rect">
                      <a:avLst/>
                    </a:prstGeom>
                    <a:noFill/>
                    <a:ln>
                      <a:noFill/>
                    </a:ln>
                  </pic:spPr>
                </pic:pic>
              </a:graphicData>
            </a:graphic>
          </wp:inline>
        </w:drawing>
      </w:r>
    </w:p>
    <w:p w:rsidR="008A572A" w:rsidRDefault="008A572A" w:rsidP="008A572A">
      <w:pPr>
        <w:spacing w:before="60" w:after="60"/>
        <w:jc w:val="both"/>
        <w:rPr>
          <w:rFonts w:ascii="Verdana" w:hAnsi="Verdana"/>
          <w:b/>
          <w:sz w:val="16"/>
          <w:szCs w:val="16"/>
        </w:rPr>
      </w:pPr>
      <w:r w:rsidRPr="00B6346D">
        <w:rPr>
          <w:rFonts w:ascii="Verdana" w:hAnsi="Verdana"/>
          <w:sz w:val="16"/>
          <w:szCs w:val="16"/>
        </w:rPr>
        <w:t>Szczegółowe informacje dotyczące realizacji zadań z zakresu poprawy efektywności energetycznej, w tym ich faktycznej realizacji w poszczególnych latach oraz sukce</w:t>
      </w:r>
      <w:r>
        <w:rPr>
          <w:rFonts w:ascii="Verdana" w:hAnsi="Verdana"/>
          <w:sz w:val="16"/>
          <w:szCs w:val="16"/>
        </w:rPr>
        <w:t xml:space="preserve">sywnego przeznaczenia środków z </w:t>
      </w:r>
      <w:r w:rsidRPr="00B6346D">
        <w:rPr>
          <w:rFonts w:ascii="Verdana" w:hAnsi="Verdana"/>
          <w:sz w:val="16"/>
          <w:szCs w:val="16"/>
        </w:rPr>
        <w:t>programów na realizację konkretnych zadań będą przekazywane w sprawozdaniach z realizacji budżetu m.s</w:t>
      </w:r>
      <w:r>
        <w:rPr>
          <w:rFonts w:ascii="Verdana" w:hAnsi="Verdana"/>
          <w:sz w:val="16"/>
          <w:szCs w:val="16"/>
        </w:rPr>
        <w:t>t. Warszawy</w:t>
      </w:r>
      <w:r w:rsidRPr="00B6346D">
        <w:rPr>
          <w:rFonts w:ascii="Verdana" w:hAnsi="Verdana"/>
          <w:sz w:val="16"/>
          <w:szCs w:val="16"/>
        </w:rPr>
        <w:t>.</w:t>
      </w:r>
    </w:p>
    <w:p w:rsidR="008A572A" w:rsidRPr="000A6485" w:rsidRDefault="008A572A" w:rsidP="008A572A">
      <w:pPr>
        <w:spacing w:before="360" w:after="240" w:line="240" w:lineRule="auto"/>
        <w:ind w:left="284" w:hanging="284"/>
        <w:rPr>
          <w:rFonts w:ascii="Verdana" w:hAnsi="Verdana"/>
          <w:b/>
          <w:bCs/>
          <w:sz w:val="22"/>
          <w:szCs w:val="22"/>
        </w:rPr>
      </w:pPr>
      <w:r w:rsidRPr="000A6485">
        <w:rPr>
          <w:rFonts w:ascii="Verdana" w:hAnsi="Verdana"/>
          <w:b/>
          <w:bCs/>
        </w:rPr>
        <w:t xml:space="preserve">5. </w:t>
      </w:r>
      <w:r w:rsidRPr="001B630D">
        <w:rPr>
          <w:rFonts w:ascii="Verdana" w:hAnsi="Verdana"/>
          <w:b/>
          <w:bCs/>
          <w:sz w:val="22"/>
          <w:szCs w:val="22"/>
        </w:rPr>
        <w:t xml:space="preserve">Cele polityki budżetowej m.st. Warszawy uwzględnione </w:t>
      </w:r>
      <w:r w:rsidRPr="001B630D">
        <w:rPr>
          <w:rFonts w:ascii="Verdana" w:hAnsi="Verdana"/>
          <w:b/>
          <w:bCs/>
          <w:sz w:val="22"/>
          <w:szCs w:val="22"/>
        </w:rPr>
        <w:br/>
      </w:r>
      <w:r>
        <w:rPr>
          <w:rFonts w:ascii="Verdana" w:hAnsi="Verdana"/>
          <w:b/>
          <w:bCs/>
          <w:sz w:val="22"/>
          <w:szCs w:val="22"/>
        </w:rPr>
        <w:t xml:space="preserve"> </w:t>
      </w:r>
      <w:r w:rsidRPr="001B630D">
        <w:rPr>
          <w:rFonts w:ascii="Verdana" w:hAnsi="Verdana"/>
          <w:b/>
          <w:bCs/>
          <w:sz w:val="22"/>
          <w:szCs w:val="22"/>
        </w:rPr>
        <w:t>w Wieloletniej Prognoz</w:t>
      </w:r>
      <w:r>
        <w:rPr>
          <w:rFonts w:ascii="Verdana" w:hAnsi="Verdana"/>
          <w:b/>
          <w:bCs/>
          <w:sz w:val="22"/>
          <w:szCs w:val="22"/>
        </w:rPr>
        <w:t>ie</w:t>
      </w:r>
      <w:r w:rsidRPr="001B630D">
        <w:rPr>
          <w:rFonts w:ascii="Verdana" w:hAnsi="Verdana"/>
          <w:b/>
          <w:bCs/>
          <w:sz w:val="22"/>
          <w:szCs w:val="22"/>
        </w:rPr>
        <w:t xml:space="preserve"> Finansowej na lata </w:t>
      </w:r>
      <w:r w:rsidRPr="00932633">
        <w:rPr>
          <w:rFonts w:ascii="Verdana" w:hAnsi="Verdana"/>
          <w:b/>
          <w:bCs/>
          <w:sz w:val="22"/>
          <w:szCs w:val="22"/>
        </w:rPr>
        <w:t>2023</w:t>
      </w:r>
      <w:r w:rsidRPr="001B630D">
        <w:rPr>
          <w:rFonts w:ascii="Verdana" w:hAnsi="Verdana"/>
          <w:b/>
          <w:bCs/>
          <w:sz w:val="22"/>
          <w:szCs w:val="22"/>
        </w:rPr>
        <w:t>-2050</w:t>
      </w:r>
    </w:p>
    <w:p w:rsidR="008A572A" w:rsidRDefault="008A572A" w:rsidP="008A572A">
      <w:pPr>
        <w:spacing w:before="60" w:after="60"/>
        <w:ind w:firstLine="567"/>
        <w:jc w:val="both"/>
        <w:rPr>
          <w:rFonts w:ascii="Verdana" w:hAnsi="Verdana" w:cs="Verdana"/>
          <w:sz w:val="16"/>
          <w:szCs w:val="16"/>
          <w:lang w:eastAsia="ko-KR"/>
        </w:rPr>
      </w:pPr>
      <w:r w:rsidRPr="009E3E76">
        <w:rPr>
          <w:rFonts w:ascii="Verdana" w:hAnsi="Verdana" w:cs="Verdana"/>
          <w:sz w:val="16"/>
          <w:szCs w:val="16"/>
          <w:lang w:eastAsia="ko-KR"/>
        </w:rPr>
        <w:t xml:space="preserve">Cele polityki budżetowej określone w </w:t>
      </w:r>
      <w:r>
        <w:rPr>
          <w:rFonts w:ascii="Verdana" w:hAnsi="Verdana" w:cs="Verdana"/>
          <w:sz w:val="16"/>
          <w:szCs w:val="16"/>
          <w:lang w:eastAsia="ko-KR"/>
        </w:rPr>
        <w:t>Wieloletniej Prognozie</w:t>
      </w:r>
      <w:r w:rsidRPr="009E3E76">
        <w:rPr>
          <w:rFonts w:ascii="Verdana" w:hAnsi="Verdana" w:cs="Verdana"/>
          <w:sz w:val="16"/>
          <w:szCs w:val="16"/>
          <w:lang w:eastAsia="ko-KR"/>
        </w:rPr>
        <w:t xml:space="preserve"> Finansowej m.st. Warszawy edycji </w:t>
      </w:r>
      <w:r w:rsidRPr="00932633">
        <w:rPr>
          <w:rFonts w:ascii="Verdana" w:eastAsiaTheme="minorEastAsia" w:hAnsi="Verdana" w:cs="Verdana"/>
          <w:color w:val="000000"/>
          <w:sz w:val="16"/>
          <w:szCs w:val="16"/>
        </w:rPr>
        <w:t>2023</w:t>
      </w:r>
      <w:r w:rsidRPr="009E3E76">
        <w:rPr>
          <w:rFonts w:ascii="Verdana" w:hAnsi="Verdana" w:cs="Verdana"/>
          <w:sz w:val="16"/>
          <w:szCs w:val="16"/>
          <w:lang w:eastAsia="ko-KR"/>
        </w:rPr>
        <w:t xml:space="preserve">-2050 stanowią co do zasady kontynuację założeń ujętych w Wieloletniej Prognozie Finansowej edycji </w:t>
      </w:r>
      <w:r w:rsidRPr="00932633">
        <w:rPr>
          <w:rFonts w:ascii="Verdana" w:eastAsiaTheme="minorEastAsia" w:hAnsi="Verdana" w:cs="Verdana"/>
          <w:color w:val="000000"/>
          <w:sz w:val="16"/>
          <w:szCs w:val="16"/>
        </w:rPr>
        <w:t>2022</w:t>
      </w:r>
      <w:r w:rsidRPr="009E3E76">
        <w:rPr>
          <w:rFonts w:ascii="Verdana" w:hAnsi="Verdana" w:cs="Verdana"/>
          <w:sz w:val="16"/>
          <w:szCs w:val="16"/>
          <w:lang w:eastAsia="ko-KR"/>
        </w:rPr>
        <w:t>-2050. Ze względu jednak na przełomową negatywną zmianę uwarunkowań budżetowych</w:t>
      </w:r>
      <w:r>
        <w:rPr>
          <w:rFonts w:ascii="Verdana" w:hAnsi="Verdana" w:cs="Verdana"/>
          <w:sz w:val="16"/>
          <w:szCs w:val="16"/>
          <w:lang w:eastAsia="ko-KR"/>
        </w:rPr>
        <w:t xml:space="preserve"> związaną ze znaczącym ubytkiem dochodów m.st. Warszawy z udziału w podatku dochodowym od osób fizycznych (PIT) na skutek rządowego Programu Polski Ład</w:t>
      </w:r>
      <w:r w:rsidRPr="009E3E76">
        <w:rPr>
          <w:rFonts w:ascii="Verdana" w:hAnsi="Verdana" w:cs="Verdana"/>
          <w:sz w:val="16"/>
          <w:szCs w:val="16"/>
          <w:lang w:eastAsia="ko-KR"/>
        </w:rPr>
        <w:t xml:space="preserve">, tempo realizacji </w:t>
      </w:r>
      <w:r>
        <w:rPr>
          <w:rFonts w:ascii="Verdana" w:hAnsi="Verdana" w:cs="Verdana"/>
          <w:sz w:val="16"/>
          <w:szCs w:val="16"/>
          <w:lang w:eastAsia="ko-KR"/>
        </w:rPr>
        <w:t xml:space="preserve">tych celów </w:t>
      </w:r>
      <w:r w:rsidRPr="009E3E76">
        <w:rPr>
          <w:rFonts w:ascii="Verdana" w:hAnsi="Verdana" w:cs="Verdana"/>
          <w:sz w:val="16"/>
          <w:szCs w:val="16"/>
          <w:lang w:eastAsia="ko-KR"/>
        </w:rPr>
        <w:t>ulegnie istotnemu wyhamowaniu i każdy</w:t>
      </w:r>
      <w:r>
        <w:rPr>
          <w:rFonts w:ascii="Verdana" w:hAnsi="Verdana" w:cs="Verdana"/>
          <w:sz w:val="16"/>
          <w:szCs w:val="16"/>
          <w:lang w:eastAsia="ko-KR"/>
        </w:rPr>
        <w:t xml:space="preserve"> z celów polityki budżetowej m.</w:t>
      </w:r>
      <w:r w:rsidRPr="009E3E76">
        <w:rPr>
          <w:rFonts w:ascii="Verdana" w:hAnsi="Verdana" w:cs="Verdana"/>
          <w:sz w:val="16"/>
          <w:szCs w:val="16"/>
          <w:lang w:eastAsia="ko-KR"/>
        </w:rPr>
        <w:t xml:space="preserve">st. Warszawy definiowany jest obecnie jako wyzwanie dla Miasta w dłuższym okresie, </w:t>
      </w:r>
      <w:r>
        <w:rPr>
          <w:rFonts w:ascii="Verdana" w:hAnsi="Verdana" w:cs="Verdana"/>
          <w:sz w:val="16"/>
          <w:szCs w:val="16"/>
          <w:lang w:eastAsia="ko-KR"/>
        </w:rPr>
        <w:br/>
      </w:r>
      <w:r w:rsidRPr="009E3E76">
        <w:rPr>
          <w:rFonts w:ascii="Verdana" w:hAnsi="Verdana" w:cs="Verdana"/>
          <w:sz w:val="16"/>
          <w:szCs w:val="16"/>
          <w:lang w:eastAsia="ko-KR"/>
        </w:rPr>
        <w:t>w tym szczególnym wyzwaniem staje się redukcja deficytu budżetowego oraz ograniczenie przyrostu zadłużenia i</w:t>
      </w:r>
      <w:r>
        <w:rPr>
          <w:rFonts w:ascii="Verdana" w:hAnsi="Verdana" w:cs="Verdana"/>
          <w:sz w:val="16"/>
          <w:szCs w:val="16"/>
          <w:lang w:eastAsia="ko-KR"/>
        </w:rPr>
        <w:t xml:space="preserve"> </w:t>
      </w:r>
      <w:r w:rsidRPr="009E3E76">
        <w:rPr>
          <w:rFonts w:ascii="Verdana" w:hAnsi="Verdana" w:cs="Verdana"/>
          <w:sz w:val="16"/>
          <w:szCs w:val="16"/>
          <w:lang w:eastAsia="ko-KR"/>
        </w:rPr>
        <w:t xml:space="preserve">utrzymanie </w:t>
      </w:r>
      <w:r>
        <w:rPr>
          <w:rFonts w:ascii="Verdana" w:hAnsi="Verdana" w:cs="Verdana"/>
          <w:sz w:val="16"/>
          <w:szCs w:val="16"/>
          <w:lang w:eastAsia="ko-KR"/>
        </w:rPr>
        <w:t xml:space="preserve">jego poziomu </w:t>
      </w:r>
      <w:r w:rsidRPr="009E3E76">
        <w:rPr>
          <w:rFonts w:ascii="Verdana" w:hAnsi="Verdana" w:cs="Verdana"/>
          <w:sz w:val="16"/>
          <w:szCs w:val="16"/>
          <w:lang w:eastAsia="ko-KR"/>
        </w:rPr>
        <w:t>w relacji do dochodów</w:t>
      </w:r>
      <w:r>
        <w:rPr>
          <w:rFonts w:ascii="Verdana" w:hAnsi="Verdana" w:cs="Verdana"/>
          <w:sz w:val="16"/>
          <w:szCs w:val="16"/>
          <w:lang w:eastAsia="ko-KR"/>
        </w:rPr>
        <w:t xml:space="preserve"> na założonym poziomie</w:t>
      </w:r>
      <w:r w:rsidRPr="009E3E76">
        <w:rPr>
          <w:rFonts w:ascii="Verdana" w:hAnsi="Verdana" w:cs="Verdana"/>
          <w:sz w:val="16"/>
          <w:szCs w:val="16"/>
          <w:lang w:eastAsia="ko-KR"/>
        </w:rPr>
        <w:t xml:space="preserve">. </w:t>
      </w:r>
    </w:p>
    <w:p w:rsidR="008A572A" w:rsidRPr="009E3E76" w:rsidRDefault="008A572A" w:rsidP="008A572A">
      <w:pPr>
        <w:spacing w:before="60" w:after="60"/>
        <w:jc w:val="both"/>
        <w:rPr>
          <w:rFonts w:ascii="Verdana" w:hAnsi="Verdana" w:cs="Verdana"/>
          <w:sz w:val="16"/>
          <w:szCs w:val="16"/>
          <w:lang w:eastAsia="ko-KR"/>
        </w:rPr>
      </w:pPr>
      <w:r>
        <w:rPr>
          <w:rFonts w:ascii="Verdana" w:hAnsi="Verdana" w:cs="Verdana"/>
          <w:sz w:val="16"/>
          <w:szCs w:val="16"/>
          <w:lang w:eastAsia="ko-KR"/>
        </w:rPr>
        <w:t>Dodatkowym czynnikiem niepewności rozwoju sytuacji finansowej m.st. Warszawy jest niestabilność otoczenia makroekonomicznego, a w szczególności dynamika procesów inflacyjnych mająca wpływ na</w:t>
      </w:r>
      <w:r>
        <w:rPr>
          <w:rFonts w:ascii="Verdana" w:hAnsi="Verdana" w:cstheme="minorHAnsi"/>
          <w:sz w:val="16"/>
          <w:szCs w:val="16"/>
        </w:rPr>
        <w:t xml:space="preserve"> podwyższoną presję na wydatki budżetowe Miasta w związku z istotnym wzrostem cen nośników energii oraz podwyższonymi oczekiwaniami płacowymi i wyższymi cenami towarów i usług. Z kolei k</w:t>
      </w:r>
      <w:r w:rsidRPr="00E7113F">
        <w:rPr>
          <w:rFonts w:ascii="Verdana" w:hAnsi="Verdana" w:cstheme="minorHAnsi"/>
          <w:sz w:val="16"/>
          <w:szCs w:val="16"/>
        </w:rPr>
        <w:t>onfli</w:t>
      </w:r>
      <w:r>
        <w:rPr>
          <w:rFonts w:ascii="Verdana" w:hAnsi="Verdana" w:cstheme="minorHAnsi"/>
          <w:sz w:val="16"/>
          <w:szCs w:val="16"/>
        </w:rPr>
        <w:t xml:space="preserve">kt zbrojny na terytorium Ukrainy zapoczątkowany agresją Federacji Rosyjskiej w dniu 24 lutego 2022 r. spowodował napływ uchodźców, wywołując szereg wyzwań organizacyjnych oraz generując dodatkowe potrzeby wydatkowe. Finansowanie wydatków związanych z pomocą uchodźcom pochodzi zarówno ze źródeł zewnętrznych (m.in. dotacje i darowizny), ale także ze środków własnych Miasta. </w:t>
      </w:r>
      <w:r w:rsidRPr="000D40D7">
        <w:rPr>
          <w:rFonts w:ascii="Verdana" w:hAnsi="Verdana" w:cstheme="minorHAnsi"/>
          <w:b/>
          <w:sz w:val="16"/>
          <w:szCs w:val="16"/>
        </w:rPr>
        <w:t>Zatem z</w:t>
      </w:r>
      <w:r w:rsidRPr="0079792C">
        <w:rPr>
          <w:rFonts w:ascii="Verdana" w:hAnsi="Verdana" w:cstheme="minorHAnsi"/>
          <w:b/>
          <w:sz w:val="16"/>
          <w:szCs w:val="16"/>
        </w:rPr>
        <w:t xml:space="preserve">większonym potrzebom wydatkowym związanym </w:t>
      </w:r>
      <w:r>
        <w:rPr>
          <w:rFonts w:ascii="Verdana" w:hAnsi="Verdana" w:cstheme="minorHAnsi"/>
          <w:b/>
          <w:sz w:val="16"/>
          <w:szCs w:val="16"/>
        </w:rPr>
        <w:t>z pomocą uchodźcom z Ukrainy</w:t>
      </w:r>
      <w:r w:rsidRPr="0079792C">
        <w:rPr>
          <w:rFonts w:ascii="Verdana" w:hAnsi="Verdana" w:cstheme="minorHAnsi"/>
          <w:b/>
          <w:sz w:val="16"/>
          <w:szCs w:val="16"/>
        </w:rPr>
        <w:t xml:space="preserve">, przy wzmagającej się presji na inne wydatki </w:t>
      </w:r>
      <w:r>
        <w:rPr>
          <w:rFonts w:ascii="Verdana" w:hAnsi="Verdana" w:cstheme="minorHAnsi"/>
          <w:b/>
          <w:sz w:val="16"/>
          <w:szCs w:val="16"/>
        </w:rPr>
        <w:t>wywołanej</w:t>
      </w:r>
      <w:r w:rsidRPr="0079792C">
        <w:rPr>
          <w:rFonts w:ascii="Verdana" w:hAnsi="Verdana" w:cstheme="minorHAnsi"/>
          <w:b/>
          <w:sz w:val="16"/>
          <w:szCs w:val="16"/>
        </w:rPr>
        <w:t xml:space="preserve"> </w:t>
      </w:r>
      <w:r>
        <w:rPr>
          <w:rFonts w:ascii="Verdana" w:hAnsi="Verdana" w:cstheme="minorHAnsi"/>
          <w:b/>
          <w:sz w:val="16"/>
          <w:szCs w:val="16"/>
        </w:rPr>
        <w:t>rosnącymi</w:t>
      </w:r>
      <w:r w:rsidRPr="0079792C">
        <w:rPr>
          <w:rFonts w:ascii="Verdana" w:hAnsi="Verdana" w:cstheme="minorHAnsi"/>
          <w:b/>
          <w:sz w:val="16"/>
          <w:szCs w:val="16"/>
        </w:rPr>
        <w:t xml:space="preserve"> cenami towarów i usług, </w:t>
      </w:r>
      <w:r>
        <w:rPr>
          <w:rFonts w:ascii="Verdana" w:hAnsi="Verdana" w:cstheme="minorHAnsi"/>
          <w:b/>
          <w:sz w:val="16"/>
          <w:szCs w:val="16"/>
        </w:rPr>
        <w:t>towarzyszy</w:t>
      </w:r>
      <w:r w:rsidRPr="0079792C">
        <w:rPr>
          <w:rFonts w:ascii="Verdana" w:hAnsi="Verdana" w:cstheme="minorHAnsi"/>
          <w:b/>
          <w:sz w:val="16"/>
          <w:szCs w:val="16"/>
        </w:rPr>
        <w:t xml:space="preserve"> bezprecedensowe trwałe ograniczenie od </w:t>
      </w:r>
      <w:r>
        <w:rPr>
          <w:rFonts w:ascii="Verdana" w:hAnsi="Verdana" w:cstheme="minorHAnsi"/>
          <w:b/>
          <w:sz w:val="16"/>
          <w:szCs w:val="16"/>
        </w:rPr>
        <w:t xml:space="preserve">początku </w:t>
      </w:r>
      <w:r w:rsidRPr="0079792C">
        <w:rPr>
          <w:rFonts w:ascii="Verdana" w:hAnsi="Verdana" w:cstheme="minorHAnsi"/>
          <w:b/>
          <w:sz w:val="16"/>
          <w:szCs w:val="16"/>
        </w:rPr>
        <w:t xml:space="preserve">2022 r. potencjału </w:t>
      </w:r>
      <w:r w:rsidRPr="0079792C">
        <w:rPr>
          <w:rFonts w:ascii="Verdana" w:hAnsi="Verdana" w:cstheme="minorHAnsi"/>
          <w:b/>
          <w:sz w:val="16"/>
          <w:szCs w:val="16"/>
        </w:rPr>
        <w:lastRenderedPageBreak/>
        <w:t xml:space="preserve">dochodowego Miasta w konsekwencji zmian podatkowych </w:t>
      </w:r>
      <w:r>
        <w:rPr>
          <w:rFonts w:ascii="Verdana" w:hAnsi="Verdana" w:cstheme="minorHAnsi"/>
          <w:b/>
          <w:sz w:val="16"/>
          <w:szCs w:val="16"/>
        </w:rPr>
        <w:t xml:space="preserve">wynikających z programu </w:t>
      </w:r>
      <w:r w:rsidRPr="0079792C">
        <w:rPr>
          <w:rFonts w:ascii="Verdana" w:hAnsi="Verdana" w:cstheme="minorHAnsi"/>
          <w:b/>
          <w:sz w:val="16"/>
          <w:szCs w:val="16"/>
        </w:rPr>
        <w:t>Polski Ład</w:t>
      </w:r>
      <w:r>
        <w:rPr>
          <w:rFonts w:ascii="Verdana" w:hAnsi="Verdana" w:cstheme="minorHAnsi"/>
          <w:b/>
          <w:sz w:val="16"/>
          <w:szCs w:val="16"/>
        </w:rPr>
        <w:t>, które nałożyło się na już wcześniej wprowadzone zmiany podatkowe trwale ograniczające dochody własne m.st. Warszawy.</w:t>
      </w:r>
    </w:p>
    <w:p w:rsidR="008A572A" w:rsidRDefault="008A572A" w:rsidP="008A572A">
      <w:pPr>
        <w:spacing w:before="60" w:after="60"/>
        <w:jc w:val="both"/>
        <w:rPr>
          <w:rFonts w:ascii="Verdana" w:hAnsi="Verdana" w:cs="Verdana"/>
          <w:sz w:val="16"/>
          <w:szCs w:val="16"/>
          <w:lang w:eastAsia="ko-KR"/>
        </w:rPr>
      </w:pPr>
      <w:r w:rsidRPr="009E3E76">
        <w:rPr>
          <w:rFonts w:ascii="Verdana" w:hAnsi="Verdana" w:cs="Verdana"/>
          <w:sz w:val="16"/>
          <w:szCs w:val="16"/>
          <w:lang w:eastAsia="ko-KR"/>
        </w:rPr>
        <w:t>Niemn</w:t>
      </w:r>
      <w:r>
        <w:rPr>
          <w:rFonts w:ascii="Verdana" w:hAnsi="Verdana" w:cs="Verdana"/>
          <w:sz w:val="16"/>
          <w:szCs w:val="16"/>
          <w:lang w:eastAsia="ko-KR"/>
        </w:rPr>
        <w:t>iej cele polityki budżetowej m.</w:t>
      </w:r>
      <w:r w:rsidRPr="009E3E76">
        <w:rPr>
          <w:rFonts w:ascii="Verdana" w:hAnsi="Verdana" w:cs="Verdana"/>
          <w:sz w:val="16"/>
          <w:szCs w:val="16"/>
          <w:lang w:eastAsia="ko-KR"/>
        </w:rPr>
        <w:t>st. Warszawy</w:t>
      </w:r>
      <w:r w:rsidRPr="009E3E76">
        <w:rPr>
          <w:rFonts w:ascii="Verdana" w:hAnsi="Verdana"/>
          <w:iCs/>
          <w:sz w:val="16"/>
          <w:szCs w:val="16"/>
        </w:rPr>
        <w:t xml:space="preserve"> są ukierunkowane na:</w:t>
      </w:r>
    </w:p>
    <w:p w:rsidR="008A572A" w:rsidRPr="00011AAA" w:rsidRDefault="008A572A" w:rsidP="008A572A">
      <w:pPr>
        <w:pStyle w:val="Akapitzlist"/>
        <w:numPr>
          <w:ilvl w:val="0"/>
          <w:numId w:val="46"/>
        </w:numPr>
        <w:spacing w:before="60" w:after="60"/>
        <w:ind w:left="567" w:hanging="283"/>
        <w:contextualSpacing w:val="0"/>
        <w:jc w:val="both"/>
        <w:rPr>
          <w:rFonts w:ascii="Verdana" w:hAnsi="Verdana" w:cs="Verdana"/>
          <w:sz w:val="16"/>
          <w:szCs w:val="16"/>
          <w:lang w:eastAsia="ko-KR"/>
        </w:rPr>
      </w:pPr>
      <w:r>
        <w:rPr>
          <w:rFonts w:ascii="Verdana" w:hAnsi="Verdana" w:cs="Verdana"/>
          <w:sz w:val="16"/>
          <w:szCs w:val="16"/>
          <w:lang w:eastAsia="ko-KR"/>
        </w:rPr>
        <w:t>redukcję</w:t>
      </w:r>
      <w:r w:rsidRPr="00011AAA">
        <w:rPr>
          <w:rFonts w:ascii="Verdana" w:hAnsi="Verdana" w:cs="Verdana"/>
          <w:sz w:val="16"/>
          <w:szCs w:val="16"/>
          <w:lang w:eastAsia="ko-KR"/>
        </w:rPr>
        <w:t xml:space="preserve"> </w:t>
      </w:r>
      <w:r>
        <w:rPr>
          <w:rFonts w:ascii="Verdana" w:hAnsi="Verdana" w:cs="Verdana"/>
          <w:sz w:val="16"/>
          <w:szCs w:val="16"/>
          <w:lang w:eastAsia="ko-KR"/>
        </w:rPr>
        <w:t>deficytu budżetowego prowadzoną</w:t>
      </w:r>
      <w:r w:rsidRPr="00011AAA">
        <w:rPr>
          <w:rFonts w:ascii="Verdana" w:hAnsi="Verdana" w:cs="Verdana"/>
          <w:sz w:val="16"/>
          <w:szCs w:val="16"/>
          <w:lang w:eastAsia="ko-KR"/>
        </w:rPr>
        <w:t xml:space="preserve"> w sposób niezagrażający rozwojowi Miasta, </w:t>
      </w:r>
    </w:p>
    <w:p w:rsidR="008A572A" w:rsidRPr="00011AAA" w:rsidRDefault="008A572A" w:rsidP="008A572A">
      <w:pPr>
        <w:pStyle w:val="Akapitzlist"/>
        <w:numPr>
          <w:ilvl w:val="0"/>
          <w:numId w:val="46"/>
        </w:numPr>
        <w:spacing w:before="60" w:after="60"/>
        <w:ind w:left="567" w:hanging="283"/>
        <w:contextualSpacing w:val="0"/>
        <w:jc w:val="both"/>
        <w:rPr>
          <w:rFonts w:ascii="Verdana" w:hAnsi="Verdana" w:cs="Verdana"/>
          <w:sz w:val="16"/>
          <w:szCs w:val="16"/>
          <w:lang w:eastAsia="ko-KR"/>
        </w:rPr>
      </w:pPr>
      <w:r>
        <w:rPr>
          <w:rFonts w:ascii="Verdana" w:hAnsi="Verdana" w:cs="Verdana"/>
          <w:sz w:val="16"/>
          <w:szCs w:val="16"/>
          <w:lang w:eastAsia="ko-KR"/>
        </w:rPr>
        <w:t>ograniczenie</w:t>
      </w:r>
      <w:r w:rsidRPr="00011AAA">
        <w:rPr>
          <w:rFonts w:ascii="Verdana" w:hAnsi="Verdana" w:cs="Verdana"/>
          <w:sz w:val="16"/>
          <w:szCs w:val="16"/>
          <w:lang w:eastAsia="ko-KR"/>
        </w:rPr>
        <w:t xml:space="preserve"> przyrostu zadłużenia poprzez utrzymanie jego poziomu poniżej wewnętrznego limitu zadłużenia w relacji do dochodów, ustalonego n</w:t>
      </w:r>
      <w:r>
        <w:rPr>
          <w:rFonts w:ascii="Verdana" w:hAnsi="Verdana" w:cs="Verdana"/>
          <w:sz w:val="16"/>
          <w:szCs w:val="16"/>
          <w:lang w:eastAsia="ko-KR"/>
        </w:rPr>
        <w:t>a poziomie nieprzekraczającym 55</w:t>
      </w:r>
      <w:r w:rsidRPr="00011AAA">
        <w:rPr>
          <w:rFonts w:ascii="Verdana" w:hAnsi="Verdana" w:cs="Verdana"/>
          <w:sz w:val="16"/>
          <w:szCs w:val="16"/>
          <w:lang w:eastAsia="ko-KR"/>
        </w:rPr>
        <w:t>%,</w:t>
      </w:r>
    </w:p>
    <w:p w:rsidR="008A572A" w:rsidRPr="00011AAA" w:rsidRDefault="008A572A" w:rsidP="008A572A">
      <w:pPr>
        <w:pStyle w:val="Akapitzlist"/>
        <w:numPr>
          <w:ilvl w:val="0"/>
          <w:numId w:val="46"/>
        </w:numPr>
        <w:spacing w:before="60" w:after="60"/>
        <w:ind w:left="567" w:hanging="283"/>
        <w:contextualSpacing w:val="0"/>
        <w:jc w:val="both"/>
        <w:rPr>
          <w:rFonts w:ascii="Verdana" w:hAnsi="Verdana" w:cs="Verdana"/>
          <w:sz w:val="16"/>
          <w:szCs w:val="16"/>
          <w:lang w:eastAsia="ko-KR"/>
        </w:rPr>
      </w:pPr>
      <w:r>
        <w:rPr>
          <w:rFonts w:ascii="Verdana" w:hAnsi="Verdana" w:cs="Verdana"/>
          <w:sz w:val="16"/>
          <w:szCs w:val="16"/>
          <w:lang w:eastAsia="ko-KR"/>
        </w:rPr>
        <w:t>maksymalne wykorzystanie</w:t>
      </w:r>
      <w:r w:rsidRPr="00011AAA">
        <w:rPr>
          <w:rFonts w:ascii="Verdana" w:hAnsi="Verdana" w:cs="Verdana"/>
          <w:sz w:val="16"/>
          <w:szCs w:val="16"/>
          <w:lang w:eastAsia="ko-KR"/>
        </w:rPr>
        <w:t xml:space="preserve"> środków unijnych,</w:t>
      </w:r>
    </w:p>
    <w:p w:rsidR="008A572A" w:rsidRDefault="008A572A" w:rsidP="008A572A">
      <w:pPr>
        <w:pStyle w:val="Akapitzlist"/>
        <w:numPr>
          <w:ilvl w:val="0"/>
          <w:numId w:val="46"/>
        </w:numPr>
        <w:spacing w:before="60" w:after="60"/>
        <w:ind w:left="567" w:hanging="283"/>
        <w:contextualSpacing w:val="0"/>
        <w:jc w:val="both"/>
        <w:rPr>
          <w:rFonts w:ascii="Verdana" w:hAnsi="Verdana"/>
          <w:sz w:val="16"/>
          <w:szCs w:val="16"/>
        </w:rPr>
      </w:pPr>
      <w:r>
        <w:rPr>
          <w:rFonts w:ascii="Verdana" w:hAnsi="Verdana"/>
          <w:sz w:val="16"/>
          <w:szCs w:val="16"/>
        </w:rPr>
        <w:t>zachowanie</w:t>
      </w:r>
      <w:r w:rsidRPr="00011AAA">
        <w:rPr>
          <w:rFonts w:ascii="Verdana" w:hAnsi="Verdana"/>
          <w:sz w:val="16"/>
          <w:szCs w:val="16"/>
        </w:rPr>
        <w:t xml:space="preserve"> prorozwojowej orientacji budżetu w warunkach ograniczeń wynikających z działania dwóch systemowych reguł fiskalnych określonych w art. 242 i 243 ustawy o finansach publicznych, </w:t>
      </w:r>
      <w:r w:rsidRPr="00011AAA">
        <w:rPr>
          <w:rFonts w:ascii="Verdana" w:hAnsi="Verdana"/>
          <w:sz w:val="16"/>
          <w:szCs w:val="16"/>
        </w:rPr>
        <w:br/>
        <w:t>tj. utrzymania dodatniej różnicy między dochodami bieżącymi a wydatkami bieżącymi oraz nieprzekraczania zindywidualizowanego limitu obsługi zadłużenia,</w:t>
      </w:r>
    </w:p>
    <w:p w:rsidR="008A572A" w:rsidRPr="00011AAA" w:rsidRDefault="008A572A" w:rsidP="008A572A">
      <w:pPr>
        <w:pStyle w:val="Akapitzlist"/>
        <w:numPr>
          <w:ilvl w:val="0"/>
          <w:numId w:val="46"/>
        </w:numPr>
        <w:spacing w:before="60" w:after="60"/>
        <w:ind w:left="567" w:hanging="283"/>
        <w:contextualSpacing w:val="0"/>
        <w:jc w:val="both"/>
        <w:rPr>
          <w:rFonts w:ascii="Verdana" w:hAnsi="Verdana"/>
          <w:sz w:val="16"/>
          <w:szCs w:val="16"/>
        </w:rPr>
      </w:pPr>
      <w:r>
        <w:rPr>
          <w:rFonts w:ascii="Verdana" w:hAnsi="Verdana"/>
          <w:sz w:val="16"/>
          <w:szCs w:val="16"/>
        </w:rPr>
        <w:t>zapewnienie optymalnego poziomu dostarczanych usług publicznych w ramach istotnie obniżonych możliwości budżetowych związanych z negatywnymi następstwami programu Polski Ład dla poziomu dochodów z głównego źródła dochodów Miasta, tj. udziału w podatku dochodowym od osób fizycznych (PIT),</w:t>
      </w:r>
    </w:p>
    <w:p w:rsidR="008A572A" w:rsidRPr="00011AAA" w:rsidRDefault="008A572A" w:rsidP="008A572A">
      <w:pPr>
        <w:pStyle w:val="Akapitzlist"/>
        <w:numPr>
          <w:ilvl w:val="0"/>
          <w:numId w:val="46"/>
        </w:numPr>
        <w:spacing w:before="60" w:after="60"/>
        <w:ind w:left="567" w:hanging="283"/>
        <w:contextualSpacing w:val="0"/>
        <w:jc w:val="both"/>
        <w:rPr>
          <w:rFonts w:ascii="Verdana" w:hAnsi="Verdana" w:cs="Verdana"/>
          <w:sz w:val="16"/>
          <w:szCs w:val="16"/>
          <w:lang w:eastAsia="ko-KR"/>
        </w:rPr>
      </w:pPr>
      <w:r>
        <w:rPr>
          <w:rFonts w:ascii="Verdana" w:hAnsi="Verdana" w:cs="Verdana"/>
          <w:sz w:val="16"/>
          <w:szCs w:val="16"/>
          <w:lang w:eastAsia="ko-KR"/>
        </w:rPr>
        <w:t>kontynuację</w:t>
      </w:r>
      <w:r w:rsidRPr="00011AAA">
        <w:rPr>
          <w:rFonts w:ascii="Verdana" w:hAnsi="Verdana" w:cs="Verdana"/>
          <w:sz w:val="16"/>
          <w:szCs w:val="16"/>
          <w:lang w:eastAsia="ko-KR"/>
        </w:rPr>
        <w:t xml:space="preserve"> projektów infrastrukturalnych, takich jak rozbudowa II linii metra, przy wzrastającym znaczeniu społecznych programów rozwojowych związanych zarówno z inwestycjami, jak też </w:t>
      </w:r>
      <w:r w:rsidRPr="00011AAA">
        <w:rPr>
          <w:rFonts w:ascii="Verdana" w:hAnsi="Verdana" w:cs="Verdana"/>
          <w:sz w:val="16"/>
          <w:szCs w:val="16"/>
          <w:lang w:eastAsia="ko-KR"/>
        </w:rPr>
        <w:br/>
        <w:t>z projektami tzw. „miękkimi”.</w:t>
      </w:r>
    </w:p>
    <w:p w:rsidR="008A572A" w:rsidRPr="00011AAA" w:rsidRDefault="008A572A" w:rsidP="008A572A">
      <w:pPr>
        <w:spacing w:before="60" w:after="60"/>
        <w:jc w:val="both"/>
        <w:rPr>
          <w:rFonts w:ascii="Verdana" w:hAnsi="Verdana" w:cs="Verdana"/>
          <w:sz w:val="16"/>
          <w:szCs w:val="16"/>
          <w:lang w:eastAsia="ko-KR"/>
        </w:rPr>
      </w:pPr>
      <w:r w:rsidRPr="00011AAA">
        <w:rPr>
          <w:rFonts w:ascii="Verdana" w:hAnsi="Verdana" w:cs="Verdana"/>
          <w:sz w:val="16"/>
          <w:szCs w:val="16"/>
          <w:lang w:eastAsia="ko-KR"/>
        </w:rPr>
        <w:t xml:space="preserve">Priorytetem w zakresie planowania wydatków bieżących będzie zapewnienie prawidłowego funkcjonowania obiektów i urządzeń miejskiej infrastruktury społecznej i technicznej oraz zaspokojenie bieżących potrzeb </w:t>
      </w:r>
      <w:r w:rsidRPr="00011AAA">
        <w:rPr>
          <w:rFonts w:ascii="Verdana" w:hAnsi="Verdana" w:cs="Verdana"/>
          <w:sz w:val="16"/>
          <w:szCs w:val="16"/>
          <w:lang w:eastAsia="ko-KR"/>
        </w:rPr>
        <w:br/>
        <w:t>w związku z realizacją zadań Miasta jako gminy i powiatu, w tym zadań powierzonych do realizacji dzielnicom.</w:t>
      </w:r>
    </w:p>
    <w:p w:rsidR="008A572A" w:rsidRPr="00C855F4" w:rsidRDefault="008A572A" w:rsidP="008A572A">
      <w:pPr>
        <w:spacing w:before="60" w:after="60"/>
        <w:jc w:val="both"/>
        <w:rPr>
          <w:rFonts w:ascii="Verdana" w:hAnsi="Verdana" w:cs="Verdana"/>
          <w:sz w:val="16"/>
          <w:szCs w:val="16"/>
          <w:lang w:eastAsia="ko-KR"/>
        </w:rPr>
      </w:pPr>
      <w:r w:rsidRPr="00011AAA">
        <w:rPr>
          <w:rFonts w:ascii="Verdana" w:hAnsi="Verdana"/>
          <w:color w:val="000000"/>
          <w:sz w:val="16"/>
          <w:szCs w:val="16"/>
        </w:rPr>
        <w:t xml:space="preserve">Ponadto koniecznym jest zabezpieczenie środków na wydatki stanowiące przedsięwzięcia wieloletnie, które zostały uwzględnione w Wieloletniej Prognozie Finansowej m.st. </w:t>
      </w:r>
      <w:r w:rsidRPr="00011AAA">
        <w:rPr>
          <w:rFonts w:ascii="Verdana" w:hAnsi="Verdana"/>
          <w:iCs/>
          <w:sz w:val="16"/>
          <w:szCs w:val="16"/>
        </w:rPr>
        <w:t>Warszawy</w:t>
      </w:r>
      <w:r>
        <w:rPr>
          <w:rFonts w:ascii="Verdana" w:hAnsi="Verdana"/>
          <w:color w:val="000000"/>
          <w:sz w:val="16"/>
          <w:szCs w:val="16"/>
        </w:rPr>
        <w:t xml:space="preserve"> na lata </w:t>
      </w:r>
      <w:r w:rsidRPr="00932633">
        <w:rPr>
          <w:rFonts w:ascii="Verdana" w:eastAsiaTheme="minorEastAsia" w:hAnsi="Verdana" w:cs="Verdana"/>
          <w:color w:val="000000"/>
          <w:sz w:val="16"/>
          <w:szCs w:val="16"/>
        </w:rPr>
        <w:t>2022</w:t>
      </w:r>
      <w:r>
        <w:rPr>
          <w:rFonts w:ascii="Verdana" w:hAnsi="Verdana"/>
          <w:color w:val="000000"/>
          <w:sz w:val="16"/>
          <w:szCs w:val="16"/>
        </w:rPr>
        <w:t xml:space="preserve">-2050 w części dotyczącej </w:t>
      </w:r>
      <w:r w:rsidRPr="00932633">
        <w:rPr>
          <w:rFonts w:ascii="Verdana" w:eastAsiaTheme="minorEastAsia" w:hAnsi="Verdana" w:cs="Verdana"/>
          <w:color w:val="000000"/>
          <w:sz w:val="16"/>
          <w:szCs w:val="16"/>
        </w:rPr>
        <w:t>2023</w:t>
      </w:r>
      <w:r w:rsidRPr="00011AAA">
        <w:rPr>
          <w:rFonts w:ascii="Verdana" w:hAnsi="Verdana"/>
          <w:color w:val="000000"/>
          <w:sz w:val="16"/>
          <w:szCs w:val="16"/>
        </w:rPr>
        <w:t xml:space="preserve"> r. oraz na wydatki </w:t>
      </w:r>
      <w:r>
        <w:rPr>
          <w:rFonts w:ascii="Verdana" w:hAnsi="Verdana"/>
          <w:color w:val="000000"/>
          <w:sz w:val="16"/>
          <w:szCs w:val="16"/>
        </w:rPr>
        <w:t xml:space="preserve">związane z przekazywanymi w </w:t>
      </w:r>
      <w:r w:rsidRPr="00932633">
        <w:rPr>
          <w:rFonts w:ascii="Verdana" w:eastAsiaTheme="minorEastAsia" w:hAnsi="Verdana" w:cs="Verdana"/>
          <w:color w:val="000000"/>
          <w:sz w:val="16"/>
          <w:szCs w:val="16"/>
        </w:rPr>
        <w:t>2022</w:t>
      </w:r>
      <w:r w:rsidRPr="00011AAA">
        <w:rPr>
          <w:rFonts w:ascii="Verdana" w:hAnsi="Verdana"/>
          <w:color w:val="000000"/>
          <w:sz w:val="16"/>
          <w:szCs w:val="16"/>
        </w:rPr>
        <w:t xml:space="preserve"> r. i planowanymi do prze</w:t>
      </w:r>
      <w:r>
        <w:rPr>
          <w:rFonts w:ascii="Verdana" w:hAnsi="Verdana"/>
          <w:color w:val="000000"/>
          <w:sz w:val="16"/>
          <w:szCs w:val="16"/>
        </w:rPr>
        <w:t xml:space="preserve">kazania w </w:t>
      </w:r>
      <w:r w:rsidRPr="00932633">
        <w:rPr>
          <w:rFonts w:ascii="Verdana" w:eastAsiaTheme="minorEastAsia" w:hAnsi="Verdana" w:cs="Verdana"/>
          <w:color w:val="000000"/>
          <w:sz w:val="16"/>
          <w:szCs w:val="16"/>
        </w:rPr>
        <w:t>2023</w:t>
      </w:r>
      <w:r w:rsidRPr="00011AAA">
        <w:rPr>
          <w:rFonts w:ascii="Verdana" w:hAnsi="Verdana"/>
          <w:color w:val="000000"/>
          <w:sz w:val="16"/>
          <w:szCs w:val="16"/>
        </w:rPr>
        <w:t xml:space="preserve"> r. do użytkowania i do bieżącego utrzymania inwestycjami, w tym w szczególności w zakresie </w:t>
      </w:r>
      <w:r w:rsidRPr="00C855F4">
        <w:rPr>
          <w:rFonts w:ascii="Verdana" w:hAnsi="Verdana" w:cs="Verdana"/>
          <w:sz w:val="16"/>
          <w:szCs w:val="16"/>
          <w:lang w:eastAsia="ko-KR"/>
        </w:rPr>
        <w:t>infrastruktury transportowej oraz w obszarze oświaty i kultury.</w:t>
      </w:r>
    </w:p>
    <w:p w:rsidR="008A572A" w:rsidRDefault="008A572A" w:rsidP="008A572A">
      <w:pPr>
        <w:spacing w:before="60" w:after="60"/>
        <w:jc w:val="both"/>
        <w:rPr>
          <w:rFonts w:ascii="Verdana" w:hAnsi="Verdana" w:cs="Verdana"/>
          <w:sz w:val="16"/>
          <w:szCs w:val="16"/>
          <w:lang w:eastAsia="ko-KR"/>
        </w:rPr>
      </w:pPr>
      <w:r w:rsidRPr="00C855F4">
        <w:rPr>
          <w:rFonts w:ascii="Verdana" w:hAnsi="Verdana" w:cs="Verdana"/>
          <w:sz w:val="16"/>
          <w:szCs w:val="16"/>
          <w:lang w:eastAsia="ko-KR"/>
        </w:rPr>
        <w:t>W zakresie wydatków inwestycyjnych ustalono parametry budżetowe zapewniające kontynuację finansowania zadań wcześniej rozpoczętych wraz z dostosowaniem realizacji nowych projektów inwestycyjnych do możliwości finansowych Miasta</w:t>
      </w:r>
      <w:r>
        <w:rPr>
          <w:rFonts w:ascii="Verdana" w:hAnsi="Verdana" w:cs="Verdana"/>
          <w:sz w:val="16"/>
          <w:szCs w:val="16"/>
          <w:lang w:eastAsia="ko-KR"/>
        </w:rPr>
        <w:t>, co było możliwe dzięki utrzymaniu na niezmienionym poziomie ogólnej wartości programu inwestycyjnego przy dostosowaniu limitów w poszczególnych latach do zmienionych harmonogramów realizacji poszczególnych inwestycji</w:t>
      </w:r>
      <w:r w:rsidRPr="00C855F4">
        <w:rPr>
          <w:rFonts w:ascii="Verdana" w:hAnsi="Verdana" w:cs="Verdana"/>
          <w:sz w:val="16"/>
          <w:szCs w:val="16"/>
          <w:lang w:eastAsia="ko-KR"/>
        </w:rPr>
        <w:t xml:space="preserve">. Jednocześnie w </w:t>
      </w:r>
      <w:r>
        <w:rPr>
          <w:rFonts w:ascii="Verdana" w:hAnsi="Verdana" w:cs="Verdana"/>
          <w:sz w:val="16"/>
          <w:szCs w:val="16"/>
          <w:lang w:eastAsia="ko-KR"/>
        </w:rPr>
        <w:t xml:space="preserve">WPF </w:t>
      </w:r>
      <w:r w:rsidRPr="00932633">
        <w:rPr>
          <w:rFonts w:ascii="Verdana" w:eastAsiaTheme="minorEastAsia" w:hAnsi="Verdana" w:cs="Verdana"/>
          <w:color w:val="000000"/>
          <w:sz w:val="16"/>
          <w:szCs w:val="16"/>
        </w:rPr>
        <w:t>2023</w:t>
      </w:r>
      <w:r>
        <w:rPr>
          <w:rFonts w:ascii="Verdana" w:hAnsi="Verdana" w:cs="Verdana"/>
          <w:sz w:val="16"/>
          <w:szCs w:val="16"/>
          <w:lang w:eastAsia="ko-KR"/>
        </w:rPr>
        <w:t>-2050</w:t>
      </w:r>
      <w:r w:rsidRPr="00C855F4">
        <w:rPr>
          <w:rFonts w:ascii="Verdana" w:hAnsi="Verdana" w:cs="Verdana"/>
          <w:sz w:val="16"/>
          <w:szCs w:val="16"/>
          <w:lang w:eastAsia="ko-KR"/>
        </w:rPr>
        <w:t xml:space="preserve"> ujęte są programy strategiczne obejmujące realizację innych zadań na terenie poszczególnych dzielnic. Środki finansowe zaplanowane w ramach powyższych programów będą sukcesywnie – wraz z kolejnymi etapami ich wdrażania – rozdysponowywane pomiędzy dysponentów na konkretne przedsięwzięcia inwestycyjne.</w:t>
      </w:r>
      <w:r>
        <w:rPr>
          <w:rFonts w:ascii="Verdana" w:hAnsi="Verdana" w:cs="Verdana"/>
          <w:sz w:val="16"/>
          <w:szCs w:val="16"/>
          <w:lang w:eastAsia="ko-KR"/>
        </w:rPr>
        <w:br w:type="page"/>
      </w:r>
    </w:p>
    <w:p w:rsidR="008A572A" w:rsidRPr="000A6485" w:rsidRDefault="008A572A" w:rsidP="008A572A">
      <w:pPr>
        <w:spacing w:before="160" w:after="160" w:line="240" w:lineRule="auto"/>
        <w:ind w:left="426" w:hanging="426"/>
        <w:rPr>
          <w:rFonts w:ascii="Verdana" w:hAnsi="Verdana"/>
          <w:b/>
          <w:bCs/>
          <w:sz w:val="20"/>
          <w:szCs w:val="20"/>
        </w:rPr>
      </w:pPr>
      <w:r w:rsidRPr="000A6485">
        <w:rPr>
          <w:rFonts w:ascii="Verdana" w:hAnsi="Verdana"/>
          <w:b/>
          <w:bCs/>
          <w:sz w:val="20"/>
          <w:szCs w:val="20"/>
        </w:rPr>
        <w:lastRenderedPageBreak/>
        <w:t xml:space="preserve">5.1 </w:t>
      </w:r>
      <w:r w:rsidRPr="0031630F">
        <w:rPr>
          <w:rFonts w:ascii="Verdana" w:hAnsi="Verdana"/>
          <w:b/>
          <w:bCs/>
          <w:sz w:val="20"/>
          <w:szCs w:val="20"/>
        </w:rPr>
        <w:t xml:space="preserve">Dostosowanie założeń budżetowych do utraty dochodów w zakresie podatku dochodowego od osób fizycznych PIT oraz utraty dochodów związanych </w:t>
      </w:r>
      <w:r>
        <w:rPr>
          <w:rFonts w:ascii="Verdana" w:hAnsi="Verdana"/>
          <w:b/>
          <w:bCs/>
          <w:sz w:val="20"/>
          <w:szCs w:val="20"/>
        </w:rPr>
        <w:br/>
      </w:r>
      <w:r w:rsidRPr="0031630F">
        <w:rPr>
          <w:rFonts w:ascii="Verdana" w:hAnsi="Verdana"/>
          <w:b/>
          <w:bCs/>
          <w:sz w:val="20"/>
          <w:szCs w:val="20"/>
        </w:rPr>
        <w:t>z użytkowaniem wieczystym nieruchomości</w:t>
      </w:r>
    </w:p>
    <w:p w:rsidR="008A572A" w:rsidRPr="000A6485" w:rsidRDefault="008A572A" w:rsidP="008A572A">
      <w:pPr>
        <w:spacing w:before="240" w:after="240" w:line="240" w:lineRule="auto"/>
        <w:ind w:left="567" w:hanging="567"/>
        <w:rPr>
          <w:rFonts w:ascii="Verdana" w:hAnsi="Verdana"/>
          <w:b/>
          <w:bCs/>
          <w:sz w:val="20"/>
          <w:szCs w:val="20"/>
        </w:rPr>
      </w:pPr>
      <w:r>
        <w:rPr>
          <w:rFonts w:ascii="Verdana" w:hAnsi="Verdana"/>
          <w:b/>
          <w:bCs/>
          <w:sz w:val="20"/>
          <w:szCs w:val="20"/>
        </w:rPr>
        <w:t>5.1.1</w:t>
      </w:r>
      <w:r w:rsidRPr="000A6485">
        <w:rPr>
          <w:rFonts w:ascii="Verdana" w:hAnsi="Verdana"/>
          <w:b/>
          <w:bCs/>
          <w:sz w:val="20"/>
          <w:szCs w:val="20"/>
        </w:rPr>
        <w:t xml:space="preserve"> Dostosowanie założeń budżetowych do utraty dochodów w konsekwencji  </w:t>
      </w:r>
      <w:r w:rsidRPr="000A6485">
        <w:rPr>
          <w:rFonts w:ascii="Verdana" w:hAnsi="Verdana"/>
          <w:b/>
          <w:bCs/>
          <w:sz w:val="20"/>
          <w:szCs w:val="20"/>
        </w:rPr>
        <w:br/>
        <w:t xml:space="preserve"> wprowadzenia regulacji ustawowych dotyczących przekształcania prawa </w:t>
      </w:r>
      <w:r w:rsidRPr="000A6485">
        <w:rPr>
          <w:rFonts w:ascii="Verdana" w:hAnsi="Verdana"/>
          <w:b/>
          <w:bCs/>
          <w:sz w:val="20"/>
          <w:szCs w:val="20"/>
        </w:rPr>
        <w:br/>
        <w:t xml:space="preserve"> użytkowania wieczystego gruntów zabudowanych na cele mieszkaniowe </w:t>
      </w:r>
      <w:r w:rsidRPr="000A6485">
        <w:rPr>
          <w:rFonts w:ascii="Verdana" w:hAnsi="Verdana"/>
          <w:b/>
          <w:bCs/>
          <w:sz w:val="20"/>
          <w:szCs w:val="20"/>
        </w:rPr>
        <w:br/>
        <w:t xml:space="preserve"> w prawo własności tych gruntów </w:t>
      </w:r>
      <w:r w:rsidRPr="00DA39DC">
        <w:rPr>
          <w:rFonts w:ascii="Verdana" w:hAnsi="Verdana"/>
          <w:bCs/>
          <w:sz w:val="20"/>
          <w:szCs w:val="20"/>
        </w:rPr>
        <w:t>– prowadzone od WPF</w:t>
      </w:r>
      <w:r>
        <w:rPr>
          <w:rFonts w:ascii="Verdana" w:hAnsi="Verdana"/>
          <w:bCs/>
          <w:sz w:val="20"/>
          <w:szCs w:val="20"/>
        </w:rPr>
        <w:t xml:space="preserve"> </w:t>
      </w:r>
      <w:r w:rsidRPr="00DA39DC">
        <w:rPr>
          <w:rFonts w:ascii="Verdana" w:hAnsi="Verdana"/>
          <w:bCs/>
          <w:sz w:val="20"/>
          <w:szCs w:val="20"/>
        </w:rPr>
        <w:t xml:space="preserve">edycji </w:t>
      </w:r>
      <w:r>
        <w:rPr>
          <w:rFonts w:ascii="Verdana" w:hAnsi="Verdana"/>
          <w:bCs/>
          <w:sz w:val="20"/>
          <w:szCs w:val="20"/>
        </w:rPr>
        <w:t>2019</w:t>
      </w:r>
      <w:r w:rsidRPr="00DA39DC">
        <w:rPr>
          <w:rFonts w:ascii="Verdana" w:hAnsi="Verdana"/>
          <w:bCs/>
          <w:sz w:val="20"/>
          <w:szCs w:val="20"/>
        </w:rPr>
        <w:t>-2050</w:t>
      </w:r>
    </w:p>
    <w:p w:rsidR="008A572A" w:rsidRPr="000A6485" w:rsidRDefault="008A572A" w:rsidP="008A572A">
      <w:pPr>
        <w:autoSpaceDE w:val="0"/>
        <w:autoSpaceDN w:val="0"/>
        <w:spacing w:before="20" w:after="20"/>
        <w:ind w:firstLine="709"/>
        <w:jc w:val="both"/>
        <w:rPr>
          <w:rFonts w:ascii="Verdana" w:hAnsi="Verdana" w:cs="Verdana"/>
          <w:sz w:val="16"/>
          <w:szCs w:val="16"/>
          <w:lang w:eastAsia="ko-KR"/>
        </w:rPr>
      </w:pPr>
      <w:r w:rsidRPr="000A6485">
        <w:rPr>
          <w:rFonts w:ascii="Verdana" w:hAnsi="Verdana" w:cs="Verdana"/>
          <w:sz w:val="16"/>
          <w:szCs w:val="16"/>
          <w:lang w:eastAsia="ko-KR"/>
        </w:rPr>
        <w:t xml:space="preserve">W dniu 5 października 2018 r. weszła w życie ustawa z dnia 20 lipca 2018 r. </w:t>
      </w:r>
      <w:r w:rsidRPr="00AF68CB">
        <w:rPr>
          <w:rFonts w:ascii="Verdana" w:hAnsi="Verdana" w:cs="Verdana"/>
          <w:i/>
          <w:sz w:val="16"/>
          <w:szCs w:val="16"/>
          <w:lang w:eastAsia="ko-KR"/>
        </w:rPr>
        <w:t>o przekształceniu prawa użytkowania wieczystego gruntów zabudowanych na cele mieszkaniowe w prawo własności tych gruntów</w:t>
      </w:r>
      <w:r w:rsidRPr="000A6485">
        <w:rPr>
          <w:rFonts w:ascii="Verdana" w:hAnsi="Verdana" w:cs="Verdana"/>
          <w:sz w:val="16"/>
          <w:szCs w:val="16"/>
          <w:lang w:eastAsia="ko-KR"/>
        </w:rPr>
        <w:t xml:space="preserve"> </w:t>
      </w:r>
      <w:r w:rsidRPr="000A6485">
        <w:rPr>
          <w:rFonts w:ascii="Verdana" w:hAnsi="Verdana" w:cs="Verdana"/>
          <w:sz w:val="16"/>
          <w:szCs w:val="16"/>
          <w:lang w:eastAsia="ko-KR"/>
        </w:rPr>
        <w:br/>
        <w:t>(</w:t>
      </w:r>
      <w:r>
        <w:rPr>
          <w:rFonts w:ascii="Verdana" w:hAnsi="Verdana"/>
          <w:sz w:val="16"/>
          <w:szCs w:val="16"/>
        </w:rPr>
        <w:t>Dz. U. z 2020</w:t>
      </w:r>
      <w:r w:rsidRPr="000A6485">
        <w:rPr>
          <w:rFonts w:ascii="Verdana" w:hAnsi="Verdana"/>
          <w:sz w:val="16"/>
          <w:szCs w:val="16"/>
        </w:rPr>
        <w:t xml:space="preserve"> r. poz. </w:t>
      </w:r>
      <w:r>
        <w:rPr>
          <w:rFonts w:ascii="Verdana" w:hAnsi="Verdana"/>
          <w:sz w:val="16"/>
          <w:szCs w:val="16"/>
        </w:rPr>
        <w:t>2040</w:t>
      </w:r>
      <w:r w:rsidRPr="000A6485">
        <w:rPr>
          <w:rFonts w:ascii="Verdana" w:hAnsi="Verdana" w:cs="Verdana"/>
          <w:sz w:val="16"/>
          <w:szCs w:val="16"/>
          <w:lang w:eastAsia="ko-KR"/>
        </w:rPr>
        <w:t>).</w:t>
      </w:r>
    </w:p>
    <w:p w:rsidR="008A572A" w:rsidRPr="000A6485" w:rsidRDefault="008A572A" w:rsidP="008A572A">
      <w:pPr>
        <w:autoSpaceDE w:val="0"/>
        <w:autoSpaceDN w:val="0"/>
        <w:spacing w:before="20" w:after="20"/>
        <w:jc w:val="both"/>
        <w:rPr>
          <w:rFonts w:ascii="Verdana" w:hAnsi="Verdana" w:cs="Verdana"/>
          <w:sz w:val="16"/>
          <w:szCs w:val="16"/>
          <w:lang w:eastAsia="ko-KR"/>
        </w:rPr>
      </w:pPr>
      <w:r w:rsidRPr="000A6485">
        <w:rPr>
          <w:rFonts w:ascii="Verdana" w:hAnsi="Verdana" w:cs="Verdana"/>
          <w:sz w:val="16"/>
          <w:szCs w:val="16"/>
          <w:lang w:eastAsia="ko-KR"/>
        </w:rPr>
        <w:t>Przedmiotowa ustawa m</w:t>
      </w:r>
      <w:r>
        <w:rPr>
          <w:rFonts w:ascii="Verdana" w:hAnsi="Verdana" w:cs="Verdana"/>
          <w:sz w:val="16"/>
          <w:szCs w:val="16"/>
          <w:lang w:eastAsia="ko-KR"/>
        </w:rPr>
        <w:t>iała</w:t>
      </w:r>
      <w:r w:rsidRPr="000A6485">
        <w:rPr>
          <w:rFonts w:ascii="Verdana" w:hAnsi="Verdana" w:cs="Verdana"/>
          <w:sz w:val="16"/>
          <w:szCs w:val="16"/>
          <w:lang w:eastAsia="ko-KR"/>
        </w:rPr>
        <w:t xml:space="preserve"> na celu przekształcenie prawa użytkowania wieczystego nieruchomości zabudowanymi budynkami: </w:t>
      </w:r>
    </w:p>
    <w:p w:rsidR="008A572A" w:rsidRPr="000A6485" w:rsidRDefault="008A572A" w:rsidP="008A572A">
      <w:pPr>
        <w:numPr>
          <w:ilvl w:val="0"/>
          <w:numId w:val="29"/>
        </w:numPr>
        <w:autoSpaceDE w:val="0"/>
        <w:autoSpaceDN w:val="0"/>
        <w:spacing w:before="20" w:after="20"/>
        <w:ind w:left="714" w:hanging="357"/>
        <w:jc w:val="both"/>
        <w:rPr>
          <w:rFonts w:ascii="Verdana" w:hAnsi="Verdana" w:cs="Verdana"/>
          <w:sz w:val="16"/>
          <w:szCs w:val="16"/>
          <w:lang w:eastAsia="ko-KR"/>
        </w:rPr>
      </w:pPr>
      <w:r w:rsidRPr="000A6485">
        <w:rPr>
          <w:rFonts w:ascii="Verdana" w:hAnsi="Verdana" w:cs="Verdana"/>
          <w:sz w:val="16"/>
          <w:szCs w:val="16"/>
          <w:lang w:eastAsia="ko-KR"/>
        </w:rPr>
        <w:t>mieszkalnymi jednorodzinnymi,</w:t>
      </w:r>
    </w:p>
    <w:p w:rsidR="008A572A" w:rsidRPr="000A6485" w:rsidRDefault="008A572A" w:rsidP="008A572A">
      <w:pPr>
        <w:numPr>
          <w:ilvl w:val="0"/>
          <w:numId w:val="29"/>
        </w:numPr>
        <w:autoSpaceDE w:val="0"/>
        <w:autoSpaceDN w:val="0"/>
        <w:spacing w:before="20" w:after="20"/>
        <w:ind w:left="714" w:hanging="357"/>
        <w:jc w:val="both"/>
        <w:rPr>
          <w:rFonts w:ascii="Verdana" w:hAnsi="Verdana" w:cs="Verdana"/>
          <w:sz w:val="16"/>
          <w:szCs w:val="16"/>
          <w:lang w:eastAsia="ko-KR"/>
        </w:rPr>
      </w:pPr>
      <w:r w:rsidRPr="000A6485">
        <w:rPr>
          <w:rFonts w:ascii="Verdana" w:hAnsi="Verdana" w:cs="Verdana"/>
          <w:sz w:val="16"/>
          <w:szCs w:val="16"/>
          <w:lang w:eastAsia="ko-KR"/>
        </w:rPr>
        <w:t>mieszkalnymi wielorodzinnymi, w których co najmniej połowę liczby lokali stanowią lokale mieszkalne,</w:t>
      </w:r>
    </w:p>
    <w:p w:rsidR="008A572A" w:rsidRPr="000A6485" w:rsidRDefault="008A572A" w:rsidP="008A572A">
      <w:pPr>
        <w:numPr>
          <w:ilvl w:val="0"/>
          <w:numId w:val="29"/>
        </w:numPr>
        <w:autoSpaceDE w:val="0"/>
        <w:autoSpaceDN w:val="0"/>
        <w:spacing w:before="20" w:after="20"/>
        <w:ind w:left="714" w:hanging="357"/>
        <w:jc w:val="both"/>
        <w:rPr>
          <w:rFonts w:ascii="Verdana" w:hAnsi="Verdana" w:cs="Verdana"/>
          <w:sz w:val="16"/>
          <w:szCs w:val="16"/>
          <w:lang w:eastAsia="ko-KR"/>
        </w:rPr>
      </w:pPr>
      <w:r w:rsidRPr="000A6485">
        <w:rPr>
          <w:rFonts w:ascii="Verdana" w:hAnsi="Verdana" w:cs="Verdana"/>
          <w:sz w:val="16"/>
          <w:szCs w:val="16"/>
          <w:lang w:eastAsia="ko-KR"/>
        </w:rPr>
        <w:t>powyższymi budynkami wraz z garażami, budynkami gospodarczymi i innymi budynkami umożliwiającymi korzystanie z budynków mieszkalnych.</w:t>
      </w:r>
    </w:p>
    <w:p w:rsidR="008A572A" w:rsidRPr="000A6485" w:rsidRDefault="008A572A" w:rsidP="008A572A">
      <w:pPr>
        <w:tabs>
          <w:tab w:val="left" w:pos="3052"/>
        </w:tabs>
        <w:spacing w:before="20" w:after="20"/>
        <w:jc w:val="both"/>
        <w:rPr>
          <w:rFonts w:ascii="Verdana" w:hAnsi="Verdana" w:cs="Verdana"/>
          <w:sz w:val="16"/>
          <w:szCs w:val="16"/>
          <w:lang w:eastAsia="ko-KR"/>
        </w:rPr>
      </w:pPr>
      <w:r w:rsidRPr="000A6485">
        <w:rPr>
          <w:rFonts w:ascii="Verdana" w:hAnsi="Verdana" w:cs="Verdana"/>
          <w:sz w:val="16"/>
          <w:szCs w:val="16"/>
          <w:lang w:eastAsia="ko-KR"/>
        </w:rPr>
        <w:t xml:space="preserve">Dla przekształconych nieruchomości została wprowadzona roczna opłata </w:t>
      </w:r>
      <w:proofErr w:type="spellStart"/>
      <w:r w:rsidRPr="000A6485">
        <w:rPr>
          <w:rFonts w:ascii="Verdana" w:hAnsi="Verdana" w:cs="Verdana"/>
          <w:sz w:val="16"/>
          <w:szCs w:val="16"/>
          <w:lang w:eastAsia="ko-KR"/>
        </w:rPr>
        <w:t>przekształceniowa</w:t>
      </w:r>
      <w:proofErr w:type="spellEnd"/>
      <w:r w:rsidRPr="000A6485">
        <w:rPr>
          <w:rFonts w:ascii="Verdana" w:hAnsi="Verdana" w:cs="Verdana"/>
          <w:sz w:val="16"/>
          <w:szCs w:val="16"/>
          <w:lang w:eastAsia="ko-KR"/>
        </w:rPr>
        <w:t xml:space="preserve">, wnoszona przez okres 20 lat, czyli w latach 2019-2038. Wysokość tej opłaty odpowiada wysokości opłaty rocznej za użytkowanie wieczyste. </w:t>
      </w:r>
    </w:p>
    <w:p w:rsidR="008A572A" w:rsidRPr="000A6485" w:rsidRDefault="008A572A" w:rsidP="008A572A">
      <w:pPr>
        <w:tabs>
          <w:tab w:val="left" w:pos="3052"/>
        </w:tabs>
        <w:spacing w:before="20" w:after="20"/>
        <w:jc w:val="both"/>
        <w:rPr>
          <w:rFonts w:ascii="Verdana" w:hAnsi="Verdana" w:cs="Verdana"/>
          <w:sz w:val="16"/>
          <w:szCs w:val="16"/>
          <w:lang w:eastAsia="ko-KR"/>
        </w:rPr>
      </w:pPr>
      <w:r w:rsidRPr="000A6485">
        <w:rPr>
          <w:rFonts w:ascii="Verdana" w:hAnsi="Verdana" w:cs="Verdana"/>
          <w:sz w:val="16"/>
          <w:szCs w:val="16"/>
          <w:lang w:eastAsia="ko-KR"/>
        </w:rPr>
        <w:t xml:space="preserve">Na mocy ww. ustawy istnieje także możliwość wniesienia przez dotychczasowych użytkowników wieczystych jednorazowej opłaty. Jednorazową opłatę można wnieść w 20-letnim okresie wnoszenia opłaty </w:t>
      </w:r>
      <w:proofErr w:type="spellStart"/>
      <w:r w:rsidRPr="000A6485">
        <w:rPr>
          <w:rFonts w:ascii="Verdana" w:hAnsi="Verdana" w:cs="Verdana"/>
          <w:sz w:val="16"/>
          <w:szCs w:val="16"/>
          <w:lang w:eastAsia="ko-KR"/>
        </w:rPr>
        <w:t>przekształceniowej</w:t>
      </w:r>
      <w:proofErr w:type="spellEnd"/>
      <w:r w:rsidRPr="000A6485">
        <w:rPr>
          <w:rFonts w:ascii="Verdana" w:hAnsi="Verdana" w:cs="Verdana"/>
          <w:sz w:val="16"/>
          <w:szCs w:val="16"/>
          <w:lang w:eastAsia="ko-KR"/>
        </w:rPr>
        <w:t xml:space="preserve">. Wysokość opłaty odpowiada iloczynowi rocznej opłaty </w:t>
      </w:r>
      <w:proofErr w:type="spellStart"/>
      <w:r w:rsidRPr="000A6485">
        <w:rPr>
          <w:rFonts w:ascii="Verdana" w:hAnsi="Verdana" w:cs="Verdana"/>
          <w:sz w:val="16"/>
          <w:szCs w:val="16"/>
          <w:lang w:eastAsia="ko-KR"/>
        </w:rPr>
        <w:t>przekształceniowej</w:t>
      </w:r>
      <w:proofErr w:type="spellEnd"/>
      <w:r w:rsidRPr="000A6485">
        <w:rPr>
          <w:rFonts w:ascii="Verdana" w:hAnsi="Verdana" w:cs="Verdana"/>
          <w:sz w:val="16"/>
          <w:szCs w:val="16"/>
          <w:lang w:eastAsia="ko-KR"/>
        </w:rPr>
        <w:t xml:space="preserve"> oraz liczby pozostałych lat jej wnoszenia. </w:t>
      </w:r>
    </w:p>
    <w:p w:rsidR="008A572A" w:rsidRPr="000A6485" w:rsidRDefault="008A572A" w:rsidP="008A572A">
      <w:pPr>
        <w:autoSpaceDE w:val="0"/>
        <w:autoSpaceDN w:val="0"/>
        <w:spacing w:before="20" w:after="20"/>
        <w:ind w:firstLine="709"/>
        <w:jc w:val="both"/>
        <w:rPr>
          <w:rFonts w:ascii="Verdana" w:hAnsi="Verdana" w:cs="Verdana"/>
          <w:sz w:val="16"/>
          <w:szCs w:val="16"/>
          <w:lang w:eastAsia="ko-KR"/>
        </w:rPr>
      </w:pPr>
      <w:r w:rsidRPr="000A6485">
        <w:rPr>
          <w:rFonts w:ascii="Verdana" w:hAnsi="Verdana" w:cs="Verdana"/>
          <w:sz w:val="16"/>
          <w:szCs w:val="16"/>
          <w:lang w:eastAsia="ko-KR"/>
        </w:rPr>
        <w:t xml:space="preserve">W dniu 18 października 2018 r. na mocy delegacji ustawowej została podjęta uchwała </w:t>
      </w:r>
      <w:r w:rsidRPr="000A6485">
        <w:rPr>
          <w:rFonts w:ascii="Verdana" w:hAnsi="Verdana" w:cs="Verdana"/>
          <w:sz w:val="16"/>
          <w:szCs w:val="16"/>
          <w:lang w:eastAsia="ko-KR"/>
        </w:rPr>
        <w:br/>
        <w:t xml:space="preserve">nr LXXV/2128/2018 Rady m.st. Warszawy </w:t>
      </w:r>
      <w:r w:rsidRPr="00AF68CB">
        <w:rPr>
          <w:rFonts w:ascii="Verdana" w:hAnsi="Verdana" w:cs="Verdana"/>
          <w:i/>
          <w:sz w:val="16"/>
          <w:szCs w:val="16"/>
          <w:lang w:eastAsia="ko-KR"/>
        </w:rPr>
        <w:t>w sprawie wyrażenia zgody na udzielenie bonifikaty osobom fizycznym będącym właścicielami budynków mieszkalnych jednorodzinnych lub lokali mieszkalnych lub spółdzielniom mieszkaniowym od jednorazowej opłaty za przekształcenie prawa użytkowania wieczystego w prawo własności nieruchomości</w:t>
      </w:r>
      <w:r w:rsidRPr="000A6485">
        <w:rPr>
          <w:rFonts w:ascii="Verdana" w:hAnsi="Verdana" w:cs="Verdana"/>
          <w:sz w:val="16"/>
          <w:szCs w:val="16"/>
          <w:lang w:eastAsia="ko-KR"/>
        </w:rPr>
        <w:t>.</w:t>
      </w:r>
    </w:p>
    <w:p w:rsidR="008A572A" w:rsidRPr="000A6485" w:rsidRDefault="008A572A" w:rsidP="008A572A">
      <w:pPr>
        <w:autoSpaceDE w:val="0"/>
        <w:autoSpaceDN w:val="0"/>
        <w:spacing w:before="20" w:after="20"/>
        <w:jc w:val="both"/>
        <w:rPr>
          <w:rFonts w:ascii="Verdana" w:hAnsi="Verdana" w:cs="Verdana"/>
          <w:sz w:val="16"/>
          <w:szCs w:val="16"/>
          <w:lang w:eastAsia="ko-KR"/>
        </w:rPr>
      </w:pPr>
      <w:r w:rsidRPr="000A6485">
        <w:rPr>
          <w:rFonts w:ascii="Verdana" w:hAnsi="Verdana" w:cs="Verdana"/>
          <w:sz w:val="16"/>
          <w:szCs w:val="16"/>
          <w:lang w:eastAsia="ko-KR"/>
        </w:rPr>
        <w:t>Na mocy tego dokumentu bonifikata może zostać udzielona osobom fizycznym posiadającym jednorodzinne budynki mieszkalne, osobom fizycznym posiadającym jednorodzinne budynki mieszkalne lub lokale mieszkalne oraz spółdzielniom mieszkaniowym.</w:t>
      </w:r>
    </w:p>
    <w:p w:rsidR="008A572A" w:rsidRPr="000A6485" w:rsidRDefault="008A572A" w:rsidP="008A572A">
      <w:pPr>
        <w:autoSpaceDE w:val="0"/>
        <w:autoSpaceDN w:val="0"/>
        <w:spacing w:before="20" w:after="20"/>
        <w:jc w:val="both"/>
        <w:rPr>
          <w:rFonts w:ascii="Verdana" w:hAnsi="Verdana" w:cs="Verdana"/>
          <w:sz w:val="16"/>
          <w:szCs w:val="16"/>
          <w:lang w:eastAsia="ko-KR"/>
        </w:rPr>
      </w:pPr>
      <w:r w:rsidRPr="000A6485">
        <w:rPr>
          <w:rFonts w:ascii="Verdana" w:hAnsi="Verdana" w:cs="Verdana"/>
          <w:sz w:val="16"/>
          <w:szCs w:val="16"/>
          <w:lang w:eastAsia="ko-KR"/>
        </w:rPr>
        <w:t>W uchwale zostały wyznaczone dwa poziomy bonifikaty – 98% i 99%:</w:t>
      </w:r>
    </w:p>
    <w:p w:rsidR="008A572A" w:rsidRPr="000A6485" w:rsidRDefault="008A572A" w:rsidP="008A572A">
      <w:pPr>
        <w:numPr>
          <w:ilvl w:val="0"/>
          <w:numId w:val="30"/>
        </w:numPr>
        <w:autoSpaceDE w:val="0"/>
        <w:autoSpaceDN w:val="0"/>
        <w:spacing w:before="20" w:after="20"/>
        <w:jc w:val="both"/>
        <w:rPr>
          <w:rFonts w:ascii="Verdana" w:hAnsi="Verdana" w:cs="Verdana"/>
          <w:sz w:val="16"/>
          <w:szCs w:val="16"/>
          <w:lang w:eastAsia="ko-KR"/>
        </w:rPr>
      </w:pPr>
      <w:r w:rsidRPr="000A6485">
        <w:rPr>
          <w:rFonts w:ascii="Verdana" w:hAnsi="Verdana" w:cs="Verdana"/>
          <w:sz w:val="16"/>
          <w:szCs w:val="16"/>
          <w:lang w:eastAsia="ko-KR"/>
        </w:rPr>
        <w:t xml:space="preserve">98% - dla osób fizycznych będących właścicielami budynków mieszkalnych, jednorodzinnych lub lokali mieszkalnych lub spółdzielni mieszkaniowych, </w:t>
      </w:r>
    </w:p>
    <w:p w:rsidR="008A572A" w:rsidRPr="000A6485" w:rsidRDefault="008A572A" w:rsidP="008A572A">
      <w:pPr>
        <w:numPr>
          <w:ilvl w:val="0"/>
          <w:numId w:val="30"/>
        </w:numPr>
        <w:autoSpaceDE w:val="0"/>
        <w:autoSpaceDN w:val="0"/>
        <w:spacing w:before="20" w:after="20"/>
        <w:jc w:val="both"/>
        <w:rPr>
          <w:rFonts w:ascii="Verdana" w:hAnsi="Verdana" w:cs="Verdana"/>
          <w:sz w:val="16"/>
          <w:szCs w:val="16"/>
          <w:lang w:eastAsia="ko-KR"/>
        </w:rPr>
      </w:pPr>
      <w:r w:rsidRPr="000A6485">
        <w:rPr>
          <w:rFonts w:ascii="Verdana" w:hAnsi="Verdana" w:cs="Verdana"/>
          <w:sz w:val="16"/>
          <w:szCs w:val="16"/>
          <w:lang w:eastAsia="ko-KR"/>
        </w:rPr>
        <w:t>99% - dla osób fizycznych będących właścicielami budynków mieszkalnych, jednorodzinnych lub lokali mieszkalnych lub spółdzielni mieszkaniowych, które wniosły opłatę za co najmniej 50-letni okres użytkowania wieczystego.</w:t>
      </w:r>
    </w:p>
    <w:p w:rsidR="008A572A" w:rsidRDefault="008A572A" w:rsidP="008A572A">
      <w:pPr>
        <w:autoSpaceDE w:val="0"/>
        <w:autoSpaceDN w:val="0"/>
        <w:adjustRightInd w:val="0"/>
        <w:spacing w:before="120" w:after="120"/>
        <w:ind w:firstLine="567"/>
        <w:jc w:val="both"/>
        <w:rPr>
          <w:rFonts w:ascii="Verdana" w:hAnsi="Verdana" w:cs="Verdana"/>
          <w:sz w:val="16"/>
          <w:szCs w:val="16"/>
        </w:rPr>
      </w:pPr>
      <w:r w:rsidRPr="000A6485">
        <w:rPr>
          <w:rFonts w:ascii="Verdana" w:hAnsi="Verdana" w:cs="Verdana"/>
          <w:sz w:val="16"/>
          <w:szCs w:val="16"/>
        </w:rPr>
        <w:t xml:space="preserve">Na skutek </w:t>
      </w:r>
      <w:r w:rsidRPr="000A6485">
        <w:rPr>
          <w:rFonts w:ascii="Verdana" w:hAnsi="Verdana" w:cs="Verdana"/>
          <w:b/>
          <w:sz w:val="16"/>
          <w:szCs w:val="16"/>
        </w:rPr>
        <w:t>przekształcania prawa użytkowania wieczystego w prawo własności</w:t>
      </w:r>
      <w:r w:rsidRPr="000A6485">
        <w:rPr>
          <w:rFonts w:ascii="Verdana" w:hAnsi="Verdana" w:cs="Verdana"/>
          <w:sz w:val="16"/>
          <w:szCs w:val="16"/>
        </w:rPr>
        <w:t>, przy bonifikatach sięgających 98</w:t>
      </w:r>
      <w:r>
        <w:rPr>
          <w:rFonts w:ascii="Verdana" w:hAnsi="Verdana" w:cs="Verdana"/>
          <w:sz w:val="16"/>
          <w:szCs w:val="16"/>
        </w:rPr>
        <w:t>%</w:t>
      </w:r>
      <w:r w:rsidRPr="000A6485">
        <w:rPr>
          <w:rFonts w:ascii="Verdana" w:hAnsi="Verdana" w:cs="Verdana"/>
          <w:sz w:val="16"/>
          <w:szCs w:val="16"/>
        </w:rPr>
        <w:t xml:space="preserve"> i 99% opłaty </w:t>
      </w:r>
      <w:proofErr w:type="spellStart"/>
      <w:r w:rsidRPr="000A6485">
        <w:rPr>
          <w:rFonts w:ascii="Verdana" w:hAnsi="Verdana" w:cs="Verdana"/>
          <w:sz w:val="16"/>
          <w:szCs w:val="16"/>
        </w:rPr>
        <w:t>przekształceniowej</w:t>
      </w:r>
      <w:proofErr w:type="spellEnd"/>
      <w:r w:rsidRPr="000A6485">
        <w:rPr>
          <w:rFonts w:ascii="Verdana" w:hAnsi="Verdana" w:cs="Verdana"/>
          <w:sz w:val="16"/>
          <w:szCs w:val="16"/>
        </w:rPr>
        <w:t>,</w:t>
      </w:r>
      <w:r w:rsidRPr="000A6485">
        <w:rPr>
          <w:rFonts w:ascii="Verdana" w:hAnsi="Verdana" w:cs="Verdana"/>
          <w:b/>
          <w:sz w:val="16"/>
          <w:szCs w:val="16"/>
        </w:rPr>
        <w:t xml:space="preserve"> </w:t>
      </w:r>
      <w:r w:rsidRPr="000A6485">
        <w:rPr>
          <w:rFonts w:ascii="Verdana" w:hAnsi="Verdana" w:cs="Verdana"/>
          <w:sz w:val="16"/>
          <w:szCs w:val="16"/>
        </w:rPr>
        <w:t xml:space="preserve">ubytek dochodów z opłat za użytkowanie wieczyste gruntów przeznaczonych na cele mieszkaniowe </w:t>
      </w:r>
      <w:r>
        <w:rPr>
          <w:rFonts w:ascii="Verdana" w:hAnsi="Verdana" w:cs="Verdana"/>
          <w:sz w:val="16"/>
          <w:szCs w:val="16"/>
        </w:rPr>
        <w:t>sięga</w:t>
      </w:r>
      <w:r w:rsidRPr="000A6485">
        <w:rPr>
          <w:rFonts w:ascii="Verdana" w:hAnsi="Verdana" w:cs="Verdana"/>
          <w:sz w:val="16"/>
          <w:szCs w:val="16"/>
        </w:rPr>
        <w:t xml:space="preserve"> kwoty </w:t>
      </w:r>
      <w:r w:rsidRPr="000A6485">
        <w:rPr>
          <w:rFonts w:ascii="Verdana" w:hAnsi="Verdana" w:cs="Verdana"/>
          <w:b/>
          <w:sz w:val="16"/>
          <w:szCs w:val="16"/>
        </w:rPr>
        <w:t>330 mln zł</w:t>
      </w:r>
      <w:r w:rsidRPr="000A6485">
        <w:rPr>
          <w:rFonts w:ascii="Verdana" w:hAnsi="Verdana" w:cs="Verdana"/>
          <w:sz w:val="16"/>
          <w:szCs w:val="16"/>
        </w:rPr>
        <w:t xml:space="preserve"> corocznie w okresie objętym Wieloletnią Prognozą Finansową. </w:t>
      </w:r>
      <w:r>
        <w:rPr>
          <w:rFonts w:ascii="Verdana" w:hAnsi="Verdana" w:cs="Verdana"/>
          <w:sz w:val="16"/>
          <w:szCs w:val="16"/>
        </w:rPr>
        <w:br w:type="page"/>
      </w:r>
    </w:p>
    <w:p w:rsidR="008A572A" w:rsidRPr="000A6485" w:rsidRDefault="008A572A" w:rsidP="008A572A">
      <w:pPr>
        <w:spacing w:before="240" w:after="240" w:line="240" w:lineRule="auto"/>
        <w:ind w:left="567" w:hanging="567"/>
        <w:rPr>
          <w:rFonts w:ascii="Verdana" w:hAnsi="Verdana"/>
          <w:b/>
          <w:bCs/>
          <w:sz w:val="20"/>
          <w:szCs w:val="20"/>
        </w:rPr>
      </w:pPr>
      <w:r w:rsidRPr="000A6485">
        <w:rPr>
          <w:rFonts w:ascii="Verdana" w:hAnsi="Verdana"/>
          <w:b/>
          <w:bCs/>
          <w:sz w:val="20"/>
          <w:szCs w:val="20"/>
        </w:rPr>
        <w:lastRenderedPageBreak/>
        <w:t>5.1</w:t>
      </w:r>
      <w:r>
        <w:rPr>
          <w:rFonts w:ascii="Verdana" w:hAnsi="Verdana"/>
          <w:b/>
          <w:bCs/>
          <w:sz w:val="20"/>
          <w:szCs w:val="20"/>
        </w:rPr>
        <w:t>.2</w:t>
      </w:r>
      <w:r w:rsidRPr="000A6485">
        <w:rPr>
          <w:rFonts w:ascii="Verdana" w:hAnsi="Verdana"/>
          <w:b/>
          <w:bCs/>
          <w:sz w:val="20"/>
          <w:szCs w:val="20"/>
        </w:rPr>
        <w:t xml:space="preserve"> Dostosowanie założeń budżetowych do utraty dochodów w związku </w:t>
      </w:r>
      <w:r>
        <w:rPr>
          <w:rFonts w:ascii="Verdana" w:hAnsi="Verdana"/>
          <w:b/>
          <w:bCs/>
          <w:sz w:val="20"/>
          <w:szCs w:val="20"/>
        </w:rPr>
        <w:br/>
        <w:t xml:space="preserve"> </w:t>
      </w:r>
      <w:r w:rsidRPr="000A6485">
        <w:rPr>
          <w:rFonts w:ascii="Verdana" w:hAnsi="Verdana"/>
          <w:b/>
          <w:bCs/>
          <w:sz w:val="20"/>
          <w:szCs w:val="20"/>
        </w:rPr>
        <w:t xml:space="preserve">ze zmianami legislacyjnymi w podatku dochodowym od osób </w:t>
      </w:r>
      <w:r>
        <w:rPr>
          <w:rFonts w:ascii="Verdana" w:hAnsi="Verdana"/>
          <w:b/>
          <w:bCs/>
          <w:sz w:val="20"/>
          <w:szCs w:val="20"/>
        </w:rPr>
        <w:t xml:space="preserve"> </w:t>
      </w:r>
      <w:r>
        <w:rPr>
          <w:rFonts w:ascii="Verdana" w:hAnsi="Verdana"/>
          <w:b/>
          <w:bCs/>
          <w:sz w:val="20"/>
          <w:szCs w:val="20"/>
        </w:rPr>
        <w:br/>
        <w:t xml:space="preserve"> </w:t>
      </w:r>
      <w:r w:rsidRPr="000A6485">
        <w:rPr>
          <w:rFonts w:ascii="Verdana" w:hAnsi="Verdana"/>
          <w:b/>
          <w:bCs/>
          <w:sz w:val="20"/>
          <w:szCs w:val="20"/>
        </w:rPr>
        <w:t>fizycznych PIT</w:t>
      </w:r>
      <w:r>
        <w:rPr>
          <w:rFonts w:ascii="Verdana" w:hAnsi="Verdana"/>
          <w:b/>
          <w:bCs/>
          <w:sz w:val="20"/>
          <w:szCs w:val="20"/>
        </w:rPr>
        <w:t xml:space="preserve"> wprowadzonymi w latach 2019-2020</w:t>
      </w:r>
      <w:r w:rsidRPr="000A6485">
        <w:rPr>
          <w:rFonts w:ascii="Verdana" w:hAnsi="Verdana"/>
          <w:b/>
          <w:bCs/>
          <w:sz w:val="20"/>
          <w:szCs w:val="20"/>
        </w:rPr>
        <w:t xml:space="preserve"> </w:t>
      </w:r>
      <w:r>
        <w:rPr>
          <w:rFonts w:ascii="Verdana" w:hAnsi="Verdana"/>
          <w:b/>
          <w:bCs/>
          <w:sz w:val="20"/>
          <w:szCs w:val="20"/>
        </w:rPr>
        <w:t xml:space="preserve">z pełnymi skutkami   </w:t>
      </w:r>
      <w:r>
        <w:rPr>
          <w:rFonts w:ascii="Verdana" w:hAnsi="Verdana"/>
          <w:b/>
          <w:bCs/>
          <w:sz w:val="20"/>
          <w:szCs w:val="20"/>
        </w:rPr>
        <w:br/>
        <w:t xml:space="preserve"> od 2021 r. </w:t>
      </w:r>
      <w:r w:rsidRPr="00DA39DC">
        <w:rPr>
          <w:rFonts w:ascii="Verdana" w:hAnsi="Verdana"/>
          <w:bCs/>
          <w:sz w:val="20"/>
          <w:szCs w:val="20"/>
        </w:rPr>
        <w:t>– prowadzone od WPF edycji 2020-2050</w:t>
      </w:r>
    </w:p>
    <w:p w:rsidR="008A572A" w:rsidRDefault="008A572A" w:rsidP="008A572A">
      <w:pPr>
        <w:spacing w:before="60" w:after="60"/>
        <w:ind w:firstLine="567"/>
        <w:jc w:val="both"/>
        <w:rPr>
          <w:rFonts w:ascii="Verdana" w:hAnsi="Verdana" w:cs="Verdana"/>
          <w:b/>
          <w:sz w:val="16"/>
          <w:szCs w:val="16"/>
        </w:rPr>
      </w:pPr>
      <w:r>
        <w:rPr>
          <w:rFonts w:ascii="Verdana" w:hAnsi="Verdana" w:cs="Verdana"/>
          <w:sz w:val="16"/>
          <w:szCs w:val="16"/>
        </w:rPr>
        <w:t>C</w:t>
      </w:r>
      <w:r w:rsidRPr="000A6485">
        <w:rPr>
          <w:rFonts w:ascii="Verdana" w:hAnsi="Verdana" w:cs="Verdana"/>
          <w:sz w:val="16"/>
          <w:szCs w:val="16"/>
        </w:rPr>
        <w:t xml:space="preserve">zynnikiem mającym wpływ na możliwości </w:t>
      </w:r>
      <w:r>
        <w:rPr>
          <w:rFonts w:ascii="Verdana" w:hAnsi="Verdana" w:cs="Verdana"/>
          <w:sz w:val="16"/>
          <w:szCs w:val="16"/>
        </w:rPr>
        <w:t>budżetowe</w:t>
      </w:r>
      <w:r w:rsidRPr="000A6485">
        <w:rPr>
          <w:rFonts w:ascii="Verdana" w:hAnsi="Verdana" w:cs="Verdana"/>
          <w:sz w:val="16"/>
          <w:szCs w:val="16"/>
        </w:rPr>
        <w:t xml:space="preserve"> m.st. </w:t>
      </w:r>
      <w:r w:rsidRPr="000A6485">
        <w:rPr>
          <w:rFonts w:ascii="Verdana" w:hAnsi="Verdana"/>
          <w:iCs/>
          <w:sz w:val="16"/>
          <w:szCs w:val="16"/>
        </w:rPr>
        <w:t>Warszawy</w:t>
      </w:r>
      <w:r w:rsidRPr="000A6485">
        <w:rPr>
          <w:rFonts w:ascii="Verdana" w:hAnsi="Verdana" w:cs="Verdana"/>
          <w:sz w:val="16"/>
          <w:szCs w:val="16"/>
        </w:rPr>
        <w:t xml:space="preserve"> </w:t>
      </w:r>
      <w:r>
        <w:rPr>
          <w:rFonts w:ascii="Verdana" w:hAnsi="Verdana" w:cs="Verdana"/>
          <w:sz w:val="16"/>
          <w:szCs w:val="16"/>
        </w:rPr>
        <w:t>od edycji WPF 2020-2050</w:t>
      </w:r>
      <w:r w:rsidRPr="000A6485">
        <w:rPr>
          <w:rFonts w:ascii="Verdana" w:hAnsi="Verdana" w:cs="Verdana"/>
          <w:sz w:val="16"/>
          <w:szCs w:val="16"/>
        </w:rPr>
        <w:t xml:space="preserve">, są wprowadzone </w:t>
      </w:r>
      <w:r>
        <w:rPr>
          <w:rFonts w:ascii="Verdana" w:hAnsi="Verdana" w:cs="Verdana"/>
          <w:sz w:val="16"/>
          <w:szCs w:val="16"/>
        </w:rPr>
        <w:t xml:space="preserve">w 2019 r. </w:t>
      </w:r>
      <w:r w:rsidRPr="000A6485">
        <w:rPr>
          <w:rFonts w:ascii="Verdana" w:hAnsi="Verdana" w:cs="Verdana"/>
          <w:sz w:val="16"/>
          <w:szCs w:val="16"/>
        </w:rPr>
        <w:t xml:space="preserve">zmiany legislacyjne skutkujące istotnym </w:t>
      </w:r>
      <w:r w:rsidRPr="000A6485">
        <w:rPr>
          <w:rFonts w:ascii="Verdana" w:hAnsi="Verdana" w:cs="Verdana"/>
          <w:b/>
          <w:sz w:val="16"/>
          <w:szCs w:val="16"/>
        </w:rPr>
        <w:t xml:space="preserve">ograniczeniem dochodów </w:t>
      </w:r>
      <w:r>
        <w:rPr>
          <w:rFonts w:ascii="Verdana" w:hAnsi="Verdana" w:cs="Verdana"/>
          <w:b/>
          <w:sz w:val="16"/>
          <w:szCs w:val="16"/>
        </w:rPr>
        <w:br/>
      </w:r>
      <w:r w:rsidRPr="000A6485">
        <w:rPr>
          <w:rFonts w:ascii="Verdana" w:hAnsi="Verdana" w:cs="Verdana"/>
          <w:b/>
          <w:sz w:val="16"/>
          <w:szCs w:val="16"/>
        </w:rPr>
        <w:t xml:space="preserve">m.st. </w:t>
      </w:r>
      <w:r w:rsidRPr="000A6485">
        <w:rPr>
          <w:rFonts w:ascii="Verdana" w:hAnsi="Verdana"/>
          <w:b/>
          <w:iCs/>
          <w:sz w:val="16"/>
          <w:szCs w:val="16"/>
        </w:rPr>
        <w:t>Warszawy</w:t>
      </w:r>
      <w:r w:rsidRPr="000A6485">
        <w:rPr>
          <w:rFonts w:ascii="Verdana" w:hAnsi="Verdana" w:cs="Verdana"/>
          <w:sz w:val="16"/>
          <w:szCs w:val="16"/>
        </w:rPr>
        <w:t xml:space="preserve">, jak również całego podsektora samorządowego, </w:t>
      </w:r>
      <w:r w:rsidRPr="000A6485">
        <w:rPr>
          <w:rFonts w:ascii="Verdana" w:hAnsi="Verdana" w:cs="Verdana"/>
          <w:b/>
          <w:sz w:val="16"/>
          <w:szCs w:val="16"/>
        </w:rPr>
        <w:t>z tytułu udziału we wpływach z podatku dochodowego od osób fizycznych (PIT</w:t>
      </w:r>
      <w:r>
        <w:rPr>
          <w:rFonts w:ascii="Verdana" w:hAnsi="Verdana" w:cs="Verdana"/>
          <w:b/>
          <w:sz w:val="16"/>
          <w:szCs w:val="16"/>
        </w:rPr>
        <w:t>)</w:t>
      </w:r>
      <w:r w:rsidRPr="00B23D3B">
        <w:rPr>
          <w:rFonts w:ascii="Verdana" w:hAnsi="Verdana" w:cs="Verdana"/>
          <w:sz w:val="16"/>
          <w:szCs w:val="16"/>
        </w:rPr>
        <w:t>.</w:t>
      </w:r>
      <w:r>
        <w:rPr>
          <w:rFonts w:ascii="Verdana" w:hAnsi="Verdana" w:cs="Verdana"/>
          <w:b/>
          <w:sz w:val="16"/>
          <w:szCs w:val="16"/>
        </w:rPr>
        <w:t xml:space="preserve"> </w:t>
      </w:r>
    </w:p>
    <w:p w:rsidR="008A572A" w:rsidRPr="00DA39DC" w:rsidRDefault="008A572A" w:rsidP="008A572A">
      <w:pPr>
        <w:spacing w:before="60" w:after="60"/>
        <w:jc w:val="both"/>
        <w:rPr>
          <w:rFonts w:ascii="Verdana" w:hAnsi="Verdana" w:cs="Verdana"/>
          <w:sz w:val="16"/>
          <w:szCs w:val="16"/>
        </w:rPr>
      </w:pPr>
      <w:r>
        <w:rPr>
          <w:rFonts w:ascii="Verdana" w:hAnsi="Verdana"/>
          <w:sz w:val="16"/>
          <w:szCs w:val="16"/>
        </w:rPr>
        <w:t>Wdrożone w 2019 r. zmiany w podatku dochodowym od osób fizycznych PIT, polegały na:</w:t>
      </w:r>
    </w:p>
    <w:p w:rsidR="008A572A" w:rsidRPr="00285178" w:rsidRDefault="008A572A" w:rsidP="008A572A">
      <w:pPr>
        <w:pStyle w:val="Akapitzlist"/>
        <w:numPr>
          <w:ilvl w:val="0"/>
          <w:numId w:val="45"/>
        </w:numPr>
        <w:tabs>
          <w:tab w:val="left" w:pos="360"/>
        </w:tabs>
        <w:spacing w:before="60" w:after="60"/>
        <w:ind w:left="567" w:hanging="283"/>
        <w:contextualSpacing w:val="0"/>
        <w:jc w:val="both"/>
        <w:rPr>
          <w:rFonts w:ascii="Verdana" w:hAnsi="Verdana"/>
          <w:sz w:val="16"/>
          <w:szCs w:val="16"/>
        </w:rPr>
      </w:pPr>
      <w:r w:rsidRPr="00285178">
        <w:rPr>
          <w:rFonts w:ascii="Verdana" w:hAnsi="Verdana"/>
          <w:sz w:val="16"/>
          <w:szCs w:val="16"/>
        </w:rPr>
        <w:t>obniżeniu stawki podatku z 18% do 17%,</w:t>
      </w:r>
    </w:p>
    <w:p w:rsidR="008A572A" w:rsidRDefault="008A572A" w:rsidP="008A572A">
      <w:pPr>
        <w:pStyle w:val="Akapitzlist"/>
        <w:numPr>
          <w:ilvl w:val="0"/>
          <w:numId w:val="45"/>
        </w:numPr>
        <w:tabs>
          <w:tab w:val="left" w:pos="360"/>
        </w:tabs>
        <w:spacing w:before="60" w:after="60"/>
        <w:ind w:left="567" w:hanging="283"/>
        <w:contextualSpacing w:val="0"/>
        <w:jc w:val="both"/>
        <w:rPr>
          <w:rFonts w:ascii="Verdana" w:hAnsi="Verdana"/>
          <w:sz w:val="16"/>
          <w:szCs w:val="16"/>
        </w:rPr>
      </w:pPr>
      <w:r w:rsidRPr="00285178">
        <w:rPr>
          <w:rFonts w:ascii="Verdana" w:hAnsi="Verdana"/>
          <w:sz w:val="16"/>
          <w:szCs w:val="16"/>
        </w:rPr>
        <w:t>podwyższeniu kosztów uzyskania przychodu,</w:t>
      </w:r>
    </w:p>
    <w:p w:rsidR="008A572A" w:rsidRDefault="008A572A" w:rsidP="008A572A">
      <w:pPr>
        <w:pStyle w:val="Akapitzlist"/>
        <w:numPr>
          <w:ilvl w:val="0"/>
          <w:numId w:val="45"/>
        </w:numPr>
        <w:tabs>
          <w:tab w:val="left" w:pos="360"/>
        </w:tabs>
        <w:spacing w:before="60" w:after="60"/>
        <w:ind w:left="567" w:hanging="283"/>
        <w:contextualSpacing w:val="0"/>
        <w:jc w:val="both"/>
        <w:rPr>
          <w:rFonts w:ascii="Verdana" w:hAnsi="Verdana"/>
          <w:sz w:val="16"/>
          <w:szCs w:val="16"/>
        </w:rPr>
      </w:pPr>
      <w:r w:rsidRPr="00285178">
        <w:rPr>
          <w:rFonts w:ascii="Verdana" w:hAnsi="Verdana"/>
          <w:sz w:val="16"/>
          <w:szCs w:val="16"/>
        </w:rPr>
        <w:t>zwolnieniu z podatku osób w wieku poniżej 26 roku życia</w:t>
      </w:r>
      <w:r>
        <w:rPr>
          <w:rFonts w:ascii="Verdana" w:hAnsi="Verdana"/>
          <w:sz w:val="16"/>
          <w:szCs w:val="16"/>
        </w:rPr>
        <w:t>.</w:t>
      </w:r>
    </w:p>
    <w:p w:rsidR="008A572A" w:rsidRDefault="008A572A" w:rsidP="008A572A">
      <w:pPr>
        <w:tabs>
          <w:tab w:val="left" w:pos="360"/>
        </w:tabs>
        <w:spacing w:before="60" w:after="60"/>
        <w:jc w:val="both"/>
        <w:rPr>
          <w:rFonts w:ascii="Verdana" w:hAnsi="Verdana"/>
          <w:sz w:val="16"/>
          <w:szCs w:val="16"/>
        </w:rPr>
      </w:pPr>
      <w:r>
        <w:rPr>
          <w:rFonts w:ascii="Verdana" w:hAnsi="Verdana" w:cs="Verdana"/>
          <w:sz w:val="16"/>
          <w:szCs w:val="16"/>
        </w:rPr>
        <w:t>Następnie na skutek decyzji podjętej w 2020 r. od 2021 r.</w:t>
      </w:r>
      <w:r w:rsidRPr="00243A9C">
        <w:rPr>
          <w:rFonts w:ascii="Verdana" w:hAnsi="Verdana" w:cs="Verdana"/>
          <w:sz w:val="16"/>
          <w:szCs w:val="16"/>
        </w:rPr>
        <w:t xml:space="preserve"> </w:t>
      </w:r>
      <w:r>
        <w:rPr>
          <w:rFonts w:ascii="Verdana" w:hAnsi="Verdana" w:cs="Verdana"/>
          <w:sz w:val="16"/>
          <w:szCs w:val="16"/>
        </w:rPr>
        <w:t xml:space="preserve">nastąpiło podwyższenie </w:t>
      </w:r>
      <w:r w:rsidRPr="00243A9C">
        <w:rPr>
          <w:rFonts w:ascii="Verdana" w:hAnsi="Verdana" w:cs="Verdana"/>
          <w:sz w:val="16"/>
          <w:szCs w:val="16"/>
        </w:rPr>
        <w:t>z 250 tys. euro do 2 mln euro limitu przychodu umożliwiającego podatnikom prowadzącym pozarolniczą działalność gospodarczą skorzystanie z uproszczonej zryc</w:t>
      </w:r>
      <w:r>
        <w:rPr>
          <w:rFonts w:ascii="Verdana" w:hAnsi="Verdana" w:cs="Verdana"/>
          <w:sz w:val="16"/>
          <w:szCs w:val="16"/>
        </w:rPr>
        <w:t>załtowanej formy opodatkowania, czego efektem było</w:t>
      </w:r>
      <w:r w:rsidRPr="00243A9C">
        <w:rPr>
          <w:rFonts w:ascii="Verdana" w:hAnsi="Verdana" w:cs="Verdana"/>
          <w:sz w:val="16"/>
          <w:szCs w:val="16"/>
        </w:rPr>
        <w:t xml:space="preserve"> przejście podatników podatku dochodowego od osób fizycznych prowadzących działalność gospodarczą z opodatkowania na zasadach ogólnych, które stanowi podstawę udziału jednostek samorządu terytorialnego we wpływach z podatku dochodowego na zryczałtowany podatek dochodowy, który nie podlega dystryb</w:t>
      </w:r>
      <w:r>
        <w:rPr>
          <w:rFonts w:ascii="Verdana" w:hAnsi="Verdana" w:cs="Verdana"/>
          <w:sz w:val="16"/>
          <w:szCs w:val="16"/>
        </w:rPr>
        <w:t>ucji do jednostek samorządowych</w:t>
      </w:r>
      <w:r>
        <w:rPr>
          <w:rFonts w:ascii="Verdana" w:hAnsi="Verdana"/>
          <w:iCs/>
          <w:sz w:val="16"/>
          <w:szCs w:val="16"/>
        </w:rPr>
        <w:t>.</w:t>
      </w:r>
    </w:p>
    <w:p w:rsidR="008A572A" w:rsidRPr="000A6485" w:rsidRDefault="008A572A" w:rsidP="008A572A">
      <w:pPr>
        <w:tabs>
          <w:tab w:val="left" w:pos="0"/>
        </w:tabs>
        <w:spacing w:before="120" w:after="120"/>
        <w:jc w:val="both"/>
        <w:rPr>
          <w:rFonts w:ascii="Verdana" w:hAnsi="Verdana"/>
          <w:bCs/>
          <w:sz w:val="16"/>
          <w:szCs w:val="16"/>
        </w:rPr>
      </w:pPr>
      <w:r>
        <w:rPr>
          <w:rFonts w:ascii="Verdana" w:hAnsi="Verdana"/>
          <w:bCs/>
          <w:sz w:val="16"/>
          <w:szCs w:val="16"/>
        </w:rPr>
        <w:t>U</w:t>
      </w:r>
      <w:r w:rsidRPr="000A6485">
        <w:rPr>
          <w:rFonts w:ascii="Verdana" w:hAnsi="Verdana"/>
          <w:bCs/>
          <w:sz w:val="16"/>
          <w:szCs w:val="16"/>
        </w:rPr>
        <w:t xml:space="preserve">bytek dochodów m.st. </w:t>
      </w:r>
      <w:r w:rsidRPr="000A6485">
        <w:rPr>
          <w:rFonts w:ascii="Verdana" w:hAnsi="Verdana"/>
          <w:iCs/>
          <w:sz w:val="16"/>
          <w:szCs w:val="16"/>
        </w:rPr>
        <w:t>Warszawy</w:t>
      </w:r>
      <w:r w:rsidRPr="000A6485">
        <w:rPr>
          <w:rFonts w:ascii="Verdana" w:hAnsi="Verdana"/>
          <w:bCs/>
          <w:sz w:val="16"/>
          <w:szCs w:val="16"/>
        </w:rPr>
        <w:t xml:space="preserve"> związany ze zmianami w PIT </w:t>
      </w:r>
      <w:r>
        <w:rPr>
          <w:rFonts w:ascii="Verdana" w:hAnsi="Verdana"/>
          <w:bCs/>
          <w:sz w:val="16"/>
          <w:szCs w:val="16"/>
        </w:rPr>
        <w:t xml:space="preserve">wprowadzonymi w latach 2019-2020 </w:t>
      </w:r>
      <w:r w:rsidRPr="000A6485">
        <w:rPr>
          <w:rFonts w:ascii="Verdana" w:hAnsi="Verdana"/>
          <w:bCs/>
          <w:sz w:val="16"/>
          <w:szCs w:val="16"/>
        </w:rPr>
        <w:t xml:space="preserve">sięga </w:t>
      </w:r>
      <w:r>
        <w:rPr>
          <w:rFonts w:ascii="Verdana" w:hAnsi="Verdana"/>
          <w:bCs/>
          <w:sz w:val="16"/>
          <w:szCs w:val="16"/>
        </w:rPr>
        <w:t xml:space="preserve">corocznie kwoty </w:t>
      </w:r>
      <w:r>
        <w:rPr>
          <w:rFonts w:ascii="Verdana" w:hAnsi="Verdana"/>
          <w:b/>
          <w:bCs/>
          <w:sz w:val="16"/>
          <w:szCs w:val="16"/>
        </w:rPr>
        <w:t>875</w:t>
      </w:r>
      <w:r w:rsidRPr="000A6485">
        <w:rPr>
          <w:rFonts w:ascii="Verdana" w:hAnsi="Verdana"/>
          <w:b/>
          <w:bCs/>
          <w:sz w:val="16"/>
          <w:szCs w:val="16"/>
        </w:rPr>
        <w:t xml:space="preserve"> mln zł</w:t>
      </w:r>
      <w:r w:rsidRPr="000A6485">
        <w:rPr>
          <w:rFonts w:ascii="Verdana" w:hAnsi="Verdana"/>
          <w:bCs/>
          <w:sz w:val="16"/>
          <w:szCs w:val="16"/>
        </w:rPr>
        <w:t xml:space="preserve"> (tj. szacunkowe dochody z </w:t>
      </w:r>
      <w:r>
        <w:rPr>
          <w:rFonts w:ascii="Verdana" w:hAnsi="Verdana"/>
          <w:bCs/>
          <w:sz w:val="16"/>
          <w:szCs w:val="16"/>
        </w:rPr>
        <w:t xml:space="preserve">udziału </w:t>
      </w:r>
      <w:r w:rsidRPr="000A6485">
        <w:rPr>
          <w:rFonts w:ascii="Verdana" w:hAnsi="Verdana"/>
          <w:bCs/>
          <w:sz w:val="16"/>
          <w:szCs w:val="16"/>
        </w:rPr>
        <w:t xml:space="preserve">PIT </w:t>
      </w:r>
      <w:r>
        <w:rPr>
          <w:rFonts w:ascii="Verdana" w:hAnsi="Verdana"/>
          <w:bCs/>
          <w:sz w:val="16"/>
          <w:szCs w:val="16"/>
        </w:rPr>
        <w:t xml:space="preserve">w danym roku byłyby wyższe o kwotę </w:t>
      </w:r>
      <w:r>
        <w:rPr>
          <w:rFonts w:ascii="Verdana" w:hAnsi="Verdana"/>
          <w:bCs/>
          <w:sz w:val="16"/>
          <w:szCs w:val="16"/>
        </w:rPr>
        <w:br/>
        <w:t>875</w:t>
      </w:r>
      <w:r w:rsidRPr="000A6485">
        <w:rPr>
          <w:rFonts w:ascii="Verdana" w:hAnsi="Verdana"/>
          <w:bCs/>
          <w:sz w:val="16"/>
          <w:szCs w:val="16"/>
        </w:rPr>
        <w:t xml:space="preserve"> mln zł jeżeli nie byłyby dokonane zmiany w przepisach dotyczących PIT). </w:t>
      </w:r>
    </w:p>
    <w:p w:rsidR="008A572A" w:rsidRPr="000A6485" w:rsidRDefault="008A572A" w:rsidP="008A572A">
      <w:pPr>
        <w:spacing w:before="240" w:after="240" w:line="240" w:lineRule="auto"/>
        <w:ind w:left="567" w:hanging="567"/>
        <w:rPr>
          <w:rFonts w:ascii="Verdana" w:hAnsi="Verdana"/>
          <w:b/>
          <w:bCs/>
          <w:sz w:val="20"/>
          <w:szCs w:val="20"/>
        </w:rPr>
      </w:pPr>
      <w:r w:rsidRPr="000A6485">
        <w:rPr>
          <w:rFonts w:ascii="Verdana" w:hAnsi="Verdana"/>
          <w:b/>
          <w:bCs/>
          <w:sz w:val="20"/>
          <w:szCs w:val="20"/>
        </w:rPr>
        <w:t>5.1</w:t>
      </w:r>
      <w:r>
        <w:rPr>
          <w:rFonts w:ascii="Verdana" w:hAnsi="Verdana"/>
          <w:b/>
          <w:bCs/>
          <w:sz w:val="20"/>
          <w:szCs w:val="20"/>
        </w:rPr>
        <w:t>.3</w:t>
      </w:r>
      <w:r w:rsidRPr="000A6485">
        <w:rPr>
          <w:rFonts w:ascii="Verdana" w:hAnsi="Verdana"/>
          <w:b/>
          <w:bCs/>
          <w:sz w:val="20"/>
          <w:szCs w:val="20"/>
        </w:rPr>
        <w:t xml:space="preserve"> Dostosowanie założeń budżetowych do utraty dochodów w związku </w:t>
      </w:r>
      <w:r>
        <w:rPr>
          <w:rFonts w:ascii="Verdana" w:hAnsi="Verdana"/>
          <w:b/>
          <w:bCs/>
          <w:sz w:val="20"/>
          <w:szCs w:val="20"/>
        </w:rPr>
        <w:br/>
        <w:t xml:space="preserve"> </w:t>
      </w:r>
      <w:r w:rsidRPr="000A6485">
        <w:rPr>
          <w:rFonts w:ascii="Verdana" w:hAnsi="Verdana"/>
          <w:b/>
          <w:bCs/>
          <w:sz w:val="20"/>
          <w:szCs w:val="20"/>
        </w:rPr>
        <w:t xml:space="preserve">ze zmianami legislacyjnymi w podatku dochodowym od osób </w:t>
      </w:r>
      <w:r>
        <w:rPr>
          <w:rFonts w:ascii="Verdana" w:hAnsi="Verdana"/>
          <w:b/>
          <w:bCs/>
          <w:sz w:val="20"/>
          <w:szCs w:val="20"/>
        </w:rPr>
        <w:t xml:space="preserve"> </w:t>
      </w:r>
      <w:r>
        <w:rPr>
          <w:rFonts w:ascii="Verdana" w:hAnsi="Verdana"/>
          <w:b/>
          <w:bCs/>
          <w:sz w:val="20"/>
          <w:szCs w:val="20"/>
        </w:rPr>
        <w:br/>
        <w:t xml:space="preserve"> </w:t>
      </w:r>
      <w:r w:rsidRPr="000A6485">
        <w:rPr>
          <w:rFonts w:ascii="Verdana" w:hAnsi="Verdana"/>
          <w:b/>
          <w:bCs/>
          <w:sz w:val="20"/>
          <w:szCs w:val="20"/>
        </w:rPr>
        <w:t>fizycznych PIT</w:t>
      </w:r>
      <w:r>
        <w:rPr>
          <w:rFonts w:ascii="Verdana" w:hAnsi="Verdana"/>
          <w:b/>
          <w:bCs/>
          <w:sz w:val="20"/>
          <w:szCs w:val="20"/>
        </w:rPr>
        <w:t xml:space="preserve"> wprowadzonymi przepisami rządowego Programu Polski  </w:t>
      </w:r>
      <w:r>
        <w:rPr>
          <w:rFonts w:ascii="Verdana" w:hAnsi="Verdana"/>
          <w:b/>
          <w:bCs/>
          <w:sz w:val="20"/>
          <w:szCs w:val="20"/>
        </w:rPr>
        <w:br/>
        <w:t xml:space="preserve"> Ład w 2021 r.</w:t>
      </w:r>
      <w:r w:rsidRPr="000A6485">
        <w:rPr>
          <w:rFonts w:ascii="Verdana" w:hAnsi="Verdana"/>
          <w:b/>
          <w:bCs/>
          <w:sz w:val="20"/>
          <w:szCs w:val="20"/>
        </w:rPr>
        <w:t xml:space="preserve"> </w:t>
      </w:r>
      <w:r>
        <w:rPr>
          <w:rFonts w:ascii="Verdana" w:hAnsi="Verdana"/>
          <w:b/>
          <w:bCs/>
          <w:sz w:val="20"/>
          <w:szCs w:val="20"/>
        </w:rPr>
        <w:t xml:space="preserve">ze skutkami od 2022 r. </w:t>
      </w:r>
      <w:r w:rsidRPr="00DA39DC">
        <w:rPr>
          <w:rFonts w:ascii="Verdana" w:hAnsi="Verdana"/>
          <w:bCs/>
          <w:sz w:val="20"/>
          <w:szCs w:val="20"/>
        </w:rPr>
        <w:t xml:space="preserve">– prowadzone od WPF edycji </w:t>
      </w:r>
      <w:r>
        <w:rPr>
          <w:rFonts w:ascii="Verdana" w:hAnsi="Verdana"/>
          <w:bCs/>
          <w:sz w:val="20"/>
          <w:szCs w:val="20"/>
        </w:rPr>
        <w:t>2022</w:t>
      </w:r>
      <w:r w:rsidRPr="00DA39DC">
        <w:rPr>
          <w:rFonts w:ascii="Verdana" w:hAnsi="Verdana"/>
          <w:bCs/>
          <w:sz w:val="20"/>
          <w:szCs w:val="20"/>
        </w:rPr>
        <w:t>-2050</w:t>
      </w:r>
    </w:p>
    <w:p w:rsidR="008A572A" w:rsidRDefault="008A572A" w:rsidP="008A572A">
      <w:pPr>
        <w:spacing w:before="120" w:after="60"/>
        <w:jc w:val="both"/>
        <w:rPr>
          <w:rFonts w:ascii="Verdana" w:hAnsi="Verdana"/>
          <w:b/>
          <w:iCs/>
          <w:sz w:val="16"/>
          <w:szCs w:val="16"/>
        </w:rPr>
      </w:pPr>
      <w:r w:rsidRPr="00106F36">
        <w:rPr>
          <w:rFonts w:ascii="Verdana" w:hAnsi="Verdana" w:cs="Arial"/>
          <w:sz w:val="16"/>
          <w:szCs w:val="16"/>
        </w:rPr>
        <w:t xml:space="preserve">Negatywny </w:t>
      </w:r>
      <w:r>
        <w:rPr>
          <w:rFonts w:ascii="Verdana" w:hAnsi="Verdana" w:cs="Arial"/>
          <w:sz w:val="16"/>
          <w:szCs w:val="16"/>
        </w:rPr>
        <w:t xml:space="preserve">dla finansów m.st. Warszawy </w:t>
      </w:r>
      <w:r w:rsidRPr="00106F36">
        <w:rPr>
          <w:rFonts w:ascii="Verdana" w:hAnsi="Verdana" w:cs="Arial"/>
          <w:sz w:val="16"/>
          <w:szCs w:val="16"/>
        </w:rPr>
        <w:t xml:space="preserve">charakter </w:t>
      </w:r>
      <w:r>
        <w:rPr>
          <w:rFonts w:ascii="Verdana" w:hAnsi="Verdana" w:cs="Arial"/>
          <w:sz w:val="16"/>
          <w:szCs w:val="16"/>
        </w:rPr>
        <w:t>rozwiązań zawartych w Programie Polski Ład</w:t>
      </w:r>
      <w:r w:rsidRPr="00106F36">
        <w:rPr>
          <w:rFonts w:ascii="Verdana" w:hAnsi="Verdana" w:cs="Arial"/>
          <w:sz w:val="16"/>
          <w:szCs w:val="16"/>
        </w:rPr>
        <w:t xml:space="preserve"> przejawia się </w:t>
      </w:r>
      <w:r>
        <w:rPr>
          <w:rFonts w:ascii="Verdana" w:hAnsi="Verdana" w:cs="Arial"/>
          <w:sz w:val="16"/>
          <w:szCs w:val="16"/>
        </w:rPr>
        <w:br/>
        <w:t xml:space="preserve">w </w:t>
      </w:r>
      <w:r w:rsidRPr="00E600B6">
        <w:rPr>
          <w:rFonts w:ascii="Verdana" w:hAnsi="Verdana"/>
          <w:iCs/>
          <w:sz w:val="16"/>
          <w:szCs w:val="16"/>
        </w:rPr>
        <w:t>znaczący</w:t>
      </w:r>
      <w:r>
        <w:rPr>
          <w:rFonts w:ascii="Verdana" w:hAnsi="Verdana"/>
          <w:iCs/>
          <w:sz w:val="16"/>
          <w:szCs w:val="16"/>
        </w:rPr>
        <w:t>m</w:t>
      </w:r>
      <w:r w:rsidRPr="00E600B6">
        <w:rPr>
          <w:rFonts w:ascii="Verdana" w:hAnsi="Verdana"/>
          <w:iCs/>
          <w:sz w:val="16"/>
          <w:szCs w:val="16"/>
        </w:rPr>
        <w:t xml:space="preserve"> poziom</w:t>
      </w:r>
      <w:r>
        <w:rPr>
          <w:rFonts w:ascii="Verdana" w:hAnsi="Verdana"/>
          <w:iCs/>
          <w:sz w:val="16"/>
          <w:szCs w:val="16"/>
        </w:rPr>
        <w:t>ie</w:t>
      </w:r>
      <w:r w:rsidRPr="00E600B6">
        <w:rPr>
          <w:rFonts w:ascii="Verdana" w:hAnsi="Verdana"/>
          <w:iCs/>
          <w:sz w:val="16"/>
          <w:szCs w:val="16"/>
        </w:rPr>
        <w:t xml:space="preserve"> u</w:t>
      </w:r>
      <w:r>
        <w:rPr>
          <w:rFonts w:ascii="Verdana" w:hAnsi="Verdana"/>
          <w:iCs/>
          <w:sz w:val="16"/>
          <w:szCs w:val="16"/>
        </w:rPr>
        <w:t xml:space="preserve">szczuplenia dochodów z PIT </w:t>
      </w:r>
      <w:r w:rsidRPr="00E600B6">
        <w:rPr>
          <w:rFonts w:ascii="Verdana" w:hAnsi="Verdana"/>
          <w:iCs/>
          <w:sz w:val="16"/>
          <w:szCs w:val="16"/>
        </w:rPr>
        <w:t xml:space="preserve">stanowiących główne źródło dochodów własnych </w:t>
      </w:r>
      <w:r>
        <w:rPr>
          <w:rFonts w:ascii="Verdana" w:hAnsi="Verdana"/>
          <w:iCs/>
          <w:sz w:val="16"/>
          <w:szCs w:val="16"/>
        </w:rPr>
        <w:t xml:space="preserve">Miasta. Jednocześnie </w:t>
      </w:r>
      <w:r w:rsidRPr="009A19F1">
        <w:rPr>
          <w:rFonts w:ascii="Verdana" w:hAnsi="Verdana"/>
          <w:iCs/>
          <w:sz w:val="16"/>
          <w:szCs w:val="16"/>
        </w:rPr>
        <w:t>r</w:t>
      </w:r>
      <w:r w:rsidRPr="009A19F1">
        <w:rPr>
          <w:rFonts w:ascii="Verdana" w:hAnsi="Verdana" w:cs="Arial"/>
          <w:sz w:val="16"/>
          <w:szCs w:val="16"/>
        </w:rPr>
        <w:t xml:space="preserve">ozwiązania przewidziane w Programie Polski Ład </w:t>
      </w:r>
      <w:r w:rsidRPr="009A19F1">
        <w:rPr>
          <w:rFonts w:ascii="Verdana" w:hAnsi="Verdana"/>
          <w:iCs/>
          <w:sz w:val="16"/>
          <w:szCs w:val="16"/>
        </w:rPr>
        <w:t>nie ustanawiają trwałego mechanizmu rekompensaty ubytku dochodów własnych JST z tytułu zmian podatkowych w PIT, będących z punktu widzenia finansowania JST, zasadniczym elementem Programu Polski Ład.</w:t>
      </w:r>
    </w:p>
    <w:p w:rsidR="008A572A" w:rsidRPr="00850028" w:rsidRDefault="008A572A" w:rsidP="008A572A">
      <w:pPr>
        <w:spacing w:before="60" w:after="60"/>
        <w:jc w:val="both"/>
        <w:rPr>
          <w:rFonts w:ascii="Verdana" w:hAnsi="Verdana"/>
          <w:b/>
          <w:iCs/>
          <w:sz w:val="16"/>
          <w:szCs w:val="16"/>
        </w:rPr>
      </w:pPr>
      <w:r>
        <w:rPr>
          <w:rFonts w:ascii="Verdana" w:hAnsi="Verdana"/>
          <w:b/>
          <w:iCs/>
          <w:sz w:val="16"/>
          <w:szCs w:val="16"/>
        </w:rPr>
        <w:t>Podsumowując, główne założenia rządowego Programu Polski Ład wpływające na finanse jednostek samorządu terytorialnego przewidują:</w:t>
      </w:r>
    </w:p>
    <w:p w:rsidR="008A572A" w:rsidRPr="00850028" w:rsidRDefault="008A572A" w:rsidP="008A572A">
      <w:pPr>
        <w:pStyle w:val="Akapitzlist"/>
        <w:numPr>
          <w:ilvl w:val="0"/>
          <w:numId w:val="51"/>
        </w:numPr>
        <w:spacing w:before="60" w:after="60"/>
        <w:ind w:left="568" w:hanging="284"/>
        <w:contextualSpacing w:val="0"/>
        <w:jc w:val="both"/>
        <w:rPr>
          <w:rFonts w:ascii="Verdana" w:hAnsi="Verdana"/>
          <w:iCs/>
          <w:sz w:val="16"/>
          <w:szCs w:val="16"/>
        </w:rPr>
      </w:pPr>
      <w:r w:rsidRPr="00264257">
        <w:rPr>
          <w:rFonts w:ascii="Verdana" w:hAnsi="Verdana"/>
          <w:b/>
          <w:iCs/>
          <w:sz w:val="16"/>
          <w:szCs w:val="16"/>
        </w:rPr>
        <w:t>tr</w:t>
      </w:r>
      <w:r>
        <w:rPr>
          <w:rFonts w:ascii="Verdana" w:hAnsi="Verdana"/>
          <w:b/>
          <w:iCs/>
          <w:sz w:val="16"/>
          <w:szCs w:val="16"/>
        </w:rPr>
        <w:t>wałe coroczne</w:t>
      </w:r>
      <w:r w:rsidRPr="00264257">
        <w:rPr>
          <w:rFonts w:ascii="Verdana" w:hAnsi="Verdana"/>
          <w:b/>
          <w:iCs/>
          <w:sz w:val="16"/>
          <w:szCs w:val="16"/>
        </w:rPr>
        <w:t xml:space="preserve"> od 2022 r. ograniczenie dochodów JST z udziału podatku dochodowym od osób fizycznych (PIT)</w:t>
      </w:r>
      <w:r w:rsidRPr="00850028">
        <w:rPr>
          <w:rFonts w:ascii="Verdana" w:hAnsi="Verdana"/>
          <w:iCs/>
          <w:sz w:val="16"/>
          <w:szCs w:val="16"/>
        </w:rPr>
        <w:t xml:space="preserve"> </w:t>
      </w:r>
      <w:r>
        <w:rPr>
          <w:rFonts w:ascii="Verdana" w:hAnsi="Verdana"/>
          <w:iCs/>
          <w:sz w:val="16"/>
          <w:szCs w:val="16"/>
        </w:rPr>
        <w:t>głównie na skutek</w:t>
      </w:r>
      <w:r w:rsidRPr="00850028">
        <w:rPr>
          <w:rFonts w:ascii="Verdana" w:hAnsi="Verdana"/>
          <w:iCs/>
          <w:sz w:val="16"/>
          <w:szCs w:val="16"/>
        </w:rPr>
        <w:t>:</w:t>
      </w:r>
    </w:p>
    <w:p w:rsidR="008A572A" w:rsidRPr="006A430E" w:rsidRDefault="008A572A" w:rsidP="008A572A">
      <w:pPr>
        <w:pStyle w:val="Akapitzlist"/>
        <w:numPr>
          <w:ilvl w:val="0"/>
          <w:numId w:val="52"/>
        </w:numPr>
        <w:spacing w:before="60" w:after="60"/>
        <w:ind w:left="1134" w:hanging="283"/>
        <w:contextualSpacing w:val="0"/>
        <w:jc w:val="both"/>
        <w:rPr>
          <w:rFonts w:ascii="Verdana" w:hAnsi="Verdana"/>
          <w:iCs/>
          <w:sz w:val="16"/>
          <w:szCs w:val="16"/>
        </w:rPr>
      </w:pPr>
      <w:r w:rsidRPr="006A430E">
        <w:rPr>
          <w:rFonts w:ascii="Verdana" w:hAnsi="Verdana"/>
          <w:iCs/>
          <w:sz w:val="16"/>
          <w:szCs w:val="16"/>
        </w:rPr>
        <w:t>p</w:t>
      </w:r>
      <w:r>
        <w:rPr>
          <w:rFonts w:ascii="Verdana" w:hAnsi="Verdana"/>
          <w:iCs/>
          <w:sz w:val="16"/>
          <w:szCs w:val="16"/>
        </w:rPr>
        <w:t>odwyższenia</w:t>
      </w:r>
      <w:r w:rsidRPr="006A430E">
        <w:rPr>
          <w:rFonts w:ascii="Verdana" w:hAnsi="Verdana"/>
          <w:iCs/>
          <w:sz w:val="16"/>
          <w:szCs w:val="16"/>
        </w:rPr>
        <w:t xml:space="preserve"> do 30 tys. zł „kwoty wolnej” od podatku dla ogółu podatników obliczających podatek wg skali podatkowej,</w:t>
      </w:r>
    </w:p>
    <w:p w:rsidR="008A572A" w:rsidRDefault="008A572A" w:rsidP="008A572A">
      <w:pPr>
        <w:pStyle w:val="Akapitzlist"/>
        <w:numPr>
          <w:ilvl w:val="0"/>
          <w:numId w:val="52"/>
        </w:numPr>
        <w:spacing w:before="60" w:after="60"/>
        <w:ind w:left="1134" w:hanging="283"/>
        <w:contextualSpacing w:val="0"/>
        <w:jc w:val="both"/>
        <w:rPr>
          <w:rFonts w:ascii="Verdana" w:hAnsi="Verdana"/>
          <w:iCs/>
          <w:sz w:val="16"/>
          <w:szCs w:val="16"/>
        </w:rPr>
      </w:pPr>
      <w:r w:rsidRPr="006A430E">
        <w:rPr>
          <w:rFonts w:ascii="Verdana" w:hAnsi="Verdana"/>
          <w:iCs/>
          <w:sz w:val="16"/>
          <w:szCs w:val="16"/>
        </w:rPr>
        <w:t>podwyższeni</w:t>
      </w:r>
      <w:r>
        <w:rPr>
          <w:rFonts w:ascii="Verdana" w:hAnsi="Verdana"/>
          <w:iCs/>
          <w:sz w:val="16"/>
          <w:szCs w:val="16"/>
        </w:rPr>
        <w:t>a</w:t>
      </w:r>
      <w:r w:rsidRPr="006A430E">
        <w:rPr>
          <w:rFonts w:ascii="Verdana" w:hAnsi="Verdana"/>
          <w:iCs/>
          <w:sz w:val="16"/>
          <w:szCs w:val="16"/>
        </w:rPr>
        <w:t xml:space="preserve"> do 120 tys. zł progu dochodów, po przekroczeniu którego ma zastosowanie 32% stawka podatku,</w:t>
      </w:r>
    </w:p>
    <w:p w:rsidR="008A572A" w:rsidRPr="006A430E" w:rsidRDefault="008A572A" w:rsidP="008A572A">
      <w:pPr>
        <w:pStyle w:val="Akapitzlist"/>
        <w:numPr>
          <w:ilvl w:val="0"/>
          <w:numId w:val="52"/>
        </w:numPr>
        <w:spacing w:before="60" w:after="60"/>
        <w:ind w:left="1134" w:hanging="283"/>
        <w:contextualSpacing w:val="0"/>
        <w:jc w:val="both"/>
        <w:rPr>
          <w:rFonts w:ascii="Verdana" w:hAnsi="Verdana"/>
          <w:iCs/>
          <w:sz w:val="16"/>
          <w:szCs w:val="16"/>
        </w:rPr>
      </w:pPr>
      <w:r>
        <w:rPr>
          <w:rFonts w:ascii="Verdana" w:hAnsi="Verdana"/>
          <w:sz w:val="16"/>
          <w:szCs w:val="16"/>
        </w:rPr>
        <w:t>obniżenia</w:t>
      </w:r>
      <w:r w:rsidRPr="0038021F">
        <w:rPr>
          <w:rFonts w:ascii="Verdana" w:hAnsi="Verdana"/>
          <w:sz w:val="16"/>
          <w:szCs w:val="16"/>
        </w:rPr>
        <w:t xml:space="preserve"> stawki podatkowej w I przedziale skali podatkowej z </w:t>
      </w:r>
      <w:r w:rsidRPr="0038021F">
        <w:rPr>
          <w:rFonts w:ascii="Verdana" w:hAnsi="Verdana"/>
          <w:bCs/>
          <w:sz w:val="16"/>
          <w:szCs w:val="16"/>
        </w:rPr>
        <w:t>17%</w:t>
      </w:r>
      <w:r w:rsidRPr="0038021F">
        <w:rPr>
          <w:rFonts w:ascii="Verdana" w:hAnsi="Verdana"/>
          <w:sz w:val="16"/>
          <w:szCs w:val="16"/>
        </w:rPr>
        <w:t xml:space="preserve"> do </w:t>
      </w:r>
      <w:r w:rsidRPr="0038021F">
        <w:rPr>
          <w:rFonts w:ascii="Verdana" w:hAnsi="Verdana"/>
          <w:bCs/>
          <w:sz w:val="16"/>
          <w:szCs w:val="16"/>
        </w:rPr>
        <w:t>12%</w:t>
      </w:r>
    </w:p>
    <w:p w:rsidR="008A572A" w:rsidRPr="00E90E59" w:rsidRDefault="008A572A" w:rsidP="008A572A">
      <w:pPr>
        <w:pStyle w:val="Akapitzlist"/>
        <w:numPr>
          <w:ilvl w:val="0"/>
          <w:numId w:val="52"/>
        </w:numPr>
        <w:spacing w:before="60" w:after="60"/>
        <w:ind w:left="1134" w:hanging="283"/>
        <w:contextualSpacing w:val="0"/>
        <w:jc w:val="both"/>
        <w:rPr>
          <w:rFonts w:ascii="Verdana" w:hAnsi="Verdana"/>
          <w:iCs/>
          <w:sz w:val="16"/>
          <w:szCs w:val="16"/>
        </w:rPr>
      </w:pPr>
      <w:r>
        <w:rPr>
          <w:rFonts w:ascii="Verdana" w:hAnsi="Verdana"/>
          <w:iCs/>
          <w:sz w:val="16"/>
          <w:szCs w:val="16"/>
        </w:rPr>
        <w:t>likwidacji</w:t>
      </w:r>
      <w:r w:rsidRPr="006A430E">
        <w:rPr>
          <w:rFonts w:ascii="Verdana" w:hAnsi="Verdana"/>
          <w:iCs/>
          <w:sz w:val="16"/>
          <w:szCs w:val="16"/>
        </w:rPr>
        <w:t xml:space="preserve"> możliwości odliczenia od podatku składki na ubezpieczenie </w:t>
      </w:r>
      <w:r>
        <w:rPr>
          <w:rFonts w:ascii="Verdana" w:hAnsi="Verdana"/>
          <w:iCs/>
          <w:sz w:val="16"/>
          <w:szCs w:val="16"/>
        </w:rPr>
        <w:t>zdrowotne</w:t>
      </w:r>
      <w:r w:rsidRPr="00E90E59">
        <w:rPr>
          <w:rFonts w:ascii="Verdana" w:hAnsi="Verdana"/>
          <w:iCs/>
          <w:sz w:val="16"/>
          <w:szCs w:val="16"/>
        </w:rPr>
        <w:t>,</w:t>
      </w:r>
    </w:p>
    <w:p w:rsidR="008A572A" w:rsidRDefault="008A572A" w:rsidP="008A572A">
      <w:pPr>
        <w:pStyle w:val="Akapitzlist"/>
        <w:spacing w:before="60" w:after="60"/>
        <w:ind w:left="567"/>
        <w:contextualSpacing w:val="0"/>
        <w:jc w:val="both"/>
        <w:rPr>
          <w:rFonts w:ascii="Verdana" w:hAnsi="Verdana"/>
          <w:iCs/>
          <w:sz w:val="16"/>
          <w:szCs w:val="16"/>
        </w:rPr>
      </w:pPr>
      <w:r>
        <w:rPr>
          <w:rFonts w:ascii="Verdana" w:hAnsi="Verdana"/>
          <w:iCs/>
          <w:sz w:val="16"/>
          <w:szCs w:val="16"/>
        </w:rPr>
        <w:t xml:space="preserve">co zgodnie z szacunkami sporządzonymi na podstawie Ocen Skutków Regulacji </w:t>
      </w:r>
      <w:r>
        <w:rPr>
          <w:rFonts w:ascii="Verdana" w:hAnsi="Verdana" w:cs="Arial"/>
          <w:sz w:val="16"/>
          <w:szCs w:val="16"/>
        </w:rPr>
        <w:t>ustawy z 29</w:t>
      </w:r>
      <w:r w:rsidRPr="00C06E0B">
        <w:rPr>
          <w:rFonts w:ascii="Verdana" w:hAnsi="Verdana" w:cs="Arial"/>
          <w:sz w:val="16"/>
          <w:szCs w:val="16"/>
        </w:rPr>
        <w:t xml:space="preserve"> października 2021 r. </w:t>
      </w:r>
      <w:r w:rsidRPr="00C06E0B">
        <w:rPr>
          <w:rFonts w:ascii="Verdana" w:hAnsi="Verdana" w:cs="Arial"/>
          <w:i/>
          <w:sz w:val="16"/>
          <w:szCs w:val="16"/>
        </w:rPr>
        <w:t xml:space="preserve">o zmianie ustawy o podatku dochodowym od osób fizycznych, ustawy o podatku dochodowym </w:t>
      </w:r>
      <w:r>
        <w:rPr>
          <w:rFonts w:ascii="Verdana" w:hAnsi="Verdana" w:cs="Arial"/>
          <w:i/>
          <w:sz w:val="16"/>
          <w:szCs w:val="16"/>
        </w:rPr>
        <w:br/>
      </w:r>
      <w:r w:rsidRPr="00C06E0B">
        <w:rPr>
          <w:rFonts w:ascii="Verdana" w:hAnsi="Verdana" w:cs="Arial"/>
          <w:i/>
          <w:sz w:val="16"/>
          <w:szCs w:val="16"/>
        </w:rPr>
        <w:t>od osób prawnych oraz niektórych innych ustaw</w:t>
      </w:r>
      <w:r>
        <w:rPr>
          <w:rFonts w:ascii="Verdana" w:hAnsi="Verdana" w:cs="Arial"/>
          <w:sz w:val="16"/>
          <w:szCs w:val="16"/>
        </w:rPr>
        <w:t xml:space="preserve"> (Dz. U. poz. 2105, 2349, 2427 i 2469 oraz z 2022 r. </w:t>
      </w:r>
      <w:r>
        <w:rPr>
          <w:rFonts w:ascii="Verdana" w:hAnsi="Verdana" w:cs="Arial"/>
          <w:sz w:val="16"/>
          <w:szCs w:val="16"/>
        </w:rPr>
        <w:br/>
        <w:t>poz. 1265, 1301, 1719 i 2180) oraz ustawy</w:t>
      </w:r>
      <w:r w:rsidRPr="00006222">
        <w:rPr>
          <w:rFonts w:ascii="Verdana" w:hAnsi="Verdana" w:cs="Arial"/>
          <w:sz w:val="16"/>
          <w:szCs w:val="16"/>
        </w:rPr>
        <w:t xml:space="preserve"> z </w:t>
      </w:r>
      <w:r>
        <w:rPr>
          <w:rFonts w:ascii="Verdana" w:hAnsi="Verdana" w:cs="Arial"/>
          <w:sz w:val="16"/>
          <w:szCs w:val="16"/>
        </w:rPr>
        <w:t>9 czerwca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 xml:space="preserve">zmianie ustawy o podatku dochodowym </w:t>
      </w:r>
      <w:r>
        <w:rPr>
          <w:rFonts w:ascii="Verdana" w:hAnsi="Verdana" w:cs="Arial"/>
          <w:i/>
          <w:sz w:val="16"/>
          <w:szCs w:val="16"/>
        </w:rPr>
        <w:lastRenderedPageBreak/>
        <w:t>od osób fizycznych oraz niektórych innych ustaw</w:t>
      </w:r>
      <w:r w:rsidRPr="00E7313D">
        <w:rPr>
          <w:rFonts w:ascii="Verdana" w:hAnsi="Verdana" w:cs="Arial"/>
          <w:sz w:val="16"/>
          <w:szCs w:val="16"/>
        </w:rPr>
        <w:t xml:space="preserve"> </w:t>
      </w:r>
      <w:r>
        <w:rPr>
          <w:rFonts w:ascii="Verdana" w:hAnsi="Verdana" w:cs="Arial"/>
          <w:sz w:val="16"/>
          <w:szCs w:val="16"/>
        </w:rPr>
        <w:t>(Dz. U. poz. 1265, 1964 i 2180</w:t>
      </w:r>
      <w:r w:rsidRPr="00E7313D">
        <w:rPr>
          <w:rFonts w:ascii="Verdana" w:hAnsi="Verdana" w:cs="Arial"/>
          <w:sz w:val="16"/>
          <w:szCs w:val="16"/>
        </w:rPr>
        <w:t>)</w:t>
      </w:r>
      <w:r>
        <w:rPr>
          <w:rFonts w:ascii="Verdana" w:hAnsi="Verdana" w:cs="Arial"/>
          <w:sz w:val="16"/>
          <w:szCs w:val="16"/>
        </w:rPr>
        <w:t>,</w:t>
      </w:r>
      <w:r>
        <w:rPr>
          <w:rFonts w:ascii="Verdana" w:hAnsi="Verdana" w:cs="Arial"/>
          <w:i/>
          <w:sz w:val="16"/>
          <w:szCs w:val="16"/>
        </w:rPr>
        <w:t xml:space="preserve"> </w:t>
      </w:r>
      <w:r>
        <w:rPr>
          <w:rFonts w:ascii="Verdana" w:hAnsi="Verdana"/>
          <w:iCs/>
          <w:sz w:val="16"/>
          <w:szCs w:val="16"/>
        </w:rPr>
        <w:t xml:space="preserve">prezentowanych na poszczególnych etapach ich procedowania, spowoduje </w:t>
      </w:r>
      <w:r w:rsidRPr="00264257">
        <w:rPr>
          <w:rFonts w:ascii="Verdana" w:hAnsi="Verdana"/>
          <w:b/>
          <w:iCs/>
          <w:sz w:val="16"/>
          <w:szCs w:val="16"/>
        </w:rPr>
        <w:t>ograniczenie dochodów m.st. Warszawy z PIT</w:t>
      </w:r>
      <w:r>
        <w:rPr>
          <w:rFonts w:ascii="Verdana" w:hAnsi="Verdana"/>
          <w:iCs/>
          <w:sz w:val="16"/>
          <w:szCs w:val="16"/>
        </w:rPr>
        <w:t xml:space="preserve"> w kwocie </w:t>
      </w:r>
      <w:r>
        <w:rPr>
          <w:rFonts w:ascii="Verdana" w:hAnsi="Verdana"/>
          <w:b/>
          <w:iCs/>
          <w:sz w:val="16"/>
          <w:szCs w:val="16"/>
        </w:rPr>
        <w:t>22,461</w:t>
      </w:r>
      <w:r w:rsidRPr="00264257">
        <w:rPr>
          <w:rFonts w:ascii="Verdana" w:hAnsi="Verdana"/>
          <w:b/>
          <w:iCs/>
          <w:sz w:val="16"/>
          <w:szCs w:val="16"/>
        </w:rPr>
        <w:t xml:space="preserve"> mld zł</w:t>
      </w:r>
      <w:r>
        <w:rPr>
          <w:rFonts w:ascii="Verdana" w:hAnsi="Verdana"/>
          <w:iCs/>
          <w:sz w:val="16"/>
          <w:szCs w:val="16"/>
        </w:rPr>
        <w:t xml:space="preserve"> w okresie 10 lat, tj. </w:t>
      </w:r>
      <w:r>
        <w:rPr>
          <w:rFonts w:ascii="Verdana" w:hAnsi="Verdana"/>
          <w:b/>
          <w:iCs/>
          <w:sz w:val="16"/>
          <w:szCs w:val="16"/>
        </w:rPr>
        <w:t>2,246</w:t>
      </w:r>
      <w:r w:rsidRPr="00264257">
        <w:rPr>
          <w:rFonts w:ascii="Verdana" w:hAnsi="Verdana"/>
          <w:b/>
          <w:iCs/>
          <w:sz w:val="16"/>
          <w:szCs w:val="16"/>
        </w:rPr>
        <w:t xml:space="preserve"> mld zł</w:t>
      </w:r>
      <w:r>
        <w:rPr>
          <w:rFonts w:ascii="Verdana" w:hAnsi="Verdana"/>
          <w:iCs/>
          <w:sz w:val="16"/>
          <w:szCs w:val="16"/>
        </w:rPr>
        <w:t xml:space="preserve"> średniorocznie,</w:t>
      </w:r>
    </w:p>
    <w:p w:rsidR="008A572A" w:rsidRDefault="008A572A" w:rsidP="008A572A">
      <w:pPr>
        <w:pStyle w:val="Akapitzlist"/>
        <w:numPr>
          <w:ilvl w:val="0"/>
          <w:numId w:val="51"/>
        </w:numPr>
        <w:spacing w:before="60" w:after="60"/>
        <w:ind w:left="567" w:hanging="283"/>
        <w:contextualSpacing w:val="0"/>
        <w:jc w:val="both"/>
        <w:rPr>
          <w:rFonts w:ascii="Verdana" w:hAnsi="Verdana"/>
          <w:iCs/>
          <w:sz w:val="16"/>
          <w:szCs w:val="16"/>
        </w:rPr>
      </w:pPr>
      <w:r>
        <w:rPr>
          <w:rFonts w:ascii="Verdana" w:hAnsi="Verdana"/>
          <w:iCs/>
          <w:sz w:val="16"/>
          <w:szCs w:val="16"/>
        </w:rPr>
        <w:t xml:space="preserve">już zrealizowane przekazanie samorządom w 2021 r. na poczet wydatków 2022 r. </w:t>
      </w:r>
      <w:r w:rsidRPr="00264257">
        <w:rPr>
          <w:rFonts w:ascii="Verdana" w:hAnsi="Verdana"/>
          <w:b/>
          <w:iCs/>
          <w:sz w:val="16"/>
          <w:szCs w:val="16"/>
        </w:rPr>
        <w:t>dodatkowej kwoty subwencji w wysokości 8 mld zł, z tego 468 mln zł dla m.st. Warszawy</w:t>
      </w:r>
      <w:r>
        <w:rPr>
          <w:rFonts w:ascii="Verdana" w:hAnsi="Verdana"/>
          <w:iCs/>
          <w:sz w:val="16"/>
          <w:szCs w:val="16"/>
        </w:rPr>
        <w:t>,</w:t>
      </w:r>
    </w:p>
    <w:p w:rsidR="008A572A" w:rsidRDefault="008A572A" w:rsidP="008A572A">
      <w:pPr>
        <w:pStyle w:val="Akapitzlist"/>
        <w:numPr>
          <w:ilvl w:val="0"/>
          <w:numId w:val="51"/>
        </w:numPr>
        <w:spacing w:before="60" w:after="60"/>
        <w:ind w:left="567" w:hanging="283"/>
        <w:contextualSpacing w:val="0"/>
        <w:jc w:val="both"/>
        <w:rPr>
          <w:rFonts w:ascii="Verdana" w:hAnsi="Verdana"/>
          <w:iCs/>
          <w:sz w:val="16"/>
          <w:szCs w:val="16"/>
        </w:rPr>
      </w:pPr>
      <w:r>
        <w:rPr>
          <w:rFonts w:ascii="Verdana" w:hAnsi="Verdana"/>
          <w:iCs/>
          <w:sz w:val="16"/>
          <w:szCs w:val="16"/>
        </w:rPr>
        <w:t xml:space="preserve">wprowadzenie od 2023 r. </w:t>
      </w:r>
      <w:r w:rsidRPr="00264257">
        <w:rPr>
          <w:rFonts w:ascii="Verdana" w:hAnsi="Verdana"/>
          <w:b/>
          <w:iCs/>
          <w:sz w:val="16"/>
          <w:szCs w:val="16"/>
        </w:rPr>
        <w:t>nowej subwencji tzw. rozwojowej w ogólnej kwocie</w:t>
      </w:r>
      <w:r>
        <w:rPr>
          <w:rFonts w:ascii="Verdana" w:hAnsi="Verdana"/>
          <w:iCs/>
          <w:sz w:val="16"/>
          <w:szCs w:val="16"/>
        </w:rPr>
        <w:t xml:space="preserve"> </w:t>
      </w:r>
      <w:r w:rsidRPr="00264257">
        <w:rPr>
          <w:rFonts w:ascii="Verdana" w:hAnsi="Verdana"/>
          <w:b/>
          <w:iCs/>
          <w:sz w:val="16"/>
          <w:szCs w:val="16"/>
        </w:rPr>
        <w:t>3-4 mld zł rocznie</w:t>
      </w:r>
      <w:r>
        <w:rPr>
          <w:rFonts w:ascii="Verdana" w:hAnsi="Verdana"/>
          <w:iCs/>
          <w:sz w:val="16"/>
          <w:szCs w:val="16"/>
        </w:rPr>
        <w:t xml:space="preserve">, w której </w:t>
      </w:r>
      <w:r w:rsidRPr="00264257">
        <w:rPr>
          <w:rFonts w:ascii="Verdana" w:hAnsi="Verdana"/>
          <w:b/>
          <w:iCs/>
          <w:sz w:val="16"/>
          <w:szCs w:val="16"/>
        </w:rPr>
        <w:t>partycypacja m.st. Warszawy</w:t>
      </w:r>
      <w:r>
        <w:rPr>
          <w:rFonts w:ascii="Verdana" w:hAnsi="Verdana"/>
          <w:iCs/>
          <w:sz w:val="16"/>
          <w:szCs w:val="16"/>
        </w:rPr>
        <w:t xml:space="preserve"> jak się szacuje </w:t>
      </w:r>
      <w:r w:rsidRPr="00264257">
        <w:rPr>
          <w:rFonts w:ascii="Verdana" w:hAnsi="Verdana"/>
          <w:b/>
          <w:iCs/>
          <w:sz w:val="16"/>
          <w:szCs w:val="16"/>
        </w:rPr>
        <w:t>wyniesie ok.</w:t>
      </w:r>
      <w:r>
        <w:rPr>
          <w:rFonts w:ascii="Verdana" w:hAnsi="Verdana"/>
          <w:iCs/>
          <w:sz w:val="16"/>
          <w:szCs w:val="16"/>
        </w:rPr>
        <w:t xml:space="preserve"> </w:t>
      </w:r>
      <w:r w:rsidRPr="00264257">
        <w:rPr>
          <w:rFonts w:ascii="Verdana" w:hAnsi="Verdana"/>
          <w:b/>
          <w:iCs/>
          <w:sz w:val="16"/>
          <w:szCs w:val="16"/>
        </w:rPr>
        <w:t>40 mln zł</w:t>
      </w:r>
      <w:r>
        <w:rPr>
          <w:rFonts w:ascii="Verdana" w:hAnsi="Verdana"/>
          <w:iCs/>
          <w:sz w:val="16"/>
          <w:szCs w:val="16"/>
        </w:rPr>
        <w:t xml:space="preserve"> z puli 60% kwoty subwencji przekazywanej wszystkim samorządom, natomiast beneficjentami pozostałych 40% będą jednostki samorządu terytorialnego o ponadprzeciętnej dynamice wydatków majątkowych w przeliczeniu na jednego mieszkańca oraz charakteryzujące się przewyższającymi średnią wydatkami majątkowymi przypadającymi na jednego mieszkańca,</w:t>
      </w:r>
    </w:p>
    <w:p w:rsidR="008A572A" w:rsidRDefault="008A572A" w:rsidP="008A572A">
      <w:pPr>
        <w:pStyle w:val="Akapitzlist"/>
        <w:numPr>
          <w:ilvl w:val="0"/>
          <w:numId w:val="51"/>
        </w:numPr>
        <w:spacing w:before="60" w:after="60"/>
        <w:ind w:left="567" w:hanging="283"/>
        <w:contextualSpacing w:val="0"/>
        <w:jc w:val="both"/>
        <w:rPr>
          <w:rFonts w:ascii="Verdana" w:hAnsi="Verdana"/>
          <w:iCs/>
          <w:sz w:val="16"/>
          <w:szCs w:val="16"/>
        </w:rPr>
      </w:pPr>
      <w:r>
        <w:rPr>
          <w:rFonts w:ascii="Verdana" w:hAnsi="Verdana"/>
          <w:iCs/>
          <w:sz w:val="16"/>
          <w:szCs w:val="16"/>
        </w:rPr>
        <w:t>potencjalne podwyższenie tzw. subwencji rozwojowej dzielonej między jednostki samorządu terytorialnego o różnicę między wynikającym z ustawy poziomem dochodów referencyjnych (minimalnych) JST pochodzących z PIT i CIT a zaplanowanymi przez Ministerstwo Finansów dochodami z PIT i CIT dla samorządów,</w:t>
      </w:r>
    </w:p>
    <w:p w:rsidR="008A572A" w:rsidRDefault="008A572A" w:rsidP="008A572A">
      <w:pPr>
        <w:pStyle w:val="Akapitzlist"/>
        <w:numPr>
          <w:ilvl w:val="0"/>
          <w:numId w:val="51"/>
        </w:numPr>
        <w:spacing w:before="60" w:after="60"/>
        <w:ind w:left="567" w:hanging="283"/>
        <w:contextualSpacing w:val="0"/>
        <w:jc w:val="both"/>
        <w:rPr>
          <w:rFonts w:ascii="Verdana" w:hAnsi="Verdana"/>
          <w:iCs/>
          <w:sz w:val="16"/>
          <w:szCs w:val="16"/>
        </w:rPr>
      </w:pPr>
      <w:r>
        <w:rPr>
          <w:rFonts w:ascii="Verdana" w:hAnsi="Verdana"/>
          <w:iCs/>
          <w:sz w:val="16"/>
          <w:szCs w:val="16"/>
        </w:rPr>
        <w:t xml:space="preserve">przewidywane do realizacji do końca 2022 r. przekazanie samorządom w 2022 r. na poczet  wydatków 2023 r. </w:t>
      </w:r>
      <w:r>
        <w:rPr>
          <w:rFonts w:ascii="Verdana" w:hAnsi="Verdana"/>
          <w:b/>
          <w:iCs/>
          <w:sz w:val="16"/>
          <w:szCs w:val="16"/>
        </w:rPr>
        <w:t>kwoty</w:t>
      </w:r>
      <w:r w:rsidRPr="00264257">
        <w:rPr>
          <w:rFonts w:ascii="Verdana" w:hAnsi="Verdana"/>
          <w:b/>
          <w:iCs/>
          <w:sz w:val="16"/>
          <w:szCs w:val="16"/>
        </w:rPr>
        <w:t xml:space="preserve"> w wysokości </w:t>
      </w:r>
      <w:r>
        <w:rPr>
          <w:rFonts w:ascii="Verdana" w:hAnsi="Verdana"/>
          <w:b/>
          <w:iCs/>
          <w:sz w:val="16"/>
          <w:szCs w:val="16"/>
        </w:rPr>
        <w:t>13,7</w:t>
      </w:r>
      <w:r w:rsidRPr="00264257">
        <w:rPr>
          <w:rFonts w:ascii="Verdana" w:hAnsi="Verdana"/>
          <w:b/>
          <w:iCs/>
          <w:sz w:val="16"/>
          <w:szCs w:val="16"/>
        </w:rPr>
        <w:t xml:space="preserve"> mld zł, z tego </w:t>
      </w:r>
      <w:r>
        <w:rPr>
          <w:rFonts w:ascii="Verdana" w:hAnsi="Verdana"/>
          <w:b/>
          <w:iCs/>
          <w:sz w:val="16"/>
          <w:szCs w:val="16"/>
        </w:rPr>
        <w:t>852</w:t>
      </w:r>
      <w:r w:rsidRPr="00264257">
        <w:rPr>
          <w:rFonts w:ascii="Verdana" w:hAnsi="Verdana"/>
          <w:b/>
          <w:iCs/>
          <w:sz w:val="16"/>
          <w:szCs w:val="16"/>
        </w:rPr>
        <w:t xml:space="preserve"> mln zł dla m.st. Warszawy</w:t>
      </w:r>
      <w:r>
        <w:rPr>
          <w:rFonts w:ascii="Verdana" w:hAnsi="Verdana"/>
          <w:b/>
          <w:iCs/>
          <w:sz w:val="16"/>
          <w:szCs w:val="16"/>
        </w:rPr>
        <w:t xml:space="preserve"> tytułem należnej w 2023 r. tzw. subwencji rozwojowej</w:t>
      </w:r>
      <w:r>
        <w:rPr>
          <w:rFonts w:ascii="Verdana" w:hAnsi="Verdana"/>
          <w:iCs/>
          <w:sz w:val="16"/>
          <w:szCs w:val="16"/>
        </w:rPr>
        <w:t>.</w:t>
      </w:r>
    </w:p>
    <w:p w:rsidR="008A572A" w:rsidRPr="00711ED1" w:rsidRDefault="008A572A" w:rsidP="008A572A">
      <w:pPr>
        <w:spacing w:before="60" w:after="60"/>
        <w:jc w:val="both"/>
        <w:rPr>
          <w:rFonts w:ascii="Verdana" w:hAnsi="Verdana"/>
          <w:iCs/>
          <w:sz w:val="16"/>
          <w:szCs w:val="16"/>
        </w:rPr>
      </w:pPr>
      <w:r>
        <w:rPr>
          <w:rFonts w:ascii="Verdana" w:hAnsi="Verdana"/>
          <w:b/>
          <w:sz w:val="16"/>
          <w:szCs w:val="16"/>
        </w:rPr>
        <w:t>Na podstawie bieżących prognoz makroekonomicznych prezentowanych przez Ministerstwo Finansów, a więc w warunkach podwyższonej inflacji, o</w:t>
      </w:r>
      <w:r w:rsidRPr="009B6899">
        <w:rPr>
          <w:rFonts w:ascii="Verdana" w:hAnsi="Verdana"/>
          <w:b/>
          <w:sz w:val="16"/>
          <w:szCs w:val="16"/>
        </w:rPr>
        <w:t xml:space="preserve">cenia się, iż tylko w latach 2022-2023 </w:t>
      </w:r>
      <w:r>
        <w:rPr>
          <w:rFonts w:ascii="Verdana" w:hAnsi="Verdana"/>
          <w:b/>
          <w:sz w:val="16"/>
          <w:szCs w:val="16"/>
        </w:rPr>
        <w:br/>
        <w:t xml:space="preserve">w konsekwencji rozwiązań Polskiego Ładu </w:t>
      </w:r>
      <w:r w:rsidRPr="009B6899">
        <w:rPr>
          <w:rFonts w:ascii="Verdana" w:hAnsi="Verdana"/>
          <w:b/>
          <w:sz w:val="16"/>
          <w:szCs w:val="16"/>
        </w:rPr>
        <w:t xml:space="preserve">m.st. Warszawa zostało pozbawione dochodów </w:t>
      </w:r>
      <w:r>
        <w:rPr>
          <w:rFonts w:ascii="Verdana" w:hAnsi="Verdana"/>
          <w:b/>
          <w:sz w:val="16"/>
          <w:szCs w:val="16"/>
        </w:rPr>
        <w:t>w kwotach kolejno 1 mld 464 mln zł i 1 mld 930 mln zł</w:t>
      </w:r>
      <w:r w:rsidRPr="009B6899">
        <w:rPr>
          <w:rFonts w:ascii="Verdana" w:hAnsi="Verdana"/>
          <w:b/>
          <w:sz w:val="16"/>
          <w:szCs w:val="16"/>
        </w:rPr>
        <w:t xml:space="preserve"> </w:t>
      </w:r>
      <w:r>
        <w:rPr>
          <w:rFonts w:ascii="Verdana" w:hAnsi="Verdana"/>
          <w:b/>
          <w:sz w:val="16"/>
          <w:szCs w:val="16"/>
        </w:rPr>
        <w:t xml:space="preserve">już po uwzględnieniu rekompensat (kwestia szczegółowo została omówiona w pkt 4.3 </w:t>
      </w:r>
      <w:r w:rsidRPr="00711ED1">
        <w:rPr>
          <w:rFonts w:ascii="Verdana" w:hAnsi="Verdana"/>
          <w:b/>
          <w:i/>
          <w:sz w:val="16"/>
          <w:szCs w:val="16"/>
        </w:rPr>
        <w:t>Uwarunkowania budżetowe m.st. Warszawy</w:t>
      </w:r>
      <w:r>
        <w:rPr>
          <w:rFonts w:ascii="Verdana" w:hAnsi="Verdana"/>
          <w:b/>
          <w:sz w:val="16"/>
          <w:szCs w:val="16"/>
        </w:rPr>
        <w:t>).</w:t>
      </w:r>
    </w:p>
    <w:p w:rsidR="008A572A" w:rsidRPr="000A6485" w:rsidRDefault="008A572A" w:rsidP="008A572A">
      <w:pPr>
        <w:spacing w:before="360" w:after="240" w:line="240" w:lineRule="auto"/>
        <w:ind w:left="425" w:hanging="425"/>
        <w:rPr>
          <w:rFonts w:ascii="Verdana" w:hAnsi="Verdana"/>
          <w:b/>
          <w:bCs/>
          <w:sz w:val="20"/>
          <w:szCs w:val="20"/>
        </w:rPr>
      </w:pPr>
      <w:r w:rsidRPr="000A6485">
        <w:rPr>
          <w:rFonts w:ascii="Verdana" w:hAnsi="Verdana"/>
          <w:b/>
          <w:bCs/>
          <w:sz w:val="20"/>
          <w:szCs w:val="20"/>
        </w:rPr>
        <w:t xml:space="preserve">5.2 </w:t>
      </w:r>
      <w:r>
        <w:rPr>
          <w:rFonts w:ascii="Verdana" w:hAnsi="Verdana"/>
          <w:b/>
          <w:bCs/>
          <w:sz w:val="20"/>
          <w:szCs w:val="20"/>
        </w:rPr>
        <w:t xml:space="preserve">Dostosowanie założeń budżetowych do obniżonych dochodów w związku </w:t>
      </w:r>
      <w:r>
        <w:rPr>
          <w:rFonts w:ascii="Verdana" w:hAnsi="Verdana"/>
          <w:b/>
          <w:bCs/>
          <w:sz w:val="20"/>
          <w:szCs w:val="20"/>
        </w:rPr>
        <w:br/>
        <w:t xml:space="preserve">z sytuacją społeczno-gospodarczą będącą konsekwencją pandemii </w:t>
      </w:r>
      <w:proofErr w:type="spellStart"/>
      <w:r>
        <w:rPr>
          <w:rFonts w:ascii="Verdana" w:hAnsi="Verdana"/>
          <w:b/>
          <w:bCs/>
          <w:sz w:val="20"/>
          <w:szCs w:val="20"/>
        </w:rPr>
        <w:t>koronawirusa</w:t>
      </w:r>
      <w:proofErr w:type="spellEnd"/>
      <w:r>
        <w:rPr>
          <w:rFonts w:ascii="Verdana" w:hAnsi="Verdana"/>
          <w:b/>
          <w:bCs/>
          <w:sz w:val="20"/>
          <w:szCs w:val="20"/>
        </w:rPr>
        <w:t xml:space="preserve"> SARS-Cov-2 wywołującego chorobę COVID-19</w:t>
      </w:r>
    </w:p>
    <w:p w:rsidR="008A572A" w:rsidRDefault="008A572A" w:rsidP="008A572A">
      <w:pPr>
        <w:spacing w:before="60" w:after="60"/>
        <w:ind w:firstLine="567"/>
        <w:jc w:val="both"/>
        <w:rPr>
          <w:rFonts w:ascii="Verdana" w:hAnsi="Verdana"/>
          <w:sz w:val="16"/>
          <w:szCs w:val="16"/>
        </w:rPr>
      </w:pPr>
      <w:r w:rsidRPr="00627BD4">
        <w:rPr>
          <w:rFonts w:ascii="Verdana" w:hAnsi="Verdana"/>
          <w:iCs/>
          <w:sz w:val="16"/>
          <w:szCs w:val="16"/>
        </w:rPr>
        <w:t>Stan epidemii w Polsce, formalnie wprowadzony w Polsce w marcu 2020 r., spowodował gwałtowne osłabienie aktywności gospodarczej w całym kraju, w tym w m.st. Warszaw</w:t>
      </w:r>
      <w:r>
        <w:rPr>
          <w:rFonts w:ascii="Verdana" w:hAnsi="Verdana"/>
          <w:iCs/>
          <w:sz w:val="16"/>
          <w:szCs w:val="16"/>
        </w:rPr>
        <w:t>ie</w:t>
      </w:r>
      <w:r w:rsidRPr="00627BD4">
        <w:rPr>
          <w:rFonts w:ascii="Verdana" w:hAnsi="Verdana"/>
          <w:iCs/>
          <w:sz w:val="16"/>
          <w:szCs w:val="16"/>
        </w:rPr>
        <w:t xml:space="preserve">. </w:t>
      </w:r>
      <w:r>
        <w:rPr>
          <w:rFonts w:ascii="Verdana" w:hAnsi="Verdana"/>
          <w:iCs/>
          <w:sz w:val="16"/>
          <w:szCs w:val="16"/>
        </w:rPr>
        <w:t xml:space="preserve">Z </w:t>
      </w:r>
      <w:r w:rsidRPr="00627BD4">
        <w:rPr>
          <w:rFonts w:ascii="Verdana" w:hAnsi="Verdana"/>
          <w:iCs/>
          <w:sz w:val="16"/>
          <w:szCs w:val="16"/>
        </w:rPr>
        <w:t xml:space="preserve">początkiem drugiego kwartału 2020 r. </w:t>
      </w:r>
      <w:r>
        <w:rPr>
          <w:rFonts w:ascii="Verdana" w:hAnsi="Verdana"/>
          <w:iCs/>
          <w:sz w:val="16"/>
          <w:szCs w:val="16"/>
        </w:rPr>
        <w:t>nastąpiło</w:t>
      </w:r>
      <w:r w:rsidRPr="00627BD4">
        <w:rPr>
          <w:rFonts w:ascii="Verdana" w:hAnsi="Verdana"/>
          <w:iCs/>
          <w:sz w:val="16"/>
          <w:szCs w:val="16"/>
        </w:rPr>
        <w:t xml:space="preserve"> pogorszenie sytuacji dochodowej podatników, co </w:t>
      </w:r>
      <w:r>
        <w:rPr>
          <w:rFonts w:ascii="Verdana" w:hAnsi="Verdana"/>
          <w:iCs/>
          <w:sz w:val="16"/>
          <w:szCs w:val="16"/>
        </w:rPr>
        <w:t>przełożyło</w:t>
      </w:r>
      <w:r w:rsidRPr="00627BD4">
        <w:rPr>
          <w:rFonts w:ascii="Verdana" w:hAnsi="Verdana"/>
          <w:iCs/>
          <w:sz w:val="16"/>
          <w:szCs w:val="16"/>
        </w:rPr>
        <w:t xml:space="preserve"> się na spadek Produktu Krajowego</w:t>
      </w:r>
      <w:r>
        <w:rPr>
          <w:rFonts w:ascii="Verdana" w:hAnsi="Verdana"/>
          <w:iCs/>
          <w:sz w:val="16"/>
          <w:szCs w:val="16"/>
        </w:rPr>
        <w:t xml:space="preserve"> </w:t>
      </w:r>
      <w:r w:rsidRPr="00627BD4">
        <w:rPr>
          <w:rFonts w:ascii="Verdana" w:hAnsi="Verdana"/>
          <w:iCs/>
          <w:sz w:val="16"/>
          <w:szCs w:val="16"/>
        </w:rPr>
        <w:t>Brutto w skali kraju, a w rezultacie na ubytek dochodów budżetowych m.st. Warszawy.</w:t>
      </w:r>
      <w:r>
        <w:rPr>
          <w:rFonts w:ascii="Verdana" w:hAnsi="Verdana"/>
          <w:iCs/>
          <w:sz w:val="16"/>
          <w:szCs w:val="16"/>
        </w:rPr>
        <w:t xml:space="preserve"> </w:t>
      </w:r>
      <w:r w:rsidRPr="00596901">
        <w:rPr>
          <w:rFonts w:ascii="Verdana" w:hAnsi="Verdana"/>
          <w:b/>
          <w:iCs/>
          <w:sz w:val="16"/>
          <w:szCs w:val="16"/>
        </w:rPr>
        <w:t xml:space="preserve">Z podsumowania wyników budżetowych m.st. Warszawy za 2020 r. przedstawionego w rocznym sprawozdaniu </w:t>
      </w:r>
      <w:r>
        <w:rPr>
          <w:rFonts w:ascii="Verdana" w:hAnsi="Verdana"/>
          <w:b/>
          <w:iCs/>
          <w:sz w:val="16"/>
          <w:szCs w:val="16"/>
        </w:rPr>
        <w:br/>
      </w:r>
      <w:r w:rsidRPr="00596901">
        <w:rPr>
          <w:rFonts w:ascii="Verdana" w:hAnsi="Verdana"/>
          <w:b/>
          <w:iCs/>
          <w:sz w:val="16"/>
          <w:szCs w:val="16"/>
        </w:rPr>
        <w:t>z wykonania budżetu wynika, iż</w:t>
      </w:r>
      <w:r>
        <w:rPr>
          <w:rFonts w:ascii="Verdana" w:hAnsi="Verdana"/>
          <w:iCs/>
          <w:sz w:val="16"/>
          <w:szCs w:val="16"/>
        </w:rPr>
        <w:t xml:space="preserve"> </w:t>
      </w:r>
      <w:r>
        <w:rPr>
          <w:rFonts w:ascii="Verdana" w:hAnsi="Verdana"/>
          <w:b/>
          <w:sz w:val="16"/>
          <w:szCs w:val="16"/>
        </w:rPr>
        <w:t>u</w:t>
      </w:r>
      <w:r w:rsidRPr="00F722AB">
        <w:rPr>
          <w:rFonts w:ascii="Verdana" w:hAnsi="Verdana"/>
          <w:b/>
          <w:sz w:val="16"/>
          <w:szCs w:val="16"/>
        </w:rPr>
        <w:t>bytek dochodów m.st. Warszawy w związku z sytuacją społeczno-gospodarczą wy</w:t>
      </w:r>
      <w:r>
        <w:rPr>
          <w:rFonts w:ascii="Verdana" w:hAnsi="Verdana"/>
          <w:b/>
          <w:sz w:val="16"/>
          <w:szCs w:val="16"/>
        </w:rPr>
        <w:t>wołaną epidemią wyniósł 1,16</w:t>
      </w:r>
      <w:r w:rsidRPr="00F722AB">
        <w:rPr>
          <w:rFonts w:ascii="Verdana" w:hAnsi="Verdana"/>
          <w:b/>
          <w:sz w:val="16"/>
          <w:szCs w:val="16"/>
        </w:rPr>
        <w:t>2 mld zł. Jednocześnie na działania związane z COVID-19 uzyskano dochody w łącznej kwocie 144,4 mln zł</w:t>
      </w:r>
      <w:r>
        <w:rPr>
          <w:rFonts w:ascii="Verdana" w:hAnsi="Verdana"/>
          <w:sz w:val="16"/>
          <w:szCs w:val="16"/>
        </w:rPr>
        <w:t xml:space="preserve">, w tym 93,5 mln zł z Rządowego Funduszu Inwestycji Lokalnych. Zgodnie z informacjami przekazanymi przez dysponentów budżetowych w ramach wdrożonego </w:t>
      </w:r>
      <w:r>
        <w:rPr>
          <w:rFonts w:ascii="Verdana" w:hAnsi="Verdana"/>
          <w:sz w:val="16"/>
          <w:szCs w:val="16"/>
        </w:rPr>
        <w:br/>
        <w:t xml:space="preserve">w m.st. Warszawie nowego systemu sprawozdawczego dotyczącego skutków finansowych będących konsekwencją pandemii COVID-19, </w:t>
      </w:r>
      <w:r w:rsidRPr="009A49BF">
        <w:rPr>
          <w:rFonts w:ascii="Verdana" w:hAnsi="Verdana"/>
          <w:b/>
          <w:sz w:val="16"/>
          <w:szCs w:val="16"/>
        </w:rPr>
        <w:t xml:space="preserve">w ramach wydatków poniesionych w 2020 r. na działania związane </w:t>
      </w:r>
      <w:r>
        <w:rPr>
          <w:rFonts w:ascii="Verdana" w:hAnsi="Verdana"/>
          <w:b/>
          <w:sz w:val="16"/>
          <w:szCs w:val="16"/>
        </w:rPr>
        <w:br/>
      </w:r>
      <w:r w:rsidRPr="009A49BF">
        <w:rPr>
          <w:rFonts w:ascii="Verdana" w:hAnsi="Verdana"/>
          <w:b/>
          <w:sz w:val="16"/>
          <w:szCs w:val="16"/>
        </w:rPr>
        <w:t>z przeciwdziałaniem i usuwaniem skutków</w:t>
      </w:r>
      <w:r>
        <w:rPr>
          <w:rFonts w:ascii="Verdana" w:hAnsi="Verdana"/>
          <w:b/>
          <w:sz w:val="16"/>
          <w:szCs w:val="16"/>
        </w:rPr>
        <w:t xml:space="preserve"> COVID-19 wydatkowano kwotę 144,9</w:t>
      </w:r>
      <w:r w:rsidRPr="009A49BF">
        <w:rPr>
          <w:rFonts w:ascii="Verdana" w:hAnsi="Verdana"/>
          <w:b/>
          <w:sz w:val="16"/>
          <w:szCs w:val="16"/>
        </w:rPr>
        <w:t xml:space="preserve"> mln zł</w:t>
      </w:r>
      <w:r>
        <w:rPr>
          <w:rFonts w:ascii="Verdana" w:hAnsi="Verdana"/>
          <w:sz w:val="16"/>
          <w:szCs w:val="16"/>
        </w:rPr>
        <w:t xml:space="preserve">. Z zestawienia powyższych kwot wynika, że w ujęciu netto </w:t>
      </w:r>
      <w:r w:rsidRPr="00F722AB">
        <w:rPr>
          <w:rFonts w:ascii="Verdana" w:hAnsi="Verdana"/>
          <w:b/>
          <w:sz w:val="16"/>
          <w:szCs w:val="16"/>
        </w:rPr>
        <w:t xml:space="preserve">negatywny wpływ COVID-19 na budżet m.st. Warszawy </w:t>
      </w:r>
      <w:r>
        <w:rPr>
          <w:rFonts w:ascii="Verdana" w:hAnsi="Verdana"/>
          <w:b/>
          <w:sz w:val="16"/>
          <w:szCs w:val="16"/>
        </w:rPr>
        <w:br/>
        <w:t>w 2020 r. zamknął się kwotą 1,162</w:t>
      </w:r>
      <w:r w:rsidRPr="00F722AB">
        <w:rPr>
          <w:rFonts w:ascii="Verdana" w:hAnsi="Verdana"/>
          <w:b/>
          <w:sz w:val="16"/>
          <w:szCs w:val="16"/>
        </w:rPr>
        <w:t xml:space="preserve"> mld zł</w:t>
      </w:r>
      <w:r>
        <w:rPr>
          <w:rFonts w:ascii="Verdana" w:hAnsi="Verdana"/>
          <w:sz w:val="16"/>
          <w:szCs w:val="16"/>
        </w:rPr>
        <w:t>.</w:t>
      </w:r>
    </w:p>
    <w:p w:rsidR="008A572A" w:rsidRDefault="008A572A" w:rsidP="008A572A">
      <w:pPr>
        <w:tabs>
          <w:tab w:val="left" w:pos="360"/>
        </w:tabs>
        <w:spacing w:before="60" w:after="60"/>
        <w:jc w:val="both"/>
        <w:rPr>
          <w:rFonts w:ascii="Verdana" w:hAnsi="Verdana"/>
          <w:sz w:val="16"/>
          <w:szCs w:val="16"/>
        </w:rPr>
      </w:pPr>
      <w:r>
        <w:rPr>
          <w:rFonts w:ascii="Verdana" w:hAnsi="Verdana"/>
          <w:b/>
          <w:sz w:val="16"/>
          <w:szCs w:val="16"/>
        </w:rPr>
        <w:t>Natomiast w odniesieniu do 2021 r. sprawozdanie budżetowe za ten rok podaje, iż ustawowo obliczony u</w:t>
      </w:r>
      <w:r w:rsidRPr="00F722AB">
        <w:rPr>
          <w:rFonts w:ascii="Verdana" w:hAnsi="Verdana"/>
          <w:b/>
          <w:sz w:val="16"/>
          <w:szCs w:val="16"/>
        </w:rPr>
        <w:t>bytek dochodów m.st. Warszawy w związku z sytuacją społeczno-gospodarczą wy</w:t>
      </w:r>
      <w:r>
        <w:rPr>
          <w:rFonts w:ascii="Verdana" w:hAnsi="Verdana"/>
          <w:b/>
          <w:sz w:val="16"/>
          <w:szCs w:val="16"/>
        </w:rPr>
        <w:t>wołaną epidemią wyniósł 622,8 mln</w:t>
      </w:r>
      <w:r w:rsidRPr="00F722AB">
        <w:rPr>
          <w:rFonts w:ascii="Verdana" w:hAnsi="Verdana"/>
          <w:b/>
          <w:sz w:val="16"/>
          <w:szCs w:val="16"/>
        </w:rPr>
        <w:t xml:space="preserve"> zł. Jednocześnie na działania związane z COVID-19 uzyskano dochody </w:t>
      </w:r>
      <w:r>
        <w:rPr>
          <w:rFonts w:ascii="Verdana" w:hAnsi="Verdana"/>
          <w:b/>
          <w:sz w:val="16"/>
          <w:szCs w:val="16"/>
        </w:rPr>
        <w:br/>
      </w:r>
      <w:r w:rsidRPr="00F722AB">
        <w:rPr>
          <w:rFonts w:ascii="Verdana" w:hAnsi="Verdana"/>
          <w:b/>
          <w:sz w:val="16"/>
          <w:szCs w:val="16"/>
        </w:rPr>
        <w:t xml:space="preserve">w łącznej kwocie </w:t>
      </w:r>
      <w:r>
        <w:rPr>
          <w:rFonts w:ascii="Verdana" w:hAnsi="Verdana"/>
          <w:b/>
          <w:sz w:val="16"/>
          <w:szCs w:val="16"/>
        </w:rPr>
        <w:t>51,0</w:t>
      </w:r>
      <w:r w:rsidRPr="00F722AB">
        <w:rPr>
          <w:rFonts w:ascii="Verdana" w:hAnsi="Verdana"/>
          <w:b/>
          <w:sz w:val="16"/>
          <w:szCs w:val="16"/>
        </w:rPr>
        <w:t xml:space="preserve"> mln zł</w:t>
      </w:r>
      <w:r>
        <w:rPr>
          <w:rFonts w:ascii="Verdana" w:hAnsi="Verdana"/>
          <w:sz w:val="16"/>
          <w:szCs w:val="16"/>
        </w:rPr>
        <w:t xml:space="preserve">. Zgodnie z informacjami przekazanymi przez dysponentów budżetowych </w:t>
      </w:r>
      <w:r>
        <w:rPr>
          <w:rFonts w:ascii="Verdana" w:hAnsi="Verdana"/>
          <w:sz w:val="16"/>
          <w:szCs w:val="16"/>
        </w:rPr>
        <w:br/>
        <w:t xml:space="preserve">w ramach wdrożonego w m.st. Warszawie dedykowanego systemu sprawozdawczego dotyczącego skutków </w:t>
      </w:r>
      <w:r>
        <w:rPr>
          <w:rFonts w:ascii="Verdana" w:hAnsi="Verdana"/>
          <w:sz w:val="16"/>
          <w:szCs w:val="16"/>
        </w:rPr>
        <w:lastRenderedPageBreak/>
        <w:t xml:space="preserve">finansowych będących konsekwencją pandemii COVID-19, </w:t>
      </w:r>
      <w:r w:rsidRPr="009A49BF">
        <w:rPr>
          <w:rFonts w:ascii="Verdana" w:hAnsi="Verdana"/>
          <w:b/>
          <w:sz w:val="16"/>
          <w:szCs w:val="16"/>
        </w:rPr>
        <w:t>w ram</w:t>
      </w:r>
      <w:r>
        <w:rPr>
          <w:rFonts w:ascii="Verdana" w:hAnsi="Verdana"/>
          <w:b/>
          <w:sz w:val="16"/>
          <w:szCs w:val="16"/>
        </w:rPr>
        <w:t>ach wydatków poniesionych w 2021</w:t>
      </w:r>
      <w:r w:rsidRPr="009A49BF">
        <w:rPr>
          <w:rFonts w:ascii="Verdana" w:hAnsi="Verdana"/>
          <w:b/>
          <w:sz w:val="16"/>
          <w:szCs w:val="16"/>
        </w:rPr>
        <w:t xml:space="preserve"> r. na działania związane z przeciwdziałaniem i usuwaniem skutków</w:t>
      </w:r>
      <w:r>
        <w:rPr>
          <w:rFonts w:ascii="Verdana" w:hAnsi="Verdana"/>
          <w:b/>
          <w:sz w:val="16"/>
          <w:szCs w:val="16"/>
        </w:rPr>
        <w:t xml:space="preserve"> COVID-19 wydatkowano kwotę </w:t>
      </w:r>
      <w:r>
        <w:rPr>
          <w:rFonts w:ascii="Verdana" w:hAnsi="Verdana"/>
          <w:b/>
          <w:sz w:val="16"/>
          <w:szCs w:val="16"/>
        </w:rPr>
        <w:br/>
        <w:t>108,0</w:t>
      </w:r>
      <w:r w:rsidRPr="009A49BF">
        <w:rPr>
          <w:rFonts w:ascii="Verdana" w:hAnsi="Verdana"/>
          <w:b/>
          <w:sz w:val="16"/>
          <w:szCs w:val="16"/>
        </w:rPr>
        <w:t xml:space="preserve"> mln zł</w:t>
      </w:r>
      <w:r>
        <w:rPr>
          <w:rFonts w:ascii="Verdana" w:hAnsi="Verdana"/>
          <w:sz w:val="16"/>
          <w:szCs w:val="16"/>
        </w:rPr>
        <w:t xml:space="preserve">. Z zestawienia powyższych kwot wynika, że w ujęciu netto </w:t>
      </w:r>
      <w:r w:rsidRPr="00F722AB">
        <w:rPr>
          <w:rFonts w:ascii="Verdana" w:hAnsi="Verdana"/>
          <w:b/>
          <w:sz w:val="16"/>
          <w:szCs w:val="16"/>
        </w:rPr>
        <w:t xml:space="preserve">negatywny wpływ COVID-19 na budżet m.st. Warszawy </w:t>
      </w:r>
      <w:r>
        <w:rPr>
          <w:rFonts w:ascii="Verdana" w:hAnsi="Verdana"/>
          <w:b/>
          <w:sz w:val="16"/>
          <w:szCs w:val="16"/>
        </w:rPr>
        <w:t>w 2021 r. wyniósł 679,8</w:t>
      </w:r>
      <w:r w:rsidRPr="00F722AB">
        <w:rPr>
          <w:rFonts w:ascii="Verdana" w:hAnsi="Verdana"/>
          <w:b/>
          <w:sz w:val="16"/>
          <w:szCs w:val="16"/>
        </w:rPr>
        <w:t xml:space="preserve"> </w:t>
      </w:r>
      <w:r>
        <w:rPr>
          <w:rFonts w:ascii="Verdana" w:hAnsi="Verdana"/>
          <w:b/>
          <w:sz w:val="16"/>
          <w:szCs w:val="16"/>
        </w:rPr>
        <w:t xml:space="preserve">mln </w:t>
      </w:r>
      <w:r w:rsidRPr="00F722AB">
        <w:rPr>
          <w:rFonts w:ascii="Verdana" w:hAnsi="Verdana"/>
          <w:b/>
          <w:sz w:val="16"/>
          <w:szCs w:val="16"/>
        </w:rPr>
        <w:t>zł</w:t>
      </w:r>
      <w:r>
        <w:rPr>
          <w:rFonts w:ascii="Verdana" w:hAnsi="Verdana"/>
          <w:sz w:val="16"/>
          <w:szCs w:val="16"/>
        </w:rPr>
        <w:t>.</w:t>
      </w:r>
    </w:p>
    <w:p w:rsidR="008A572A" w:rsidRPr="00E41F06" w:rsidRDefault="008A572A" w:rsidP="008A572A">
      <w:pPr>
        <w:spacing w:before="60" w:after="60"/>
        <w:ind w:firstLine="567"/>
        <w:jc w:val="both"/>
        <w:rPr>
          <w:rFonts w:ascii="Verdana" w:hAnsi="Verdana"/>
          <w:iCs/>
          <w:sz w:val="16"/>
          <w:szCs w:val="16"/>
        </w:rPr>
      </w:pPr>
      <w:r>
        <w:rPr>
          <w:rFonts w:ascii="Verdana" w:hAnsi="Verdana"/>
          <w:sz w:val="16"/>
          <w:szCs w:val="16"/>
        </w:rPr>
        <w:t xml:space="preserve">Negatywny wpływ pandemii na sytuację budżetową m.st. Warszawy obserwowany jest także w 2022 r. Zgodnie z </w:t>
      </w:r>
      <w:r w:rsidRPr="00E41F06">
        <w:rPr>
          <w:rFonts w:ascii="Verdana" w:hAnsi="Verdana"/>
          <w:i/>
          <w:sz w:val="16"/>
          <w:szCs w:val="16"/>
        </w:rPr>
        <w:t>Informacją o przebiegu wyko</w:t>
      </w:r>
      <w:r>
        <w:rPr>
          <w:rFonts w:ascii="Verdana" w:hAnsi="Verdana"/>
          <w:i/>
          <w:sz w:val="16"/>
          <w:szCs w:val="16"/>
        </w:rPr>
        <w:t>nania budżetu za I półrocze 2022</w:t>
      </w:r>
      <w:r w:rsidRPr="00E41F06">
        <w:rPr>
          <w:rFonts w:ascii="Verdana" w:hAnsi="Verdana"/>
          <w:i/>
          <w:sz w:val="16"/>
          <w:szCs w:val="16"/>
        </w:rPr>
        <w:t xml:space="preserve"> r.</w:t>
      </w:r>
      <w:r>
        <w:rPr>
          <w:rFonts w:ascii="Verdana" w:hAnsi="Verdana"/>
          <w:sz w:val="16"/>
          <w:szCs w:val="16"/>
        </w:rPr>
        <w:t xml:space="preserve"> w</w:t>
      </w:r>
      <w:r w:rsidRPr="006E3C03">
        <w:rPr>
          <w:rFonts w:ascii="Verdana" w:hAnsi="Verdana"/>
          <w:sz w:val="16"/>
          <w:szCs w:val="16"/>
        </w:rPr>
        <w:t xml:space="preserve"> </w:t>
      </w:r>
      <w:r>
        <w:rPr>
          <w:rFonts w:ascii="Verdana" w:hAnsi="Verdana"/>
          <w:sz w:val="16"/>
          <w:szCs w:val="16"/>
        </w:rPr>
        <w:t>pierwszej połowie</w:t>
      </w:r>
      <w:r w:rsidRPr="006E3C03">
        <w:rPr>
          <w:rFonts w:ascii="Verdana" w:hAnsi="Verdana"/>
          <w:sz w:val="16"/>
          <w:szCs w:val="16"/>
        </w:rPr>
        <w:t xml:space="preserve"> </w:t>
      </w:r>
      <w:r w:rsidRPr="00AB214E">
        <w:rPr>
          <w:rFonts w:ascii="Verdana" w:eastAsiaTheme="minorEastAsia" w:hAnsi="Verdana" w:cs="Verdana"/>
          <w:color w:val="000000"/>
          <w:sz w:val="16"/>
          <w:szCs w:val="16"/>
        </w:rPr>
        <w:t>202</w:t>
      </w:r>
      <w:r>
        <w:rPr>
          <w:rFonts w:ascii="Verdana" w:eastAsiaTheme="minorEastAsia" w:hAnsi="Verdana" w:cs="Verdana"/>
          <w:color w:val="000000"/>
          <w:sz w:val="16"/>
          <w:szCs w:val="16"/>
        </w:rPr>
        <w:t>2</w:t>
      </w:r>
      <w:r w:rsidRPr="006E3C03">
        <w:rPr>
          <w:rFonts w:ascii="Verdana" w:hAnsi="Verdana"/>
          <w:sz w:val="16"/>
          <w:szCs w:val="16"/>
        </w:rPr>
        <w:t xml:space="preserve"> r. </w:t>
      </w:r>
      <w:r>
        <w:rPr>
          <w:rFonts w:ascii="Verdana" w:hAnsi="Verdana"/>
          <w:sz w:val="16"/>
          <w:szCs w:val="16"/>
        </w:rPr>
        <w:br/>
      </w:r>
      <w:r w:rsidRPr="006E3C03">
        <w:rPr>
          <w:rFonts w:ascii="Verdana" w:hAnsi="Verdana"/>
          <w:sz w:val="16"/>
          <w:szCs w:val="16"/>
        </w:rPr>
        <w:t xml:space="preserve">na działania związane z przeciwdziałaniem i usuwaniem skutków COVID-19 </w:t>
      </w:r>
      <w:r w:rsidRPr="00E41F06">
        <w:rPr>
          <w:rFonts w:ascii="Verdana" w:hAnsi="Verdana"/>
          <w:b/>
          <w:sz w:val="16"/>
          <w:szCs w:val="16"/>
        </w:rPr>
        <w:t>uzyskano dochody w kwocie</w:t>
      </w:r>
      <w:r>
        <w:rPr>
          <w:rFonts w:ascii="Verdana" w:hAnsi="Verdana"/>
          <w:b/>
          <w:sz w:val="16"/>
          <w:szCs w:val="16"/>
        </w:rPr>
        <w:t xml:space="preserve"> </w:t>
      </w:r>
      <w:r>
        <w:rPr>
          <w:rFonts w:ascii="Verdana" w:hAnsi="Verdana"/>
          <w:b/>
          <w:sz w:val="16"/>
          <w:szCs w:val="16"/>
        </w:rPr>
        <w:br/>
        <w:t>4,2</w:t>
      </w:r>
      <w:r w:rsidRPr="00FC068F">
        <w:rPr>
          <w:rFonts w:ascii="Verdana" w:hAnsi="Verdana"/>
          <w:b/>
          <w:sz w:val="16"/>
          <w:szCs w:val="16"/>
        </w:rPr>
        <w:t xml:space="preserve"> mln zł</w:t>
      </w:r>
      <w:r w:rsidRPr="006E3C03">
        <w:rPr>
          <w:rFonts w:ascii="Verdana" w:hAnsi="Verdana"/>
          <w:sz w:val="16"/>
          <w:szCs w:val="16"/>
        </w:rPr>
        <w:t>.</w:t>
      </w:r>
      <w:r>
        <w:rPr>
          <w:rFonts w:ascii="Verdana" w:hAnsi="Verdana"/>
          <w:sz w:val="16"/>
          <w:szCs w:val="16"/>
        </w:rPr>
        <w:t xml:space="preserve"> Według danych przekazanych przez dysponentów budżetowych, </w:t>
      </w:r>
      <w:r w:rsidRPr="00A30F36">
        <w:rPr>
          <w:rFonts w:ascii="Verdana" w:hAnsi="Verdana"/>
          <w:b/>
          <w:sz w:val="16"/>
          <w:szCs w:val="16"/>
        </w:rPr>
        <w:t xml:space="preserve">w </w:t>
      </w:r>
      <w:r w:rsidRPr="00FC068F">
        <w:rPr>
          <w:rFonts w:ascii="Verdana" w:hAnsi="Verdana"/>
          <w:b/>
          <w:sz w:val="16"/>
          <w:szCs w:val="16"/>
        </w:rPr>
        <w:t xml:space="preserve">ramach wydatków poniesionych w </w:t>
      </w:r>
      <w:r>
        <w:rPr>
          <w:rFonts w:ascii="Verdana" w:hAnsi="Verdana"/>
          <w:b/>
          <w:sz w:val="16"/>
          <w:szCs w:val="16"/>
        </w:rPr>
        <w:t>I półroczu 2022</w:t>
      </w:r>
      <w:r w:rsidRPr="00FC068F">
        <w:rPr>
          <w:rFonts w:ascii="Verdana" w:hAnsi="Verdana"/>
          <w:b/>
          <w:sz w:val="16"/>
          <w:szCs w:val="16"/>
        </w:rPr>
        <w:t xml:space="preserve"> r. na działania związane z przeciwdziałaniem i usuwaniem skutków</w:t>
      </w:r>
      <w:r>
        <w:rPr>
          <w:rFonts w:ascii="Verdana" w:hAnsi="Verdana"/>
          <w:b/>
          <w:sz w:val="16"/>
          <w:szCs w:val="16"/>
        </w:rPr>
        <w:t xml:space="preserve"> COVID-19 wydatkowano kwotę 4,8</w:t>
      </w:r>
      <w:r w:rsidRPr="00FC068F">
        <w:rPr>
          <w:rFonts w:ascii="Verdana" w:hAnsi="Verdana"/>
          <w:b/>
          <w:sz w:val="16"/>
          <w:szCs w:val="16"/>
        </w:rPr>
        <w:t xml:space="preserve"> mln zł</w:t>
      </w:r>
      <w:r w:rsidRPr="009370A1">
        <w:rPr>
          <w:rFonts w:ascii="Verdana" w:hAnsi="Verdana"/>
          <w:sz w:val="16"/>
          <w:szCs w:val="16"/>
        </w:rPr>
        <w:t>,</w:t>
      </w:r>
      <w:r>
        <w:rPr>
          <w:rFonts w:ascii="Verdana" w:hAnsi="Verdana"/>
          <w:b/>
          <w:sz w:val="16"/>
          <w:szCs w:val="16"/>
        </w:rPr>
        <w:t xml:space="preserve"> </w:t>
      </w:r>
      <w:r w:rsidRPr="004F082D">
        <w:rPr>
          <w:rFonts w:ascii="Verdana" w:hAnsi="Verdana"/>
          <w:sz w:val="16"/>
          <w:szCs w:val="16"/>
        </w:rPr>
        <w:t xml:space="preserve">z tego kwotę </w:t>
      </w:r>
      <w:r>
        <w:rPr>
          <w:rFonts w:ascii="Verdana" w:hAnsi="Verdana"/>
          <w:b/>
          <w:sz w:val="16"/>
          <w:szCs w:val="16"/>
        </w:rPr>
        <w:t>4,5</w:t>
      </w:r>
      <w:r w:rsidRPr="004F082D">
        <w:rPr>
          <w:rFonts w:ascii="Verdana" w:hAnsi="Verdana"/>
          <w:b/>
          <w:sz w:val="16"/>
          <w:szCs w:val="16"/>
        </w:rPr>
        <w:t xml:space="preserve"> mln zł</w:t>
      </w:r>
      <w:r w:rsidRPr="004F082D">
        <w:rPr>
          <w:rFonts w:ascii="Verdana" w:hAnsi="Verdana"/>
          <w:sz w:val="16"/>
          <w:szCs w:val="16"/>
        </w:rPr>
        <w:t xml:space="preserve"> w ramach wydatków bieżących i kwotę </w:t>
      </w:r>
      <w:r>
        <w:rPr>
          <w:rFonts w:ascii="Verdana" w:hAnsi="Verdana"/>
          <w:sz w:val="16"/>
          <w:szCs w:val="16"/>
        </w:rPr>
        <w:br/>
      </w:r>
      <w:r>
        <w:rPr>
          <w:rFonts w:ascii="Verdana" w:hAnsi="Verdana"/>
          <w:b/>
          <w:sz w:val="16"/>
          <w:szCs w:val="16"/>
        </w:rPr>
        <w:t>269 tys.</w:t>
      </w:r>
      <w:r w:rsidRPr="004F082D">
        <w:rPr>
          <w:rFonts w:ascii="Verdana" w:hAnsi="Verdana"/>
          <w:b/>
          <w:sz w:val="16"/>
          <w:szCs w:val="16"/>
        </w:rPr>
        <w:t xml:space="preserve"> zł</w:t>
      </w:r>
      <w:r>
        <w:rPr>
          <w:rFonts w:ascii="Verdana" w:hAnsi="Verdana"/>
          <w:sz w:val="16"/>
          <w:szCs w:val="16"/>
        </w:rPr>
        <w:t xml:space="preserve"> w ramach wydatków majątkowych. Niektóre źródła dochodów nadal nie powróciły do poziomu sprzed pandemii. Przede wszystkim należy tu wymienić dochody ze sprzedaży biletów komunikacji miejskiej, </w:t>
      </w:r>
      <w:r>
        <w:rPr>
          <w:rFonts w:ascii="Verdana" w:hAnsi="Verdana"/>
          <w:sz w:val="16"/>
          <w:szCs w:val="16"/>
        </w:rPr>
        <w:br/>
        <w:t xml:space="preserve">w przypadku których wpływy po 10-ciu miesiącach 2022 r. są niższe o </w:t>
      </w:r>
      <w:r>
        <w:rPr>
          <w:rFonts w:ascii="Verdana" w:hAnsi="Verdana"/>
          <w:b/>
          <w:sz w:val="16"/>
          <w:szCs w:val="16"/>
        </w:rPr>
        <w:t>10,7</w:t>
      </w:r>
      <w:r w:rsidRPr="00FA3267">
        <w:rPr>
          <w:rFonts w:ascii="Verdana" w:hAnsi="Verdana"/>
          <w:b/>
          <w:sz w:val="16"/>
          <w:szCs w:val="16"/>
        </w:rPr>
        <w:t>%</w:t>
      </w:r>
      <w:r>
        <w:rPr>
          <w:rFonts w:ascii="Verdana" w:hAnsi="Verdana"/>
          <w:sz w:val="16"/>
          <w:szCs w:val="16"/>
        </w:rPr>
        <w:t xml:space="preserve"> w odniesieniu do analogicznego okresu 2019 r. Dochody z najmu lokali użytkowych również nadal odnotowują regres w zestawieniu z czasem </w:t>
      </w:r>
      <w:proofErr w:type="spellStart"/>
      <w:r>
        <w:rPr>
          <w:rFonts w:ascii="Verdana" w:hAnsi="Verdana"/>
          <w:sz w:val="16"/>
          <w:szCs w:val="16"/>
        </w:rPr>
        <w:t>przedpandemicznym</w:t>
      </w:r>
      <w:proofErr w:type="spellEnd"/>
      <w:r>
        <w:rPr>
          <w:rFonts w:ascii="Verdana" w:hAnsi="Verdana"/>
          <w:sz w:val="16"/>
          <w:szCs w:val="16"/>
        </w:rPr>
        <w:t xml:space="preserve">. W tym przypadku wyniki za 10 miesięcy 2022 r. w porównaniu do tego samego okresu 2019 r. przynoszą spadek wpływów o </w:t>
      </w:r>
      <w:r>
        <w:rPr>
          <w:rFonts w:ascii="Verdana" w:hAnsi="Verdana"/>
          <w:b/>
          <w:sz w:val="16"/>
          <w:szCs w:val="16"/>
        </w:rPr>
        <w:t>1,2</w:t>
      </w:r>
      <w:r w:rsidRPr="00B03616">
        <w:rPr>
          <w:rFonts w:ascii="Verdana" w:hAnsi="Verdana"/>
          <w:b/>
          <w:sz w:val="16"/>
          <w:szCs w:val="16"/>
        </w:rPr>
        <w:t>%</w:t>
      </w:r>
      <w:r>
        <w:rPr>
          <w:rFonts w:ascii="Verdana" w:hAnsi="Verdana"/>
          <w:sz w:val="16"/>
          <w:szCs w:val="16"/>
        </w:rPr>
        <w:t>. Podsumowanie całego 2022 r. w zakresie wpływu pandemii na budżet Miasta zostanie zaprezentowane w sprawozdaniu rocznym z wykonania budżetu.</w:t>
      </w:r>
    </w:p>
    <w:p w:rsidR="008A572A" w:rsidRPr="000A6485" w:rsidRDefault="008A572A" w:rsidP="008A572A">
      <w:pPr>
        <w:spacing w:before="240" w:after="240" w:line="240" w:lineRule="auto"/>
        <w:ind w:left="425" w:hanging="425"/>
        <w:rPr>
          <w:rFonts w:ascii="Verdana" w:hAnsi="Verdana"/>
          <w:b/>
          <w:bCs/>
          <w:sz w:val="20"/>
          <w:szCs w:val="20"/>
        </w:rPr>
      </w:pPr>
      <w:r w:rsidRPr="000A6485">
        <w:rPr>
          <w:rFonts w:ascii="Verdana" w:hAnsi="Verdana"/>
          <w:b/>
          <w:bCs/>
          <w:sz w:val="20"/>
          <w:szCs w:val="20"/>
        </w:rPr>
        <w:t>5.</w:t>
      </w:r>
      <w:r>
        <w:rPr>
          <w:rFonts w:ascii="Verdana" w:hAnsi="Verdana"/>
          <w:b/>
          <w:bCs/>
          <w:sz w:val="20"/>
          <w:szCs w:val="20"/>
        </w:rPr>
        <w:t>3</w:t>
      </w:r>
      <w:r w:rsidRPr="000A6485">
        <w:rPr>
          <w:rFonts w:ascii="Verdana" w:hAnsi="Verdana"/>
          <w:b/>
          <w:bCs/>
          <w:sz w:val="20"/>
          <w:szCs w:val="20"/>
        </w:rPr>
        <w:t xml:space="preserve"> Program przeciwdziałania narastaniu deficytu operacyjnego poprzez racjonalizację wydatków bieżących</w:t>
      </w:r>
    </w:p>
    <w:p w:rsidR="008A572A" w:rsidRPr="000A6485" w:rsidRDefault="008A572A" w:rsidP="008A572A">
      <w:pPr>
        <w:spacing w:before="60" w:after="60"/>
        <w:ind w:firstLine="539"/>
        <w:jc w:val="both"/>
        <w:rPr>
          <w:rFonts w:ascii="Verdana" w:hAnsi="Verdana"/>
          <w:sz w:val="16"/>
          <w:szCs w:val="16"/>
        </w:rPr>
      </w:pPr>
      <w:r w:rsidRPr="000A6485">
        <w:rPr>
          <w:rFonts w:ascii="Verdana" w:hAnsi="Verdana"/>
          <w:sz w:val="16"/>
          <w:szCs w:val="16"/>
        </w:rPr>
        <w:t xml:space="preserve">Realizacja celów polityki budżetowej Miasta, w tym m.in. generowanie nadwyżki operacyjnej, wymaga </w:t>
      </w:r>
      <w:r w:rsidRPr="000A6485">
        <w:rPr>
          <w:rFonts w:ascii="Verdana" w:hAnsi="Verdana"/>
          <w:b/>
          <w:sz w:val="16"/>
          <w:szCs w:val="16"/>
        </w:rPr>
        <w:t>stałego monitorowania</w:t>
      </w:r>
      <w:r w:rsidRPr="000A6485">
        <w:rPr>
          <w:rFonts w:ascii="Verdana" w:hAnsi="Verdana"/>
          <w:b/>
          <w:bCs/>
          <w:sz w:val="16"/>
          <w:szCs w:val="16"/>
        </w:rPr>
        <w:t xml:space="preserve"> wydatków bieżących</w:t>
      </w:r>
      <w:r w:rsidRPr="000A6485">
        <w:rPr>
          <w:rFonts w:ascii="Verdana" w:hAnsi="Verdana"/>
          <w:sz w:val="16"/>
          <w:szCs w:val="16"/>
        </w:rPr>
        <w:t xml:space="preserve">. Zakłada się kontynuację działań efektywnościowych </w:t>
      </w:r>
      <w:r w:rsidRPr="000A6485">
        <w:rPr>
          <w:rFonts w:ascii="Verdana" w:hAnsi="Verdana"/>
          <w:sz w:val="16"/>
          <w:szCs w:val="16"/>
        </w:rPr>
        <w:br/>
        <w:t>w obszarach, na które Miasto ma wpływ.</w:t>
      </w:r>
    </w:p>
    <w:p w:rsidR="008A572A" w:rsidRPr="000A6485" w:rsidRDefault="008A572A" w:rsidP="008A572A">
      <w:pPr>
        <w:autoSpaceDE w:val="0"/>
        <w:autoSpaceDN w:val="0"/>
        <w:adjustRightInd w:val="0"/>
        <w:spacing w:before="60" w:after="60"/>
        <w:jc w:val="both"/>
        <w:rPr>
          <w:rFonts w:ascii="Verdana" w:hAnsi="Verdana" w:cs="Verdana"/>
          <w:sz w:val="16"/>
          <w:szCs w:val="16"/>
        </w:rPr>
      </w:pPr>
      <w:r w:rsidRPr="00D44050">
        <w:rPr>
          <w:rFonts w:ascii="Verdana" w:hAnsi="Verdana" w:cs="Verdana"/>
          <w:sz w:val="16"/>
          <w:szCs w:val="16"/>
        </w:rPr>
        <w:t>W dalszym ciągu podejmowane</w:t>
      </w:r>
      <w:r w:rsidRPr="000A6485">
        <w:rPr>
          <w:rFonts w:ascii="Verdana" w:hAnsi="Verdana" w:cs="Verdana"/>
          <w:sz w:val="16"/>
          <w:szCs w:val="16"/>
        </w:rPr>
        <w:t xml:space="preserve"> będą inicjatywy sprzyjające efektywności zarządzania i wydatkowania środków publicznych oraz przejrzystości finansów Miasta z wykorzystaniem nowoczesnych narzędzi zarządzania, </w:t>
      </w:r>
      <w:r>
        <w:rPr>
          <w:rFonts w:ascii="Verdana" w:hAnsi="Verdana" w:cs="Verdana"/>
          <w:sz w:val="16"/>
          <w:szCs w:val="16"/>
        </w:rPr>
        <w:br/>
      </w:r>
      <w:r w:rsidRPr="000A6485">
        <w:rPr>
          <w:rFonts w:ascii="Verdana" w:hAnsi="Verdana" w:cs="Verdana"/>
          <w:sz w:val="16"/>
          <w:szCs w:val="16"/>
        </w:rPr>
        <w:t xml:space="preserve">tj. budżetowania zadaniowego, wzmocnienia kontroli zarządczej i audytu wewnętrznego, z wykorzystaniem mierników oceny efektów działalności stanowiących zobiektywizowane narzędzia pomiaru stopnia realizacji celów zadań, pozwalających na lepsze porównanie uzyskanych wyników w czasie, jak też dokonanie porównań między jednostkami organizacyjnymi Miasta. Ważnym instrumentem w aspekcie kreowania i realizacji polityki rozwoju Miasta pozostanie Wieloletnia Prognoza Finansowa jako podstawa formalno-prawna i ekonomiczno-finansowa </w:t>
      </w:r>
      <w:r w:rsidRPr="000A6485">
        <w:rPr>
          <w:rFonts w:ascii="Verdana" w:hAnsi="Verdana" w:cs="Verdana"/>
          <w:sz w:val="16"/>
          <w:szCs w:val="16"/>
        </w:rPr>
        <w:br/>
        <w:t>do zaciągania zobowiązań długoterminowych.</w:t>
      </w:r>
    </w:p>
    <w:p w:rsidR="008A572A" w:rsidRPr="000A6485" w:rsidRDefault="008A572A" w:rsidP="008A572A">
      <w:pPr>
        <w:autoSpaceDE w:val="0"/>
        <w:autoSpaceDN w:val="0"/>
        <w:adjustRightInd w:val="0"/>
        <w:spacing w:before="60" w:after="60"/>
        <w:jc w:val="both"/>
        <w:rPr>
          <w:rFonts w:ascii="Verdana" w:hAnsi="Verdana" w:cs="Verdana"/>
          <w:sz w:val="16"/>
          <w:szCs w:val="16"/>
        </w:rPr>
      </w:pPr>
      <w:r w:rsidRPr="000A6485">
        <w:rPr>
          <w:rFonts w:ascii="Verdana" w:hAnsi="Verdana" w:cs="Verdana"/>
          <w:sz w:val="16"/>
          <w:szCs w:val="16"/>
        </w:rPr>
        <w:t>Kontynuowane będą działania oszczędnościowe i racjonalizujące wydatki bieżące z wykorzystaniem efektu skali, takie jak: wspólne zakupy materiałów biurowych, wspólne ubezpieczenie mienia Warszawy, jak też działanie Warszawskiej Grupy Zakupowej dotyczące zakupu energii elektrycznej na potrzeby jednostek organizacyjnych Miasta oraz podmiotów, dla których Miasto pełni funkcję właściciela oraz organizatora, tj. szkół, przedszkoli, bibliotek, ośrodków pomocy społecznej i innych.</w:t>
      </w:r>
    </w:p>
    <w:p w:rsidR="008A572A" w:rsidRDefault="008A572A" w:rsidP="008A572A">
      <w:pPr>
        <w:autoSpaceDE w:val="0"/>
        <w:autoSpaceDN w:val="0"/>
        <w:adjustRightInd w:val="0"/>
        <w:spacing w:before="60" w:after="60"/>
        <w:ind w:firstLine="567"/>
        <w:jc w:val="both"/>
        <w:rPr>
          <w:rFonts w:ascii="Verdana" w:hAnsi="Verdana" w:cs="Verdana"/>
          <w:sz w:val="16"/>
          <w:szCs w:val="16"/>
        </w:rPr>
      </w:pPr>
      <w:r w:rsidRPr="000A6485">
        <w:rPr>
          <w:rFonts w:ascii="Verdana" w:hAnsi="Verdana" w:cs="Verdana"/>
          <w:sz w:val="16"/>
          <w:szCs w:val="16"/>
        </w:rPr>
        <w:t xml:space="preserve">Konieczność generowania nadwyżek operacyjnych stanowić będzie wyzwanie dla budżetu </w:t>
      </w:r>
      <w:r w:rsidRPr="000A6485">
        <w:rPr>
          <w:rFonts w:ascii="Verdana" w:hAnsi="Verdana" w:cs="Verdana"/>
          <w:sz w:val="16"/>
          <w:szCs w:val="16"/>
        </w:rPr>
        <w:br/>
        <w:t>m.st. Warszawy w kontekście relatywnie wysokiego udziału w ramach wydatków bieżących wydatków obligatoryjnych określonych ustawami oraz zawartymi umowami. Pełne finansowanie muszą mieć zapewnione m.in. takie wydatki, jak: wpłata do budżetu państwa na subwencję równoważącą, tj. tzw. Janosikowe, koszty zakupu usług komunikacji miejskiej, uposażenia nauczycieli, koszty obsługi długu, środki na potencjalne spłaty udzielonych przez Miasto poręczeń i gwarancji.</w:t>
      </w:r>
      <w:r>
        <w:rPr>
          <w:rFonts w:ascii="Verdana" w:hAnsi="Verdana" w:cs="Verdana"/>
          <w:sz w:val="16"/>
          <w:szCs w:val="16"/>
        </w:rPr>
        <w:br w:type="page"/>
      </w:r>
    </w:p>
    <w:p w:rsidR="008A572A" w:rsidRDefault="008A572A" w:rsidP="008A572A">
      <w:pPr>
        <w:spacing w:before="240" w:after="120"/>
        <w:rPr>
          <w:rFonts w:ascii="Verdana" w:hAnsi="Verdana"/>
          <w:b/>
          <w:bCs/>
          <w:sz w:val="20"/>
          <w:szCs w:val="20"/>
        </w:rPr>
      </w:pPr>
      <w:r w:rsidRPr="000A6485">
        <w:rPr>
          <w:rFonts w:ascii="Verdana" w:hAnsi="Verdana"/>
          <w:b/>
          <w:bCs/>
          <w:sz w:val="20"/>
          <w:szCs w:val="20"/>
        </w:rPr>
        <w:lastRenderedPageBreak/>
        <w:t>5.</w:t>
      </w:r>
      <w:r>
        <w:rPr>
          <w:rFonts w:ascii="Verdana" w:hAnsi="Verdana"/>
          <w:b/>
          <w:bCs/>
          <w:sz w:val="20"/>
          <w:szCs w:val="20"/>
        </w:rPr>
        <w:t>4</w:t>
      </w:r>
      <w:r w:rsidRPr="000A6485">
        <w:rPr>
          <w:rFonts w:ascii="Verdana" w:hAnsi="Verdana"/>
          <w:b/>
          <w:bCs/>
          <w:sz w:val="20"/>
          <w:szCs w:val="20"/>
        </w:rPr>
        <w:t xml:space="preserve"> Program redukcji deficytu budżetowego</w:t>
      </w:r>
    </w:p>
    <w:p w:rsidR="008A572A" w:rsidRPr="00B25A78" w:rsidRDefault="008A572A" w:rsidP="008A572A">
      <w:pPr>
        <w:spacing w:before="60" w:after="60"/>
        <w:ind w:firstLine="567"/>
        <w:jc w:val="both"/>
        <w:rPr>
          <w:rFonts w:ascii="Verdana" w:hAnsi="Verdana"/>
          <w:b/>
          <w:bCs/>
          <w:sz w:val="20"/>
          <w:szCs w:val="20"/>
        </w:rPr>
      </w:pPr>
      <w:r w:rsidRPr="000A6485">
        <w:rPr>
          <w:rFonts w:ascii="Verdana" w:hAnsi="Verdana" w:cs="Verdana"/>
          <w:sz w:val="16"/>
          <w:szCs w:val="16"/>
        </w:rPr>
        <w:t xml:space="preserve">Długofalowym kierunkiem polityki budżetowej będzie </w:t>
      </w:r>
      <w:r w:rsidRPr="000A6485">
        <w:rPr>
          <w:rFonts w:ascii="Verdana" w:hAnsi="Verdana" w:cs="Verdana"/>
          <w:b/>
          <w:sz w:val="16"/>
          <w:szCs w:val="16"/>
        </w:rPr>
        <w:t>stopniowe ograniczanie deficytu budżetowego</w:t>
      </w:r>
      <w:r w:rsidRPr="000A6485">
        <w:rPr>
          <w:rFonts w:ascii="Verdana" w:hAnsi="Verdana" w:cs="Verdana"/>
          <w:sz w:val="16"/>
          <w:szCs w:val="16"/>
        </w:rPr>
        <w:t xml:space="preserve"> z realizacją rozłożoną w czasie, tzn. w tempie i zakresie umożliwiającym maksymalne wykorzystanie środków </w:t>
      </w:r>
      <w:r>
        <w:rPr>
          <w:rFonts w:ascii="Verdana" w:hAnsi="Verdana" w:cs="Verdana"/>
          <w:sz w:val="16"/>
          <w:szCs w:val="16"/>
        </w:rPr>
        <w:br/>
      </w:r>
      <w:r w:rsidRPr="000A6485">
        <w:rPr>
          <w:rFonts w:ascii="Verdana" w:hAnsi="Verdana" w:cs="Verdana"/>
          <w:sz w:val="16"/>
          <w:szCs w:val="16"/>
        </w:rPr>
        <w:t>z budżetu Unii Europejskiej.</w:t>
      </w:r>
    </w:p>
    <w:p w:rsidR="008A572A" w:rsidRPr="000A6485" w:rsidRDefault="008A572A" w:rsidP="008A572A">
      <w:pPr>
        <w:spacing w:before="60" w:after="60"/>
        <w:ind w:firstLine="540"/>
        <w:jc w:val="both"/>
        <w:rPr>
          <w:rFonts w:ascii="Verdana" w:hAnsi="Verdana"/>
          <w:sz w:val="18"/>
          <w:szCs w:val="18"/>
        </w:rPr>
      </w:pPr>
      <w:r w:rsidRPr="000A6485">
        <w:rPr>
          <w:rFonts w:ascii="Verdana" w:hAnsi="Verdana"/>
          <w:sz w:val="16"/>
          <w:szCs w:val="16"/>
        </w:rPr>
        <w:t>Zgodnie z tym programem począwszy od 202</w:t>
      </w:r>
      <w:r>
        <w:rPr>
          <w:rFonts w:ascii="Verdana" w:hAnsi="Verdana"/>
          <w:sz w:val="16"/>
          <w:szCs w:val="16"/>
        </w:rPr>
        <w:t>7</w:t>
      </w:r>
      <w:r w:rsidRPr="000A6485">
        <w:rPr>
          <w:rFonts w:ascii="Verdana" w:hAnsi="Verdana"/>
          <w:sz w:val="16"/>
          <w:szCs w:val="16"/>
        </w:rPr>
        <w:t xml:space="preserve"> r. planowane jest generowanie nadwyżek budżetowych rozumianych jako nadwyżka dochodów nad wydatkami, w związku z planowanymi spłatami zobowiązań dłużnych zaciąganych z przeznaczeniem na finansowanie inwestycji rozwojowych. </w:t>
      </w:r>
    </w:p>
    <w:p w:rsidR="008A572A" w:rsidRPr="000A6485" w:rsidRDefault="008A572A" w:rsidP="008A572A">
      <w:pPr>
        <w:spacing w:before="240" w:after="120" w:line="240" w:lineRule="auto"/>
        <w:rPr>
          <w:rFonts w:ascii="Verdana" w:hAnsi="Verdana"/>
          <w:b/>
          <w:bCs/>
          <w:sz w:val="20"/>
          <w:szCs w:val="20"/>
        </w:rPr>
      </w:pPr>
      <w:r w:rsidRPr="000A6485">
        <w:rPr>
          <w:rFonts w:ascii="Verdana" w:hAnsi="Verdana"/>
          <w:b/>
          <w:bCs/>
          <w:sz w:val="20"/>
          <w:szCs w:val="20"/>
        </w:rPr>
        <w:t>5.</w:t>
      </w:r>
      <w:r>
        <w:rPr>
          <w:rFonts w:ascii="Verdana" w:hAnsi="Verdana"/>
          <w:b/>
          <w:bCs/>
          <w:sz w:val="20"/>
          <w:szCs w:val="20"/>
        </w:rPr>
        <w:t>5</w:t>
      </w:r>
      <w:r w:rsidRPr="000A6485">
        <w:rPr>
          <w:rFonts w:ascii="Verdana" w:hAnsi="Verdana"/>
          <w:b/>
          <w:bCs/>
          <w:sz w:val="20"/>
          <w:szCs w:val="20"/>
        </w:rPr>
        <w:t xml:space="preserve"> Program obniżenia relacji</w:t>
      </w:r>
      <w:r>
        <w:rPr>
          <w:rFonts w:ascii="Verdana" w:hAnsi="Verdana"/>
          <w:b/>
          <w:bCs/>
          <w:sz w:val="20"/>
          <w:szCs w:val="20"/>
        </w:rPr>
        <w:t xml:space="preserve"> długu w stosunku do dochodów </w:t>
      </w:r>
    </w:p>
    <w:p w:rsidR="008A572A" w:rsidRPr="000A6485" w:rsidRDefault="008A572A" w:rsidP="008A572A">
      <w:pPr>
        <w:spacing w:before="120" w:after="120"/>
        <w:ind w:firstLine="567"/>
        <w:jc w:val="both"/>
        <w:rPr>
          <w:rFonts w:ascii="Verdana" w:hAnsi="Verdana"/>
          <w:sz w:val="16"/>
          <w:szCs w:val="16"/>
        </w:rPr>
      </w:pPr>
      <w:r w:rsidRPr="000A6485">
        <w:rPr>
          <w:rFonts w:ascii="Verdana" w:hAnsi="Verdana"/>
          <w:b/>
          <w:sz w:val="16"/>
          <w:szCs w:val="16"/>
        </w:rPr>
        <w:t xml:space="preserve">Zakłada się, iż wykorzystanie dłużnych środków zwrotnych mierzone poziomem zadłużenia </w:t>
      </w:r>
      <w:r w:rsidRPr="000A6485">
        <w:rPr>
          <w:rFonts w:ascii="Verdana" w:hAnsi="Verdana"/>
          <w:b/>
          <w:sz w:val="16"/>
          <w:szCs w:val="16"/>
        </w:rPr>
        <w:br/>
        <w:t>w relacji do dochodów, kształtować się będzie na poziomie nie wyższym niż 5</w:t>
      </w:r>
      <w:r>
        <w:rPr>
          <w:rFonts w:ascii="Verdana" w:hAnsi="Verdana"/>
          <w:b/>
          <w:sz w:val="16"/>
          <w:szCs w:val="16"/>
        </w:rPr>
        <w:t>5</w:t>
      </w:r>
      <w:r w:rsidRPr="000A6485">
        <w:rPr>
          <w:rFonts w:ascii="Verdana" w:hAnsi="Verdana"/>
          <w:b/>
          <w:sz w:val="16"/>
          <w:szCs w:val="16"/>
        </w:rPr>
        <w:t xml:space="preserve">%, tworząc bufor </w:t>
      </w:r>
      <w:r w:rsidRPr="000A6485">
        <w:rPr>
          <w:rFonts w:ascii="Verdana" w:hAnsi="Verdana"/>
          <w:b/>
          <w:sz w:val="16"/>
          <w:szCs w:val="16"/>
        </w:rPr>
        <w:br/>
        <w:t>na ryzyka</w:t>
      </w:r>
      <w:r w:rsidRPr="000A6485">
        <w:rPr>
          <w:rFonts w:ascii="Verdana" w:hAnsi="Verdana"/>
          <w:sz w:val="16"/>
          <w:szCs w:val="16"/>
        </w:rPr>
        <w:t xml:space="preserve"> związane z niepewnością co do kształtowania się przyszłych dochodów oraz na ryzyko zmienności </w:t>
      </w:r>
      <w:r w:rsidRPr="000A6485">
        <w:rPr>
          <w:rFonts w:ascii="Verdana" w:hAnsi="Verdana"/>
          <w:sz w:val="16"/>
          <w:szCs w:val="16"/>
        </w:rPr>
        <w:br/>
        <w:t>na rynkach finansowych, wynikające ze zmian sytuacji w gospodarce światowej.</w:t>
      </w:r>
    </w:p>
    <w:p w:rsidR="008A572A" w:rsidRPr="000A6485" w:rsidRDefault="008A572A" w:rsidP="008A572A">
      <w:pPr>
        <w:spacing w:before="240" w:after="120" w:line="240" w:lineRule="auto"/>
        <w:ind w:left="425" w:hanging="425"/>
        <w:rPr>
          <w:rFonts w:ascii="Verdana" w:hAnsi="Verdana"/>
          <w:b/>
          <w:bCs/>
          <w:sz w:val="20"/>
          <w:szCs w:val="20"/>
        </w:rPr>
      </w:pPr>
      <w:r w:rsidRPr="000A6485">
        <w:rPr>
          <w:rFonts w:ascii="Verdana" w:hAnsi="Verdana"/>
          <w:b/>
          <w:bCs/>
          <w:sz w:val="20"/>
          <w:szCs w:val="20"/>
        </w:rPr>
        <w:t>5.</w:t>
      </w:r>
      <w:r>
        <w:rPr>
          <w:rFonts w:ascii="Verdana" w:hAnsi="Verdana"/>
          <w:b/>
          <w:bCs/>
          <w:sz w:val="20"/>
          <w:szCs w:val="20"/>
        </w:rPr>
        <w:t>6</w:t>
      </w:r>
      <w:r w:rsidRPr="000A6485">
        <w:rPr>
          <w:rFonts w:ascii="Verdana" w:hAnsi="Verdana"/>
          <w:b/>
          <w:bCs/>
          <w:sz w:val="20"/>
          <w:szCs w:val="20"/>
        </w:rPr>
        <w:t xml:space="preserve"> Program optymalizacji poziomu nadwyżek operacyjnych</w:t>
      </w:r>
    </w:p>
    <w:p w:rsidR="008A572A" w:rsidRPr="000A6485" w:rsidRDefault="008A572A" w:rsidP="008A572A">
      <w:pPr>
        <w:autoSpaceDE w:val="0"/>
        <w:autoSpaceDN w:val="0"/>
        <w:adjustRightInd w:val="0"/>
        <w:spacing w:before="60" w:after="60"/>
        <w:ind w:firstLine="567"/>
        <w:jc w:val="both"/>
        <w:rPr>
          <w:rFonts w:ascii="Verdana" w:hAnsi="Verdana"/>
          <w:b/>
          <w:sz w:val="16"/>
          <w:szCs w:val="16"/>
        </w:rPr>
      </w:pPr>
      <w:r w:rsidRPr="000A6485">
        <w:rPr>
          <w:rFonts w:ascii="Verdana" w:hAnsi="Verdana"/>
          <w:sz w:val="16"/>
          <w:szCs w:val="16"/>
        </w:rPr>
        <w:t>Jednym z celów polityki budżetowej będzie</w:t>
      </w:r>
      <w:r w:rsidRPr="000A6485">
        <w:rPr>
          <w:rFonts w:ascii="Verdana" w:hAnsi="Verdana"/>
          <w:b/>
          <w:sz w:val="16"/>
          <w:szCs w:val="16"/>
        </w:rPr>
        <w:t xml:space="preserve"> uzyskiwanie adekwatnych do potrzeb nadwyżek operacyjnych </w:t>
      </w:r>
      <w:r w:rsidRPr="000A6485">
        <w:rPr>
          <w:rFonts w:ascii="Verdana" w:hAnsi="Verdana"/>
          <w:sz w:val="16"/>
          <w:szCs w:val="16"/>
        </w:rPr>
        <w:t>(nadwyżka dochodów bieżących nad wydatkami bieżącymi).</w:t>
      </w:r>
    </w:p>
    <w:p w:rsidR="008A572A" w:rsidRPr="000A6485" w:rsidRDefault="008A572A" w:rsidP="008A572A">
      <w:pPr>
        <w:autoSpaceDE w:val="0"/>
        <w:autoSpaceDN w:val="0"/>
        <w:adjustRightInd w:val="0"/>
        <w:spacing w:before="60" w:after="60"/>
        <w:ind w:firstLine="567"/>
        <w:jc w:val="both"/>
        <w:rPr>
          <w:rFonts w:ascii="Verdana" w:hAnsi="Verdana"/>
          <w:sz w:val="16"/>
          <w:szCs w:val="16"/>
        </w:rPr>
      </w:pPr>
      <w:r w:rsidRPr="000A6485">
        <w:rPr>
          <w:rFonts w:ascii="Verdana" w:hAnsi="Verdana" w:cs="Verdana"/>
          <w:sz w:val="16"/>
          <w:szCs w:val="16"/>
        </w:rPr>
        <w:t xml:space="preserve">Dla utrzymania możliwie wysokiej zdolności kredytowej m.st. Warszawy w perspektywie okresu korzystania ze środków Unii Europejskiej, kluczowy będzie poziom generowanych przez Miasto nadwyżek operacyjnych. Wielkość nadwyżki operacyjnej wpływa na możliwości zaciągania zobowiązań zwrotnych oraz </w:t>
      </w:r>
      <w:r w:rsidRPr="000A6485">
        <w:rPr>
          <w:rFonts w:ascii="Verdana" w:hAnsi="Verdana" w:cs="Verdana"/>
          <w:sz w:val="16"/>
          <w:szCs w:val="16"/>
        </w:rPr>
        <w:br/>
        <w:t xml:space="preserve">na zdolność do finansowania wydatków o charakterze majątkowym. Wysokość nadwyżki operacyjnej jest podstawą do ustalania ustawowego limitu obsługi zadłużenia, który jest określany indywidualnie dla każdej jednostki. </w:t>
      </w:r>
      <w:r w:rsidRPr="000A6485">
        <w:rPr>
          <w:rFonts w:ascii="Verdana" w:hAnsi="Verdana"/>
          <w:sz w:val="16"/>
          <w:szCs w:val="16"/>
        </w:rPr>
        <w:t xml:space="preserve">Ponadto poziom nadwyżki operacyjnej przekłada się pośrednio na </w:t>
      </w:r>
      <w:r w:rsidRPr="000A6485">
        <w:rPr>
          <w:rFonts w:ascii="Verdana" w:hAnsi="Verdana" w:cs="Arial"/>
          <w:sz w:val="16"/>
          <w:szCs w:val="16"/>
        </w:rPr>
        <w:t>poziom wiarygodności kredytowej Miasta.</w:t>
      </w:r>
    </w:p>
    <w:p w:rsidR="008A572A" w:rsidRPr="000A6485" w:rsidRDefault="008A572A" w:rsidP="008A572A">
      <w:pPr>
        <w:spacing w:before="60" w:after="60"/>
        <w:ind w:firstLine="540"/>
        <w:jc w:val="both"/>
        <w:rPr>
          <w:rFonts w:ascii="Verdana" w:hAnsi="Verdana" w:cs="Arial"/>
          <w:sz w:val="16"/>
          <w:szCs w:val="16"/>
        </w:rPr>
      </w:pPr>
      <w:r w:rsidRPr="000A6485">
        <w:rPr>
          <w:rFonts w:ascii="Verdana" w:hAnsi="Verdana"/>
          <w:sz w:val="16"/>
          <w:szCs w:val="16"/>
        </w:rPr>
        <w:t xml:space="preserve">Zarówno na etapie planowania, jak i realizacji budżetu zakłada się zachowanie odpowiednich relacji między dochodami bieżącymi </w:t>
      </w:r>
      <w:r>
        <w:rPr>
          <w:rFonts w:ascii="Verdana" w:hAnsi="Verdana"/>
          <w:sz w:val="16"/>
          <w:szCs w:val="16"/>
        </w:rPr>
        <w:t>a</w:t>
      </w:r>
      <w:r w:rsidRPr="000A6485">
        <w:rPr>
          <w:rFonts w:ascii="Verdana" w:hAnsi="Verdana"/>
          <w:sz w:val="16"/>
          <w:szCs w:val="16"/>
        </w:rPr>
        <w:t xml:space="preserve"> wydatkami bieżącymi, tak by możliwe było </w:t>
      </w:r>
      <w:r w:rsidRPr="000A6485">
        <w:rPr>
          <w:rFonts w:ascii="Verdana" w:hAnsi="Verdana"/>
          <w:bCs/>
          <w:sz w:val="16"/>
          <w:szCs w:val="16"/>
        </w:rPr>
        <w:t>uzyskanie nadwyżki operacyjnej rozumianej jako dodatnia różnica między tymi kategoriami.</w:t>
      </w:r>
      <w:r w:rsidRPr="000A6485">
        <w:rPr>
          <w:rFonts w:ascii="Verdana" w:hAnsi="Verdana"/>
          <w:sz w:val="16"/>
          <w:szCs w:val="16"/>
        </w:rPr>
        <w:t xml:space="preserve"> </w:t>
      </w:r>
    </w:p>
    <w:p w:rsidR="008A572A" w:rsidRDefault="008A572A" w:rsidP="008A572A">
      <w:pPr>
        <w:spacing w:before="60" w:after="60"/>
        <w:ind w:firstLine="540"/>
        <w:jc w:val="both"/>
        <w:rPr>
          <w:rFonts w:ascii="Verdana" w:hAnsi="Verdana" w:cs="Arial"/>
          <w:iCs/>
          <w:sz w:val="16"/>
          <w:szCs w:val="16"/>
        </w:rPr>
      </w:pPr>
      <w:r w:rsidRPr="000A6485">
        <w:rPr>
          <w:rFonts w:ascii="Verdana" w:hAnsi="Verdana" w:cs="Arial"/>
          <w:sz w:val="16"/>
          <w:szCs w:val="16"/>
        </w:rPr>
        <w:t>Zgodnie z W</w:t>
      </w:r>
      <w:r>
        <w:rPr>
          <w:rFonts w:ascii="Verdana" w:hAnsi="Verdana" w:cs="Arial"/>
          <w:sz w:val="16"/>
          <w:szCs w:val="16"/>
        </w:rPr>
        <w:t xml:space="preserve">PF </w:t>
      </w:r>
      <w:r w:rsidRPr="00932633">
        <w:rPr>
          <w:rFonts w:ascii="Verdana" w:eastAsiaTheme="minorEastAsia" w:hAnsi="Verdana" w:cs="Verdana"/>
          <w:color w:val="000000"/>
          <w:sz w:val="16"/>
          <w:szCs w:val="16"/>
        </w:rPr>
        <w:t>2023</w:t>
      </w:r>
      <w:r w:rsidRPr="000A6485">
        <w:rPr>
          <w:rFonts w:ascii="Verdana" w:hAnsi="Verdana" w:cs="Arial"/>
          <w:sz w:val="16"/>
          <w:szCs w:val="16"/>
        </w:rPr>
        <w:t xml:space="preserve">-2050 m.st. Warszawa w każdym z lat spełnia wymogi przepisu art. 242 </w:t>
      </w:r>
      <w:r w:rsidRPr="000A6485">
        <w:rPr>
          <w:rFonts w:ascii="Verdana" w:hAnsi="Verdana"/>
          <w:sz w:val="16"/>
          <w:szCs w:val="16"/>
        </w:rPr>
        <w:t xml:space="preserve">ustawy </w:t>
      </w:r>
      <w:r>
        <w:rPr>
          <w:rFonts w:ascii="Verdana" w:hAnsi="Verdana"/>
          <w:sz w:val="16"/>
          <w:szCs w:val="16"/>
        </w:rPr>
        <w:br/>
      </w:r>
      <w:r>
        <w:rPr>
          <w:rFonts w:ascii="Verdana" w:hAnsi="Verdana" w:cs="Arial"/>
          <w:iCs/>
          <w:sz w:val="16"/>
          <w:szCs w:val="16"/>
        </w:rPr>
        <w:t xml:space="preserve">o finansach publicznych. W latach 2023-2024 planuje się wygenerowanie deficytu operacyjnego ze źródłem pokrycia z punktu widzenia reguły art. 242 w zaplanowanych na 2023 r. środkach pochodzących z tzw. wolnych środków i </w:t>
      </w:r>
      <w:r>
        <w:rPr>
          <w:rFonts w:ascii="Verdana" w:hAnsi="Verdana" w:cs="Verdana"/>
          <w:color w:val="000000"/>
          <w:sz w:val="16"/>
          <w:szCs w:val="16"/>
        </w:rPr>
        <w:t>przelewów z rachunków lokat</w:t>
      </w:r>
      <w:r>
        <w:rPr>
          <w:rFonts w:ascii="Verdana" w:hAnsi="Verdana" w:cs="Arial"/>
          <w:iCs/>
          <w:sz w:val="16"/>
          <w:szCs w:val="16"/>
        </w:rPr>
        <w:t xml:space="preserve"> oraz </w:t>
      </w:r>
      <w:r w:rsidRPr="00F32C38">
        <w:rPr>
          <w:rFonts w:ascii="Verdana" w:hAnsi="Verdana"/>
          <w:sz w:val="16"/>
          <w:szCs w:val="16"/>
        </w:rPr>
        <w:t>z niewykorzystanych środków pieniężnych na rachunku bieżącym budżetu, wynikających z rozliczenia dochodów i wydatków nimi finansowanych związanych ze szczególnymi zasadami wykonywania budżetu określonymi w odrębnych ustawach</w:t>
      </w:r>
      <w:r>
        <w:rPr>
          <w:rFonts w:ascii="Verdana" w:hAnsi="Verdana"/>
          <w:sz w:val="16"/>
          <w:szCs w:val="16"/>
        </w:rPr>
        <w:t xml:space="preserve"> (zgodnie z obowiązującymi przepisami badanie spełnienia reguły art. 242 prowadzone jest łącznie dla lat 2022-2025). Natomiast</w:t>
      </w:r>
      <w:r>
        <w:rPr>
          <w:rFonts w:ascii="Verdana" w:hAnsi="Verdana" w:cs="Arial"/>
          <w:iCs/>
          <w:sz w:val="16"/>
          <w:szCs w:val="16"/>
        </w:rPr>
        <w:t xml:space="preserve"> począwszy od 2025 r. prognozuje</w:t>
      </w:r>
      <w:r w:rsidRPr="000A6485">
        <w:rPr>
          <w:rFonts w:ascii="Verdana" w:hAnsi="Verdana" w:cs="Arial"/>
          <w:iCs/>
          <w:sz w:val="16"/>
          <w:szCs w:val="16"/>
        </w:rPr>
        <w:t xml:space="preserve"> się uzyskiwanie corocznych nadwyżek operacyjnych (zakładane wydatki bieżące są niższe niż prognozowane dochody bieżące).</w:t>
      </w:r>
    </w:p>
    <w:p w:rsidR="008A572A" w:rsidRPr="000A6485" w:rsidRDefault="008A572A" w:rsidP="008A572A">
      <w:pPr>
        <w:spacing w:before="240" w:after="120"/>
        <w:rPr>
          <w:rFonts w:ascii="Verdana" w:hAnsi="Verdana"/>
          <w:b/>
          <w:bCs/>
          <w:sz w:val="20"/>
          <w:szCs w:val="20"/>
        </w:rPr>
      </w:pPr>
      <w:r w:rsidRPr="000A6485">
        <w:rPr>
          <w:rFonts w:ascii="Verdana" w:hAnsi="Verdana"/>
          <w:b/>
          <w:bCs/>
          <w:sz w:val="20"/>
          <w:szCs w:val="20"/>
        </w:rPr>
        <w:t>5.</w:t>
      </w:r>
      <w:r>
        <w:rPr>
          <w:rFonts w:ascii="Verdana" w:hAnsi="Verdana"/>
          <w:b/>
          <w:bCs/>
          <w:sz w:val="20"/>
          <w:szCs w:val="20"/>
        </w:rPr>
        <w:t>7</w:t>
      </w:r>
      <w:r w:rsidRPr="000A6485">
        <w:rPr>
          <w:rFonts w:ascii="Verdana" w:hAnsi="Verdana"/>
          <w:b/>
          <w:bCs/>
          <w:sz w:val="20"/>
          <w:szCs w:val="20"/>
        </w:rPr>
        <w:t xml:space="preserve"> Program inwestycyjny</w:t>
      </w:r>
    </w:p>
    <w:p w:rsidR="008A572A" w:rsidRDefault="008A572A" w:rsidP="008A572A">
      <w:pPr>
        <w:spacing w:before="60" w:after="60"/>
        <w:ind w:firstLine="567"/>
        <w:jc w:val="both"/>
        <w:rPr>
          <w:rFonts w:ascii="Verdana" w:hAnsi="Verdana"/>
          <w:bCs/>
          <w:sz w:val="16"/>
          <w:szCs w:val="16"/>
        </w:rPr>
      </w:pPr>
      <w:r w:rsidRPr="000A6485">
        <w:rPr>
          <w:rFonts w:ascii="Verdana" w:hAnsi="Verdana"/>
          <w:sz w:val="16"/>
          <w:szCs w:val="16"/>
        </w:rPr>
        <w:t xml:space="preserve">Łącznie w </w:t>
      </w:r>
      <w:r>
        <w:rPr>
          <w:rFonts w:ascii="Verdana" w:hAnsi="Verdana"/>
          <w:sz w:val="16"/>
          <w:szCs w:val="16"/>
        </w:rPr>
        <w:t xml:space="preserve">perspektywie </w:t>
      </w:r>
      <w:r w:rsidRPr="000A6485">
        <w:rPr>
          <w:rFonts w:ascii="Verdana" w:hAnsi="Verdana" w:cs="Arial"/>
          <w:sz w:val="16"/>
          <w:szCs w:val="16"/>
        </w:rPr>
        <w:t>W</w:t>
      </w:r>
      <w:r>
        <w:rPr>
          <w:rFonts w:ascii="Verdana" w:hAnsi="Verdana" w:cs="Arial"/>
          <w:sz w:val="16"/>
          <w:szCs w:val="16"/>
        </w:rPr>
        <w:t xml:space="preserve">PF </w:t>
      </w:r>
      <w:r w:rsidRPr="00932633">
        <w:rPr>
          <w:rFonts w:ascii="Verdana" w:eastAsiaTheme="minorEastAsia" w:hAnsi="Verdana" w:cs="Verdana"/>
          <w:color w:val="000000"/>
          <w:sz w:val="16"/>
          <w:szCs w:val="16"/>
        </w:rPr>
        <w:t>2023</w:t>
      </w:r>
      <w:r w:rsidRPr="000A6485">
        <w:rPr>
          <w:rFonts w:ascii="Verdana" w:hAnsi="Verdana" w:cs="Arial"/>
          <w:sz w:val="16"/>
          <w:szCs w:val="16"/>
        </w:rPr>
        <w:t>-2050</w:t>
      </w:r>
      <w:r w:rsidRPr="000A6485">
        <w:rPr>
          <w:rFonts w:ascii="Verdana" w:hAnsi="Verdana"/>
          <w:sz w:val="16"/>
          <w:szCs w:val="16"/>
        </w:rPr>
        <w:t xml:space="preserve"> na wydatki </w:t>
      </w:r>
      <w:r>
        <w:rPr>
          <w:rFonts w:ascii="Verdana" w:hAnsi="Verdana"/>
          <w:sz w:val="16"/>
          <w:szCs w:val="16"/>
        </w:rPr>
        <w:t>majątkowe</w:t>
      </w:r>
      <w:r w:rsidRPr="000A6485">
        <w:rPr>
          <w:rFonts w:ascii="Verdana" w:hAnsi="Verdana"/>
          <w:sz w:val="16"/>
          <w:szCs w:val="16"/>
        </w:rPr>
        <w:t xml:space="preserve"> </w:t>
      </w:r>
      <w:r>
        <w:rPr>
          <w:rFonts w:ascii="Verdana" w:hAnsi="Verdana"/>
          <w:sz w:val="16"/>
          <w:szCs w:val="16"/>
        </w:rPr>
        <w:t xml:space="preserve">przeznaczona została kwota </w:t>
      </w:r>
      <w:r w:rsidRPr="00286274">
        <w:rPr>
          <w:rFonts w:ascii="Verdana" w:hAnsi="Verdana"/>
          <w:b/>
          <w:sz w:val="16"/>
          <w:szCs w:val="16"/>
        </w:rPr>
        <w:t>8</w:t>
      </w:r>
      <w:r>
        <w:rPr>
          <w:rFonts w:ascii="Verdana" w:hAnsi="Verdana"/>
          <w:b/>
          <w:sz w:val="16"/>
          <w:szCs w:val="16"/>
        </w:rPr>
        <w:t>2</w:t>
      </w:r>
      <w:r w:rsidRPr="00286274">
        <w:rPr>
          <w:rFonts w:ascii="Verdana" w:hAnsi="Verdana"/>
          <w:b/>
          <w:sz w:val="16"/>
          <w:szCs w:val="16"/>
        </w:rPr>
        <w:t>,8</w:t>
      </w:r>
      <w:r w:rsidRPr="000A6485">
        <w:rPr>
          <w:rFonts w:ascii="Verdana" w:hAnsi="Verdana"/>
          <w:b/>
          <w:sz w:val="16"/>
          <w:szCs w:val="16"/>
        </w:rPr>
        <w:t xml:space="preserve"> mld zł</w:t>
      </w:r>
      <w:r>
        <w:rPr>
          <w:rFonts w:ascii="Verdana" w:hAnsi="Verdana"/>
          <w:b/>
          <w:sz w:val="16"/>
          <w:szCs w:val="16"/>
        </w:rPr>
        <w:t>.</w:t>
      </w:r>
      <w:r w:rsidRPr="000A6485">
        <w:rPr>
          <w:rFonts w:ascii="Verdana" w:hAnsi="Verdana"/>
          <w:sz w:val="16"/>
          <w:szCs w:val="16"/>
        </w:rPr>
        <w:t xml:space="preserve"> </w:t>
      </w:r>
      <w:r>
        <w:rPr>
          <w:rFonts w:ascii="Verdana" w:hAnsi="Verdana"/>
          <w:sz w:val="16"/>
          <w:szCs w:val="16"/>
        </w:rPr>
        <w:t>W</w:t>
      </w:r>
      <w:r w:rsidRPr="000A6485">
        <w:rPr>
          <w:rFonts w:ascii="Verdana" w:hAnsi="Verdana"/>
          <w:sz w:val="16"/>
          <w:szCs w:val="16"/>
        </w:rPr>
        <w:t xml:space="preserve"> okresie </w:t>
      </w:r>
      <w:r w:rsidRPr="00932633">
        <w:rPr>
          <w:rFonts w:ascii="Verdana" w:eastAsiaTheme="minorEastAsia" w:hAnsi="Verdana" w:cs="Verdana"/>
          <w:color w:val="000000"/>
          <w:sz w:val="16"/>
          <w:szCs w:val="16"/>
        </w:rPr>
        <w:t>2023</w:t>
      </w:r>
      <w:r>
        <w:rPr>
          <w:rFonts w:ascii="Verdana" w:hAnsi="Verdana"/>
          <w:sz w:val="16"/>
          <w:szCs w:val="16"/>
        </w:rPr>
        <w:t>-2030 n</w:t>
      </w:r>
      <w:r w:rsidRPr="000A6485">
        <w:rPr>
          <w:rFonts w:ascii="Verdana" w:hAnsi="Verdana"/>
          <w:sz w:val="16"/>
          <w:szCs w:val="16"/>
        </w:rPr>
        <w:t xml:space="preserve">a konkretne </w:t>
      </w:r>
      <w:r>
        <w:rPr>
          <w:rFonts w:ascii="Verdana" w:hAnsi="Verdana"/>
          <w:sz w:val="16"/>
          <w:szCs w:val="16"/>
        </w:rPr>
        <w:t xml:space="preserve">programy lub </w:t>
      </w:r>
      <w:r w:rsidRPr="000A6485">
        <w:rPr>
          <w:rFonts w:ascii="Verdana" w:hAnsi="Verdana"/>
          <w:sz w:val="16"/>
          <w:szCs w:val="16"/>
        </w:rPr>
        <w:t xml:space="preserve">projekty inwestycyjne już realizowane lub zaplanowane do realizacji rozdysponowano środki w wysokości </w:t>
      </w:r>
      <w:r>
        <w:rPr>
          <w:rFonts w:ascii="Verdana" w:hAnsi="Verdana"/>
          <w:b/>
          <w:sz w:val="16"/>
          <w:szCs w:val="16"/>
        </w:rPr>
        <w:t>15,3</w:t>
      </w:r>
      <w:r w:rsidRPr="000A6485">
        <w:rPr>
          <w:rFonts w:ascii="Verdana" w:hAnsi="Verdana"/>
          <w:b/>
          <w:sz w:val="16"/>
          <w:szCs w:val="16"/>
        </w:rPr>
        <w:t xml:space="preserve"> mld zł</w:t>
      </w:r>
      <w:r>
        <w:rPr>
          <w:rFonts w:ascii="Verdana" w:hAnsi="Verdana"/>
          <w:sz w:val="16"/>
          <w:szCs w:val="16"/>
        </w:rPr>
        <w:t xml:space="preserve">, w tym </w:t>
      </w:r>
      <w:r>
        <w:rPr>
          <w:rFonts w:ascii="Verdana" w:hAnsi="Verdana"/>
          <w:b/>
          <w:sz w:val="16"/>
          <w:szCs w:val="16"/>
        </w:rPr>
        <w:t>786,3 mln</w:t>
      </w:r>
      <w:r w:rsidRPr="00B424DD">
        <w:rPr>
          <w:rFonts w:ascii="Verdana" w:hAnsi="Verdana"/>
          <w:b/>
          <w:sz w:val="16"/>
          <w:szCs w:val="16"/>
        </w:rPr>
        <w:t xml:space="preserve"> zł</w:t>
      </w:r>
      <w:r>
        <w:rPr>
          <w:rFonts w:ascii="Verdana" w:hAnsi="Verdana"/>
          <w:sz w:val="16"/>
          <w:szCs w:val="16"/>
        </w:rPr>
        <w:t xml:space="preserve"> </w:t>
      </w:r>
      <w:r w:rsidRPr="000A6485">
        <w:rPr>
          <w:rFonts w:ascii="Verdana" w:hAnsi="Verdana"/>
          <w:sz w:val="16"/>
          <w:szCs w:val="16"/>
        </w:rPr>
        <w:t xml:space="preserve">na projekty finansowane </w:t>
      </w:r>
      <w:r>
        <w:rPr>
          <w:rFonts w:ascii="Verdana" w:hAnsi="Verdana"/>
          <w:sz w:val="16"/>
          <w:szCs w:val="16"/>
        </w:rPr>
        <w:br/>
      </w:r>
      <w:r w:rsidRPr="000A6485">
        <w:rPr>
          <w:rFonts w:ascii="Verdana" w:hAnsi="Verdana"/>
          <w:sz w:val="16"/>
          <w:szCs w:val="16"/>
        </w:rPr>
        <w:t>z udziałem środków unijnych</w:t>
      </w:r>
      <w:r w:rsidRPr="000A6485">
        <w:rPr>
          <w:rFonts w:ascii="Verdana" w:hAnsi="Verdana"/>
          <w:bCs/>
          <w:sz w:val="16"/>
          <w:szCs w:val="16"/>
        </w:rPr>
        <w:t>.</w:t>
      </w:r>
      <w:r>
        <w:rPr>
          <w:rFonts w:ascii="Verdana" w:hAnsi="Verdana"/>
          <w:bCs/>
          <w:sz w:val="16"/>
          <w:szCs w:val="16"/>
        </w:rPr>
        <w:br w:type="page"/>
      </w:r>
    </w:p>
    <w:p w:rsidR="008A572A" w:rsidRPr="000A6485" w:rsidRDefault="008A572A" w:rsidP="008A572A">
      <w:pPr>
        <w:spacing w:before="240" w:after="240" w:line="240" w:lineRule="auto"/>
        <w:ind w:left="425" w:hanging="425"/>
        <w:rPr>
          <w:rFonts w:ascii="Verdana" w:hAnsi="Verdana"/>
          <w:b/>
          <w:bCs/>
          <w:sz w:val="20"/>
          <w:szCs w:val="20"/>
        </w:rPr>
      </w:pPr>
      <w:r w:rsidRPr="000A6485">
        <w:rPr>
          <w:rFonts w:ascii="Verdana" w:hAnsi="Verdana"/>
          <w:b/>
          <w:bCs/>
          <w:sz w:val="20"/>
          <w:szCs w:val="20"/>
        </w:rPr>
        <w:lastRenderedPageBreak/>
        <w:t>5.</w:t>
      </w:r>
      <w:r>
        <w:rPr>
          <w:rFonts w:ascii="Verdana" w:hAnsi="Verdana"/>
          <w:b/>
          <w:bCs/>
          <w:sz w:val="20"/>
          <w:szCs w:val="20"/>
        </w:rPr>
        <w:t>8</w:t>
      </w:r>
      <w:r w:rsidRPr="000A6485">
        <w:rPr>
          <w:rFonts w:ascii="Verdana" w:hAnsi="Verdana"/>
          <w:b/>
          <w:bCs/>
          <w:sz w:val="20"/>
          <w:szCs w:val="20"/>
        </w:rPr>
        <w:t xml:space="preserve">  Program optymalizacji zależnych lub częściowo zależnych </w:t>
      </w:r>
      <w:r w:rsidRPr="000A6485">
        <w:rPr>
          <w:rFonts w:ascii="Verdana" w:hAnsi="Verdana"/>
          <w:b/>
          <w:bCs/>
          <w:sz w:val="20"/>
          <w:szCs w:val="20"/>
        </w:rPr>
        <w:br/>
        <w:t xml:space="preserve"> od m.st. Warszawy czynników kształtujących dochody podatkowe </w:t>
      </w:r>
      <w:r w:rsidRPr="000A6485">
        <w:rPr>
          <w:rFonts w:ascii="Verdana" w:hAnsi="Verdana"/>
          <w:b/>
          <w:bCs/>
          <w:sz w:val="20"/>
          <w:szCs w:val="20"/>
        </w:rPr>
        <w:br/>
        <w:t xml:space="preserve"> i niepodatkowe</w:t>
      </w:r>
    </w:p>
    <w:p w:rsidR="008A572A" w:rsidRPr="000A6485" w:rsidRDefault="008A572A" w:rsidP="008A572A">
      <w:pPr>
        <w:spacing w:before="60" w:after="60"/>
        <w:ind w:firstLine="539"/>
        <w:jc w:val="both"/>
        <w:rPr>
          <w:rFonts w:ascii="Verdana" w:hAnsi="Verdana"/>
          <w:sz w:val="16"/>
          <w:szCs w:val="16"/>
        </w:rPr>
      </w:pPr>
      <w:r w:rsidRPr="000A6485">
        <w:rPr>
          <w:rFonts w:ascii="Verdana" w:hAnsi="Verdana"/>
          <w:sz w:val="16"/>
          <w:szCs w:val="16"/>
        </w:rPr>
        <w:t xml:space="preserve">Ważnym aspektem polityki budżetowej m.st. Warszawy w </w:t>
      </w:r>
      <w:r w:rsidRPr="00932633">
        <w:rPr>
          <w:rFonts w:ascii="Verdana" w:eastAsiaTheme="minorEastAsia" w:hAnsi="Verdana" w:cs="Verdana"/>
          <w:color w:val="000000"/>
          <w:sz w:val="16"/>
          <w:szCs w:val="16"/>
        </w:rPr>
        <w:t>2023</w:t>
      </w:r>
      <w:r w:rsidRPr="000A6485">
        <w:rPr>
          <w:rFonts w:ascii="Verdana" w:hAnsi="Verdana"/>
          <w:sz w:val="16"/>
          <w:szCs w:val="16"/>
        </w:rPr>
        <w:t xml:space="preserve"> r. i w następnych latach będzie kontynuacja </w:t>
      </w:r>
      <w:r w:rsidRPr="000A6485">
        <w:rPr>
          <w:rFonts w:ascii="Verdana" w:hAnsi="Verdana"/>
          <w:b/>
          <w:bCs/>
          <w:sz w:val="16"/>
          <w:szCs w:val="16"/>
        </w:rPr>
        <w:t>procesu optymalizacji zależnych lub częściowo zależnych od Miasta czynników kształtujących dochody niepodatkowe i podatkowe</w:t>
      </w:r>
      <w:r w:rsidRPr="000A6485">
        <w:rPr>
          <w:rFonts w:ascii="Verdana" w:hAnsi="Verdana"/>
          <w:sz w:val="16"/>
          <w:szCs w:val="16"/>
        </w:rPr>
        <w:t xml:space="preserve"> oraz poszukiwanie możliwości zwiększania aktualnych źródeł dochodów przy wykorzystaniu sposobności, jakie dają przepisy, w tym regulacje zawarte w ustawie </w:t>
      </w:r>
      <w:r w:rsidRPr="000A6485">
        <w:rPr>
          <w:rFonts w:ascii="Verdana" w:hAnsi="Verdana"/>
          <w:sz w:val="16"/>
          <w:szCs w:val="16"/>
        </w:rPr>
        <w:br/>
        <w:t xml:space="preserve">o dochodach jednostek samorządu terytorialnego. Istotne będzie także poszukiwanie i wykorzystywanie alternatywnych sposobów realizacji zadań publicznych, np. w formie partnerstwa </w:t>
      </w:r>
      <w:proofErr w:type="spellStart"/>
      <w:r w:rsidRPr="000A6485">
        <w:rPr>
          <w:rFonts w:ascii="Verdana" w:hAnsi="Verdana"/>
          <w:sz w:val="16"/>
          <w:szCs w:val="16"/>
        </w:rPr>
        <w:t>publiczno</w:t>
      </w:r>
      <w:proofErr w:type="spellEnd"/>
      <w:r w:rsidRPr="000A6485">
        <w:rPr>
          <w:rFonts w:ascii="Verdana" w:hAnsi="Verdana"/>
          <w:sz w:val="16"/>
          <w:szCs w:val="16"/>
        </w:rPr>
        <w:t>–prywatnego.</w:t>
      </w:r>
    </w:p>
    <w:p w:rsidR="008A572A" w:rsidRPr="000A6485" w:rsidRDefault="008A572A" w:rsidP="008A572A">
      <w:pPr>
        <w:autoSpaceDE w:val="0"/>
        <w:autoSpaceDN w:val="0"/>
        <w:adjustRightInd w:val="0"/>
        <w:spacing w:before="60" w:after="60"/>
        <w:ind w:firstLine="567"/>
        <w:jc w:val="both"/>
        <w:rPr>
          <w:rFonts w:ascii="Verdana" w:hAnsi="Verdana" w:cs="Verdana"/>
          <w:sz w:val="16"/>
          <w:szCs w:val="16"/>
        </w:rPr>
      </w:pPr>
      <w:r w:rsidRPr="000A6485">
        <w:rPr>
          <w:rFonts w:ascii="Verdana" w:hAnsi="Verdana" w:cs="Verdana"/>
          <w:sz w:val="16"/>
          <w:szCs w:val="16"/>
        </w:rPr>
        <w:t xml:space="preserve">Rozwijane będą mechanizmy zachęt dla mieszkańców do rozliczania podatków w Warszawie </w:t>
      </w:r>
      <w:r w:rsidRPr="000A6485">
        <w:rPr>
          <w:rFonts w:ascii="Verdana" w:hAnsi="Verdana" w:cs="Verdana"/>
          <w:sz w:val="16"/>
          <w:szCs w:val="16"/>
        </w:rPr>
        <w:br/>
        <w:t xml:space="preserve">z wykorzystaniem udogodnień dotyczących Karty Warszawiaka i Karty Młodego Warszawiaka zakładających też preferencje dla rodzin, w tym dla rodzin wielodzietnych. Dzięki Karcie Warszawiaka i Karcie Młodego Warszawiaka, osoby mieszkające i rozliczające podatek dochodowy PIT w Warszawie mogą korzystać z oferty ulg, zniżek </w:t>
      </w:r>
      <w:r w:rsidRPr="000A6485">
        <w:rPr>
          <w:rFonts w:ascii="Verdana" w:hAnsi="Verdana" w:cs="Verdana"/>
          <w:sz w:val="16"/>
          <w:szCs w:val="16"/>
        </w:rPr>
        <w:br/>
        <w:t>i preferencji w stołecznym transporcie, kulturze, sporcie i rekreacji, oświacie, usługach zdrowotnych. Przewidywany jest dalszy rozwój ww. instrumentów w kierunku poszerzania zakresu ulg i zniżek oraz zwiększania liczby podmiotów honorujących Karty Warszawiaka i Karty Młodego Warszawiaka.</w:t>
      </w:r>
    </w:p>
    <w:p w:rsidR="008A572A" w:rsidRDefault="008A572A" w:rsidP="008A572A">
      <w:pPr>
        <w:autoSpaceDE w:val="0"/>
        <w:autoSpaceDN w:val="0"/>
        <w:adjustRightInd w:val="0"/>
        <w:spacing w:before="60" w:after="60"/>
        <w:ind w:firstLine="567"/>
        <w:jc w:val="both"/>
        <w:rPr>
          <w:rFonts w:ascii="Verdana" w:hAnsi="Verdana" w:cs="Verdana"/>
          <w:sz w:val="16"/>
          <w:szCs w:val="16"/>
        </w:rPr>
      </w:pPr>
      <w:r>
        <w:rPr>
          <w:rFonts w:ascii="Verdana" w:hAnsi="Verdana" w:cs="Verdana"/>
          <w:sz w:val="16"/>
          <w:szCs w:val="16"/>
        </w:rPr>
        <w:t>Zakłada</w:t>
      </w:r>
      <w:r w:rsidRPr="000A6485">
        <w:rPr>
          <w:rFonts w:ascii="Verdana" w:hAnsi="Verdana" w:cs="Verdana"/>
          <w:sz w:val="16"/>
          <w:szCs w:val="16"/>
        </w:rPr>
        <w:t xml:space="preserve"> się wykorzystywanie nowych rozwiązań w obszarze aktywności obywatelskiej mieszkańców Warszawy, mając na celu włączenie społeczności lokalnych w proces współdecydowania o sprawach Miasta przy wykorzystaniu doświadczeń i wzorców z kraju i ze świata. Działania Miasta w tym kierunku sprzyjają wzmacnianiu potencjału rozwojowego Warszawy poprzez budowanie kapitału społecznego i wspólnot lokalnych.</w:t>
      </w:r>
    </w:p>
    <w:p w:rsidR="008A572A" w:rsidRPr="000A6485" w:rsidRDefault="008A572A" w:rsidP="008A572A">
      <w:pPr>
        <w:spacing w:before="240" w:after="240"/>
        <w:ind w:left="567" w:hanging="567"/>
        <w:rPr>
          <w:rFonts w:ascii="Verdana" w:hAnsi="Verdana"/>
          <w:b/>
          <w:bCs/>
          <w:sz w:val="20"/>
          <w:szCs w:val="20"/>
        </w:rPr>
      </w:pPr>
      <w:r w:rsidRPr="000A6485">
        <w:rPr>
          <w:rFonts w:ascii="Verdana" w:hAnsi="Verdana"/>
          <w:b/>
          <w:bCs/>
          <w:sz w:val="20"/>
          <w:szCs w:val="20"/>
        </w:rPr>
        <w:t>5.</w:t>
      </w:r>
      <w:r>
        <w:rPr>
          <w:rFonts w:ascii="Verdana" w:hAnsi="Verdana"/>
          <w:b/>
          <w:bCs/>
          <w:sz w:val="20"/>
          <w:szCs w:val="20"/>
        </w:rPr>
        <w:t>9</w:t>
      </w:r>
      <w:r w:rsidRPr="000A6485">
        <w:rPr>
          <w:rFonts w:ascii="Verdana" w:hAnsi="Verdana"/>
          <w:b/>
          <w:bCs/>
          <w:sz w:val="20"/>
          <w:szCs w:val="20"/>
        </w:rPr>
        <w:t xml:space="preserve"> Program rozwoju budżetu zadaniowego</w:t>
      </w:r>
    </w:p>
    <w:p w:rsidR="008A572A" w:rsidRDefault="008A572A" w:rsidP="008A572A">
      <w:pPr>
        <w:spacing w:before="60" w:after="60"/>
        <w:ind w:firstLine="539"/>
        <w:jc w:val="both"/>
        <w:rPr>
          <w:rFonts w:ascii="Verdana" w:hAnsi="Verdana" w:cs="Arial"/>
          <w:sz w:val="16"/>
          <w:szCs w:val="16"/>
        </w:rPr>
      </w:pPr>
      <w:r w:rsidRPr="000A6485">
        <w:rPr>
          <w:rFonts w:ascii="Verdana" w:hAnsi="Verdana" w:cs="Arial"/>
          <w:b/>
          <w:sz w:val="16"/>
          <w:szCs w:val="16"/>
        </w:rPr>
        <w:t xml:space="preserve">Istotnym elementem działań podejmowanych w kierunku wzrostu efektywności wydatkowanych środków, będzie dalszy </w:t>
      </w:r>
      <w:r w:rsidRPr="000A6485">
        <w:rPr>
          <w:rFonts w:ascii="Verdana" w:hAnsi="Verdana" w:cs="Arial"/>
          <w:b/>
          <w:bCs/>
          <w:sz w:val="16"/>
          <w:szCs w:val="16"/>
        </w:rPr>
        <w:t>rozwój</w:t>
      </w:r>
      <w:r w:rsidRPr="000A6485">
        <w:rPr>
          <w:rFonts w:ascii="Verdana" w:hAnsi="Verdana" w:cs="Arial"/>
          <w:b/>
          <w:sz w:val="16"/>
          <w:szCs w:val="16"/>
        </w:rPr>
        <w:t xml:space="preserve"> </w:t>
      </w:r>
      <w:r w:rsidRPr="000A6485">
        <w:rPr>
          <w:rFonts w:ascii="Verdana" w:hAnsi="Verdana" w:cs="Arial"/>
          <w:b/>
          <w:bCs/>
          <w:sz w:val="16"/>
          <w:szCs w:val="16"/>
        </w:rPr>
        <w:t>budżetowania zadaniowego</w:t>
      </w:r>
      <w:r w:rsidRPr="000A6485">
        <w:rPr>
          <w:rFonts w:ascii="Verdana" w:hAnsi="Verdana" w:cs="Arial"/>
          <w:b/>
          <w:sz w:val="16"/>
          <w:szCs w:val="16"/>
        </w:rPr>
        <w:t xml:space="preserve">, polepszający wykorzystanie mierników oceny efektów działalności, stanowiących obiektywne i wiarygodne narzędzie pomiaru stopnia realizacji celów i zadań. </w:t>
      </w:r>
      <w:r w:rsidRPr="000A6485">
        <w:rPr>
          <w:rFonts w:ascii="Verdana" w:hAnsi="Verdana" w:cs="Arial"/>
          <w:sz w:val="16"/>
          <w:szCs w:val="16"/>
        </w:rPr>
        <w:t>Porównywanie wyników w czasie, jak też konfrontowanie wyników między jednostkami organizacyjnymi Miasta, stanowi pomocne narzędzie optymalizacji wydatków.</w:t>
      </w:r>
    </w:p>
    <w:p w:rsidR="008A572A" w:rsidRPr="000A6485" w:rsidRDefault="008A572A" w:rsidP="008A572A">
      <w:pPr>
        <w:spacing w:before="240" w:after="120" w:line="240" w:lineRule="auto"/>
        <w:ind w:left="284" w:hanging="284"/>
        <w:rPr>
          <w:rFonts w:ascii="Verdana" w:hAnsi="Verdana"/>
          <w:b/>
          <w:bCs/>
        </w:rPr>
      </w:pPr>
      <w:r w:rsidRPr="000A6485">
        <w:rPr>
          <w:rFonts w:ascii="Verdana" w:hAnsi="Verdana"/>
          <w:b/>
          <w:bCs/>
        </w:rPr>
        <w:t xml:space="preserve">6. </w:t>
      </w:r>
      <w:r w:rsidRPr="000A6485">
        <w:rPr>
          <w:rFonts w:ascii="Verdana" w:hAnsi="Verdana"/>
          <w:b/>
          <w:bCs/>
          <w:sz w:val="22"/>
          <w:szCs w:val="22"/>
        </w:rPr>
        <w:t xml:space="preserve">Etapy przygotowania Wieloletniej Prognozy Finansowej </w:t>
      </w:r>
      <w:r w:rsidRPr="000A6485">
        <w:rPr>
          <w:rFonts w:ascii="Verdana" w:hAnsi="Verdana"/>
          <w:b/>
          <w:bCs/>
          <w:sz w:val="22"/>
          <w:szCs w:val="22"/>
        </w:rPr>
        <w:br/>
        <w:t xml:space="preserve"> m.st. Warszawy</w:t>
      </w:r>
      <w:r w:rsidRPr="000A6485">
        <w:rPr>
          <w:rFonts w:ascii="Verdana" w:hAnsi="Verdana"/>
          <w:b/>
          <w:bCs/>
        </w:rPr>
        <w:t xml:space="preserve"> </w:t>
      </w:r>
    </w:p>
    <w:p w:rsidR="008A572A" w:rsidRPr="000A6485" w:rsidRDefault="008A572A" w:rsidP="008A572A">
      <w:pPr>
        <w:spacing w:before="240" w:after="120"/>
        <w:rPr>
          <w:rFonts w:ascii="Verdana" w:hAnsi="Verdana"/>
          <w:b/>
          <w:bCs/>
          <w:sz w:val="20"/>
          <w:szCs w:val="20"/>
        </w:rPr>
      </w:pPr>
      <w:r w:rsidRPr="000A6485">
        <w:rPr>
          <w:rFonts w:ascii="Verdana" w:hAnsi="Verdana"/>
          <w:b/>
          <w:bCs/>
          <w:sz w:val="20"/>
          <w:szCs w:val="20"/>
        </w:rPr>
        <w:t>6.1 Koncepcja Wieloletniej Prognozy Finansowej m.st. Warszawy</w:t>
      </w:r>
    </w:p>
    <w:p w:rsidR="008A572A" w:rsidRPr="000A6485" w:rsidRDefault="008A572A" w:rsidP="008A572A">
      <w:pPr>
        <w:spacing w:before="40" w:after="40"/>
        <w:ind w:firstLine="540"/>
        <w:jc w:val="both"/>
        <w:rPr>
          <w:rFonts w:ascii="Verdana" w:hAnsi="Verdana"/>
          <w:bCs/>
          <w:sz w:val="16"/>
          <w:szCs w:val="16"/>
        </w:rPr>
      </w:pPr>
      <w:r w:rsidRPr="000A6485">
        <w:rPr>
          <w:rFonts w:ascii="Verdana" w:hAnsi="Verdana"/>
          <w:bCs/>
          <w:sz w:val="16"/>
          <w:szCs w:val="16"/>
        </w:rPr>
        <w:t>W celu wypełnienia wymagań ustawy</w:t>
      </w:r>
      <w:r w:rsidRPr="000A6485">
        <w:rPr>
          <w:rFonts w:ascii="Verdana" w:hAnsi="Verdana"/>
          <w:sz w:val="16"/>
          <w:szCs w:val="16"/>
        </w:rPr>
        <w:t xml:space="preserve"> </w:t>
      </w:r>
      <w:r w:rsidRPr="000A6485">
        <w:rPr>
          <w:rFonts w:ascii="Verdana" w:hAnsi="Verdana" w:cs="Arial"/>
          <w:iCs/>
          <w:sz w:val="16"/>
          <w:szCs w:val="16"/>
        </w:rPr>
        <w:t>o finansach publicznych w zakresie wieloletniej prognozy finansowej</w:t>
      </w:r>
      <w:r w:rsidRPr="000A6485">
        <w:rPr>
          <w:rFonts w:ascii="Verdana" w:hAnsi="Verdana"/>
          <w:bCs/>
          <w:sz w:val="16"/>
          <w:szCs w:val="16"/>
        </w:rPr>
        <w:t xml:space="preserve">, w szczególności zapewnienia zgodności prognozy wieloletniej z budżetem, </w:t>
      </w:r>
      <w:r>
        <w:rPr>
          <w:rFonts w:ascii="Verdana" w:hAnsi="Verdana"/>
          <w:bCs/>
          <w:sz w:val="16"/>
          <w:szCs w:val="16"/>
        </w:rPr>
        <w:t>Wieloletnia Prognoza Finansowa</w:t>
      </w:r>
      <w:r w:rsidRPr="000A6485">
        <w:rPr>
          <w:rFonts w:ascii="Verdana" w:hAnsi="Verdana"/>
          <w:bCs/>
          <w:sz w:val="16"/>
          <w:szCs w:val="16"/>
        </w:rPr>
        <w:t xml:space="preserve"> </w:t>
      </w:r>
      <w:r>
        <w:rPr>
          <w:rFonts w:ascii="Verdana" w:hAnsi="Verdana"/>
          <w:bCs/>
          <w:sz w:val="16"/>
          <w:szCs w:val="16"/>
        </w:rPr>
        <w:br/>
      </w:r>
      <w:r w:rsidRPr="000A6485">
        <w:rPr>
          <w:rFonts w:ascii="Verdana" w:hAnsi="Verdana"/>
          <w:bCs/>
          <w:sz w:val="16"/>
          <w:szCs w:val="16"/>
        </w:rPr>
        <w:t xml:space="preserve">m.st. Warszawy tworzona jest z wykorzystaniem zintegrowanego systemu informatycznego. </w:t>
      </w:r>
    </w:p>
    <w:p w:rsidR="008A572A" w:rsidRPr="000A6485" w:rsidRDefault="008A572A" w:rsidP="008A572A">
      <w:pPr>
        <w:spacing w:before="40" w:after="40"/>
        <w:ind w:firstLine="540"/>
        <w:jc w:val="both"/>
        <w:rPr>
          <w:rFonts w:ascii="Verdana" w:hAnsi="Verdana"/>
          <w:bCs/>
          <w:sz w:val="16"/>
          <w:szCs w:val="16"/>
        </w:rPr>
      </w:pPr>
      <w:r w:rsidRPr="000A6485">
        <w:rPr>
          <w:rFonts w:ascii="Verdana" w:hAnsi="Verdana"/>
          <w:bCs/>
          <w:sz w:val="16"/>
          <w:szCs w:val="16"/>
        </w:rPr>
        <w:t>Główne przesłanki do tworzenia Wieloletniej Prognozy Finansowej z pełnym wykorzystaniem narzędzi systemowych to:</w:t>
      </w:r>
    </w:p>
    <w:p w:rsidR="008A572A" w:rsidRPr="000A6485" w:rsidRDefault="008A572A" w:rsidP="008A572A">
      <w:pPr>
        <w:numPr>
          <w:ilvl w:val="0"/>
          <w:numId w:val="2"/>
        </w:numPr>
        <w:tabs>
          <w:tab w:val="clear" w:pos="1620"/>
          <w:tab w:val="num" w:pos="540"/>
        </w:tabs>
        <w:spacing w:before="40" w:after="40"/>
        <w:ind w:left="540" w:hanging="180"/>
        <w:jc w:val="both"/>
        <w:rPr>
          <w:rFonts w:ascii="Verdana" w:hAnsi="Verdana"/>
          <w:bCs/>
          <w:sz w:val="16"/>
          <w:szCs w:val="16"/>
        </w:rPr>
      </w:pPr>
      <w:r w:rsidRPr="000A6485">
        <w:rPr>
          <w:rFonts w:ascii="Verdana" w:hAnsi="Verdana"/>
          <w:bCs/>
          <w:sz w:val="16"/>
          <w:szCs w:val="16"/>
        </w:rPr>
        <w:t>implementacja budżetu Miasta w zintegrowanym systemie informatycznym,</w:t>
      </w:r>
    </w:p>
    <w:p w:rsidR="008A572A" w:rsidRPr="000A6485" w:rsidRDefault="008A572A" w:rsidP="008A572A">
      <w:pPr>
        <w:numPr>
          <w:ilvl w:val="0"/>
          <w:numId w:val="2"/>
        </w:numPr>
        <w:tabs>
          <w:tab w:val="clear" w:pos="1620"/>
          <w:tab w:val="num" w:pos="540"/>
        </w:tabs>
        <w:spacing w:before="40" w:after="40"/>
        <w:ind w:left="540" w:hanging="180"/>
        <w:jc w:val="both"/>
        <w:rPr>
          <w:rFonts w:ascii="Verdana" w:hAnsi="Verdana"/>
          <w:bCs/>
          <w:sz w:val="16"/>
          <w:szCs w:val="16"/>
        </w:rPr>
      </w:pPr>
      <w:r w:rsidRPr="000A6485">
        <w:rPr>
          <w:rFonts w:ascii="Verdana" w:hAnsi="Verdana"/>
          <w:bCs/>
          <w:sz w:val="16"/>
          <w:szCs w:val="16"/>
        </w:rPr>
        <w:t>długość okres</w:t>
      </w:r>
      <w:r>
        <w:rPr>
          <w:rFonts w:ascii="Verdana" w:hAnsi="Verdana"/>
          <w:bCs/>
          <w:sz w:val="16"/>
          <w:szCs w:val="16"/>
        </w:rPr>
        <w:t xml:space="preserve">u prognozy - aktualnie lata </w:t>
      </w:r>
      <w:r w:rsidRPr="00932633">
        <w:rPr>
          <w:rFonts w:ascii="Verdana" w:eastAsiaTheme="minorEastAsia" w:hAnsi="Verdana" w:cs="Verdana"/>
          <w:color w:val="000000"/>
          <w:sz w:val="16"/>
          <w:szCs w:val="16"/>
        </w:rPr>
        <w:t>2023</w:t>
      </w:r>
      <w:r w:rsidRPr="000A6485">
        <w:rPr>
          <w:rFonts w:ascii="Verdana" w:hAnsi="Verdana"/>
          <w:bCs/>
          <w:sz w:val="16"/>
          <w:szCs w:val="16"/>
        </w:rPr>
        <w:t>-2050,</w:t>
      </w:r>
    </w:p>
    <w:p w:rsidR="008A572A" w:rsidRPr="000A6485" w:rsidRDefault="008A572A" w:rsidP="008A572A">
      <w:pPr>
        <w:numPr>
          <w:ilvl w:val="0"/>
          <w:numId w:val="2"/>
        </w:numPr>
        <w:tabs>
          <w:tab w:val="clear" w:pos="1620"/>
          <w:tab w:val="num" w:pos="540"/>
        </w:tabs>
        <w:spacing w:before="40" w:after="40"/>
        <w:ind w:left="540" w:hanging="180"/>
        <w:jc w:val="both"/>
        <w:rPr>
          <w:rFonts w:ascii="Verdana" w:hAnsi="Verdana"/>
          <w:bCs/>
          <w:sz w:val="16"/>
          <w:szCs w:val="16"/>
        </w:rPr>
      </w:pPr>
      <w:r w:rsidRPr="000A6485">
        <w:rPr>
          <w:rFonts w:ascii="Verdana" w:hAnsi="Verdana"/>
          <w:bCs/>
          <w:sz w:val="16"/>
          <w:szCs w:val="16"/>
        </w:rPr>
        <w:t>zakres informacji objętych prognozą (18 dzielnic, 4</w:t>
      </w:r>
      <w:r>
        <w:rPr>
          <w:rFonts w:ascii="Verdana" w:hAnsi="Verdana"/>
          <w:bCs/>
          <w:sz w:val="16"/>
          <w:szCs w:val="16"/>
        </w:rPr>
        <w:t>5</w:t>
      </w:r>
      <w:r w:rsidRPr="000A6485">
        <w:rPr>
          <w:rFonts w:ascii="Verdana" w:hAnsi="Verdana"/>
          <w:bCs/>
          <w:sz w:val="16"/>
          <w:szCs w:val="16"/>
        </w:rPr>
        <w:t xml:space="preserve"> biur urzędu, </w:t>
      </w:r>
      <w:r>
        <w:rPr>
          <w:rFonts w:ascii="Verdana" w:hAnsi="Verdana"/>
          <w:bCs/>
          <w:sz w:val="16"/>
          <w:szCs w:val="16"/>
        </w:rPr>
        <w:t>98</w:t>
      </w:r>
      <w:r w:rsidRPr="000A6485">
        <w:rPr>
          <w:rFonts w:ascii="Verdana" w:hAnsi="Verdana"/>
          <w:bCs/>
          <w:sz w:val="16"/>
          <w:szCs w:val="16"/>
        </w:rPr>
        <w:t xml:space="preserve"> jednostek budżetowych </w:t>
      </w:r>
      <w:r w:rsidRPr="000A6485">
        <w:rPr>
          <w:rFonts w:ascii="Verdana" w:hAnsi="Verdana"/>
          <w:bCs/>
          <w:sz w:val="16"/>
          <w:szCs w:val="16"/>
        </w:rPr>
        <w:br/>
        <w:t>o charakterze ogólnomiejskim),</w:t>
      </w:r>
    </w:p>
    <w:p w:rsidR="008A572A" w:rsidRPr="000A6485" w:rsidRDefault="008A572A" w:rsidP="008A572A">
      <w:pPr>
        <w:numPr>
          <w:ilvl w:val="0"/>
          <w:numId w:val="2"/>
        </w:numPr>
        <w:tabs>
          <w:tab w:val="clear" w:pos="1620"/>
          <w:tab w:val="num" w:pos="540"/>
        </w:tabs>
        <w:spacing w:before="40" w:after="40"/>
        <w:ind w:left="540" w:hanging="180"/>
        <w:jc w:val="both"/>
        <w:rPr>
          <w:rFonts w:ascii="Verdana" w:hAnsi="Verdana"/>
          <w:bCs/>
          <w:sz w:val="16"/>
          <w:szCs w:val="16"/>
        </w:rPr>
      </w:pPr>
      <w:r w:rsidRPr="000A6485">
        <w:rPr>
          <w:rFonts w:ascii="Verdana" w:hAnsi="Verdana"/>
          <w:bCs/>
          <w:sz w:val="16"/>
          <w:szCs w:val="16"/>
        </w:rPr>
        <w:t xml:space="preserve">konieczność zapewnienia bezpieczeństwa budżetowego w zakresie planowania przedsięwzięć wieloletnich ujmowanych w Wieloletniej Prognozie Finansowej, stanowiących podstawę do zaciągania zobowiązań wieloletnich. </w:t>
      </w:r>
    </w:p>
    <w:p w:rsidR="008A572A" w:rsidRDefault="008A572A" w:rsidP="008A572A">
      <w:pPr>
        <w:spacing w:before="40" w:after="40"/>
        <w:ind w:firstLine="567"/>
        <w:jc w:val="both"/>
        <w:rPr>
          <w:rFonts w:ascii="Verdana" w:hAnsi="Verdana"/>
          <w:bCs/>
          <w:sz w:val="16"/>
          <w:szCs w:val="16"/>
        </w:rPr>
      </w:pPr>
      <w:r w:rsidRPr="000A6485">
        <w:rPr>
          <w:rFonts w:ascii="Verdana" w:hAnsi="Verdana"/>
          <w:bCs/>
          <w:sz w:val="16"/>
          <w:szCs w:val="16"/>
        </w:rPr>
        <w:lastRenderedPageBreak/>
        <w:t>WPF m.st. Warszawy oprócz prognoz podstawowych wielkości budżetowych, którymi są między innymi dochody, wydatki, przychody, rozchody</w:t>
      </w:r>
      <w:r>
        <w:rPr>
          <w:rFonts w:ascii="Verdana" w:hAnsi="Verdana"/>
          <w:bCs/>
          <w:sz w:val="16"/>
          <w:szCs w:val="16"/>
        </w:rPr>
        <w:t>, wynik budżetu</w:t>
      </w:r>
      <w:r w:rsidRPr="000A6485">
        <w:rPr>
          <w:rFonts w:ascii="Verdana" w:hAnsi="Verdana"/>
          <w:bCs/>
          <w:sz w:val="16"/>
          <w:szCs w:val="16"/>
        </w:rPr>
        <w:t xml:space="preserve">, a także informacji o przeznaczeniu środków zwrotnych, zawiera załącznik z wykazem wieloletnich przedsięwzięć bieżących i majątkowych. Wśród nich znajdują się przedsięwzięcia będące w trakcie realizacji oraz planowane do realizacji w okresie co najmniej dwóch lat. </w:t>
      </w:r>
      <w:r>
        <w:rPr>
          <w:rFonts w:ascii="Verdana" w:hAnsi="Verdana"/>
          <w:bCs/>
          <w:sz w:val="16"/>
          <w:szCs w:val="16"/>
        </w:rPr>
        <w:br/>
      </w:r>
      <w:r w:rsidRPr="000A6485">
        <w:rPr>
          <w:rFonts w:ascii="Verdana" w:hAnsi="Verdana"/>
          <w:bCs/>
          <w:sz w:val="16"/>
          <w:szCs w:val="16"/>
        </w:rPr>
        <w:t xml:space="preserve">Dla opracowania niniejszego zestawienia niezbędne jest gromadzenie odpowiednio zagregowanych informacji </w:t>
      </w:r>
      <w:r>
        <w:rPr>
          <w:rFonts w:ascii="Verdana" w:hAnsi="Verdana"/>
          <w:bCs/>
          <w:sz w:val="16"/>
          <w:szCs w:val="16"/>
        </w:rPr>
        <w:br/>
      </w:r>
      <w:r w:rsidRPr="000A6485">
        <w:rPr>
          <w:rFonts w:ascii="Verdana" w:hAnsi="Verdana"/>
          <w:bCs/>
          <w:sz w:val="16"/>
          <w:szCs w:val="16"/>
        </w:rPr>
        <w:t>w powyższym zakresie ze wszystkich jednostek organizacyjnych Miasta, w tym wszystkich jednostek funkcjonujących w dzielnicach.</w:t>
      </w:r>
    </w:p>
    <w:p w:rsidR="008A572A" w:rsidRPr="000A6485" w:rsidRDefault="008A572A" w:rsidP="008A572A">
      <w:pPr>
        <w:spacing w:before="120" w:after="120" w:line="240" w:lineRule="auto"/>
        <w:ind w:left="284" w:hanging="284"/>
        <w:rPr>
          <w:rFonts w:ascii="Verdana" w:hAnsi="Verdana"/>
          <w:b/>
          <w:bCs/>
          <w:sz w:val="20"/>
          <w:szCs w:val="20"/>
        </w:rPr>
      </w:pPr>
      <w:r w:rsidRPr="000A6485">
        <w:rPr>
          <w:rFonts w:ascii="Verdana" w:hAnsi="Verdana"/>
          <w:b/>
          <w:bCs/>
          <w:sz w:val="20"/>
          <w:szCs w:val="20"/>
        </w:rPr>
        <w:t xml:space="preserve">6.2 Schemat procesu opracowywania Wieloletniej Prognozy </w:t>
      </w:r>
      <w:r>
        <w:rPr>
          <w:rFonts w:ascii="Verdana" w:hAnsi="Verdana"/>
          <w:b/>
          <w:bCs/>
          <w:sz w:val="20"/>
          <w:szCs w:val="20"/>
        </w:rPr>
        <w:br/>
        <w:t xml:space="preserve">  </w:t>
      </w:r>
      <w:r w:rsidRPr="000A6485">
        <w:rPr>
          <w:rFonts w:ascii="Verdana" w:hAnsi="Verdana"/>
          <w:b/>
          <w:bCs/>
          <w:sz w:val="20"/>
          <w:szCs w:val="20"/>
        </w:rPr>
        <w:t xml:space="preserve">Finansowej </w:t>
      </w:r>
      <w:r>
        <w:rPr>
          <w:rFonts w:ascii="Verdana" w:hAnsi="Verdana"/>
          <w:b/>
          <w:bCs/>
          <w:sz w:val="20"/>
          <w:szCs w:val="20"/>
        </w:rPr>
        <w:t xml:space="preserve">m.st. Warszawy na lata </w:t>
      </w:r>
      <w:r w:rsidRPr="00932633">
        <w:rPr>
          <w:rFonts w:ascii="Verdana" w:hAnsi="Verdana"/>
          <w:b/>
          <w:bCs/>
          <w:sz w:val="20"/>
          <w:szCs w:val="20"/>
        </w:rPr>
        <w:t>2023</w:t>
      </w:r>
      <w:r w:rsidRPr="000A6485">
        <w:rPr>
          <w:rFonts w:ascii="Verdana" w:hAnsi="Verdana"/>
          <w:b/>
          <w:bCs/>
          <w:sz w:val="20"/>
          <w:szCs w:val="20"/>
        </w:rPr>
        <w:t>-2050</w:t>
      </w:r>
    </w:p>
    <w:p w:rsidR="008A572A" w:rsidRDefault="008A572A" w:rsidP="008A572A">
      <w:pPr>
        <w:spacing w:before="120" w:after="120"/>
        <w:jc w:val="center"/>
        <w:rPr>
          <w:rFonts w:ascii="Verdana" w:hAnsi="Verdana"/>
          <w:b/>
          <w:bCs/>
          <w:sz w:val="22"/>
          <w:szCs w:val="22"/>
        </w:rPr>
      </w:pPr>
      <w:r w:rsidRPr="000A6485">
        <w:rPr>
          <w:noProof/>
        </w:rPr>
        <mc:AlternateContent>
          <mc:Choice Requires="wps">
            <w:drawing>
              <wp:anchor distT="0" distB="0" distL="114300" distR="114300" simplePos="0" relativeHeight="251708416" behindDoc="0" locked="0" layoutInCell="1" allowOverlap="1" wp14:anchorId="11FDE7CB" wp14:editId="54B20D4B">
                <wp:simplePos x="0" y="0"/>
                <wp:positionH relativeFrom="column">
                  <wp:posOffset>1434465</wp:posOffset>
                </wp:positionH>
                <wp:positionV relativeFrom="paragraph">
                  <wp:posOffset>9210040</wp:posOffset>
                </wp:positionV>
                <wp:extent cx="1619250" cy="485775"/>
                <wp:effectExtent l="0" t="0" r="0" b="9525"/>
                <wp:wrapNone/>
                <wp:docPr id="32"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CA1FA41" id="Prostokąt 4" o:spid="_x0000_s1026" style="position:absolute;margin-left:112.95pt;margin-top:725.2pt;width:127.5pt;height:38.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" fillcolor="white [3212]" stroked="f" strokeweight="1pt">
                <v:path arrowok="t"/>
              </v:rect>
            </w:pict>
          </mc:Fallback>
        </mc:AlternateContent>
      </w:r>
      <w:r w:rsidRPr="000A6485">
        <w:rPr>
          <w:noProof/>
        </w:rPr>
        <mc:AlternateContent>
          <mc:Choice Requires="wps">
            <w:drawing>
              <wp:anchor distT="0" distB="0" distL="114300" distR="114300" simplePos="0" relativeHeight="251709440" behindDoc="0" locked="0" layoutInCell="1" allowOverlap="1" wp14:anchorId="4DB4D913" wp14:editId="2DF89E25">
                <wp:simplePos x="0" y="0"/>
                <wp:positionH relativeFrom="column">
                  <wp:posOffset>3266440</wp:posOffset>
                </wp:positionH>
                <wp:positionV relativeFrom="paragraph">
                  <wp:posOffset>9105380</wp:posOffset>
                </wp:positionV>
                <wp:extent cx="1880870" cy="914400"/>
                <wp:effectExtent l="0" t="0" r="24130" b="19050"/>
                <wp:wrapNone/>
                <wp:docPr id="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870" cy="914400"/>
                        </a:xfrm>
                        <a:prstGeom prst="rect">
                          <a:avLst/>
                        </a:prstGeom>
                        <a:solidFill>
                          <a:srgbClr val="FFFFFF"/>
                        </a:solidFill>
                        <a:ln w="9525">
                          <a:solidFill>
                            <a:schemeClr val="bg1">
                              <a:lumMod val="100000"/>
                              <a:lumOff val="0"/>
                            </a:schemeClr>
                          </a:solidFill>
                          <a:miter lim="800000"/>
                          <a:headEnd/>
                          <a:tailEnd/>
                        </a:ln>
                      </wps:spPr>
                      <wps:txbx>
                        <w:txbxContent>
                          <w:p w:rsidR="008A572A" w:rsidRDefault="008A572A" w:rsidP="008A57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4D913" id="Text Box 37" o:spid="_x0000_s1027" type="#_x0000_t202" style="position:absolute;left:0;text-align:left;margin-left:257.2pt;margin-top:716.95pt;width:148.1pt;height:1in;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" strokecolor="white [3212]">
                <v:textbox>
                  <w:txbxContent>
                    <w:p w:rsidR="008A572A" w:rsidRDefault="008A572A" w:rsidP="008A572A"/>
                  </w:txbxContent>
                </v:textbox>
              </v:shape>
            </w:pict>
          </mc:Fallback>
        </mc:AlternateContent>
      </w:r>
      <w:r w:rsidRPr="000A6485">
        <w:rPr>
          <w:noProof/>
        </w:rPr>
        <mc:AlternateContent>
          <mc:Choice Requires="wps">
            <w:drawing>
              <wp:anchor distT="0" distB="0" distL="114300" distR="114300" simplePos="0" relativeHeight="251707392" behindDoc="0" locked="0" layoutInCell="1" allowOverlap="1" wp14:anchorId="35D7CF07" wp14:editId="332E145D">
                <wp:simplePos x="0" y="0"/>
                <wp:positionH relativeFrom="column">
                  <wp:posOffset>3126105</wp:posOffset>
                </wp:positionH>
                <wp:positionV relativeFrom="paragraph">
                  <wp:posOffset>8864600</wp:posOffset>
                </wp:positionV>
                <wp:extent cx="1857375" cy="790575"/>
                <wp:effectExtent l="0" t="0" r="9525" b="9525"/>
                <wp:wrapNone/>
                <wp:docPr id="36" name="Prostokąt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79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29FD9" id="Prostokąt 36" o:spid="_x0000_s1026" style="position:absolute;margin-left:246.15pt;margin-top:698pt;width:146.25pt;height:6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" stroked="f"/>
            </w:pict>
          </mc:Fallback>
        </mc:AlternateContent>
      </w:r>
      <w:r w:rsidRPr="007B3B7C">
        <w:rPr>
          <w:noProof/>
        </w:rPr>
        <w:drawing>
          <wp:inline distT="0" distB="0" distL="0" distR="0" wp14:anchorId="09CFFEF1" wp14:editId="0B741E26">
            <wp:extent cx="4672472" cy="6889531"/>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0913"/>
                    <a:stretch/>
                  </pic:blipFill>
                  <pic:spPr bwMode="auto">
                    <a:xfrm>
                      <a:off x="0" y="0"/>
                      <a:ext cx="4683177" cy="69053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b/>
          <w:bCs/>
          <w:sz w:val="22"/>
          <w:szCs w:val="22"/>
        </w:rPr>
        <w:br w:type="page"/>
      </w:r>
    </w:p>
    <w:p w:rsidR="008A572A" w:rsidRPr="000A6485" w:rsidRDefault="008A572A" w:rsidP="008A572A">
      <w:pPr>
        <w:spacing w:before="240" w:after="240" w:line="240" w:lineRule="auto"/>
        <w:ind w:left="425" w:hanging="425"/>
        <w:rPr>
          <w:rFonts w:ascii="Verdana" w:hAnsi="Verdana"/>
          <w:b/>
          <w:bCs/>
          <w:sz w:val="22"/>
          <w:szCs w:val="22"/>
        </w:rPr>
      </w:pPr>
      <w:r w:rsidRPr="000A6485">
        <w:rPr>
          <w:rFonts w:ascii="Verdana" w:hAnsi="Verdana"/>
          <w:b/>
          <w:bCs/>
          <w:sz w:val="22"/>
          <w:szCs w:val="22"/>
        </w:rPr>
        <w:lastRenderedPageBreak/>
        <w:t xml:space="preserve">7.  Założenia Wieloletniej Prognozy Finansowej m.st. Warszawy </w:t>
      </w:r>
      <w:r w:rsidRPr="000A6485">
        <w:rPr>
          <w:rFonts w:ascii="Verdana" w:hAnsi="Verdana"/>
          <w:b/>
          <w:bCs/>
          <w:sz w:val="22"/>
          <w:szCs w:val="22"/>
        </w:rPr>
        <w:br/>
      </w:r>
      <w:r>
        <w:rPr>
          <w:rFonts w:ascii="Verdana" w:hAnsi="Verdana"/>
          <w:b/>
          <w:bCs/>
          <w:sz w:val="22"/>
          <w:szCs w:val="22"/>
        </w:rPr>
        <w:t xml:space="preserve">na lata </w:t>
      </w:r>
      <w:r w:rsidRPr="00932633">
        <w:rPr>
          <w:rFonts w:ascii="Verdana" w:hAnsi="Verdana"/>
          <w:b/>
          <w:bCs/>
          <w:sz w:val="20"/>
          <w:szCs w:val="20"/>
        </w:rPr>
        <w:t>2023</w:t>
      </w:r>
      <w:r w:rsidRPr="000A6485">
        <w:rPr>
          <w:rFonts w:ascii="Verdana" w:hAnsi="Verdana"/>
          <w:b/>
          <w:bCs/>
          <w:sz w:val="22"/>
          <w:szCs w:val="22"/>
        </w:rPr>
        <w:t>-2050</w:t>
      </w:r>
    </w:p>
    <w:p w:rsidR="008A572A" w:rsidRPr="002B7679" w:rsidRDefault="008A572A" w:rsidP="008A572A">
      <w:pPr>
        <w:spacing w:before="60" w:after="60"/>
        <w:ind w:firstLine="567"/>
        <w:jc w:val="both"/>
        <w:rPr>
          <w:rFonts w:ascii="Verdana" w:hAnsi="Verdana" w:cs="Arial"/>
          <w:sz w:val="16"/>
          <w:szCs w:val="16"/>
        </w:rPr>
      </w:pPr>
      <w:r>
        <w:rPr>
          <w:rFonts w:ascii="Verdana" w:hAnsi="Verdana" w:cs="Arial"/>
          <w:iCs/>
          <w:sz w:val="16"/>
          <w:szCs w:val="16"/>
        </w:rPr>
        <w:t xml:space="preserve">Wieloletnia Prognoza Finansowa </w:t>
      </w:r>
      <w:r w:rsidRPr="00DD26A6">
        <w:rPr>
          <w:rFonts w:ascii="Verdana" w:hAnsi="Verdana" w:cs="Arial"/>
          <w:iCs/>
          <w:sz w:val="16"/>
          <w:szCs w:val="16"/>
        </w:rPr>
        <w:t xml:space="preserve">m.st. Warszawy na lata </w:t>
      </w:r>
      <w:r w:rsidRPr="00932633">
        <w:rPr>
          <w:rFonts w:ascii="Verdana" w:eastAsiaTheme="minorEastAsia" w:hAnsi="Verdana" w:cs="Verdana"/>
          <w:color w:val="000000"/>
          <w:sz w:val="16"/>
          <w:szCs w:val="16"/>
        </w:rPr>
        <w:t>2023</w:t>
      </w:r>
      <w:r w:rsidRPr="00DD26A6">
        <w:rPr>
          <w:rFonts w:ascii="Verdana" w:hAnsi="Verdana" w:cs="Arial"/>
          <w:iCs/>
          <w:sz w:val="16"/>
          <w:szCs w:val="16"/>
        </w:rPr>
        <w:t>-2050</w:t>
      </w:r>
      <w:r>
        <w:rPr>
          <w:rFonts w:ascii="Verdana" w:hAnsi="Verdana"/>
          <w:sz w:val="16"/>
          <w:szCs w:val="16"/>
        </w:rPr>
        <w:t xml:space="preserve"> została opracowana</w:t>
      </w:r>
      <w:r w:rsidRPr="00AC083A">
        <w:rPr>
          <w:rFonts w:ascii="Verdana" w:hAnsi="Verdana"/>
          <w:sz w:val="16"/>
          <w:szCs w:val="16"/>
        </w:rPr>
        <w:t xml:space="preserve"> </w:t>
      </w:r>
      <w:r w:rsidRPr="000A6485">
        <w:rPr>
          <w:rFonts w:ascii="Verdana" w:hAnsi="Verdana"/>
          <w:sz w:val="16"/>
          <w:szCs w:val="16"/>
        </w:rPr>
        <w:t>na bazie poprzedniej edycji WPF, tj. obejmującej</w:t>
      </w:r>
      <w:r>
        <w:rPr>
          <w:rFonts w:ascii="Verdana" w:hAnsi="Verdana"/>
          <w:sz w:val="16"/>
          <w:szCs w:val="16"/>
        </w:rPr>
        <w:t xml:space="preserve"> lata </w:t>
      </w:r>
      <w:r w:rsidRPr="00932633">
        <w:rPr>
          <w:rFonts w:ascii="Verdana" w:eastAsiaTheme="minorEastAsia" w:hAnsi="Verdana" w:cs="Verdana"/>
          <w:color w:val="000000"/>
          <w:sz w:val="16"/>
          <w:szCs w:val="16"/>
        </w:rPr>
        <w:t>2022</w:t>
      </w:r>
      <w:r>
        <w:rPr>
          <w:rFonts w:ascii="Verdana" w:hAnsi="Verdana"/>
          <w:sz w:val="16"/>
          <w:szCs w:val="16"/>
        </w:rPr>
        <w:t xml:space="preserve">-2050, </w:t>
      </w:r>
      <w:r w:rsidRPr="00AC083A">
        <w:rPr>
          <w:rFonts w:ascii="Verdana" w:hAnsi="Verdana"/>
          <w:sz w:val="16"/>
          <w:szCs w:val="16"/>
        </w:rPr>
        <w:t xml:space="preserve">z uwzględnieniem planowanych </w:t>
      </w:r>
      <w:r>
        <w:rPr>
          <w:rFonts w:ascii="Verdana" w:hAnsi="Verdana"/>
          <w:sz w:val="16"/>
          <w:szCs w:val="16"/>
        </w:rPr>
        <w:t xml:space="preserve">na </w:t>
      </w:r>
      <w:r w:rsidRPr="00932633">
        <w:rPr>
          <w:rFonts w:ascii="Verdana" w:eastAsiaTheme="minorEastAsia" w:hAnsi="Verdana" w:cs="Verdana"/>
          <w:color w:val="000000"/>
          <w:sz w:val="16"/>
          <w:szCs w:val="16"/>
        </w:rPr>
        <w:t>2023</w:t>
      </w:r>
      <w:r>
        <w:rPr>
          <w:rFonts w:ascii="Verdana" w:hAnsi="Verdana"/>
          <w:sz w:val="16"/>
          <w:szCs w:val="16"/>
        </w:rPr>
        <w:t xml:space="preserve"> r. </w:t>
      </w:r>
      <w:r w:rsidRPr="00AC083A">
        <w:rPr>
          <w:rFonts w:ascii="Verdana" w:hAnsi="Verdana"/>
          <w:sz w:val="16"/>
          <w:szCs w:val="16"/>
        </w:rPr>
        <w:t xml:space="preserve">dochodów </w:t>
      </w:r>
      <w:r>
        <w:rPr>
          <w:rFonts w:ascii="Verdana" w:hAnsi="Verdana"/>
          <w:sz w:val="16"/>
          <w:szCs w:val="16"/>
        </w:rPr>
        <w:br/>
      </w:r>
      <w:r w:rsidRPr="00AC083A">
        <w:rPr>
          <w:rFonts w:ascii="Verdana" w:hAnsi="Verdana"/>
          <w:sz w:val="16"/>
          <w:szCs w:val="16"/>
        </w:rPr>
        <w:t xml:space="preserve">z podatków dochodowych od osób fizycznych (PIT) i osób prawnych (CIT) </w:t>
      </w:r>
      <w:r>
        <w:rPr>
          <w:rFonts w:ascii="Verdana" w:hAnsi="Verdana"/>
          <w:sz w:val="16"/>
          <w:szCs w:val="16"/>
        </w:rPr>
        <w:t xml:space="preserve">oraz dochodów z subwencji ogólnej, </w:t>
      </w:r>
      <w:r>
        <w:rPr>
          <w:rFonts w:ascii="Verdana" w:hAnsi="Verdana"/>
          <w:sz w:val="16"/>
          <w:szCs w:val="16"/>
        </w:rPr>
        <w:br/>
        <w:t>a także</w:t>
      </w:r>
      <w:r w:rsidRPr="00AC083A">
        <w:rPr>
          <w:rFonts w:ascii="Verdana" w:hAnsi="Verdana"/>
          <w:sz w:val="16"/>
          <w:szCs w:val="16"/>
        </w:rPr>
        <w:t xml:space="preserve"> </w:t>
      </w:r>
      <w:r>
        <w:rPr>
          <w:rFonts w:ascii="Verdana" w:hAnsi="Verdana"/>
          <w:sz w:val="16"/>
          <w:szCs w:val="16"/>
        </w:rPr>
        <w:t xml:space="preserve">wysokości </w:t>
      </w:r>
      <w:r w:rsidRPr="00AC083A">
        <w:rPr>
          <w:rFonts w:ascii="Verdana" w:hAnsi="Verdana"/>
          <w:sz w:val="16"/>
          <w:szCs w:val="16"/>
        </w:rPr>
        <w:t xml:space="preserve">wpłaty do budżetu państwa na rzecz subwencji ogólnej w części równoważącej </w:t>
      </w:r>
      <w:r>
        <w:rPr>
          <w:rFonts w:ascii="Verdana" w:hAnsi="Verdana"/>
          <w:sz w:val="16"/>
          <w:szCs w:val="16"/>
        </w:rPr>
        <w:br/>
      </w:r>
      <w:r w:rsidRPr="00AC083A">
        <w:rPr>
          <w:rFonts w:ascii="Verdana" w:hAnsi="Verdana"/>
          <w:sz w:val="16"/>
          <w:szCs w:val="16"/>
        </w:rPr>
        <w:t xml:space="preserve">(tzw. Janosikowe) na poziomie zgodnym z kwotami podanymi przez Ministerstwo </w:t>
      </w:r>
      <w:r>
        <w:rPr>
          <w:rFonts w:ascii="Verdana" w:hAnsi="Verdana"/>
          <w:sz w:val="16"/>
          <w:szCs w:val="16"/>
        </w:rPr>
        <w:t xml:space="preserve">Finansów </w:t>
      </w:r>
      <w:r w:rsidRPr="00AC083A">
        <w:rPr>
          <w:rFonts w:ascii="Verdana" w:hAnsi="Verdana"/>
          <w:sz w:val="16"/>
          <w:szCs w:val="16"/>
        </w:rPr>
        <w:t xml:space="preserve">w pismach </w:t>
      </w:r>
      <w:r>
        <w:rPr>
          <w:rFonts w:ascii="Verdana" w:hAnsi="Verdana"/>
          <w:sz w:val="16"/>
          <w:szCs w:val="16"/>
        </w:rPr>
        <w:br/>
      </w:r>
      <w:r w:rsidRPr="00F20AD0">
        <w:rPr>
          <w:rFonts w:ascii="Verdana" w:hAnsi="Verdana"/>
          <w:iCs/>
          <w:sz w:val="16"/>
          <w:szCs w:val="16"/>
        </w:rPr>
        <w:t xml:space="preserve">z </w:t>
      </w:r>
      <w:r>
        <w:rPr>
          <w:rFonts w:ascii="Verdana" w:hAnsi="Verdana"/>
          <w:sz w:val="16"/>
          <w:szCs w:val="16"/>
        </w:rPr>
        <w:t xml:space="preserve">13 października </w:t>
      </w:r>
      <w:r w:rsidRPr="0075325A">
        <w:rPr>
          <w:rFonts w:ascii="Verdana" w:eastAsiaTheme="minorEastAsia" w:hAnsi="Verdana" w:cs="Verdana"/>
          <w:color w:val="000000"/>
          <w:sz w:val="16"/>
          <w:szCs w:val="16"/>
        </w:rPr>
        <w:t>2022</w:t>
      </w:r>
      <w:r w:rsidRPr="00AC083A">
        <w:rPr>
          <w:rFonts w:ascii="Verdana" w:hAnsi="Verdana"/>
          <w:sz w:val="16"/>
          <w:szCs w:val="16"/>
        </w:rPr>
        <w:t xml:space="preserve"> r. znak: ST3.4750.</w:t>
      </w:r>
      <w:r>
        <w:rPr>
          <w:rFonts w:ascii="Verdana" w:hAnsi="Verdana"/>
          <w:sz w:val="16"/>
          <w:szCs w:val="16"/>
        </w:rPr>
        <w:t>23</w:t>
      </w:r>
      <w:r w:rsidRPr="00AC083A">
        <w:rPr>
          <w:rFonts w:ascii="Verdana" w:hAnsi="Verdana"/>
          <w:sz w:val="16"/>
          <w:szCs w:val="16"/>
        </w:rPr>
        <w:t>.202</w:t>
      </w:r>
      <w:r>
        <w:rPr>
          <w:rFonts w:ascii="Verdana" w:hAnsi="Verdana"/>
          <w:sz w:val="16"/>
          <w:szCs w:val="16"/>
        </w:rPr>
        <w:t>2</w:t>
      </w:r>
      <w:r w:rsidRPr="00AC083A">
        <w:rPr>
          <w:rFonts w:ascii="Verdana" w:hAnsi="Verdana"/>
          <w:sz w:val="16"/>
          <w:szCs w:val="16"/>
        </w:rPr>
        <w:t xml:space="preserve"> i ST</w:t>
      </w:r>
      <w:r>
        <w:rPr>
          <w:rFonts w:ascii="Verdana" w:hAnsi="Verdana"/>
          <w:sz w:val="16"/>
          <w:szCs w:val="16"/>
        </w:rPr>
        <w:t>3</w:t>
      </w:r>
      <w:r w:rsidRPr="00AC083A">
        <w:rPr>
          <w:rFonts w:ascii="Verdana" w:hAnsi="Verdana"/>
          <w:sz w:val="16"/>
          <w:szCs w:val="16"/>
        </w:rPr>
        <w:t>.4750.</w:t>
      </w:r>
      <w:r>
        <w:rPr>
          <w:rFonts w:ascii="Verdana" w:hAnsi="Verdana"/>
          <w:sz w:val="16"/>
          <w:szCs w:val="16"/>
        </w:rPr>
        <w:t>24.2022</w:t>
      </w:r>
      <w:r w:rsidRPr="00AC083A">
        <w:rPr>
          <w:rFonts w:ascii="Verdana" w:hAnsi="Verdana"/>
          <w:sz w:val="16"/>
          <w:szCs w:val="16"/>
        </w:rPr>
        <w:t xml:space="preserve">. </w:t>
      </w:r>
      <w:r>
        <w:rPr>
          <w:rFonts w:ascii="Verdana" w:hAnsi="Verdana"/>
          <w:sz w:val="16"/>
          <w:szCs w:val="16"/>
        </w:rPr>
        <w:t xml:space="preserve">W zakresie dochodów z subwencji ogólnej w części równoważącej oraz wpłaty </w:t>
      </w:r>
      <w:r w:rsidRPr="00AC083A">
        <w:rPr>
          <w:rFonts w:ascii="Verdana" w:hAnsi="Verdana"/>
          <w:sz w:val="16"/>
          <w:szCs w:val="16"/>
        </w:rPr>
        <w:t xml:space="preserve">do budżetu państwa na rzecz subwencji ogólnej w części równoważącej </w:t>
      </w:r>
      <w:r>
        <w:rPr>
          <w:rFonts w:ascii="Verdana" w:hAnsi="Verdana"/>
          <w:sz w:val="16"/>
          <w:szCs w:val="16"/>
        </w:rPr>
        <w:br/>
      </w:r>
      <w:r w:rsidRPr="00AC083A">
        <w:rPr>
          <w:rFonts w:ascii="Verdana" w:hAnsi="Verdana"/>
          <w:sz w:val="16"/>
          <w:szCs w:val="16"/>
        </w:rPr>
        <w:t>(tzw. Janosikowe)</w:t>
      </w:r>
      <w:r>
        <w:rPr>
          <w:rFonts w:ascii="Verdana" w:hAnsi="Verdana"/>
          <w:sz w:val="16"/>
          <w:szCs w:val="16"/>
        </w:rPr>
        <w:t xml:space="preserve"> uwzględniono dodatkowo skutki finansowe wynikające z art. 35 ustawy z 1 grudnia 2022 r. </w:t>
      </w:r>
      <w:r>
        <w:rPr>
          <w:rFonts w:ascii="Verdana" w:hAnsi="Verdana"/>
          <w:sz w:val="16"/>
          <w:szCs w:val="16"/>
        </w:rPr>
        <w:br/>
      </w:r>
      <w:r w:rsidRPr="0022307F">
        <w:rPr>
          <w:rFonts w:ascii="Verdana" w:hAnsi="Verdana"/>
          <w:i/>
          <w:sz w:val="16"/>
          <w:szCs w:val="16"/>
        </w:rPr>
        <w:t>o szczególnych rozwiązaniach służących realizacji ustawy budżetowej na rok 2023</w:t>
      </w:r>
      <w:r>
        <w:rPr>
          <w:rFonts w:ascii="Verdana" w:hAnsi="Verdana"/>
          <w:sz w:val="16"/>
          <w:szCs w:val="16"/>
        </w:rPr>
        <w:t xml:space="preserve">. Ponadto na podstawie pism Ministerstwa Finansów z 30 września 2022 r. znak: ST3.4753.9.2022 i ST3.4753.10.2022 w ramach przychodów pochodzących z przelewów z lokat uwzględniono kwotę 851.903.975,39 zł wynikającą </w:t>
      </w:r>
      <w:r w:rsidRPr="003F0A8E">
        <w:rPr>
          <w:rFonts w:ascii="Verdana" w:hAnsi="Verdana"/>
          <w:sz w:val="16"/>
          <w:szCs w:val="16"/>
        </w:rPr>
        <w:t xml:space="preserve">z </w:t>
      </w:r>
      <w:r>
        <w:rPr>
          <w:rFonts w:ascii="Verdana" w:hAnsi="Verdana"/>
          <w:sz w:val="16"/>
          <w:szCs w:val="16"/>
        </w:rPr>
        <w:t xml:space="preserve">przesunięcia z </w:t>
      </w:r>
      <w:r w:rsidRPr="003F0A8E">
        <w:rPr>
          <w:rFonts w:ascii="Verdana" w:hAnsi="Verdana"/>
          <w:sz w:val="16"/>
          <w:szCs w:val="16"/>
        </w:rPr>
        <w:t>2023 r. na 2022 r. przekazania subwencji rozwojowej należnej w 2023 r. z jednoczesną zmianą kwalifikacji źródła dochodów z subwencji rozwojowej na udział w PIT i brakiem przekazania subwencji rozwojowej w 2023 r., zgodnie z ustawą z 15.09.2022 r. o zmianie ustawy o dochodach jednostek samorządu terytorialnego oraz niektórych innych ustaw (Dz. U. poz. 1964)</w:t>
      </w:r>
      <w:r>
        <w:rPr>
          <w:rFonts w:ascii="Verdana" w:hAnsi="Verdana"/>
          <w:sz w:val="16"/>
          <w:szCs w:val="16"/>
        </w:rPr>
        <w:t>.</w:t>
      </w:r>
    </w:p>
    <w:p w:rsidR="008A572A" w:rsidRPr="000A6485" w:rsidRDefault="008A572A" w:rsidP="008A572A">
      <w:pPr>
        <w:spacing w:before="240" w:after="240"/>
        <w:rPr>
          <w:rFonts w:ascii="Verdana" w:hAnsi="Verdana"/>
          <w:b/>
          <w:bCs/>
          <w:sz w:val="20"/>
          <w:szCs w:val="20"/>
        </w:rPr>
      </w:pPr>
      <w:r w:rsidRPr="000A6485">
        <w:rPr>
          <w:rFonts w:ascii="Verdana" w:hAnsi="Verdana"/>
          <w:b/>
          <w:bCs/>
          <w:sz w:val="20"/>
          <w:szCs w:val="20"/>
        </w:rPr>
        <w:t>7.1 Kształtowanie się podstawowych parametrów budżetowych</w:t>
      </w:r>
      <w:r w:rsidRPr="000A6485">
        <w:rPr>
          <w:rStyle w:val="Odwoanieprzypisudolnego"/>
          <w:rFonts w:ascii="Verdana" w:hAnsi="Verdana"/>
          <w:sz w:val="20"/>
          <w:szCs w:val="20"/>
        </w:rPr>
        <w:footnoteReference w:id="20"/>
      </w:r>
    </w:p>
    <w:p w:rsidR="008A572A" w:rsidRPr="000A6485" w:rsidRDefault="008A572A" w:rsidP="008A572A">
      <w:pPr>
        <w:spacing w:before="120" w:after="120"/>
        <w:jc w:val="both"/>
        <w:rPr>
          <w:rFonts w:ascii="Verdana" w:hAnsi="Verdana"/>
          <w:bCs/>
          <w:sz w:val="18"/>
          <w:szCs w:val="18"/>
        </w:rPr>
      </w:pPr>
      <w:r w:rsidRPr="000A6485">
        <w:rPr>
          <w:rFonts w:ascii="Verdana" w:hAnsi="Verdana"/>
          <w:b/>
          <w:bCs/>
          <w:sz w:val="18"/>
          <w:szCs w:val="18"/>
        </w:rPr>
        <w:t>7.1.1 Dochody, wydatki, wynik budżetu</w:t>
      </w:r>
    </w:p>
    <w:p w:rsidR="008A572A" w:rsidRPr="000A6485" w:rsidRDefault="008A572A" w:rsidP="008A572A">
      <w:pPr>
        <w:spacing w:before="120" w:after="120"/>
        <w:jc w:val="both"/>
        <w:rPr>
          <w:rFonts w:ascii="Verdana" w:hAnsi="Verdana"/>
          <w:bCs/>
          <w:sz w:val="16"/>
          <w:szCs w:val="16"/>
        </w:rPr>
      </w:pPr>
      <w:r w:rsidRPr="000A6485">
        <w:rPr>
          <w:rFonts w:ascii="Verdana" w:hAnsi="Verdana"/>
          <w:bCs/>
          <w:sz w:val="16"/>
          <w:szCs w:val="16"/>
        </w:rPr>
        <w:t xml:space="preserve">W perspektywie </w:t>
      </w:r>
      <w:r>
        <w:rPr>
          <w:rFonts w:ascii="Verdana" w:hAnsi="Verdana"/>
          <w:bCs/>
          <w:sz w:val="16"/>
          <w:szCs w:val="16"/>
        </w:rPr>
        <w:t xml:space="preserve">WPF </w:t>
      </w:r>
      <w:r w:rsidRPr="00932633">
        <w:rPr>
          <w:rFonts w:ascii="Verdana" w:eastAsiaTheme="minorEastAsia" w:hAnsi="Verdana" w:cs="Verdana"/>
          <w:color w:val="000000"/>
          <w:sz w:val="16"/>
          <w:szCs w:val="16"/>
        </w:rPr>
        <w:t>2023</w:t>
      </w:r>
      <w:r w:rsidRPr="000A6485">
        <w:rPr>
          <w:rFonts w:ascii="Verdana" w:hAnsi="Verdana"/>
          <w:bCs/>
          <w:sz w:val="16"/>
          <w:szCs w:val="16"/>
        </w:rPr>
        <w:t xml:space="preserve">-2050 dla pierwszych </w:t>
      </w:r>
      <w:r>
        <w:rPr>
          <w:rFonts w:ascii="Verdana" w:hAnsi="Verdana"/>
          <w:bCs/>
          <w:sz w:val="16"/>
          <w:szCs w:val="16"/>
        </w:rPr>
        <w:t>czterech</w:t>
      </w:r>
      <w:r w:rsidRPr="000A6485">
        <w:rPr>
          <w:rFonts w:ascii="Verdana" w:hAnsi="Verdana"/>
          <w:bCs/>
          <w:sz w:val="16"/>
          <w:szCs w:val="16"/>
        </w:rPr>
        <w:t xml:space="preserve"> lat prognozy, tj. lat </w:t>
      </w:r>
      <w:r w:rsidRPr="00932633">
        <w:rPr>
          <w:rFonts w:ascii="Verdana" w:eastAsiaTheme="minorEastAsia" w:hAnsi="Verdana" w:cs="Verdana"/>
          <w:color w:val="000000"/>
          <w:sz w:val="16"/>
          <w:szCs w:val="16"/>
        </w:rPr>
        <w:t>2023</w:t>
      </w:r>
      <w:r w:rsidRPr="000A6485">
        <w:rPr>
          <w:rFonts w:ascii="Verdana" w:hAnsi="Verdana"/>
          <w:bCs/>
          <w:sz w:val="16"/>
          <w:szCs w:val="16"/>
        </w:rPr>
        <w:t>-202</w:t>
      </w:r>
      <w:r>
        <w:rPr>
          <w:rFonts w:ascii="Verdana" w:hAnsi="Verdana"/>
          <w:bCs/>
          <w:sz w:val="16"/>
          <w:szCs w:val="16"/>
        </w:rPr>
        <w:t>6</w:t>
      </w:r>
      <w:r w:rsidRPr="000A6485">
        <w:rPr>
          <w:rFonts w:ascii="Verdana" w:hAnsi="Verdana"/>
          <w:bCs/>
          <w:sz w:val="16"/>
          <w:szCs w:val="16"/>
        </w:rPr>
        <w:t>, zakłada się wystąpienie ujemnego wyniku budżetowego,</w:t>
      </w:r>
      <w:r>
        <w:rPr>
          <w:rFonts w:ascii="Verdana" w:hAnsi="Verdana"/>
          <w:bCs/>
          <w:sz w:val="16"/>
          <w:szCs w:val="16"/>
        </w:rPr>
        <w:t xml:space="preserve"> związanego głównie z wysokimi nakładami inwestycyjnymi oraz okresem adaptacji do negatywnych dla dochodów Miasta skutków programu Polski Ład, </w:t>
      </w:r>
      <w:r w:rsidRPr="000A6485">
        <w:rPr>
          <w:rFonts w:ascii="Verdana" w:hAnsi="Verdana"/>
          <w:bCs/>
          <w:sz w:val="16"/>
          <w:szCs w:val="16"/>
        </w:rPr>
        <w:t>natomiast począwszy od 202</w:t>
      </w:r>
      <w:r>
        <w:rPr>
          <w:rFonts w:ascii="Verdana" w:hAnsi="Verdana"/>
          <w:bCs/>
          <w:sz w:val="16"/>
          <w:szCs w:val="16"/>
        </w:rPr>
        <w:t>7</w:t>
      </w:r>
      <w:r w:rsidRPr="000A6485">
        <w:rPr>
          <w:rFonts w:ascii="Verdana" w:hAnsi="Verdana"/>
          <w:bCs/>
          <w:sz w:val="16"/>
          <w:szCs w:val="16"/>
        </w:rPr>
        <w:t xml:space="preserve"> r. </w:t>
      </w:r>
      <w:r>
        <w:rPr>
          <w:rFonts w:ascii="Verdana" w:hAnsi="Verdana"/>
          <w:bCs/>
          <w:sz w:val="16"/>
          <w:szCs w:val="16"/>
        </w:rPr>
        <w:t xml:space="preserve">przewiduje się </w:t>
      </w:r>
      <w:r w:rsidRPr="000A6485">
        <w:rPr>
          <w:rFonts w:ascii="Verdana" w:hAnsi="Verdana"/>
          <w:bCs/>
          <w:sz w:val="16"/>
          <w:szCs w:val="16"/>
        </w:rPr>
        <w:t>uzyskiwanie nadwyżek dochodów nad wydatkami</w:t>
      </w:r>
      <w:r>
        <w:rPr>
          <w:rFonts w:ascii="Verdana" w:hAnsi="Verdana"/>
          <w:bCs/>
          <w:sz w:val="16"/>
          <w:szCs w:val="16"/>
        </w:rPr>
        <w:t xml:space="preserve"> </w:t>
      </w:r>
      <w:r w:rsidRPr="000A6485">
        <w:rPr>
          <w:rFonts w:ascii="Verdana" w:hAnsi="Verdana"/>
          <w:bCs/>
          <w:sz w:val="16"/>
          <w:szCs w:val="16"/>
        </w:rPr>
        <w:t xml:space="preserve">służących spłacie długu </w:t>
      </w:r>
      <w:r>
        <w:rPr>
          <w:rFonts w:ascii="Verdana" w:hAnsi="Verdana"/>
          <w:bCs/>
          <w:sz w:val="16"/>
          <w:szCs w:val="16"/>
        </w:rPr>
        <w:t>zaciągniętego do roku 2014 i w latach 2020-2021 oraz planowanego do zaciągnięcia w latach 2023-2027</w:t>
      </w:r>
      <w:r w:rsidRPr="000A6485">
        <w:rPr>
          <w:rFonts w:ascii="Verdana" w:hAnsi="Verdana"/>
          <w:bCs/>
          <w:sz w:val="16"/>
          <w:szCs w:val="16"/>
        </w:rPr>
        <w:t>.</w:t>
      </w:r>
    </w:p>
    <w:p w:rsidR="008A572A" w:rsidRPr="000A6485" w:rsidRDefault="008A572A" w:rsidP="008A572A">
      <w:pPr>
        <w:tabs>
          <w:tab w:val="left" w:pos="540"/>
        </w:tabs>
        <w:spacing w:before="120" w:after="60"/>
        <w:ind w:left="720" w:hanging="720"/>
        <w:rPr>
          <w:rFonts w:ascii="Verdana" w:hAnsi="Verdana" w:cs="Arial"/>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DB2126">
        <w:rPr>
          <w:rFonts w:ascii="Verdana" w:hAnsi="Verdana" w:cs="Arial"/>
          <w:b/>
          <w:bCs/>
          <w:noProof/>
          <w:sz w:val="14"/>
          <w:szCs w:val="14"/>
        </w:rPr>
        <w:t>11</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I WYDATKÓW W M.ST. WARSZAWA NA</w:t>
      </w:r>
      <w:r>
        <w:rPr>
          <w:rFonts w:ascii="Verdana" w:hAnsi="Verdana" w:cs="Arial"/>
          <w:b/>
          <w:bCs/>
          <w:sz w:val="14"/>
          <w:szCs w:val="14"/>
        </w:rPr>
        <w:t xml:space="preserve"> LATA </w:t>
      </w:r>
      <w:r w:rsidRPr="00932633">
        <w:rPr>
          <w:rFonts w:ascii="Verdana" w:hAnsi="Verdana" w:cs="Arial"/>
          <w:b/>
          <w:bCs/>
          <w:sz w:val="14"/>
          <w:szCs w:val="14"/>
        </w:rPr>
        <w:t>2023</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8A572A" w:rsidRPr="00542AAD" w:rsidRDefault="008A572A" w:rsidP="008A572A">
      <w:pPr>
        <w:tabs>
          <w:tab w:val="left" w:pos="709"/>
        </w:tabs>
        <w:spacing w:before="60" w:after="60"/>
        <w:ind w:left="709" w:hanging="709"/>
        <w:rPr>
          <w:rFonts w:ascii="Verdana" w:hAnsi="Verdana" w:cs="Arial"/>
          <w:b/>
          <w:bCs/>
          <w:sz w:val="16"/>
          <w:szCs w:val="16"/>
        </w:rPr>
      </w:pPr>
      <w:r>
        <w:rPr>
          <w:noProof/>
        </w:rPr>
        <w:drawing>
          <wp:inline distT="0" distB="0" distL="0" distR="0">
            <wp:extent cx="5745480" cy="2620645"/>
            <wp:effectExtent l="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5480" cy="2620645"/>
                    </a:xfrm>
                    <a:prstGeom prst="rect">
                      <a:avLst/>
                    </a:prstGeom>
                    <a:noFill/>
                    <a:ln>
                      <a:noFill/>
                    </a:ln>
                  </pic:spPr>
                </pic:pic>
              </a:graphicData>
            </a:graphic>
          </wp:inline>
        </w:drawing>
      </w:r>
      <w:r w:rsidRPr="000A6485">
        <w:rPr>
          <w:rFonts w:ascii="Verdana" w:hAnsi="Verdana" w:cs="Arial"/>
          <w:b/>
          <w:bCs/>
          <w:sz w:val="16"/>
          <w:szCs w:val="16"/>
        </w:rPr>
        <w:br/>
      </w:r>
      <w:r>
        <w:rPr>
          <w:rFonts w:ascii="Verdana" w:hAnsi="Verdana" w:cs="Arial"/>
          <w:b/>
          <w:bCs/>
          <w:sz w:val="14"/>
          <w:szCs w:val="14"/>
        </w:rPr>
        <w:br w:type="page"/>
      </w:r>
    </w:p>
    <w:p w:rsidR="008A572A" w:rsidRPr="000A6485" w:rsidRDefault="008A572A" w:rsidP="008A572A">
      <w:pPr>
        <w:tabs>
          <w:tab w:val="left" w:pos="709"/>
        </w:tabs>
        <w:spacing w:after="60" w:line="240" w:lineRule="auto"/>
        <w:ind w:left="720" w:hanging="720"/>
        <w:rPr>
          <w:rFonts w:ascii="Verdana" w:hAnsi="Verdana" w:cs="Arial"/>
          <w:b/>
          <w:bCs/>
          <w:sz w:val="14"/>
          <w:szCs w:val="14"/>
        </w:rPr>
      </w:pPr>
      <w:r w:rsidRPr="000A6485">
        <w:rPr>
          <w:rFonts w:ascii="Verdana" w:hAnsi="Verdana" w:cs="Arial"/>
          <w:b/>
          <w:bCs/>
          <w:sz w:val="14"/>
          <w:szCs w:val="14"/>
        </w:rPr>
        <w:lastRenderedPageBreak/>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DB2126">
        <w:rPr>
          <w:rFonts w:ascii="Verdana" w:hAnsi="Verdana" w:cs="Arial"/>
          <w:b/>
          <w:bCs/>
          <w:noProof/>
          <w:sz w:val="14"/>
          <w:szCs w:val="14"/>
        </w:rPr>
        <w:t>12</w:t>
      </w:r>
      <w:r w:rsidRPr="000A6485">
        <w:rPr>
          <w:rFonts w:ascii="Verdana" w:hAnsi="Verdana" w:cs="Arial"/>
          <w:b/>
          <w:bCs/>
          <w:sz w:val="14"/>
          <w:szCs w:val="14"/>
        </w:rPr>
        <w:fldChar w:fldCharType="end"/>
      </w:r>
      <w:r w:rsidRPr="000A6485">
        <w:rPr>
          <w:rFonts w:ascii="Verdana" w:hAnsi="Verdana" w:cs="Arial"/>
          <w:b/>
          <w:bCs/>
          <w:sz w:val="14"/>
          <w:szCs w:val="14"/>
        </w:rPr>
        <w:t xml:space="preserve">  PROGNOZA WYNIKU BUDŻETU </w:t>
      </w:r>
      <w:r>
        <w:rPr>
          <w:rFonts w:ascii="Verdana" w:hAnsi="Verdana" w:cs="Arial"/>
          <w:b/>
          <w:bCs/>
          <w:sz w:val="14"/>
          <w:szCs w:val="14"/>
        </w:rPr>
        <w:t xml:space="preserve">(DOCHODY – WYDATKI) </w:t>
      </w:r>
      <w:r w:rsidRPr="000A6485">
        <w:rPr>
          <w:rFonts w:ascii="Verdana" w:hAnsi="Verdana" w:cs="Arial"/>
          <w:b/>
          <w:bCs/>
          <w:sz w:val="14"/>
          <w:szCs w:val="14"/>
        </w:rPr>
        <w:t>W M.ST. WAR</w:t>
      </w:r>
      <w:r>
        <w:rPr>
          <w:rFonts w:ascii="Verdana" w:hAnsi="Verdana" w:cs="Arial"/>
          <w:b/>
          <w:bCs/>
          <w:sz w:val="14"/>
          <w:szCs w:val="14"/>
        </w:rPr>
        <w:t xml:space="preserve">SZAWA NA LATA </w:t>
      </w:r>
      <w:r w:rsidRPr="00932633">
        <w:rPr>
          <w:rFonts w:ascii="Verdana" w:hAnsi="Verdana" w:cs="Arial"/>
          <w:b/>
          <w:bCs/>
          <w:sz w:val="14"/>
          <w:szCs w:val="14"/>
        </w:rPr>
        <w:t>2023</w:t>
      </w:r>
      <w:r w:rsidRPr="000A6485">
        <w:rPr>
          <w:rFonts w:ascii="Verdana" w:hAnsi="Verdana" w:cs="Arial"/>
          <w:b/>
          <w:bCs/>
          <w:sz w:val="14"/>
          <w:szCs w:val="14"/>
        </w:rPr>
        <w:t xml:space="preserve">-2050 </w:t>
      </w:r>
      <w:r>
        <w:rPr>
          <w:rFonts w:ascii="Verdana" w:hAnsi="Verdana" w:cs="Arial"/>
          <w:b/>
          <w:bCs/>
          <w:sz w:val="14"/>
          <w:szCs w:val="14"/>
        </w:rPr>
        <w:br/>
      </w:r>
      <w:r>
        <w:rPr>
          <w:rFonts w:ascii="Verdana" w:hAnsi="Verdana" w:cs="Arial"/>
          <w:bCs/>
          <w:sz w:val="14"/>
          <w:szCs w:val="14"/>
        </w:rPr>
        <w:t xml:space="preserve">[w </w:t>
      </w:r>
      <w:r w:rsidRPr="000A6485">
        <w:rPr>
          <w:rFonts w:ascii="Verdana" w:hAnsi="Verdana" w:cs="Arial"/>
          <w:bCs/>
          <w:sz w:val="14"/>
          <w:szCs w:val="14"/>
        </w:rPr>
        <w:t>mln zł]</w:t>
      </w:r>
    </w:p>
    <w:p w:rsidR="008A572A" w:rsidRPr="000A6485" w:rsidRDefault="008A572A" w:rsidP="008A572A">
      <w:pPr>
        <w:tabs>
          <w:tab w:val="left" w:pos="709"/>
        </w:tabs>
        <w:spacing w:before="60" w:after="60"/>
        <w:ind w:left="709" w:hanging="709"/>
        <w:rPr>
          <w:noProof/>
        </w:rPr>
      </w:pPr>
      <w:r>
        <w:rPr>
          <w:noProof/>
        </w:rPr>
        <w:drawing>
          <wp:inline distT="0" distB="0" distL="0" distR="0">
            <wp:extent cx="5677535" cy="2988945"/>
            <wp:effectExtent l="0" t="0" r="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7535" cy="2988945"/>
                    </a:xfrm>
                    <a:prstGeom prst="rect">
                      <a:avLst/>
                    </a:prstGeom>
                    <a:noFill/>
                    <a:ln>
                      <a:noFill/>
                    </a:ln>
                  </pic:spPr>
                </pic:pic>
              </a:graphicData>
            </a:graphic>
          </wp:inline>
        </w:drawing>
      </w:r>
    </w:p>
    <w:p w:rsidR="008A572A" w:rsidRDefault="008A572A" w:rsidP="008A572A">
      <w:pPr>
        <w:spacing w:before="120" w:after="120"/>
        <w:jc w:val="both"/>
        <w:rPr>
          <w:rFonts w:ascii="Verdana" w:hAnsi="Verdana"/>
          <w:b/>
          <w:bCs/>
          <w:sz w:val="18"/>
          <w:szCs w:val="18"/>
        </w:rPr>
      </w:pPr>
    </w:p>
    <w:p w:rsidR="008A572A" w:rsidRPr="000A6485" w:rsidRDefault="008A572A" w:rsidP="008A572A">
      <w:pPr>
        <w:spacing w:before="120" w:after="120"/>
        <w:jc w:val="both"/>
        <w:rPr>
          <w:rFonts w:ascii="Verdana" w:hAnsi="Verdana"/>
          <w:bCs/>
          <w:sz w:val="16"/>
          <w:szCs w:val="16"/>
        </w:rPr>
      </w:pPr>
      <w:r w:rsidRPr="000A6485">
        <w:rPr>
          <w:rFonts w:ascii="Verdana" w:hAnsi="Verdana"/>
          <w:b/>
          <w:bCs/>
          <w:sz w:val="18"/>
          <w:szCs w:val="18"/>
        </w:rPr>
        <w:t>7.1.2 Program kredytowy</w:t>
      </w:r>
    </w:p>
    <w:p w:rsidR="008A572A" w:rsidRPr="00A61201" w:rsidRDefault="008A572A" w:rsidP="008A572A">
      <w:pPr>
        <w:spacing w:before="60" w:after="60"/>
        <w:jc w:val="both"/>
        <w:rPr>
          <w:rFonts w:ascii="Verdana" w:hAnsi="Verdana" w:cs="Verdana"/>
          <w:sz w:val="16"/>
          <w:szCs w:val="16"/>
        </w:rPr>
      </w:pPr>
      <w:r>
        <w:rPr>
          <w:rFonts w:ascii="Verdana" w:hAnsi="Verdana" w:cs="Verdana"/>
          <w:sz w:val="16"/>
          <w:szCs w:val="16"/>
        </w:rPr>
        <w:t>Negatywne konsekwencje dla budżetu m.st. Warszawy osłabienia aktywności gospodarczej w wyniku stanu pandemii nałożone na niekorzystane dla dochodów Miasta trwałe następstwa zmian legislacyjnych w zakresie podatku PIT i użytkowania wieczystego, w powiązaniu z koniecznością zapewnienia niezakłóconej kontynuacji programu inwestycyjnego w środowisku nasilonych zjawisk inflacyjnych</w:t>
      </w:r>
      <w:r>
        <w:rPr>
          <w:rFonts w:ascii="Verdana" w:hAnsi="Verdana"/>
          <w:bCs/>
          <w:sz w:val="16"/>
          <w:szCs w:val="16"/>
        </w:rPr>
        <w:t xml:space="preserve"> oraz </w:t>
      </w:r>
      <w:r w:rsidRPr="00A61201">
        <w:rPr>
          <w:rFonts w:ascii="Verdana" w:hAnsi="Verdana"/>
          <w:bCs/>
          <w:sz w:val="16"/>
          <w:szCs w:val="16"/>
        </w:rPr>
        <w:t xml:space="preserve">w warunkach zapadalności w </w:t>
      </w:r>
      <w:r>
        <w:rPr>
          <w:rFonts w:ascii="Verdana" w:hAnsi="Verdana"/>
          <w:bCs/>
          <w:sz w:val="16"/>
          <w:szCs w:val="16"/>
        </w:rPr>
        <w:t>latach 2025, 2028 i 2030</w:t>
      </w:r>
      <w:r w:rsidRPr="00A61201">
        <w:rPr>
          <w:rFonts w:ascii="Verdana" w:hAnsi="Verdana"/>
          <w:bCs/>
          <w:sz w:val="16"/>
          <w:szCs w:val="16"/>
        </w:rPr>
        <w:t xml:space="preserve"> terminów wykupu obligacji wyemitowanych w latach wcześniejszych z przeznaczeniem na wsparcie programu inwestycyjnego</w:t>
      </w:r>
      <w:r>
        <w:rPr>
          <w:rFonts w:ascii="Verdana" w:hAnsi="Verdana"/>
          <w:bCs/>
          <w:sz w:val="16"/>
          <w:szCs w:val="16"/>
        </w:rPr>
        <w:t>, w tym</w:t>
      </w:r>
      <w:r w:rsidRPr="00A61201">
        <w:rPr>
          <w:rFonts w:ascii="Verdana" w:hAnsi="Verdana"/>
          <w:bCs/>
          <w:sz w:val="16"/>
          <w:szCs w:val="16"/>
        </w:rPr>
        <w:t xml:space="preserve"> w okresie poprzedniej unijnej perspektywy finansowej obejmującej lata 2007-2013 oraz przy założeniu </w:t>
      </w:r>
      <w:r>
        <w:rPr>
          <w:rFonts w:ascii="Verdana" w:hAnsi="Verdana"/>
          <w:bCs/>
          <w:sz w:val="16"/>
          <w:szCs w:val="16"/>
        </w:rPr>
        <w:t>zapewnienia w ramach ograniczonych trwale dochodów na skutek zmian legislacyjnych</w:t>
      </w:r>
      <w:r w:rsidRPr="00A61201">
        <w:rPr>
          <w:rFonts w:ascii="Verdana" w:hAnsi="Verdana"/>
          <w:bCs/>
          <w:sz w:val="16"/>
          <w:szCs w:val="16"/>
        </w:rPr>
        <w:t xml:space="preserve"> </w:t>
      </w:r>
      <w:r>
        <w:rPr>
          <w:rFonts w:ascii="Verdana" w:hAnsi="Verdana"/>
          <w:bCs/>
          <w:sz w:val="16"/>
          <w:szCs w:val="16"/>
        </w:rPr>
        <w:t xml:space="preserve">możliwie wysokiego potencjału Miasta </w:t>
      </w:r>
      <w:r w:rsidRPr="00A61201">
        <w:rPr>
          <w:rFonts w:ascii="Verdana" w:hAnsi="Verdana"/>
          <w:bCs/>
          <w:sz w:val="16"/>
          <w:szCs w:val="16"/>
        </w:rPr>
        <w:t xml:space="preserve">do </w:t>
      </w:r>
      <w:r>
        <w:rPr>
          <w:rFonts w:ascii="Verdana" w:hAnsi="Verdana"/>
          <w:bCs/>
          <w:sz w:val="16"/>
          <w:szCs w:val="16"/>
        </w:rPr>
        <w:t>finansowania</w:t>
      </w:r>
      <w:r w:rsidRPr="00A61201">
        <w:rPr>
          <w:rFonts w:ascii="Verdana" w:hAnsi="Verdana"/>
          <w:bCs/>
          <w:sz w:val="16"/>
          <w:szCs w:val="16"/>
        </w:rPr>
        <w:t xml:space="preserve"> świadczonych usług na rzecz mieszkańców, wymagają adekwatnego czasowego zwiększenia zaangażowania zewnętrznego finansowania w postaci zwrotnych środków dłużnych.</w:t>
      </w:r>
    </w:p>
    <w:p w:rsidR="008A572A" w:rsidRDefault="008A572A" w:rsidP="008A572A">
      <w:pPr>
        <w:spacing w:before="60" w:after="60"/>
        <w:jc w:val="both"/>
        <w:rPr>
          <w:rFonts w:ascii="Verdana" w:hAnsi="Verdana" w:cs="Verdana"/>
          <w:sz w:val="16"/>
          <w:szCs w:val="16"/>
        </w:rPr>
      </w:pPr>
      <w:r w:rsidRPr="00A61201">
        <w:rPr>
          <w:rFonts w:ascii="Verdana" w:hAnsi="Verdana" w:cs="Verdana"/>
          <w:sz w:val="16"/>
          <w:szCs w:val="16"/>
        </w:rPr>
        <w:t>WPF</w:t>
      </w:r>
      <w:r>
        <w:rPr>
          <w:rFonts w:ascii="Verdana" w:hAnsi="Verdana" w:cs="Verdana"/>
          <w:sz w:val="16"/>
          <w:szCs w:val="16"/>
        </w:rPr>
        <w:t xml:space="preserve"> edycji </w:t>
      </w:r>
      <w:r w:rsidRPr="00932633">
        <w:rPr>
          <w:rFonts w:ascii="Verdana" w:eastAsiaTheme="minorEastAsia" w:hAnsi="Verdana" w:cs="Verdana"/>
          <w:color w:val="000000"/>
          <w:sz w:val="16"/>
          <w:szCs w:val="16"/>
        </w:rPr>
        <w:t>2023</w:t>
      </w:r>
      <w:r>
        <w:rPr>
          <w:rFonts w:ascii="Verdana" w:hAnsi="Verdana" w:cs="Verdana"/>
          <w:sz w:val="16"/>
          <w:szCs w:val="16"/>
        </w:rPr>
        <w:t>-2050 m.st. Warszawy</w:t>
      </w:r>
      <w:r w:rsidRPr="00A61201">
        <w:rPr>
          <w:rFonts w:ascii="Verdana" w:hAnsi="Verdana" w:cs="Verdana"/>
          <w:sz w:val="16"/>
          <w:szCs w:val="16"/>
        </w:rPr>
        <w:t xml:space="preserve"> w perspek</w:t>
      </w:r>
      <w:r>
        <w:rPr>
          <w:rFonts w:ascii="Verdana" w:hAnsi="Verdana" w:cs="Verdana"/>
          <w:sz w:val="16"/>
          <w:szCs w:val="16"/>
        </w:rPr>
        <w:t xml:space="preserve">tywie 2027 r. zakłada pozyskanie w formie środków dłużnych kwoty </w:t>
      </w:r>
      <w:r>
        <w:rPr>
          <w:rFonts w:ascii="Verdana" w:hAnsi="Verdana" w:cs="Verdana"/>
          <w:b/>
          <w:sz w:val="16"/>
          <w:szCs w:val="16"/>
        </w:rPr>
        <w:t>7,371</w:t>
      </w:r>
      <w:r w:rsidRPr="007E7D66">
        <w:rPr>
          <w:rFonts w:ascii="Verdana" w:hAnsi="Verdana" w:cs="Verdana"/>
          <w:b/>
          <w:sz w:val="16"/>
          <w:szCs w:val="16"/>
        </w:rPr>
        <w:t xml:space="preserve"> mld zł</w:t>
      </w:r>
      <w:r>
        <w:rPr>
          <w:rFonts w:ascii="Verdana" w:hAnsi="Verdana" w:cs="Verdana"/>
          <w:sz w:val="16"/>
          <w:szCs w:val="16"/>
        </w:rPr>
        <w:t xml:space="preserve">, z rozkładem w latach zaprezentowanym na poniższym wykresie nr 13. Jednocześnie do 2027 r. planowana jest spłata długu w łącznej kwocie </w:t>
      </w:r>
      <w:r>
        <w:rPr>
          <w:rFonts w:ascii="Verdana" w:hAnsi="Verdana" w:cs="Verdana"/>
          <w:b/>
          <w:sz w:val="16"/>
          <w:szCs w:val="16"/>
        </w:rPr>
        <w:t>1,768 mld zł</w:t>
      </w:r>
      <w:r>
        <w:rPr>
          <w:rFonts w:ascii="Verdana" w:hAnsi="Verdana" w:cs="Verdana"/>
          <w:sz w:val="16"/>
          <w:szCs w:val="16"/>
        </w:rPr>
        <w:t xml:space="preserve">. Tym samym dług w ujęciu netto w całym okresie programu kredytowego, tj. do 2027 r., przyrośnie o </w:t>
      </w:r>
      <w:r>
        <w:rPr>
          <w:rFonts w:ascii="Verdana" w:hAnsi="Verdana" w:cs="Verdana"/>
          <w:b/>
          <w:sz w:val="16"/>
          <w:szCs w:val="16"/>
        </w:rPr>
        <w:t xml:space="preserve">5,603 mld </w:t>
      </w:r>
      <w:r w:rsidRPr="00667710">
        <w:rPr>
          <w:rFonts w:ascii="Verdana" w:hAnsi="Verdana" w:cs="Verdana"/>
          <w:b/>
          <w:sz w:val="16"/>
          <w:szCs w:val="16"/>
        </w:rPr>
        <w:t>zł</w:t>
      </w:r>
      <w:r>
        <w:rPr>
          <w:rFonts w:ascii="Verdana" w:hAnsi="Verdana" w:cs="Verdana"/>
          <w:sz w:val="16"/>
          <w:szCs w:val="16"/>
        </w:rPr>
        <w:t xml:space="preserve"> (nowy dług w kwocie 7,371 mld zł pomniejszony o spłatę długu w kwocie 1,768 mld zł).</w:t>
      </w:r>
    </w:p>
    <w:p w:rsidR="008A572A" w:rsidRDefault="008A572A" w:rsidP="008A572A">
      <w:pPr>
        <w:autoSpaceDE w:val="0"/>
        <w:autoSpaceDN w:val="0"/>
        <w:adjustRightInd w:val="0"/>
        <w:spacing w:before="60" w:after="60"/>
        <w:jc w:val="both"/>
        <w:rPr>
          <w:rFonts w:ascii="Verdana" w:hAnsi="Verdana" w:cs="Verdana"/>
          <w:sz w:val="16"/>
          <w:szCs w:val="16"/>
        </w:rPr>
      </w:pPr>
      <w:r w:rsidRPr="00D162B5">
        <w:rPr>
          <w:rFonts w:ascii="Verdana" w:hAnsi="Verdana" w:cs="Verdana"/>
          <w:sz w:val="16"/>
          <w:szCs w:val="16"/>
        </w:rPr>
        <w:t xml:space="preserve">W ramach programu kredytowego uwzględniono dofinansowanie w formie </w:t>
      </w:r>
      <w:r>
        <w:rPr>
          <w:rFonts w:ascii="Verdana" w:hAnsi="Verdana" w:cs="Verdana"/>
          <w:sz w:val="16"/>
          <w:szCs w:val="16"/>
        </w:rPr>
        <w:t>pożyczek:</w:t>
      </w:r>
    </w:p>
    <w:p w:rsidR="008A572A" w:rsidRPr="00770C9D" w:rsidRDefault="008A572A" w:rsidP="008A572A">
      <w:pPr>
        <w:pStyle w:val="Akapitzlist"/>
        <w:numPr>
          <w:ilvl w:val="0"/>
          <w:numId w:val="72"/>
        </w:numPr>
        <w:autoSpaceDE w:val="0"/>
        <w:autoSpaceDN w:val="0"/>
        <w:adjustRightInd w:val="0"/>
        <w:spacing w:before="60" w:after="60"/>
        <w:ind w:left="426" w:hanging="284"/>
        <w:jc w:val="both"/>
        <w:rPr>
          <w:rFonts w:ascii="Verdana" w:hAnsi="Verdana" w:cs="Verdana"/>
          <w:sz w:val="16"/>
          <w:szCs w:val="16"/>
        </w:rPr>
      </w:pPr>
      <w:r w:rsidRPr="00770C9D">
        <w:rPr>
          <w:rFonts w:ascii="Verdana" w:hAnsi="Verdana" w:cs="Verdana"/>
          <w:sz w:val="16"/>
          <w:szCs w:val="16"/>
        </w:rPr>
        <w:t>z Narodowego Funduszu Ochrony Środowiska i Gospodarki Wodnej do następujących zadań:</w:t>
      </w:r>
    </w:p>
    <w:p w:rsidR="008A572A" w:rsidRPr="00D162B5" w:rsidRDefault="008A572A" w:rsidP="008A572A">
      <w:pPr>
        <w:pStyle w:val="Akapitzlist"/>
        <w:numPr>
          <w:ilvl w:val="0"/>
          <w:numId w:val="57"/>
        </w:numPr>
        <w:autoSpaceDE w:val="0"/>
        <w:autoSpaceDN w:val="0"/>
        <w:adjustRightInd w:val="0"/>
        <w:spacing w:before="60" w:after="60"/>
        <w:ind w:left="851" w:hanging="284"/>
        <w:contextualSpacing w:val="0"/>
        <w:jc w:val="both"/>
        <w:rPr>
          <w:rFonts w:ascii="Verdana" w:hAnsi="Verdana" w:cs="Verdana"/>
          <w:sz w:val="16"/>
          <w:szCs w:val="16"/>
        </w:rPr>
      </w:pPr>
      <w:r w:rsidRPr="00D162B5">
        <w:rPr>
          <w:rFonts w:ascii="Verdana" w:hAnsi="Verdana" w:cs="Verdana"/>
          <w:sz w:val="16"/>
          <w:szCs w:val="16"/>
        </w:rPr>
        <w:t>"</w:t>
      </w:r>
      <w:r>
        <w:rPr>
          <w:rFonts w:ascii="Verdana" w:hAnsi="Verdana" w:cs="Verdana"/>
          <w:sz w:val="16"/>
          <w:szCs w:val="16"/>
        </w:rPr>
        <w:t>EKO</w:t>
      </w:r>
      <w:r w:rsidRPr="00D162B5">
        <w:rPr>
          <w:rFonts w:ascii="Verdana" w:hAnsi="Verdana" w:cs="Verdana"/>
          <w:sz w:val="16"/>
          <w:szCs w:val="16"/>
        </w:rPr>
        <w:t xml:space="preserve"> P+R Połczyńska" - pożyczka w kwocie 10.000.000 zł w latach 2023-2024 z planowaną spłatą </w:t>
      </w:r>
      <w:r>
        <w:rPr>
          <w:rFonts w:ascii="Verdana" w:hAnsi="Verdana" w:cs="Verdana"/>
          <w:sz w:val="16"/>
          <w:szCs w:val="16"/>
        </w:rPr>
        <w:br/>
      </w:r>
      <w:r w:rsidRPr="00D162B5">
        <w:rPr>
          <w:rFonts w:ascii="Verdana" w:hAnsi="Verdana" w:cs="Verdana"/>
          <w:sz w:val="16"/>
          <w:szCs w:val="16"/>
        </w:rPr>
        <w:t>w latach 2025-2038,</w:t>
      </w:r>
    </w:p>
    <w:p w:rsidR="008A572A" w:rsidRDefault="008A572A" w:rsidP="008A572A">
      <w:pPr>
        <w:pStyle w:val="Akapitzlist"/>
        <w:numPr>
          <w:ilvl w:val="0"/>
          <w:numId w:val="57"/>
        </w:numPr>
        <w:autoSpaceDE w:val="0"/>
        <w:autoSpaceDN w:val="0"/>
        <w:adjustRightInd w:val="0"/>
        <w:spacing w:before="60" w:after="60"/>
        <w:ind w:left="851" w:hanging="284"/>
        <w:contextualSpacing w:val="0"/>
        <w:jc w:val="both"/>
        <w:rPr>
          <w:rFonts w:ascii="Verdana" w:hAnsi="Verdana" w:cs="Verdana"/>
          <w:sz w:val="16"/>
          <w:szCs w:val="16"/>
        </w:rPr>
      </w:pPr>
      <w:r w:rsidRPr="00D162B5">
        <w:rPr>
          <w:rFonts w:ascii="Verdana" w:hAnsi="Verdana" w:cs="Verdana"/>
          <w:sz w:val="16"/>
          <w:szCs w:val="16"/>
        </w:rPr>
        <w:t xml:space="preserve">"Zakup 12 autobusów niskoemisyjnych dla m.st. Warszawy" - pożyczka w kwocie 24.960.000 zł </w:t>
      </w:r>
      <w:r>
        <w:rPr>
          <w:rFonts w:ascii="Verdana" w:hAnsi="Verdana" w:cs="Verdana"/>
          <w:sz w:val="16"/>
          <w:szCs w:val="16"/>
        </w:rPr>
        <w:br/>
      </w:r>
      <w:r w:rsidRPr="00D162B5">
        <w:rPr>
          <w:rFonts w:ascii="Verdana" w:hAnsi="Verdana" w:cs="Verdana"/>
          <w:sz w:val="16"/>
          <w:szCs w:val="16"/>
        </w:rPr>
        <w:t>w latach 2024-2025 z plan</w:t>
      </w:r>
      <w:r>
        <w:rPr>
          <w:rFonts w:ascii="Verdana" w:hAnsi="Verdana" w:cs="Verdana"/>
          <w:sz w:val="16"/>
          <w:szCs w:val="16"/>
        </w:rPr>
        <w:t>owaną spłatą w latach 2026-2036;</w:t>
      </w:r>
    </w:p>
    <w:p w:rsidR="008A572A" w:rsidRPr="00770C9D" w:rsidRDefault="008A572A" w:rsidP="008A572A">
      <w:pPr>
        <w:pStyle w:val="Akapitzlist"/>
        <w:numPr>
          <w:ilvl w:val="0"/>
          <w:numId w:val="72"/>
        </w:numPr>
        <w:autoSpaceDE w:val="0"/>
        <w:autoSpaceDN w:val="0"/>
        <w:adjustRightInd w:val="0"/>
        <w:spacing w:before="60" w:after="60"/>
        <w:ind w:left="426" w:hanging="284"/>
        <w:jc w:val="both"/>
        <w:rPr>
          <w:rFonts w:ascii="Verdana" w:hAnsi="Verdana" w:cs="Verdana"/>
          <w:sz w:val="16"/>
          <w:szCs w:val="16"/>
        </w:rPr>
      </w:pPr>
      <w:r w:rsidRPr="00770C9D">
        <w:rPr>
          <w:rFonts w:ascii="Verdana" w:hAnsi="Verdana" w:cs="Verdana"/>
          <w:sz w:val="16"/>
          <w:szCs w:val="16"/>
        </w:rPr>
        <w:t xml:space="preserve">z </w:t>
      </w:r>
      <w:r>
        <w:rPr>
          <w:rFonts w:ascii="Verdana" w:hAnsi="Verdana" w:cs="Verdana"/>
          <w:sz w:val="16"/>
          <w:szCs w:val="16"/>
        </w:rPr>
        <w:t>Wojewódzkiego</w:t>
      </w:r>
      <w:r w:rsidRPr="00770C9D">
        <w:rPr>
          <w:rFonts w:ascii="Verdana" w:hAnsi="Verdana" w:cs="Verdana"/>
          <w:sz w:val="16"/>
          <w:szCs w:val="16"/>
        </w:rPr>
        <w:t xml:space="preserve"> Funduszu Ochrony Środowiska i Gospodarki Wodnej </w:t>
      </w:r>
      <w:r>
        <w:rPr>
          <w:rFonts w:ascii="Verdana" w:hAnsi="Verdana" w:cs="Verdana"/>
          <w:sz w:val="16"/>
          <w:szCs w:val="16"/>
        </w:rPr>
        <w:t>w Warszawie do zadania</w:t>
      </w:r>
      <w:r w:rsidRPr="00770C9D">
        <w:rPr>
          <w:rFonts w:ascii="Verdana" w:hAnsi="Verdana" w:cs="Verdana"/>
          <w:sz w:val="16"/>
          <w:szCs w:val="16"/>
        </w:rPr>
        <w:t>:</w:t>
      </w:r>
    </w:p>
    <w:p w:rsidR="008A572A" w:rsidRPr="00770C9D" w:rsidRDefault="008A572A" w:rsidP="008A572A">
      <w:pPr>
        <w:autoSpaceDE w:val="0"/>
        <w:autoSpaceDN w:val="0"/>
        <w:adjustRightInd w:val="0"/>
        <w:spacing w:before="60" w:after="60"/>
        <w:jc w:val="both"/>
        <w:rPr>
          <w:rFonts w:ascii="Verdana" w:hAnsi="Verdana" w:cs="Verdana"/>
          <w:sz w:val="16"/>
          <w:szCs w:val="16"/>
        </w:rPr>
      </w:pPr>
    </w:p>
    <w:p w:rsidR="008A572A" w:rsidRPr="00770C9D" w:rsidRDefault="008A572A" w:rsidP="008A572A">
      <w:pPr>
        <w:pStyle w:val="Akapitzlist"/>
        <w:numPr>
          <w:ilvl w:val="0"/>
          <w:numId w:val="57"/>
        </w:numPr>
        <w:autoSpaceDE w:val="0"/>
        <w:autoSpaceDN w:val="0"/>
        <w:adjustRightInd w:val="0"/>
        <w:spacing w:before="60" w:after="60"/>
        <w:ind w:left="851" w:hanging="284"/>
        <w:contextualSpacing w:val="0"/>
        <w:jc w:val="both"/>
        <w:rPr>
          <w:rFonts w:ascii="Verdana" w:hAnsi="Verdana" w:cs="Verdana"/>
          <w:sz w:val="16"/>
          <w:szCs w:val="16"/>
        </w:rPr>
      </w:pPr>
      <w:r>
        <w:rPr>
          <w:rFonts w:ascii="Verdana" w:hAnsi="Verdana" w:cs="Verdana"/>
          <w:sz w:val="16"/>
          <w:szCs w:val="16"/>
        </w:rPr>
        <w:lastRenderedPageBreak/>
        <w:t>modernizacja</w:t>
      </w:r>
      <w:r w:rsidRPr="00770C9D">
        <w:rPr>
          <w:rFonts w:ascii="Verdana" w:hAnsi="Verdana" w:cs="Verdana"/>
          <w:sz w:val="16"/>
          <w:szCs w:val="16"/>
        </w:rPr>
        <w:t xml:space="preserve"> Węzła Komunikacyjnego Młociny w ramach Programu pn. "Zadania z zakresu ochrony powietrza"</w:t>
      </w:r>
      <w:r w:rsidRPr="00D162B5">
        <w:rPr>
          <w:rFonts w:ascii="Verdana" w:hAnsi="Verdana" w:cs="Verdana"/>
          <w:sz w:val="16"/>
          <w:szCs w:val="16"/>
        </w:rPr>
        <w:t xml:space="preserve"> - pożyczka w kwocie </w:t>
      </w:r>
      <w:r>
        <w:rPr>
          <w:rFonts w:ascii="Verdana" w:hAnsi="Verdana" w:cs="Verdana"/>
          <w:sz w:val="16"/>
          <w:szCs w:val="16"/>
        </w:rPr>
        <w:t>8.205</w:t>
      </w:r>
      <w:r w:rsidRPr="00D162B5">
        <w:rPr>
          <w:rFonts w:ascii="Verdana" w:hAnsi="Verdana" w:cs="Verdana"/>
          <w:sz w:val="16"/>
          <w:szCs w:val="16"/>
        </w:rPr>
        <w:t>.000 zł w latac</w:t>
      </w:r>
      <w:r>
        <w:rPr>
          <w:rFonts w:ascii="Verdana" w:hAnsi="Verdana" w:cs="Verdana"/>
          <w:sz w:val="16"/>
          <w:szCs w:val="16"/>
        </w:rPr>
        <w:t>h 2023</w:t>
      </w:r>
      <w:r w:rsidRPr="00D162B5">
        <w:rPr>
          <w:rFonts w:ascii="Verdana" w:hAnsi="Verdana" w:cs="Verdana"/>
          <w:sz w:val="16"/>
          <w:szCs w:val="16"/>
        </w:rPr>
        <w:t>-2025 z plan</w:t>
      </w:r>
      <w:r>
        <w:rPr>
          <w:rFonts w:ascii="Verdana" w:hAnsi="Verdana" w:cs="Verdana"/>
          <w:sz w:val="16"/>
          <w:szCs w:val="16"/>
        </w:rPr>
        <w:t>owaną spłatą w latach 2025-2039.</w:t>
      </w:r>
    </w:p>
    <w:p w:rsidR="008A572A" w:rsidRPr="000A6485" w:rsidRDefault="008A572A" w:rsidP="008A572A">
      <w:pPr>
        <w:tabs>
          <w:tab w:val="left" w:pos="540"/>
        </w:tabs>
        <w:spacing w:before="120" w:after="120" w:line="240" w:lineRule="auto"/>
        <w:ind w:left="720" w:hanging="720"/>
        <w:rPr>
          <w:rFonts w:ascii="Verdana" w:hAnsi="Verdana" w:cs="Arial"/>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DB2126">
        <w:rPr>
          <w:rFonts w:ascii="Verdana" w:hAnsi="Verdana" w:cs="Arial"/>
          <w:b/>
          <w:bCs/>
          <w:noProof/>
          <w:sz w:val="14"/>
          <w:szCs w:val="14"/>
        </w:rPr>
        <w:t>13</w:t>
      </w:r>
      <w:r w:rsidRPr="000A6485">
        <w:rPr>
          <w:rFonts w:ascii="Verdana" w:hAnsi="Verdana" w:cs="Arial"/>
          <w:b/>
          <w:bCs/>
          <w:sz w:val="14"/>
          <w:szCs w:val="14"/>
        </w:rPr>
        <w:fldChar w:fldCharType="end"/>
      </w:r>
      <w:r w:rsidRPr="000A6485">
        <w:rPr>
          <w:rFonts w:ascii="Verdana" w:hAnsi="Verdana" w:cs="Arial"/>
          <w:b/>
          <w:bCs/>
          <w:sz w:val="14"/>
          <w:szCs w:val="14"/>
        </w:rPr>
        <w:t xml:space="preserve">  PROGNOZA NOWEGO DŁUGU I SPŁATY DŁUGU W M.ST. WARSZAWA NA LATA </w:t>
      </w:r>
      <w:r w:rsidRPr="00932633">
        <w:rPr>
          <w:rFonts w:ascii="Verdana" w:hAnsi="Verdana" w:cs="Arial"/>
          <w:b/>
          <w:bCs/>
          <w:sz w:val="14"/>
          <w:szCs w:val="14"/>
        </w:rPr>
        <w:t>2023</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8A572A" w:rsidRPr="000A6485" w:rsidRDefault="008A572A" w:rsidP="008A572A">
      <w:pPr>
        <w:spacing w:before="120" w:after="120"/>
        <w:jc w:val="both"/>
        <w:rPr>
          <w:rFonts w:ascii="Verdana" w:hAnsi="Verdana" w:cs="Arial"/>
          <w:b/>
          <w:bCs/>
          <w:noProof/>
          <w:sz w:val="16"/>
          <w:szCs w:val="16"/>
        </w:rPr>
      </w:pPr>
      <w:r>
        <w:rPr>
          <w:noProof/>
        </w:rPr>
        <w:drawing>
          <wp:inline distT="0" distB="0" distL="0" distR="0">
            <wp:extent cx="5759450" cy="2988945"/>
            <wp:effectExtent l="0" t="0" r="0" b="0"/>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2988945"/>
                    </a:xfrm>
                    <a:prstGeom prst="rect">
                      <a:avLst/>
                    </a:prstGeom>
                    <a:noFill/>
                    <a:ln>
                      <a:noFill/>
                    </a:ln>
                  </pic:spPr>
                </pic:pic>
              </a:graphicData>
            </a:graphic>
          </wp:inline>
        </w:drawing>
      </w:r>
    </w:p>
    <w:p w:rsidR="008A572A" w:rsidRPr="000A6485" w:rsidRDefault="008A572A" w:rsidP="008A572A">
      <w:pPr>
        <w:spacing w:before="240" w:after="240"/>
        <w:jc w:val="both"/>
        <w:rPr>
          <w:rFonts w:ascii="Verdana" w:hAnsi="Verdana"/>
          <w:bCs/>
          <w:sz w:val="16"/>
          <w:szCs w:val="16"/>
        </w:rPr>
      </w:pPr>
      <w:r w:rsidRPr="000A6485">
        <w:rPr>
          <w:rFonts w:ascii="Verdana" w:hAnsi="Verdana"/>
          <w:b/>
          <w:bCs/>
          <w:sz w:val="18"/>
          <w:szCs w:val="18"/>
        </w:rPr>
        <w:t>7.1.3 Zadłużenie</w:t>
      </w:r>
    </w:p>
    <w:p w:rsidR="008A572A" w:rsidRPr="000A6485" w:rsidRDefault="008A572A" w:rsidP="008A572A">
      <w:pPr>
        <w:spacing w:before="60" w:after="60"/>
        <w:jc w:val="both"/>
        <w:rPr>
          <w:rFonts w:ascii="Verdana" w:hAnsi="Verdana"/>
          <w:bCs/>
          <w:sz w:val="16"/>
          <w:szCs w:val="16"/>
        </w:rPr>
      </w:pPr>
      <w:r>
        <w:rPr>
          <w:rFonts w:ascii="Verdana" w:hAnsi="Verdana"/>
          <w:bCs/>
          <w:sz w:val="16"/>
          <w:szCs w:val="16"/>
        </w:rPr>
        <w:t>W</w:t>
      </w:r>
      <w:r w:rsidRPr="000A6485">
        <w:rPr>
          <w:rFonts w:ascii="Verdana" w:hAnsi="Verdana"/>
          <w:bCs/>
          <w:sz w:val="16"/>
          <w:szCs w:val="16"/>
        </w:rPr>
        <w:t xml:space="preserve"> latach 20</w:t>
      </w:r>
      <w:r>
        <w:rPr>
          <w:rFonts w:ascii="Verdana" w:hAnsi="Verdana"/>
          <w:bCs/>
          <w:sz w:val="16"/>
          <w:szCs w:val="16"/>
        </w:rPr>
        <w:t>23-2027</w:t>
      </w:r>
      <w:r w:rsidRPr="000A6485">
        <w:rPr>
          <w:rFonts w:ascii="Verdana" w:hAnsi="Verdana"/>
          <w:bCs/>
          <w:sz w:val="16"/>
          <w:szCs w:val="16"/>
        </w:rPr>
        <w:t xml:space="preserve"> w formie kredytów, pożyczek lub obligacji planuje się pozyskać finansowanie zwrotne </w:t>
      </w:r>
      <w:r>
        <w:rPr>
          <w:rFonts w:ascii="Verdana" w:hAnsi="Verdana"/>
          <w:bCs/>
          <w:sz w:val="16"/>
          <w:szCs w:val="16"/>
        </w:rPr>
        <w:br/>
      </w:r>
      <w:r w:rsidRPr="000A6485">
        <w:rPr>
          <w:rFonts w:ascii="Verdana" w:hAnsi="Verdana"/>
          <w:bCs/>
          <w:sz w:val="16"/>
          <w:szCs w:val="16"/>
        </w:rPr>
        <w:t xml:space="preserve">w łącznej wysokości </w:t>
      </w:r>
      <w:r>
        <w:rPr>
          <w:rFonts w:ascii="Verdana" w:hAnsi="Verdana"/>
          <w:b/>
          <w:bCs/>
          <w:sz w:val="16"/>
          <w:szCs w:val="16"/>
        </w:rPr>
        <w:t>7,371</w:t>
      </w:r>
      <w:r w:rsidRPr="000A6485">
        <w:rPr>
          <w:rFonts w:ascii="Verdana" w:hAnsi="Verdana"/>
          <w:b/>
          <w:bCs/>
          <w:sz w:val="16"/>
          <w:szCs w:val="16"/>
        </w:rPr>
        <w:t xml:space="preserve"> mld zł</w:t>
      </w:r>
      <w:r w:rsidRPr="000A6485">
        <w:rPr>
          <w:rFonts w:ascii="Verdana" w:hAnsi="Verdana"/>
          <w:bCs/>
          <w:sz w:val="16"/>
          <w:szCs w:val="16"/>
        </w:rPr>
        <w:t>. Przewiduje się, że wsparcie programu inwestycyjnego instrumentami dłużnymi zwiększy maksymalny poziom zadłużenia m.st. Warszawy do</w:t>
      </w:r>
      <w:r>
        <w:rPr>
          <w:rFonts w:ascii="Verdana" w:hAnsi="Verdana"/>
          <w:bCs/>
          <w:sz w:val="16"/>
          <w:szCs w:val="16"/>
        </w:rPr>
        <w:t xml:space="preserve"> wartości</w:t>
      </w:r>
      <w:r w:rsidRPr="000A6485">
        <w:rPr>
          <w:rFonts w:ascii="Verdana" w:hAnsi="Verdana"/>
          <w:bCs/>
          <w:sz w:val="16"/>
          <w:szCs w:val="16"/>
        </w:rPr>
        <w:t xml:space="preserve"> </w:t>
      </w:r>
      <w:r>
        <w:rPr>
          <w:rFonts w:ascii="Verdana" w:hAnsi="Verdana"/>
          <w:b/>
          <w:bCs/>
          <w:sz w:val="16"/>
          <w:szCs w:val="16"/>
        </w:rPr>
        <w:t>10,911</w:t>
      </w:r>
      <w:r w:rsidRPr="000A6485">
        <w:rPr>
          <w:rFonts w:ascii="Verdana" w:hAnsi="Verdana"/>
          <w:b/>
          <w:bCs/>
          <w:sz w:val="16"/>
          <w:szCs w:val="16"/>
        </w:rPr>
        <w:t xml:space="preserve"> mld zł</w:t>
      </w:r>
      <w:r w:rsidRPr="000A6485">
        <w:rPr>
          <w:rFonts w:ascii="Verdana" w:hAnsi="Verdana"/>
          <w:bCs/>
          <w:sz w:val="16"/>
          <w:szCs w:val="16"/>
        </w:rPr>
        <w:t xml:space="preserve"> w 202</w:t>
      </w:r>
      <w:r>
        <w:rPr>
          <w:rFonts w:ascii="Verdana" w:hAnsi="Verdana"/>
          <w:bCs/>
          <w:sz w:val="16"/>
          <w:szCs w:val="16"/>
        </w:rPr>
        <w:t>6</w:t>
      </w:r>
      <w:r w:rsidRPr="000A6485">
        <w:rPr>
          <w:rFonts w:ascii="Verdana" w:hAnsi="Verdana"/>
          <w:bCs/>
          <w:sz w:val="16"/>
          <w:szCs w:val="16"/>
        </w:rPr>
        <w:t xml:space="preserve"> r.</w:t>
      </w:r>
    </w:p>
    <w:p w:rsidR="008A572A" w:rsidRPr="000A6485" w:rsidRDefault="008A572A" w:rsidP="008A572A">
      <w:pPr>
        <w:spacing w:before="60" w:after="60"/>
        <w:jc w:val="both"/>
        <w:rPr>
          <w:rFonts w:ascii="Verdana" w:hAnsi="Verdana"/>
          <w:bCs/>
          <w:sz w:val="16"/>
          <w:szCs w:val="16"/>
        </w:rPr>
      </w:pPr>
      <w:r w:rsidRPr="000A6485">
        <w:rPr>
          <w:rFonts w:ascii="Verdana" w:hAnsi="Verdana"/>
          <w:bCs/>
          <w:sz w:val="16"/>
          <w:szCs w:val="16"/>
        </w:rPr>
        <w:t>Zakłada się sukcesywną spłatę dotychczasowego i przewidywanego</w:t>
      </w:r>
      <w:r>
        <w:rPr>
          <w:rFonts w:ascii="Verdana" w:hAnsi="Verdana"/>
          <w:bCs/>
          <w:sz w:val="16"/>
          <w:szCs w:val="16"/>
        </w:rPr>
        <w:t xml:space="preserve"> do zaciągnięcia</w:t>
      </w:r>
      <w:r w:rsidRPr="000A6485">
        <w:rPr>
          <w:rFonts w:ascii="Verdana" w:hAnsi="Verdana"/>
          <w:bCs/>
          <w:sz w:val="16"/>
          <w:szCs w:val="16"/>
        </w:rPr>
        <w:t xml:space="preserve"> długu, aż do jego całkowitej redukcji w perspektywie 2050 r., co prezentuje wykres nr </w:t>
      </w:r>
      <w:r>
        <w:rPr>
          <w:rFonts w:ascii="Verdana" w:hAnsi="Verdana"/>
          <w:bCs/>
          <w:sz w:val="16"/>
          <w:szCs w:val="16"/>
        </w:rPr>
        <w:t>14.</w:t>
      </w:r>
    </w:p>
    <w:p w:rsidR="008A572A" w:rsidRPr="000A6485" w:rsidRDefault="008A572A" w:rsidP="008A572A">
      <w:pPr>
        <w:tabs>
          <w:tab w:val="left" w:pos="540"/>
        </w:tabs>
        <w:spacing w:before="60" w:after="60" w:line="240" w:lineRule="auto"/>
        <w:ind w:left="720" w:hanging="720"/>
        <w:rPr>
          <w:rFonts w:ascii="Verdana" w:hAnsi="Verdana" w:cs="Arial"/>
          <w:b/>
          <w:bCs/>
          <w:sz w:val="14"/>
          <w:szCs w:val="14"/>
        </w:rPr>
      </w:pPr>
    </w:p>
    <w:p w:rsidR="008A572A" w:rsidRPr="000A6485" w:rsidRDefault="008A572A" w:rsidP="008A572A">
      <w:pPr>
        <w:tabs>
          <w:tab w:val="left" w:pos="540"/>
        </w:tabs>
        <w:spacing w:before="60" w:after="60" w:line="240" w:lineRule="auto"/>
        <w:ind w:left="720" w:hanging="720"/>
        <w:rPr>
          <w:rFonts w:ascii="Verdana" w:hAnsi="Verdana" w:cs="Arial"/>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DB2126">
        <w:rPr>
          <w:rFonts w:ascii="Verdana" w:hAnsi="Verdana" w:cs="Arial"/>
          <w:b/>
          <w:bCs/>
          <w:noProof/>
          <w:sz w:val="14"/>
          <w:szCs w:val="14"/>
        </w:rPr>
        <w:t>14</w:t>
      </w:r>
      <w:r w:rsidRPr="000A6485">
        <w:rPr>
          <w:rFonts w:ascii="Verdana" w:hAnsi="Verdana" w:cs="Arial"/>
          <w:b/>
          <w:bCs/>
          <w:sz w:val="14"/>
          <w:szCs w:val="14"/>
        </w:rPr>
        <w:fldChar w:fldCharType="end"/>
      </w:r>
      <w:r w:rsidRPr="000A6485">
        <w:rPr>
          <w:rFonts w:ascii="Verdana" w:hAnsi="Verdana" w:cs="Arial"/>
          <w:b/>
          <w:bCs/>
          <w:sz w:val="14"/>
          <w:szCs w:val="14"/>
        </w:rPr>
        <w:t xml:space="preserve">  PROGNOZA STANU ZADŁUŻEN</w:t>
      </w:r>
      <w:r>
        <w:rPr>
          <w:rFonts w:ascii="Verdana" w:hAnsi="Verdana" w:cs="Arial"/>
          <w:b/>
          <w:bCs/>
          <w:sz w:val="14"/>
          <w:szCs w:val="14"/>
        </w:rPr>
        <w:t xml:space="preserve">IA NA KONIEC ROKU W M.ST. WARSZAWA NA LATA </w:t>
      </w:r>
      <w:r w:rsidRPr="00932633">
        <w:rPr>
          <w:rFonts w:ascii="Verdana" w:hAnsi="Verdana" w:cs="Arial"/>
          <w:b/>
          <w:bCs/>
          <w:sz w:val="14"/>
          <w:szCs w:val="14"/>
        </w:rPr>
        <w:t>2023</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8A572A" w:rsidRDefault="008A572A" w:rsidP="008A572A">
      <w:pPr>
        <w:spacing w:before="120" w:after="120"/>
        <w:jc w:val="both"/>
        <w:rPr>
          <w:rFonts w:ascii="Verdana" w:hAnsi="Verdana"/>
          <w:bCs/>
          <w:sz w:val="16"/>
          <w:szCs w:val="16"/>
        </w:rPr>
      </w:pPr>
      <w:r>
        <w:rPr>
          <w:rFonts w:ascii="Verdana" w:hAnsi="Verdana" w:cs="Arial"/>
          <w:b/>
          <w:bCs/>
          <w:noProof/>
          <w:sz w:val="16"/>
          <w:szCs w:val="16"/>
        </w:rPr>
        <w:drawing>
          <wp:inline distT="0" distB="0" distL="0" distR="0">
            <wp:extent cx="5690870" cy="2947670"/>
            <wp:effectExtent l="0" t="0" r="0" b="0"/>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0870" cy="2947670"/>
                    </a:xfrm>
                    <a:prstGeom prst="rect">
                      <a:avLst/>
                    </a:prstGeom>
                    <a:noFill/>
                    <a:ln>
                      <a:noFill/>
                    </a:ln>
                  </pic:spPr>
                </pic:pic>
              </a:graphicData>
            </a:graphic>
          </wp:inline>
        </w:drawing>
      </w:r>
      <w:r>
        <w:rPr>
          <w:rFonts w:ascii="Verdana" w:hAnsi="Verdana"/>
          <w:bCs/>
          <w:sz w:val="16"/>
          <w:szCs w:val="16"/>
        </w:rPr>
        <w:br w:type="page"/>
      </w:r>
    </w:p>
    <w:p w:rsidR="008A572A" w:rsidRDefault="008A572A" w:rsidP="008A572A">
      <w:pPr>
        <w:spacing w:before="120" w:after="60"/>
        <w:jc w:val="both"/>
        <w:rPr>
          <w:rFonts w:ascii="Verdana" w:hAnsi="Verdana" w:cs="Arial"/>
          <w:b/>
          <w:bCs/>
          <w:sz w:val="14"/>
          <w:szCs w:val="14"/>
        </w:rPr>
      </w:pPr>
      <w:r>
        <w:rPr>
          <w:rFonts w:ascii="Verdana" w:hAnsi="Verdana"/>
          <w:bCs/>
          <w:sz w:val="16"/>
          <w:szCs w:val="16"/>
        </w:rPr>
        <w:lastRenderedPageBreak/>
        <w:t>Zakłada się, ż</w:t>
      </w:r>
      <w:r w:rsidRPr="000A6485">
        <w:rPr>
          <w:rFonts w:ascii="Verdana" w:hAnsi="Verdana"/>
          <w:bCs/>
          <w:sz w:val="16"/>
          <w:szCs w:val="16"/>
        </w:rPr>
        <w:t xml:space="preserve">e prognozowany poziom zadłużenia mierzony relacją do dochodów </w:t>
      </w:r>
      <w:r>
        <w:rPr>
          <w:rFonts w:ascii="Verdana" w:hAnsi="Verdana"/>
          <w:bCs/>
          <w:sz w:val="16"/>
          <w:szCs w:val="16"/>
        </w:rPr>
        <w:t xml:space="preserve">ogółem </w:t>
      </w:r>
      <w:r w:rsidRPr="000A6485">
        <w:rPr>
          <w:rFonts w:ascii="Verdana" w:hAnsi="Verdana"/>
          <w:bCs/>
          <w:sz w:val="16"/>
          <w:szCs w:val="16"/>
        </w:rPr>
        <w:t xml:space="preserve">osiągnie wartość maksymalną </w:t>
      </w:r>
      <w:r>
        <w:rPr>
          <w:rFonts w:ascii="Verdana" w:hAnsi="Verdana"/>
          <w:bCs/>
          <w:sz w:val="16"/>
          <w:szCs w:val="16"/>
        </w:rPr>
        <w:t xml:space="preserve">wynoszącą </w:t>
      </w:r>
      <w:r>
        <w:rPr>
          <w:rFonts w:ascii="Verdana" w:hAnsi="Verdana"/>
          <w:b/>
          <w:bCs/>
          <w:sz w:val="16"/>
          <w:szCs w:val="16"/>
        </w:rPr>
        <w:t>51,5</w:t>
      </w:r>
      <w:r w:rsidRPr="000A6485">
        <w:rPr>
          <w:rFonts w:ascii="Verdana" w:hAnsi="Verdana"/>
          <w:b/>
          <w:bCs/>
          <w:sz w:val="16"/>
          <w:szCs w:val="16"/>
        </w:rPr>
        <w:t>%</w:t>
      </w:r>
      <w:r>
        <w:rPr>
          <w:rFonts w:ascii="Verdana" w:hAnsi="Verdana"/>
          <w:b/>
          <w:bCs/>
          <w:sz w:val="16"/>
          <w:szCs w:val="16"/>
        </w:rPr>
        <w:t xml:space="preserve"> </w:t>
      </w:r>
      <w:r w:rsidRPr="000A6485">
        <w:rPr>
          <w:rFonts w:ascii="Verdana" w:hAnsi="Verdana"/>
          <w:bCs/>
          <w:sz w:val="16"/>
          <w:szCs w:val="16"/>
        </w:rPr>
        <w:t>w 202</w:t>
      </w:r>
      <w:r>
        <w:rPr>
          <w:rFonts w:ascii="Verdana" w:hAnsi="Verdana"/>
          <w:bCs/>
          <w:sz w:val="16"/>
          <w:szCs w:val="16"/>
        </w:rPr>
        <w:t>6</w:t>
      </w:r>
      <w:r w:rsidRPr="000A6485">
        <w:rPr>
          <w:rFonts w:ascii="Verdana" w:hAnsi="Verdana"/>
          <w:bCs/>
          <w:sz w:val="16"/>
          <w:szCs w:val="16"/>
        </w:rPr>
        <w:t xml:space="preserve"> r.</w:t>
      </w:r>
      <w:r>
        <w:rPr>
          <w:rFonts w:ascii="Verdana" w:hAnsi="Verdana"/>
          <w:bCs/>
          <w:sz w:val="16"/>
          <w:szCs w:val="16"/>
        </w:rPr>
        <w:t>, co prezentuje wykres nr 15</w:t>
      </w:r>
      <w:r w:rsidRPr="000A6485">
        <w:rPr>
          <w:rFonts w:ascii="Verdana" w:hAnsi="Verdana"/>
          <w:bCs/>
          <w:sz w:val="16"/>
          <w:szCs w:val="16"/>
        </w:rPr>
        <w:t>.</w:t>
      </w:r>
    </w:p>
    <w:p w:rsidR="008A572A" w:rsidRPr="000A6485" w:rsidRDefault="008A572A" w:rsidP="008A572A">
      <w:pPr>
        <w:tabs>
          <w:tab w:val="left" w:pos="540"/>
        </w:tabs>
        <w:spacing w:before="120" w:after="60" w:line="240" w:lineRule="auto"/>
        <w:ind w:left="720" w:hanging="720"/>
        <w:rPr>
          <w:rFonts w:ascii="Verdana" w:hAnsi="Verdana" w:cs="Arial"/>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DB2126">
        <w:rPr>
          <w:rFonts w:ascii="Verdana" w:hAnsi="Verdana" w:cs="Arial"/>
          <w:b/>
          <w:bCs/>
          <w:noProof/>
          <w:sz w:val="14"/>
          <w:szCs w:val="14"/>
        </w:rPr>
        <w:t>15</w:t>
      </w:r>
      <w:r w:rsidRPr="000A6485">
        <w:rPr>
          <w:rFonts w:ascii="Verdana" w:hAnsi="Verdana" w:cs="Arial"/>
          <w:b/>
          <w:bCs/>
          <w:sz w:val="14"/>
          <w:szCs w:val="14"/>
        </w:rPr>
        <w:fldChar w:fldCharType="end"/>
      </w:r>
      <w:r w:rsidRPr="000A6485">
        <w:rPr>
          <w:rFonts w:ascii="Verdana" w:hAnsi="Verdana" w:cs="Arial"/>
          <w:b/>
          <w:bCs/>
          <w:sz w:val="14"/>
          <w:szCs w:val="14"/>
        </w:rPr>
        <w:t xml:space="preserve">  PROGNOZA RELACJI DŁUGU DO DOCHODÓW W M.ST. WARSZAWA NA LATA</w:t>
      </w:r>
      <w:r>
        <w:rPr>
          <w:rFonts w:ascii="Verdana" w:hAnsi="Verdana" w:cs="Arial"/>
          <w:b/>
          <w:bCs/>
          <w:sz w:val="14"/>
          <w:szCs w:val="14"/>
        </w:rPr>
        <w:t xml:space="preserve"> </w:t>
      </w:r>
      <w:r w:rsidRPr="00932633">
        <w:rPr>
          <w:rFonts w:ascii="Verdana" w:hAnsi="Verdana" w:cs="Arial"/>
          <w:b/>
          <w:bCs/>
          <w:sz w:val="14"/>
          <w:szCs w:val="14"/>
        </w:rPr>
        <w:t>2023</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w:t>
      </w:r>
    </w:p>
    <w:p w:rsidR="008A572A" w:rsidRPr="000A6485" w:rsidRDefault="008A572A" w:rsidP="008A572A">
      <w:pPr>
        <w:spacing w:before="120" w:after="120"/>
        <w:jc w:val="both"/>
        <w:rPr>
          <w:rFonts w:ascii="Verdana" w:hAnsi="Verdana"/>
          <w:b/>
          <w:bCs/>
          <w:sz w:val="22"/>
          <w:szCs w:val="22"/>
        </w:rPr>
      </w:pPr>
      <w:r>
        <w:rPr>
          <w:rFonts w:ascii="Verdana" w:hAnsi="Verdana" w:cs="Arial"/>
          <w:b/>
          <w:bCs/>
          <w:noProof/>
          <w:sz w:val="16"/>
          <w:szCs w:val="16"/>
        </w:rPr>
        <w:drawing>
          <wp:inline distT="0" distB="0" distL="0" distR="0">
            <wp:extent cx="5650230" cy="2934335"/>
            <wp:effectExtent l="0" t="0" r="0"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50230" cy="2934335"/>
                    </a:xfrm>
                    <a:prstGeom prst="rect">
                      <a:avLst/>
                    </a:prstGeom>
                    <a:noFill/>
                    <a:ln>
                      <a:noFill/>
                    </a:ln>
                  </pic:spPr>
                </pic:pic>
              </a:graphicData>
            </a:graphic>
          </wp:inline>
        </w:drawing>
      </w:r>
    </w:p>
    <w:p w:rsidR="008A572A" w:rsidRPr="000A6485" w:rsidRDefault="008A572A" w:rsidP="008A572A">
      <w:pPr>
        <w:spacing w:before="120" w:after="120"/>
        <w:jc w:val="both"/>
        <w:rPr>
          <w:rFonts w:ascii="Verdana" w:hAnsi="Verdana"/>
          <w:bCs/>
          <w:sz w:val="16"/>
          <w:szCs w:val="16"/>
        </w:rPr>
      </w:pPr>
      <w:r w:rsidRPr="000A6485">
        <w:rPr>
          <w:rFonts w:ascii="Verdana" w:hAnsi="Verdana"/>
          <w:bCs/>
          <w:sz w:val="16"/>
          <w:szCs w:val="16"/>
        </w:rPr>
        <w:t xml:space="preserve">Przewiduje się, że najwyższa wartość relacji obsługi długu </w:t>
      </w:r>
      <w:r>
        <w:rPr>
          <w:rFonts w:ascii="Verdana" w:hAnsi="Verdana"/>
          <w:bCs/>
          <w:sz w:val="16"/>
          <w:szCs w:val="16"/>
        </w:rPr>
        <w:t xml:space="preserve">wraz </w:t>
      </w:r>
      <w:r w:rsidRPr="000A6485">
        <w:rPr>
          <w:rFonts w:ascii="Verdana" w:hAnsi="Verdana"/>
          <w:bCs/>
          <w:sz w:val="16"/>
          <w:szCs w:val="16"/>
        </w:rPr>
        <w:t xml:space="preserve">z odsetkami do dochodów </w:t>
      </w:r>
      <w:r>
        <w:rPr>
          <w:rFonts w:ascii="Verdana" w:hAnsi="Verdana"/>
          <w:bCs/>
          <w:sz w:val="16"/>
          <w:szCs w:val="16"/>
        </w:rPr>
        <w:t xml:space="preserve">ogółem wystąpi </w:t>
      </w:r>
      <w:r>
        <w:rPr>
          <w:rFonts w:ascii="Verdana" w:hAnsi="Verdana"/>
          <w:bCs/>
          <w:sz w:val="16"/>
          <w:szCs w:val="16"/>
        </w:rPr>
        <w:br/>
        <w:t xml:space="preserve">w latach 2025, 2028 i 2030 i </w:t>
      </w:r>
      <w:r w:rsidRPr="000A6485">
        <w:rPr>
          <w:rFonts w:ascii="Verdana" w:hAnsi="Verdana"/>
          <w:bCs/>
          <w:sz w:val="16"/>
          <w:szCs w:val="16"/>
        </w:rPr>
        <w:t>wyniesie</w:t>
      </w:r>
      <w:r>
        <w:rPr>
          <w:rFonts w:ascii="Verdana" w:hAnsi="Verdana"/>
          <w:bCs/>
          <w:sz w:val="16"/>
          <w:szCs w:val="16"/>
        </w:rPr>
        <w:t xml:space="preserve"> odpowiednio </w:t>
      </w:r>
      <w:r w:rsidRPr="00692718">
        <w:rPr>
          <w:rFonts w:ascii="Verdana" w:hAnsi="Verdana"/>
          <w:b/>
          <w:bCs/>
          <w:sz w:val="16"/>
          <w:szCs w:val="16"/>
        </w:rPr>
        <w:t>4,</w:t>
      </w:r>
      <w:r>
        <w:rPr>
          <w:rFonts w:ascii="Verdana" w:hAnsi="Verdana"/>
          <w:b/>
          <w:bCs/>
          <w:sz w:val="16"/>
          <w:szCs w:val="16"/>
        </w:rPr>
        <w:t>2</w:t>
      </w:r>
      <w:r w:rsidRPr="00692718">
        <w:rPr>
          <w:rFonts w:ascii="Verdana" w:hAnsi="Verdana"/>
          <w:b/>
          <w:bCs/>
          <w:sz w:val="16"/>
          <w:szCs w:val="16"/>
        </w:rPr>
        <w:t>%</w:t>
      </w:r>
      <w:r>
        <w:rPr>
          <w:rFonts w:ascii="Verdana" w:hAnsi="Verdana"/>
          <w:bCs/>
          <w:sz w:val="16"/>
          <w:szCs w:val="16"/>
        </w:rPr>
        <w:t xml:space="preserve">, </w:t>
      </w:r>
      <w:r>
        <w:rPr>
          <w:rFonts w:ascii="Verdana" w:hAnsi="Verdana"/>
          <w:b/>
          <w:bCs/>
          <w:sz w:val="16"/>
          <w:szCs w:val="16"/>
        </w:rPr>
        <w:t xml:space="preserve">4,8% </w:t>
      </w:r>
      <w:r>
        <w:rPr>
          <w:rFonts w:ascii="Verdana" w:hAnsi="Verdana"/>
          <w:bCs/>
          <w:sz w:val="16"/>
          <w:szCs w:val="16"/>
        </w:rPr>
        <w:t xml:space="preserve">i </w:t>
      </w:r>
      <w:r>
        <w:rPr>
          <w:rFonts w:ascii="Verdana" w:hAnsi="Verdana"/>
          <w:b/>
          <w:bCs/>
          <w:sz w:val="16"/>
          <w:szCs w:val="16"/>
        </w:rPr>
        <w:t>4,5%</w:t>
      </w:r>
      <w:r>
        <w:rPr>
          <w:rFonts w:ascii="Verdana" w:hAnsi="Verdana"/>
          <w:bCs/>
          <w:sz w:val="16"/>
          <w:szCs w:val="16"/>
        </w:rPr>
        <w:t>, co prezentuje wykres nr 16</w:t>
      </w:r>
      <w:r w:rsidRPr="000A6485">
        <w:rPr>
          <w:rFonts w:ascii="Verdana" w:hAnsi="Verdana"/>
          <w:bCs/>
          <w:sz w:val="16"/>
          <w:szCs w:val="16"/>
        </w:rPr>
        <w:t>.</w:t>
      </w:r>
    </w:p>
    <w:p w:rsidR="008A572A" w:rsidRPr="000A6485" w:rsidRDefault="008A572A" w:rsidP="008A572A">
      <w:pPr>
        <w:tabs>
          <w:tab w:val="left" w:pos="426"/>
        </w:tabs>
        <w:spacing w:before="120" w:after="60" w:line="240" w:lineRule="auto"/>
        <w:ind w:left="425" w:hanging="425"/>
        <w:rPr>
          <w:rFonts w:ascii="Verdana" w:hAnsi="Verdana" w:cs="Arial"/>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DB2126">
        <w:rPr>
          <w:rFonts w:ascii="Verdana" w:hAnsi="Verdana" w:cs="Arial"/>
          <w:b/>
          <w:bCs/>
          <w:noProof/>
          <w:sz w:val="14"/>
          <w:szCs w:val="14"/>
        </w:rPr>
        <w:t>16</w:t>
      </w:r>
      <w:r w:rsidRPr="000A6485">
        <w:rPr>
          <w:rFonts w:ascii="Verdana" w:hAnsi="Verdana" w:cs="Arial"/>
          <w:b/>
          <w:bCs/>
          <w:sz w:val="14"/>
          <w:szCs w:val="14"/>
        </w:rPr>
        <w:fldChar w:fldCharType="end"/>
      </w:r>
      <w:r w:rsidRPr="000A6485">
        <w:rPr>
          <w:rFonts w:ascii="Verdana" w:hAnsi="Verdana" w:cs="Arial"/>
          <w:b/>
          <w:bCs/>
          <w:sz w:val="14"/>
          <w:szCs w:val="14"/>
        </w:rPr>
        <w:t xml:space="preserve">  PROGNOZA RELACJI OBCIĄŻEŃ BUDŻETU ZWIĄZANYCH Z OBSŁUGĄ DŁUGU (SPŁATA KAPITAŁU </w:t>
      </w:r>
      <w:r w:rsidRPr="000A6485">
        <w:rPr>
          <w:rFonts w:ascii="Verdana" w:hAnsi="Verdana" w:cs="Arial"/>
          <w:b/>
          <w:bCs/>
          <w:sz w:val="14"/>
          <w:szCs w:val="14"/>
        </w:rPr>
        <w:br/>
        <w:t xml:space="preserve">    </w:t>
      </w:r>
      <w:r>
        <w:rPr>
          <w:rFonts w:ascii="Verdana" w:hAnsi="Verdana" w:cs="Arial"/>
          <w:b/>
          <w:bCs/>
          <w:sz w:val="14"/>
          <w:szCs w:val="14"/>
        </w:rPr>
        <w:t xml:space="preserve">   </w:t>
      </w:r>
      <w:r w:rsidRPr="000A6485">
        <w:rPr>
          <w:rFonts w:ascii="Verdana" w:hAnsi="Verdana" w:cs="Arial"/>
          <w:b/>
          <w:bCs/>
          <w:sz w:val="14"/>
          <w:szCs w:val="14"/>
        </w:rPr>
        <w:t xml:space="preserve">I ODSETEK) DO DOCHODÓW </w:t>
      </w:r>
      <w:r>
        <w:rPr>
          <w:rFonts w:ascii="Verdana" w:hAnsi="Verdana" w:cs="Arial"/>
          <w:b/>
          <w:bCs/>
          <w:sz w:val="14"/>
          <w:szCs w:val="14"/>
        </w:rPr>
        <w:t xml:space="preserve">OGÓŁEM W M.ST. WARSZAWA NA LATA </w:t>
      </w:r>
      <w:r w:rsidRPr="00932633">
        <w:rPr>
          <w:rFonts w:ascii="Verdana" w:hAnsi="Verdana" w:cs="Arial"/>
          <w:b/>
          <w:bCs/>
          <w:sz w:val="14"/>
          <w:szCs w:val="14"/>
        </w:rPr>
        <w:t>2023</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w:t>
      </w:r>
    </w:p>
    <w:p w:rsidR="008A572A" w:rsidRPr="000A6485" w:rsidRDefault="008A572A" w:rsidP="008A572A">
      <w:pPr>
        <w:spacing w:before="120" w:after="120"/>
        <w:jc w:val="both"/>
        <w:rPr>
          <w:rFonts w:ascii="Verdana" w:hAnsi="Verdana" w:cs="Arial"/>
          <w:b/>
          <w:bCs/>
          <w:noProof/>
          <w:sz w:val="16"/>
          <w:szCs w:val="16"/>
        </w:rPr>
      </w:pPr>
      <w:r>
        <w:rPr>
          <w:rFonts w:ascii="Verdana" w:hAnsi="Verdana" w:cs="Arial"/>
          <w:b/>
          <w:bCs/>
          <w:noProof/>
          <w:sz w:val="16"/>
          <w:szCs w:val="16"/>
        </w:rPr>
        <w:drawing>
          <wp:inline distT="0" distB="0" distL="0" distR="0">
            <wp:extent cx="5636260" cy="2961640"/>
            <wp:effectExtent l="0" t="0" r="0"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6260" cy="2961640"/>
                    </a:xfrm>
                    <a:prstGeom prst="rect">
                      <a:avLst/>
                    </a:prstGeom>
                    <a:noFill/>
                    <a:ln>
                      <a:noFill/>
                    </a:ln>
                  </pic:spPr>
                </pic:pic>
              </a:graphicData>
            </a:graphic>
          </wp:inline>
        </w:drawing>
      </w:r>
    </w:p>
    <w:p w:rsidR="008A572A" w:rsidRDefault="008A572A" w:rsidP="008A572A">
      <w:pPr>
        <w:spacing w:before="240" w:after="240"/>
        <w:rPr>
          <w:rFonts w:ascii="Verdana" w:hAnsi="Verdana"/>
          <w:b/>
          <w:bCs/>
          <w:sz w:val="20"/>
          <w:szCs w:val="20"/>
        </w:rPr>
      </w:pPr>
      <w:r>
        <w:rPr>
          <w:rFonts w:ascii="Verdana" w:hAnsi="Verdana"/>
          <w:b/>
          <w:bCs/>
          <w:sz w:val="20"/>
          <w:szCs w:val="20"/>
        </w:rPr>
        <w:br w:type="page"/>
      </w:r>
    </w:p>
    <w:p w:rsidR="008A572A" w:rsidRPr="000A6485" w:rsidRDefault="008A572A" w:rsidP="008A572A">
      <w:pPr>
        <w:spacing w:before="240" w:after="240"/>
        <w:rPr>
          <w:rFonts w:ascii="Verdana" w:hAnsi="Verdana"/>
          <w:b/>
          <w:bCs/>
          <w:sz w:val="20"/>
          <w:szCs w:val="20"/>
        </w:rPr>
      </w:pPr>
      <w:r w:rsidRPr="000A6485">
        <w:rPr>
          <w:rFonts w:ascii="Verdana" w:hAnsi="Verdana"/>
          <w:b/>
          <w:bCs/>
          <w:sz w:val="20"/>
          <w:szCs w:val="20"/>
        </w:rPr>
        <w:lastRenderedPageBreak/>
        <w:t xml:space="preserve">7.2 </w:t>
      </w:r>
      <w:r w:rsidRPr="00841EE5">
        <w:rPr>
          <w:rFonts w:ascii="Verdana" w:hAnsi="Verdana"/>
          <w:b/>
          <w:bCs/>
          <w:sz w:val="20"/>
          <w:szCs w:val="20"/>
        </w:rPr>
        <w:t>Prognoza dochodów</w:t>
      </w:r>
    </w:p>
    <w:p w:rsidR="008A572A" w:rsidRPr="000A6485" w:rsidRDefault="008A572A" w:rsidP="008A572A">
      <w:pPr>
        <w:spacing w:before="240" w:after="240"/>
        <w:rPr>
          <w:rFonts w:ascii="Verdana" w:hAnsi="Verdana"/>
          <w:b/>
          <w:bCs/>
          <w:sz w:val="18"/>
          <w:szCs w:val="18"/>
        </w:rPr>
      </w:pPr>
      <w:r w:rsidRPr="000A6485">
        <w:rPr>
          <w:rFonts w:ascii="Verdana" w:hAnsi="Verdana"/>
          <w:b/>
          <w:bCs/>
          <w:sz w:val="18"/>
          <w:szCs w:val="18"/>
        </w:rPr>
        <w:t>7.2.1 Metodologia prognozy dochodów</w:t>
      </w:r>
    </w:p>
    <w:p w:rsidR="008A572A" w:rsidRPr="000A6485" w:rsidRDefault="008A572A" w:rsidP="008A572A">
      <w:pPr>
        <w:spacing w:before="60" w:after="60"/>
        <w:ind w:firstLine="539"/>
        <w:jc w:val="both"/>
        <w:rPr>
          <w:rFonts w:ascii="Verdana" w:hAnsi="Verdana"/>
          <w:sz w:val="16"/>
          <w:szCs w:val="16"/>
        </w:rPr>
      </w:pPr>
      <w:r w:rsidRPr="000A6485">
        <w:rPr>
          <w:rFonts w:ascii="Verdana" w:hAnsi="Verdana"/>
          <w:sz w:val="16"/>
          <w:szCs w:val="16"/>
        </w:rPr>
        <w:t xml:space="preserve">Zakres źródeł dochodów m.st. Warszawy wykorzystany dla celów opracowania </w:t>
      </w:r>
      <w:r w:rsidRPr="00A61201">
        <w:rPr>
          <w:rFonts w:ascii="Verdana" w:hAnsi="Verdana" w:cs="Verdana"/>
          <w:sz w:val="16"/>
          <w:szCs w:val="16"/>
        </w:rPr>
        <w:t>WPF</w:t>
      </w:r>
      <w:r>
        <w:rPr>
          <w:rFonts w:ascii="Verdana" w:hAnsi="Verdana" w:cs="Verdana"/>
          <w:sz w:val="16"/>
          <w:szCs w:val="16"/>
        </w:rPr>
        <w:t xml:space="preserve"> edycji </w:t>
      </w:r>
      <w:r w:rsidRPr="00932633">
        <w:rPr>
          <w:rFonts w:ascii="Verdana" w:eastAsiaTheme="minorEastAsia" w:hAnsi="Verdana" w:cs="Verdana"/>
          <w:color w:val="000000"/>
          <w:sz w:val="16"/>
          <w:szCs w:val="16"/>
        </w:rPr>
        <w:t>2023</w:t>
      </w:r>
      <w:r>
        <w:rPr>
          <w:rFonts w:ascii="Verdana" w:hAnsi="Verdana" w:cs="Verdana"/>
          <w:sz w:val="16"/>
          <w:szCs w:val="16"/>
        </w:rPr>
        <w:t xml:space="preserve">-2050 </w:t>
      </w:r>
      <w:r>
        <w:rPr>
          <w:rFonts w:ascii="Verdana" w:hAnsi="Verdana" w:cs="Verdana"/>
          <w:sz w:val="16"/>
          <w:szCs w:val="16"/>
        </w:rPr>
        <w:br/>
        <w:t>m.st. Warszawy</w:t>
      </w:r>
      <w:r w:rsidRPr="000A6485">
        <w:rPr>
          <w:rFonts w:ascii="Verdana" w:hAnsi="Verdana"/>
          <w:sz w:val="16"/>
          <w:szCs w:val="16"/>
        </w:rPr>
        <w:t xml:space="preserve"> odpowiada katalogowi d</w:t>
      </w:r>
      <w:r>
        <w:rPr>
          <w:rFonts w:ascii="Verdana" w:hAnsi="Verdana"/>
          <w:sz w:val="16"/>
          <w:szCs w:val="16"/>
        </w:rPr>
        <w:t xml:space="preserve">ochodów określonemu w ustawie o </w:t>
      </w:r>
      <w:r w:rsidRPr="000A6485">
        <w:rPr>
          <w:rFonts w:ascii="Verdana" w:hAnsi="Verdana"/>
          <w:sz w:val="16"/>
          <w:szCs w:val="16"/>
        </w:rPr>
        <w:t xml:space="preserve">dochodach jednostek samorządu terytorialnego. Prognoza dochodów m.st. Warszawy została sporządzona według ewidencji źródeł określonej dla budżetu </w:t>
      </w:r>
      <w:r>
        <w:rPr>
          <w:rFonts w:ascii="Verdana" w:hAnsi="Verdana"/>
          <w:sz w:val="16"/>
          <w:szCs w:val="16"/>
        </w:rPr>
        <w:t xml:space="preserve">Miasta </w:t>
      </w:r>
      <w:r w:rsidRPr="000A6485">
        <w:rPr>
          <w:rFonts w:ascii="Verdana" w:hAnsi="Verdana"/>
          <w:sz w:val="16"/>
          <w:szCs w:val="16"/>
        </w:rPr>
        <w:t xml:space="preserve">na </w:t>
      </w:r>
      <w:r w:rsidRPr="00932633">
        <w:rPr>
          <w:rFonts w:ascii="Verdana" w:eastAsiaTheme="minorEastAsia" w:hAnsi="Verdana" w:cs="Verdana"/>
          <w:color w:val="000000"/>
          <w:sz w:val="16"/>
          <w:szCs w:val="16"/>
        </w:rPr>
        <w:t>2023</w:t>
      </w:r>
      <w:r w:rsidRPr="000A6485">
        <w:rPr>
          <w:rFonts w:ascii="Verdana" w:hAnsi="Verdana"/>
          <w:sz w:val="16"/>
          <w:szCs w:val="16"/>
        </w:rPr>
        <w:t xml:space="preserve"> r., odrębnie dla każdej jednostki organizacyjnej Miasta</w:t>
      </w:r>
      <w:r>
        <w:rPr>
          <w:rFonts w:ascii="Verdana" w:hAnsi="Verdana"/>
          <w:sz w:val="16"/>
          <w:szCs w:val="16"/>
        </w:rPr>
        <w:t xml:space="preserve">. W konsekwencji wyniki </w:t>
      </w:r>
      <w:r w:rsidRPr="00A61201">
        <w:rPr>
          <w:rFonts w:ascii="Verdana" w:hAnsi="Verdana" w:cs="Verdana"/>
          <w:sz w:val="16"/>
          <w:szCs w:val="16"/>
        </w:rPr>
        <w:t>WPF</w:t>
      </w:r>
      <w:r>
        <w:rPr>
          <w:rFonts w:ascii="Verdana" w:hAnsi="Verdana" w:cs="Verdana"/>
          <w:sz w:val="16"/>
          <w:szCs w:val="16"/>
        </w:rPr>
        <w:t xml:space="preserve"> edycji </w:t>
      </w:r>
      <w:r w:rsidRPr="00932633">
        <w:rPr>
          <w:rFonts w:ascii="Verdana" w:eastAsiaTheme="minorEastAsia" w:hAnsi="Verdana" w:cs="Verdana"/>
          <w:color w:val="000000"/>
          <w:sz w:val="16"/>
          <w:szCs w:val="16"/>
        </w:rPr>
        <w:t>2023</w:t>
      </w:r>
      <w:r>
        <w:rPr>
          <w:rFonts w:ascii="Verdana" w:hAnsi="Verdana" w:cs="Verdana"/>
          <w:sz w:val="16"/>
          <w:szCs w:val="16"/>
        </w:rPr>
        <w:t>-2050</w:t>
      </w:r>
      <w:r>
        <w:rPr>
          <w:rFonts w:ascii="Verdana" w:hAnsi="Verdana"/>
          <w:sz w:val="16"/>
          <w:szCs w:val="16"/>
        </w:rPr>
        <w:t xml:space="preserve"> w </w:t>
      </w:r>
      <w:r w:rsidRPr="000A6485">
        <w:rPr>
          <w:rFonts w:ascii="Verdana" w:hAnsi="Verdana"/>
          <w:sz w:val="16"/>
          <w:szCs w:val="16"/>
        </w:rPr>
        <w:t xml:space="preserve">zakresie dochodów są porównywalne pod każdym względem z dochodami uzyskiwanymi </w:t>
      </w:r>
      <w:r>
        <w:rPr>
          <w:rFonts w:ascii="Verdana" w:hAnsi="Verdana"/>
          <w:sz w:val="16"/>
          <w:szCs w:val="16"/>
        </w:rPr>
        <w:br/>
      </w:r>
      <w:r w:rsidRPr="000A6485">
        <w:rPr>
          <w:rFonts w:ascii="Verdana" w:hAnsi="Verdana"/>
          <w:sz w:val="16"/>
          <w:szCs w:val="16"/>
        </w:rPr>
        <w:t>w latach poprzednich, jak i z </w:t>
      </w:r>
      <w:r>
        <w:rPr>
          <w:rFonts w:ascii="Verdana" w:hAnsi="Verdana"/>
          <w:sz w:val="16"/>
          <w:szCs w:val="16"/>
        </w:rPr>
        <w:t>budżetem</w:t>
      </w:r>
      <w:r w:rsidRPr="000A6485">
        <w:rPr>
          <w:rFonts w:ascii="Verdana" w:hAnsi="Verdana"/>
          <w:sz w:val="16"/>
          <w:szCs w:val="16"/>
        </w:rPr>
        <w:t xml:space="preserve"> na </w:t>
      </w:r>
      <w:r w:rsidRPr="00932633">
        <w:rPr>
          <w:rFonts w:ascii="Verdana" w:eastAsiaTheme="minorEastAsia" w:hAnsi="Verdana" w:cs="Verdana"/>
          <w:color w:val="000000"/>
          <w:sz w:val="16"/>
          <w:szCs w:val="16"/>
        </w:rPr>
        <w:t>2023</w:t>
      </w:r>
      <w:r w:rsidRPr="000A6485">
        <w:rPr>
          <w:rFonts w:ascii="Verdana" w:hAnsi="Verdana"/>
          <w:sz w:val="16"/>
          <w:szCs w:val="16"/>
        </w:rPr>
        <w:t> r.</w:t>
      </w:r>
    </w:p>
    <w:p w:rsidR="008A572A" w:rsidRPr="000A6485" w:rsidRDefault="008A572A" w:rsidP="008A572A">
      <w:pPr>
        <w:spacing w:before="60" w:after="60"/>
        <w:ind w:firstLine="539"/>
        <w:jc w:val="both"/>
        <w:rPr>
          <w:rFonts w:ascii="Verdana" w:hAnsi="Verdana"/>
          <w:sz w:val="16"/>
          <w:szCs w:val="16"/>
        </w:rPr>
      </w:pPr>
      <w:r w:rsidRPr="000A6485">
        <w:rPr>
          <w:rFonts w:ascii="Verdana" w:hAnsi="Verdana"/>
          <w:sz w:val="16"/>
          <w:szCs w:val="16"/>
        </w:rPr>
        <w:t xml:space="preserve">Prognoza dochodów została opracowana na bazie Wieloletniej Prognozy Finansowej na lata </w:t>
      </w:r>
      <w:r w:rsidRPr="00932633">
        <w:rPr>
          <w:rFonts w:ascii="Verdana" w:eastAsiaTheme="minorEastAsia" w:hAnsi="Verdana" w:cs="Verdana"/>
          <w:color w:val="000000"/>
          <w:sz w:val="16"/>
          <w:szCs w:val="16"/>
        </w:rPr>
        <w:t>2022</w:t>
      </w:r>
      <w:r w:rsidRPr="000A6485">
        <w:rPr>
          <w:rFonts w:ascii="Verdana" w:hAnsi="Verdana"/>
          <w:sz w:val="16"/>
          <w:szCs w:val="16"/>
        </w:rPr>
        <w:t xml:space="preserve">-2050. Zastosowana metodologia ustalania prognozy dochodów polega przede wszystkim na wyodrębnieniu krótkiej </w:t>
      </w:r>
      <w:r w:rsidRPr="000A6485">
        <w:rPr>
          <w:rFonts w:ascii="Verdana" w:hAnsi="Verdana"/>
          <w:sz w:val="16"/>
          <w:szCs w:val="16"/>
        </w:rPr>
        <w:br/>
        <w:t>i dłuższej perspektywy prognozowania.</w:t>
      </w:r>
    </w:p>
    <w:p w:rsidR="008A572A" w:rsidRPr="000A6485" w:rsidRDefault="008A572A" w:rsidP="008A572A">
      <w:pPr>
        <w:spacing w:before="60" w:after="60"/>
        <w:ind w:firstLine="539"/>
        <w:jc w:val="both"/>
        <w:rPr>
          <w:rFonts w:ascii="Verdana" w:hAnsi="Verdana"/>
          <w:sz w:val="16"/>
          <w:szCs w:val="16"/>
        </w:rPr>
      </w:pPr>
      <w:r w:rsidRPr="000A6485">
        <w:rPr>
          <w:rFonts w:ascii="Verdana" w:hAnsi="Verdana"/>
          <w:sz w:val="16"/>
          <w:szCs w:val="16"/>
        </w:rPr>
        <w:t>Jednocześnie podjęto szereg działań w celu optymalizacji Wieloletniej Prognozy Finansowej. Przeprowadzon</w:t>
      </w:r>
      <w:r>
        <w:rPr>
          <w:rFonts w:ascii="Verdana" w:hAnsi="Verdana"/>
          <w:sz w:val="16"/>
          <w:szCs w:val="16"/>
        </w:rPr>
        <w:t xml:space="preserve">o analizę realizacji dochodów w </w:t>
      </w:r>
      <w:r w:rsidRPr="000A6485">
        <w:rPr>
          <w:rFonts w:ascii="Verdana" w:hAnsi="Verdana"/>
          <w:sz w:val="16"/>
          <w:szCs w:val="16"/>
        </w:rPr>
        <w:t>latach poprzedzających rok budżetowy, dla każdego źródła dochodów budżetowych i jednostki organizacyjnej odrębnie, wykorzystują</w:t>
      </w:r>
      <w:r>
        <w:rPr>
          <w:rFonts w:ascii="Verdana" w:hAnsi="Verdana"/>
          <w:sz w:val="16"/>
          <w:szCs w:val="16"/>
        </w:rPr>
        <w:t xml:space="preserve">c dane z </w:t>
      </w:r>
      <w:r w:rsidRPr="000A6485">
        <w:rPr>
          <w:rFonts w:ascii="Verdana" w:hAnsi="Verdana"/>
          <w:sz w:val="16"/>
          <w:szCs w:val="16"/>
        </w:rPr>
        <w:t xml:space="preserve">wykonania budżetu </w:t>
      </w:r>
      <w:r w:rsidRPr="000A6485">
        <w:rPr>
          <w:rFonts w:ascii="Verdana" w:hAnsi="Verdana"/>
          <w:sz w:val="16"/>
          <w:szCs w:val="16"/>
        </w:rPr>
        <w:br/>
        <w:t xml:space="preserve">w </w:t>
      </w:r>
      <w:r w:rsidRPr="00932633">
        <w:rPr>
          <w:rFonts w:ascii="Verdana" w:eastAsiaTheme="minorEastAsia" w:hAnsi="Verdana" w:cs="Verdana"/>
          <w:color w:val="000000"/>
          <w:sz w:val="16"/>
          <w:szCs w:val="16"/>
        </w:rPr>
        <w:t>2021</w:t>
      </w:r>
      <w:r w:rsidRPr="000A6485">
        <w:rPr>
          <w:rFonts w:ascii="Verdana" w:hAnsi="Verdana"/>
          <w:sz w:val="16"/>
          <w:szCs w:val="16"/>
        </w:rPr>
        <w:t xml:space="preserve"> r. oraz przewidywaną realizację w </w:t>
      </w:r>
      <w:r w:rsidRPr="00932633">
        <w:rPr>
          <w:rFonts w:ascii="Verdana" w:eastAsiaTheme="minorEastAsia" w:hAnsi="Verdana" w:cs="Verdana"/>
          <w:color w:val="000000"/>
          <w:sz w:val="16"/>
          <w:szCs w:val="16"/>
        </w:rPr>
        <w:t>2022</w:t>
      </w:r>
      <w:r w:rsidRPr="000A6485">
        <w:rPr>
          <w:rFonts w:ascii="Verdana" w:hAnsi="Verdana"/>
          <w:sz w:val="16"/>
          <w:szCs w:val="16"/>
        </w:rPr>
        <w:t xml:space="preserve"> r. Ponadto dysponenci przeprowadzili szczegółową analizę oczekiwanych wpływów w najb</w:t>
      </w:r>
      <w:r>
        <w:rPr>
          <w:rFonts w:ascii="Verdana" w:hAnsi="Verdana"/>
          <w:sz w:val="16"/>
          <w:szCs w:val="16"/>
        </w:rPr>
        <w:t xml:space="preserve">liższych trzech latach, tj. </w:t>
      </w:r>
      <w:r w:rsidRPr="00932633">
        <w:rPr>
          <w:rFonts w:ascii="Verdana" w:eastAsiaTheme="minorEastAsia" w:hAnsi="Verdana" w:cs="Verdana"/>
          <w:color w:val="000000"/>
          <w:sz w:val="16"/>
          <w:szCs w:val="16"/>
        </w:rPr>
        <w:t>2023</w:t>
      </w:r>
      <w:r>
        <w:rPr>
          <w:rFonts w:ascii="Verdana" w:hAnsi="Verdana"/>
          <w:sz w:val="16"/>
          <w:szCs w:val="16"/>
        </w:rPr>
        <w:t>-2025</w:t>
      </w:r>
      <w:r w:rsidRPr="000A6485">
        <w:rPr>
          <w:rFonts w:ascii="Verdana" w:hAnsi="Verdana"/>
          <w:sz w:val="16"/>
          <w:szCs w:val="16"/>
        </w:rPr>
        <w:t xml:space="preserve"> i dokonali weryfikacji prognoz dochodów </w:t>
      </w:r>
      <w:r w:rsidRPr="000A6485">
        <w:rPr>
          <w:rFonts w:ascii="Verdana" w:hAnsi="Verdana"/>
          <w:sz w:val="16"/>
          <w:szCs w:val="16"/>
        </w:rPr>
        <w:br/>
        <w:t xml:space="preserve">w poszczególnych źródłach. Skala zmian w krótkim okresie spowodowała konieczność weryfikacji źródeł również w perspektywie obejmującej </w:t>
      </w:r>
      <w:r>
        <w:rPr>
          <w:rFonts w:ascii="Verdana" w:hAnsi="Verdana"/>
          <w:sz w:val="16"/>
          <w:szCs w:val="16"/>
        </w:rPr>
        <w:t xml:space="preserve">rok </w:t>
      </w:r>
      <w:r w:rsidRPr="000A6485">
        <w:rPr>
          <w:rFonts w:ascii="Verdana" w:hAnsi="Verdana"/>
          <w:sz w:val="16"/>
          <w:szCs w:val="16"/>
        </w:rPr>
        <w:t>202</w:t>
      </w:r>
      <w:r>
        <w:rPr>
          <w:rFonts w:ascii="Verdana" w:hAnsi="Verdana"/>
          <w:sz w:val="16"/>
          <w:szCs w:val="16"/>
        </w:rPr>
        <w:t>6</w:t>
      </w:r>
      <w:r w:rsidRPr="000A6485">
        <w:rPr>
          <w:rFonts w:ascii="Verdana" w:hAnsi="Verdana"/>
          <w:sz w:val="16"/>
          <w:szCs w:val="16"/>
        </w:rPr>
        <w:t xml:space="preserve"> i lata następne.</w:t>
      </w:r>
    </w:p>
    <w:p w:rsidR="008A572A" w:rsidRPr="000A6485" w:rsidRDefault="008A572A" w:rsidP="008A572A">
      <w:pPr>
        <w:spacing w:before="60" w:after="60"/>
        <w:ind w:firstLine="539"/>
        <w:jc w:val="both"/>
        <w:rPr>
          <w:rFonts w:ascii="Verdana" w:hAnsi="Verdana"/>
          <w:sz w:val="16"/>
          <w:szCs w:val="16"/>
        </w:rPr>
      </w:pPr>
      <w:r w:rsidRPr="000A6485">
        <w:rPr>
          <w:rFonts w:ascii="Verdana" w:hAnsi="Verdana"/>
          <w:sz w:val="16"/>
          <w:szCs w:val="16"/>
        </w:rPr>
        <w:t xml:space="preserve">Powyższe działanie podjęto w celu zapewnienia metodyce sporządzania WPF w zakresie dochodów, transparentności, jawności i przejrzystości. </w:t>
      </w:r>
    </w:p>
    <w:p w:rsidR="008A572A" w:rsidRPr="000A6485" w:rsidRDefault="008A572A" w:rsidP="008A572A">
      <w:pPr>
        <w:spacing w:before="60" w:after="60"/>
        <w:ind w:firstLine="539"/>
        <w:jc w:val="both"/>
        <w:rPr>
          <w:rFonts w:ascii="Verdana" w:hAnsi="Verdana"/>
          <w:sz w:val="16"/>
          <w:szCs w:val="16"/>
        </w:rPr>
      </w:pPr>
      <w:r w:rsidRPr="000A6485">
        <w:rPr>
          <w:rFonts w:ascii="Verdana" w:hAnsi="Verdana"/>
          <w:sz w:val="16"/>
          <w:szCs w:val="16"/>
        </w:rPr>
        <w:t xml:space="preserve">W dalszej części opracowania przedstawiono założenia prognoz w zakresie kategorii dochodów ujętych we wzorze WPF zgodnym z rozporządzeniem Ministra Finansów z dnia 10 stycznia 2013 r. </w:t>
      </w:r>
      <w:r w:rsidRPr="00D14800">
        <w:rPr>
          <w:rFonts w:ascii="Verdana" w:hAnsi="Verdana"/>
          <w:i/>
          <w:sz w:val="16"/>
          <w:szCs w:val="16"/>
        </w:rPr>
        <w:t>w sprawie wieloletniej prognozy finansowej jednostki samorządu terytorialnego</w:t>
      </w:r>
      <w:r w:rsidRPr="000A6485">
        <w:rPr>
          <w:rFonts w:ascii="Verdana" w:hAnsi="Verdana"/>
          <w:sz w:val="16"/>
          <w:szCs w:val="16"/>
        </w:rPr>
        <w:t xml:space="preserve"> (</w:t>
      </w:r>
      <w:r>
        <w:rPr>
          <w:rFonts w:ascii="Verdana" w:hAnsi="Verdana"/>
          <w:sz w:val="16"/>
          <w:szCs w:val="16"/>
        </w:rPr>
        <w:t>Dz.U. z 2021</w:t>
      </w:r>
      <w:r w:rsidRPr="000A6485">
        <w:rPr>
          <w:rFonts w:ascii="Verdana" w:hAnsi="Verdana"/>
          <w:sz w:val="16"/>
          <w:szCs w:val="16"/>
        </w:rPr>
        <w:t xml:space="preserve"> r. poz. </w:t>
      </w:r>
      <w:r>
        <w:rPr>
          <w:rFonts w:ascii="Verdana" w:hAnsi="Verdana"/>
          <w:sz w:val="16"/>
          <w:szCs w:val="16"/>
        </w:rPr>
        <w:t>83</w:t>
      </w:r>
      <w:r w:rsidRPr="000A6485">
        <w:rPr>
          <w:rFonts w:ascii="Verdana" w:hAnsi="Verdana"/>
          <w:sz w:val="16"/>
          <w:szCs w:val="16"/>
        </w:rPr>
        <w:t xml:space="preserve">). </w:t>
      </w:r>
    </w:p>
    <w:p w:rsidR="008A572A" w:rsidRPr="000A6485" w:rsidRDefault="008A572A" w:rsidP="008A572A">
      <w:pPr>
        <w:spacing w:before="240" w:after="240"/>
        <w:rPr>
          <w:rFonts w:ascii="Verdana" w:hAnsi="Verdana"/>
          <w:b/>
          <w:bCs/>
          <w:sz w:val="18"/>
          <w:szCs w:val="18"/>
        </w:rPr>
      </w:pPr>
      <w:r w:rsidRPr="000A6485">
        <w:rPr>
          <w:rFonts w:ascii="Verdana" w:hAnsi="Verdana"/>
          <w:b/>
          <w:bCs/>
          <w:sz w:val="18"/>
          <w:szCs w:val="18"/>
        </w:rPr>
        <w:t>7.2.2 Założenia do prognozy dochodów</w:t>
      </w:r>
    </w:p>
    <w:p w:rsidR="008A572A" w:rsidRPr="000A6485" w:rsidRDefault="008A572A" w:rsidP="008A572A">
      <w:pPr>
        <w:spacing w:before="240" w:after="240"/>
        <w:ind w:left="1077" w:hanging="1077"/>
        <w:rPr>
          <w:rFonts w:ascii="Verdana" w:hAnsi="Verdana"/>
          <w:b/>
          <w:bCs/>
          <w:sz w:val="18"/>
          <w:szCs w:val="18"/>
        </w:rPr>
      </w:pPr>
      <w:r w:rsidRPr="000A6485">
        <w:rPr>
          <w:rFonts w:ascii="Verdana" w:hAnsi="Verdana"/>
          <w:b/>
          <w:bCs/>
          <w:sz w:val="18"/>
          <w:szCs w:val="18"/>
        </w:rPr>
        <w:t>7.2</w:t>
      </w:r>
      <w:r>
        <w:rPr>
          <w:rFonts w:ascii="Verdana" w:hAnsi="Verdana"/>
          <w:b/>
          <w:bCs/>
          <w:sz w:val="18"/>
          <w:szCs w:val="18"/>
        </w:rPr>
        <w:t>.2.1</w:t>
      </w:r>
      <w:r w:rsidRPr="000A6485">
        <w:rPr>
          <w:rFonts w:ascii="Verdana" w:hAnsi="Verdana"/>
          <w:b/>
          <w:bCs/>
          <w:sz w:val="18"/>
          <w:szCs w:val="18"/>
        </w:rPr>
        <w:t xml:space="preserve"> Prognozy makroekonomiczne</w:t>
      </w:r>
    </w:p>
    <w:p w:rsidR="008A572A" w:rsidRDefault="008A572A" w:rsidP="008A572A">
      <w:pPr>
        <w:spacing w:before="120" w:after="120"/>
        <w:ind w:firstLine="540"/>
        <w:jc w:val="both"/>
        <w:rPr>
          <w:rFonts w:ascii="Verdana" w:hAnsi="Verdana"/>
          <w:sz w:val="16"/>
          <w:szCs w:val="16"/>
        </w:rPr>
      </w:pPr>
      <w:r w:rsidRPr="000A6485">
        <w:rPr>
          <w:rFonts w:ascii="Verdana" w:hAnsi="Verdana"/>
          <w:sz w:val="16"/>
          <w:szCs w:val="16"/>
        </w:rPr>
        <w:t>W niniejszej prognozie dochodów zachowano zgodność ze scenariuszem wzrostu gospodarczego kraju nakreślonym na najbliższe lata w projekc</w:t>
      </w:r>
      <w:r>
        <w:rPr>
          <w:rFonts w:ascii="Verdana" w:hAnsi="Verdana"/>
          <w:sz w:val="16"/>
          <w:szCs w:val="16"/>
        </w:rPr>
        <w:t xml:space="preserve">ie ustawy budżetowej na rok </w:t>
      </w:r>
      <w:r w:rsidRPr="00932633">
        <w:rPr>
          <w:rFonts w:ascii="Verdana" w:eastAsiaTheme="minorEastAsia" w:hAnsi="Verdana" w:cs="Verdana"/>
          <w:color w:val="000000"/>
          <w:sz w:val="16"/>
          <w:szCs w:val="16"/>
        </w:rPr>
        <w:t>2023</w:t>
      </w:r>
      <w:r w:rsidRPr="000A6485">
        <w:rPr>
          <w:rFonts w:ascii="Verdana" w:hAnsi="Verdana"/>
          <w:sz w:val="16"/>
          <w:szCs w:val="16"/>
        </w:rPr>
        <w:t>. Przyjęte do prognozowania wskaźniki makroekonomiczn</w:t>
      </w:r>
      <w:r>
        <w:rPr>
          <w:rFonts w:ascii="Verdana" w:hAnsi="Verdana"/>
          <w:sz w:val="16"/>
          <w:szCs w:val="16"/>
        </w:rPr>
        <w:t>e opublikowane w ww. dokumencie</w:t>
      </w:r>
      <w:r w:rsidRPr="000A6485">
        <w:rPr>
          <w:rFonts w:ascii="Verdana" w:hAnsi="Verdana"/>
          <w:sz w:val="16"/>
          <w:szCs w:val="16"/>
        </w:rPr>
        <w:t xml:space="preserve"> rzutują na parametry projekcji dochodów. Wskaźniki makroekonomiczne prezentuje tab. nr 1 zamieszczona w pkt. 4.2.</w:t>
      </w:r>
    </w:p>
    <w:p w:rsidR="008A572A" w:rsidRPr="000A6485" w:rsidRDefault="008A572A" w:rsidP="008A572A">
      <w:pPr>
        <w:spacing w:before="240" w:after="240"/>
        <w:jc w:val="both"/>
        <w:rPr>
          <w:rFonts w:ascii="Verdana" w:hAnsi="Verdana"/>
          <w:b/>
          <w:bCs/>
          <w:sz w:val="18"/>
          <w:szCs w:val="18"/>
        </w:rPr>
      </w:pPr>
      <w:r w:rsidRPr="000A6485">
        <w:rPr>
          <w:rFonts w:ascii="Verdana" w:hAnsi="Verdana"/>
          <w:b/>
          <w:bCs/>
          <w:sz w:val="18"/>
          <w:szCs w:val="18"/>
        </w:rPr>
        <w:t>7.2</w:t>
      </w:r>
      <w:r>
        <w:rPr>
          <w:rFonts w:ascii="Verdana" w:hAnsi="Verdana"/>
          <w:b/>
          <w:bCs/>
          <w:sz w:val="18"/>
          <w:szCs w:val="18"/>
        </w:rPr>
        <w:t>.2.2</w:t>
      </w:r>
      <w:r w:rsidRPr="000A6485">
        <w:rPr>
          <w:rFonts w:ascii="Verdana" w:hAnsi="Verdana"/>
          <w:b/>
          <w:bCs/>
          <w:sz w:val="18"/>
          <w:szCs w:val="18"/>
        </w:rPr>
        <w:t xml:space="preserve"> Pozostałe założenia</w:t>
      </w:r>
    </w:p>
    <w:p w:rsidR="008A572A" w:rsidRPr="000A6485" w:rsidRDefault="008A572A" w:rsidP="008A572A">
      <w:pPr>
        <w:spacing w:before="60" w:after="60"/>
        <w:ind w:firstLine="540"/>
        <w:jc w:val="both"/>
        <w:rPr>
          <w:rFonts w:ascii="Verdana" w:hAnsi="Verdana"/>
          <w:sz w:val="16"/>
          <w:szCs w:val="16"/>
        </w:rPr>
      </w:pPr>
      <w:r w:rsidRPr="000A6485">
        <w:rPr>
          <w:rFonts w:ascii="Verdana" w:hAnsi="Verdana"/>
          <w:sz w:val="16"/>
          <w:szCs w:val="16"/>
        </w:rPr>
        <w:t xml:space="preserve">Pozostałe założenia w zakresie prognozy dochodów na lata </w:t>
      </w:r>
      <w:r>
        <w:rPr>
          <w:rFonts w:ascii="Verdana" w:hAnsi="Verdana"/>
          <w:sz w:val="16"/>
          <w:szCs w:val="16"/>
        </w:rPr>
        <w:t>2023</w:t>
      </w:r>
      <w:r w:rsidRPr="000A6485">
        <w:rPr>
          <w:rFonts w:ascii="Verdana" w:hAnsi="Verdana"/>
          <w:sz w:val="16"/>
          <w:szCs w:val="16"/>
        </w:rPr>
        <w:t>-2050 określają w istotny sposób wysokość dochodów, dynamikę, rozkład w poszczególnych latach oraz strukturę źródeł. Przyjęto następujące założenia:</w:t>
      </w:r>
    </w:p>
    <w:p w:rsidR="008A572A" w:rsidRPr="00AC083A" w:rsidRDefault="008A572A" w:rsidP="008A572A">
      <w:pPr>
        <w:pStyle w:val="Akapitzlist"/>
        <w:numPr>
          <w:ilvl w:val="0"/>
          <w:numId w:val="56"/>
        </w:numPr>
        <w:spacing w:before="60" w:after="60"/>
        <w:ind w:left="567" w:hanging="283"/>
        <w:jc w:val="both"/>
        <w:rPr>
          <w:rFonts w:ascii="Verdana" w:hAnsi="Verdana" w:cs="Arial"/>
          <w:i/>
          <w:sz w:val="16"/>
          <w:szCs w:val="16"/>
        </w:rPr>
      </w:pPr>
      <w:r w:rsidRPr="00EB2748">
        <w:rPr>
          <w:rFonts w:ascii="Verdana" w:hAnsi="Verdana"/>
          <w:sz w:val="16"/>
          <w:szCs w:val="16"/>
        </w:rPr>
        <w:t>P</w:t>
      </w:r>
      <w:r>
        <w:rPr>
          <w:rFonts w:ascii="Verdana" w:hAnsi="Verdana"/>
          <w:sz w:val="16"/>
          <w:szCs w:val="16"/>
        </w:rPr>
        <w:t>lanowane</w:t>
      </w:r>
      <w:r w:rsidRPr="00EB2748">
        <w:rPr>
          <w:rFonts w:ascii="Verdana" w:hAnsi="Verdana"/>
          <w:sz w:val="16"/>
          <w:szCs w:val="16"/>
        </w:rPr>
        <w:t xml:space="preserve"> na </w:t>
      </w:r>
      <w:r w:rsidRPr="00932633">
        <w:rPr>
          <w:rFonts w:ascii="Verdana" w:eastAsiaTheme="minorEastAsia" w:hAnsi="Verdana" w:cs="Verdana"/>
          <w:color w:val="000000"/>
          <w:sz w:val="16"/>
          <w:szCs w:val="16"/>
        </w:rPr>
        <w:t>2023</w:t>
      </w:r>
      <w:r w:rsidRPr="00EB2748">
        <w:rPr>
          <w:rFonts w:ascii="Verdana" w:hAnsi="Verdana"/>
          <w:sz w:val="16"/>
          <w:szCs w:val="16"/>
        </w:rPr>
        <w:t xml:space="preserve"> r. dochody z podatków dochodowych od osób fizycznych (PIT) i osób prawnych (CIT) oraz dochodów z subwencji ogólnej, a także wysokość wpłaty do budżetu państwa na rzecz subwencji ogólnej w części równoważącej (tzw. Janosikowe) przyjęto na poziomie zgodnym z kwotami podanymi przez Ministerstwo Finansów w pismach z </w:t>
      </w:r>
      <w:r>
        <w:rPr>
          <w:rFonts w:ascii="Verdana" w:hAnsi="Verdana"/>
          <w:sz w:val="16"/>
          <w:szCs w:val="16"/>
        </w:rPr>
        <w:t xml:space="preserve">13 października </w:t>
      </w:r>
      <w:r w:rsidRPr="0075325A">
        <w:rPr>
          <w:rFonts w:ascii="Verdana" w:eastAsiaTheme="minorEastAsia" w:hAnsi="Verdana" w:cs="Verdana"/>
          <w:color w:val="000000"/>
          <w:sz w:val="16"/>
          <w:szCs w:val="16"/>
        </w:rPr>
        <w:t>2022</w:t>
      </w:r>
      <w:r w:rsidRPr="00AC083A">
        <w:rPr>
          <w:rFonts w:ascii="Verdana" w:hAnsi="Verdana"/>
          <w:sz w:val="16"/>
          <w:szCs w:val="16"/>
        </w:rPr>
        <w:t xml:space="preserve"> r. znak: ST3.4750.</w:t>
      </w:r>
      <w:r>
        <w:rPr>
          <w:rFonts w:ascii="Verdana" w:hAnsi="Verdana"/>
          <w:sz w:val="16"/>
          <w:szCs w:val="16"/>
        </w:rPr>
        <w:t>23</w:t>
      </w:r>
      <w:r w:rsidRPr="00AC083A">
        <w:rPr>
          <w:rFonts w:ascii="Verdana" w:hAnsi="Verdana"/>
          <w:sz w:val="16"/>
          <w:szCs w:val="16"/>
        </w:rPr>
        <w:t>.202</w:t>
      </w:r>
      <w:r>
        <w:rPr>
          <w:rFonts w:ascii="Verdana" w:hAnsi="Verdana"/>
          <w:sz w:val="16"/>
          <w:szCs w:val="16"/>
        </w:rPr>
        <w:t>2</w:t>
      </w:r>
      <w:r w:rsidRPr="00AC083A">
        <w:rPr>
          <w:rFonts w:ascii="Verdana" w:hAnsi="Verdana"/>
          <w:sz w:val="16"/>
          <w:szCs w:val="16"/>
        </w:rPr>
        <w:t xml:space="preserve"> </w:t>
      </w:r>
      <w:r>
        <w:rPr>
          <w:rFonts w:ascii="Verdana" w:hAnsi="Verdana"/>
          <w:sz w:val="16"/>
          <w:szCs w:val="16"/>
        </w:rPr>
        <w:br/>
      </w:r>
      <w:r w:rsidRPr="00AC083A">
        <w:rPr>
          <w:rFonts w:ascii="Verdana" w:hAnsi="Verdana"/>
          <w:sz w:val="16"/>
          <w:szCs w:val="16"/>
        </w:rPr>
        <w:t>i ST</w:t>
      </w:r>
      <w:r>
        <w:rPr>
          <w:rFonts w:ascii="Verdana" w:hAnsi="Verdana"/>
          <w:sz w:val="16"/>
          <w:szCs w:val="16"/>
        </w:rPr>
        <w:t>3</w:t>
      </w:r>
      <w:r w:rsidRPr="00AC083A">
        <w:rPr>
          <w:rFonts w:ascii="Verdana" w:hAnsi="Verdana"/>
          <w:sz w:val="16"/>
          <w:szCs w:val="16"/>
        </w:rPr>
        <w:t>.4750.</w:t>
      </w:r>
      <w:r>
        <w:rPr>
          <w:rFonts w:ascii="Verdana" w:hAnsi="Verdana"/>
          <w:sz w:val="16"/>
          <w:szCs w:val="16"/>
        </w:rPr>
        <w:t>24.2022</w:t>
      </w:r>
      <w:r w:rsidRPr="00EB2748">
        <w:rPr>
          <w:rFonts w:ascii="Verdana" w:hAnsi="Verdana"/>
          <w:sz w:val="16"/>
          <w:szCs w:val="16"/>
        </w:rPr>
        <w:t xml:space="preserve">. </w:t>
      </w:r>
      <w:r>
        <w:rPr>
          <w:rFonts w:ascii="Verdana" w:hAnsi="Verdana"/>
          <w:sz w:val="16"/>
          <w:szCs w:val="16"/>
        </w:rPr>
        <w:t xml:space="preserve">W zakresie dochodów z subwencji ogólnej w części równoważącej oraz wpłaty </w:t>
      </w:r>
      <w:r w:rsidRPr="00AC083A">
        <w:rPr>
          <w:rFonts w:ascii="Verdana" w:hAnsi="Verdana"/>
          <w:sz w:val="16"/>
          <w:szCs w:val="16"/>
        </w:rPr>
        <w:t>do budżetu państwa na rzecz subwencji ogólnej w części równoważącej (tzw. Janosikowe)</w:t>
      </w:r>
      <w:r>
        <w:rPr>
          <w:rFonts w:ascii="Verdana" w:hAnsi="Verdana"/>
          <w:sz w:val="16"/>
          <w:szCs w:val="16"/>
        </w:rPr>
        <w:t xml:space="preserve"> uwzględniono dodatkowo skutki finansowe wynikające z art. 35 ustawy z 1 grudnia 2022 r. </w:t>
      </w:r>
      <w:r w:rsidRPr="0022307F">
        <w:rPr>
          <w:rFonts w:ascii="Verdana" w:hAnsi="Verdana"/>
          <w:i/>
          <w:sz w:val="16"/>
          <w:szCs w:val="16"/>
        </w:rPr>
        <w:t>o szczególnych rozwiązaniach służących realizacji ustawy budżetowej na rok 2023</w:t>
      </w:r>
      <w:r>
        <w:rPr>
          <w:rFonts w:ascii="Verdana" w:hAnsi="Verdana"/>
          <w:sz w:val="16"/>
          <w:szCs w:val="16"/>
        </w:rPr>
        <w:t>.</w:t>
      </w:r>
    </w:p>
    <w:p w:rsidR="008A572A" w:rsidRPr="00EB2748" w:rsidRDefault="008A572A" w:rsidP="008A572A">
      <w:pPr>
        <w:spacing w:before="60" w:after="60"/>
        <w:ind w:left="567"/>
        <w:jc w:val="both"/>
        <w:rPr>
          <w:rFonts w:ascii="Verdana" w:hAnsi="Verdana"/>
          <w:bCs/>
          <w:sz w:val="16"/>
          <w:szCs w:val="16"/>
        </w:rPr>
      </w:pPr>
      <w:r w:rsidRPr="000A6485">
        <w:rPr>
          <w:rFonts w:ascii="Verdana" w:hAnsi="Verdana"/>
          <w:iCs/>
          <w:sz w:val="16"/>
          <w:szCs w:val="16"/>
        </w:rPr>
        <w:lastRenderedPageBreak/>
        <w:t xml:space="preserve">Dla kolejnych lat przyjęto szacunki własne oparte </w:t>
      </w:r>
      <w:r>
        <w:rPr>
          <w:rFonts w:ascii="Verdana" w:hAnsi="Verdana"/>
          <w:iCs/>
          <w:sz w:val="16"/>
          <w:szCs w:val="16"/>
        </w:rPr>
        <w:t xml:space="preserve">o </w:t>
      </w:r>
      <w:r w:rsidRPr="000A6485">
        <w:rPr>
          <w:rFonts w:ascii="Verdana" w:hAnsi="Verdana"/>
          <w:iCs/>
          <w:sz w:val="16"/>
          <w:szCs w:val="16"/>
        </w:rPr>
        <w:t xml:space="preserve">prognozę wskaźników makroekonomicznych przedstawioną przez Ministerstwo Finansów w </w:t>
      </w:r>
      <w:r>
        <w:rPr>
          <w:rFonts w:ascii="Verdana" w:hAnsi="Verdana"/>
          <w:iCs/>
          <w:sz w:val="16"/>
          <w:szCs w:val="16"/>
        </w:rPr>
        <w:t>projekcie ustawy budżetowej na 2023 r.</w:t>
      </w:r>
      <w:r w:rsidRPr="00A31ACA">
        <w:rPr>
          <w:rFonts w:ascii="Verdana" w:hAnsi="Verdana"/>
          <w:bCs/>
          <w:sz w:val="16"/>
          <w:szCs w:val="16"/>
        </w:rPr>
        <w:t xml:space="preserve"> </w:t>
      </w:r>
      <w:r w:rsidRPr="00E927D0">
        <w:rPr>
          <w:rFonts w:ascii="Verdana" w:hAnsi="Verdana"/>
          <w:bCs/>
          <w:sz w:val="16"/>
          <w:szCs w:val="16"/>
        </w:rPr>
        <w:t>przyjęty</w:t>
      </w:r>
      <w:r>
        <w:rPr>
          <w:rFonts w:ascii="Verdana" w:hAnsi="Verdana"/>
          <w:bCs/>
          <w:sz w:val="16"/>
          <w:szCs w:val="16"/>
        </w:rPr>
        <w:t>m</w:t>
      </w:r>
      <w:r w:rsidRPr="00E927D0">
        <w:rPr>
          <w:rFonts w:ascii="Verdana" w:hAnsi="Verdana"/>
          <w:bCs/>
          <w:sz w:val="16"/>
          <w:szCs w:val="16"/>
        </w:rPr>
        <w:t xml:space="preserve"> przez Radę Ministrów w dn</w:t>
      </w:r>
      <w:r>
        <w:rPr>
          <w:rFonts w:ascii="Verdana" w:hAnsi="Verdana"/>
          <w:bCs/>
          <w:sz w:val="16"/>
          <w:szCs w:val="16"/>
        </w:rPr>
        <w:t>iu</w:t>
      </w:r>
      <w:r w:rsidRPr="00E927D0">
        <w:rPr>
          <w:rFonts w:ascii="Verdana" w:hAnsi="Verdana"/>
          <w:bCs/>
          <w:sz w:val="16"/>
          <w:szCs w:val="16"/>
        </w:rPr>
        <w:t xml:space="preserve"> 28</w:t>
      </w:r>
      <w:r>
        <w:rPr>
          <w:rFonts w:ascii="Verdana" w:hAnsi="Verdana"/>
          <w:bCs/>
          <w:sz w:val="16"/>
          <w:szCs w:val="16"/>
        </w:rPr>
        <w:t xml:space="preserve"> września 2022 </w:t>
      </w:r>
      <w:r w:rsidRPr="00E927D0">
        <w:rPr>
          <w:rFonts w:ascii="Verdana" w:hAnsi="Verdana"/>
          <w:bCs/>
          <w:sz w:val="16"/>
          <w:szCs w:val="16"/>
        </w:rPr>
        <w:t xml:space="preserve">r. </w:t>
      </w:r>
      <w:r w:rsidRPr="000A6485">
        <w:rPr>
          <w:rFonts w:ascii="Verdana" w:hAnsi="Verdana"/>
          <w:iCs/>
          <w:sz w:val="16"/>
          <w:szCs w:val="16"/>
        </w:rPr>
        <w:t>oraz</w:t>
      </w:r>
      <w:r>
        <w:rPr>
          <w:rFonts w:ascii="Verdana" w:hAnsi="Verdana"/>
          <w:iCs/>
          <w:sz w:val="16"/>
          <w:szCs w:val="16"/>
        </w:rPr>
        <w:t xml:space="preserve"> w dokumencie pt.</w:t>
      </w:r>
      <w:r w:rsidRPr="000A6485">
        <w:rPr>
          <w:rFonts w:ascii="Verdana" w:hAnsi="Verdana"/>
          <w:iCs/>
          <w:sz w:val="16"/>
          <w:szCs w:val="16"/>
        </w:rPr>
        <w:t xml:space="preserve"> </w:t>
      </w:r>
      <w:r w:rsidRPr="000A6485">
        <w:rPr>
          <w:rFonts w:ascii="Verdana" w:hAnsi="Verdana"/>
          <w:i/>
          <w:sz w:val="16"/>
          <w:szCs w:val="16"/>
        </w:rPr>
        <w:t xml:space="preserve">Wytyczne dotyczące stosowania jednolitych wskaźników makroekonomicznych będących podstawą oszacowania skutków finansowych projektowanych ustaw – aktualizacja </w:t>
      </w:r>
      <w:r>
        <w:rPr>
          <w:rFonts w:ascii="Verdana" w:hAnsi="Verdana"/>
          <w:i/>
          <w:sz w:val="16"/>
          <w:szCs w:val="16"/>
        </w:rPr>
        <w:t>październik 2022</w:t>
      </w:r>
      <w:r w:rsidRPr="000A6485">
        <w:rPr>
          <w:rFonts w:ascii="Verdana" w:hAnsi="Verdana"/>
          <w:i/>
          <w:sz w:val="16"/>
          <w:szCs w:val="16"/>
        </w:rPr>
        <w:t xml:space="preserve"> r</w:t>
      </w:r>
      <w:r>
        <w:rPr>
          <w:rFonts w:ascii="Verdana" w:hAnsi="Verdana"/>
          <w:iCs/>
          <w:sz w:val="16"/>
          <w:szCs w:val="16"/>
        </w:rPr>
        <w:t>;</w:t>
      </w:r>
    </w:p>
    <w:p w:rsidR="008A572A" w:rsidRPr="00A756D4" w:rsidRDefault="008A572A" w:rsidP="008A572A">
      <w:pPr>
        <w:numPr>
          <w:ilvl w:val="0"/>
          <w:numId w:val="5"/>
        </w:numPr>
        <w:tabs>
          <w:tab w:val="clear" w:pos="1080"/>
          <w:tab w:val="num" w:pos="540"/>
        </w:tabs>
        <w:spacing w:before="60" w:after="60"/>
        <w:ind w:left="540" w:hanging="180"/>
        <w:jc w:val="both"/>
        <w:rPr>
          <w:rFonts w:ascii="Verdana" w:hAnsi="Verdana"/>
          <w:bCs/>
          <w:sz w:val="16"/>
          <w:szCs w:val="16"/>
        </w:rPr>
      </w:pPr>
      <w:r>
        <w:rPr>
          <w:rFonts w:ascii="Verdana" w:hAnsi="Verdana"/>
          <w:sz w:val="16"/>
          <w:szCs w:val="16"/>
        </w:rPr>
        <w:t xml:space="preserve">Stosownie do pism Ministerstwa Finansów z 30 września 2022 r. znak: ST3.4753.9.2022 </w:t>
      </w:r>
      <w:r>
        <w:rPr>
          <w:rFonts w:ascii="Verdana" w:hAnsi="Verdana"/>
          <w:sz w:val="16"/>
          <w:szCs w:val="16"/>
        </w:rPr>
        <w:br/>
        <w:t xml:space="preserve">i ST3.4753.10.2022 w prognozie dochodów na 2023 r. nie uwzględniono wpływów z subwencji ogólnej </w:t>
      </w:r>
      <w:r>
        <w:rPr>
          <w:rFonts w:ascii="Verdana" w:hAnsi="Verdana"/>
          <w:sz w:val="16"/>
          <w:szCs w:val="16"/>
        </w:rPr>
        <w:br/>
        <w:t>w części rozwojowej. Z</w:t>
      </w:r>
      <w:r w:rsidRPr="003F0A8E">
        <w:rPr>
          <w:rFonts w:ascii="Verdana" w:hAnsi="Verdana"/>
          <w:sz w:val="16"/>
          <w:szCs w:val="16"/>
        </w:rPr>
        <w:t>godnie z ustawą z 15</w:t>
      </w:r>
      <w:r>
        <w:rPr>
          <w:rFonts w:ascii="Verdana" w:hAnsi="Verdana"/>
          <w:sz w:val="16"/>
          <w:szCs w:val="16"/>
        </w:rPr>
        <w:t xml:space="preserve"> września </w:t>
      </w:r>
      <w:r w:rsidRPr="003F0A8E">
        <w:rPr>
          <w:rFonts w:ascii="Verdana" w:hAnsi="Verdana"/>
          <w:sz w:val="16"/>
          <w:szCs w:val="16"/>
        </w:rPr>
        <w:t xml:space="preserve">2022 r. </w:t>
      </w:r>
      <w:r w:rsidRPr="00A756D4">
        <w:rPr>
          <w:rFonts w:ascii="Verdana" w:hAnsi="Verdana"/>
          <w:i/>
          <w:sz w:val="16"/>
          <w:szCs w:val="16"/>
        </w:rPr>
        <w:t>o zmianie ustawy o dochodach jednostek samorządu terytorialnego oraz niektórych innych ustaw</w:t>
      </w:r>
      <w:r w:rsidRPr="003F0A8E">
        <w:rPr>
          <w:rFonts w:ascii="Verdana" w:hAnsi="Verdana"/>
          <w:sz w:val="16"/>
          <w:szCs w:val="16"/>
        </w:rPr>
        <w:t xml:space="preserve"> (Dz. U. poz. 1964)</w:t>
      </w:r>
      <w:r>
        <w:rPr>
          <w:rFonts w:ascii="Verdana" w:hAnsi="Verdana"/>
          <w:sz w:val="16"/>
          <w:szCs w:val="16"/>
        </w:rPr>
        <w:t xml:space="preserve"> odpowiadająca należnej </w:t>
      </w:r>
      <w:r>
        <w:rPr>
          <w:rFonts w:ascii="Verdana" w:hAnsi="Verdana"/>
          <w:sz w:val="16"/>
          <w:szCs w:val="16"/>
        </w:rPr>
        <w:br/>
        <w:t xml:space="preserve">m.st. Warszawie subwencji rozwojowej na 2023 r. kwota w wysokości 851.903.975,39 zł zostanie przekazana w 2022 r. </w:t>
      </w:r>
      <w:r w:rsidRPr="003F0A8E">
        <w:rPr>
          <w:rFonts w:ascii="Verdana" w:hAnsi="Verdana"/>
          <w:sz w:val="16"/>
          <w:szCs w:val="16"/>
        </w:rPr>
        <w:t>z jednoczesną zmianą kwalifikacji źródła dochodów z subwencji rozwojowej na udział w PIT i brakiem przekazania</w:t>
      </w:r>
      <w:r>
        <w:rPr>
          <w:rFonts w:ascii="Verdana" w:hAnsi="Verdana"/>
          <w:sz w:val="16"/>
          <w:szCs w:val="16"/>
        </w:rPr>
        <w:t xml:space="preserve"> subwencji rozwojowej w 2023 r.;</w:t>
      </w:r>
    </w:p>
    <w:p w:rsidR="008A572A" w:rsidRPr="00492AD1" w:rsidRDefault="008A572A" w:rsidP="008A572A">
      <w:pPr>
        <w:numPr>
          <w:ilvl w:val="0"/>
          <w:numId w:val="5"/>
        </w:numPr>
        <w:tabs>
          <w:tab w:val="clear" w:pos="1080"/>
          <w:tab w:val="num" w:pos="540"/>
        </w:tabs>
        <w:spacing w:before="60" w:after="60"/>
        <w:ind w:left="540" w:hanging="180"/>
        <w:jc w:val="both"/>
        <w:rPr>
          <w:rFonts w:ascii="Verdana" w:hAnsi="Verdana"/>
          <w:bCs/>
          <w:sz w:val="16"/>
          <w:szCs w:val="16"/>
        </w:rPr>
      </w:pPr>
      <w:r w:rsidRPr="00492AD1">
        <w:rPr>
          <w:rFonts w:ascii="Verdana" w:hAnsi="Verdana"/>
          <w:sz w:val="16"/>
          <w:szCs w:val="16"/>
        </w:rPr>
        <w:t>Szacowanie wszelkich pozostałych dochodów objętych niniejszą Prognozą w opa</w:t>
      </w:r>
      <w:r>
        <w:rPr>
          <w:rFonts w:ascii="Verdana" w:hAnsi="Verdana"/>
          <w:sz w:val="16"/>
          <w:szCs w:val="16"/>
        </w:rPr>
        <w:t>rciu o obowiązujący stan prawny;</w:t>
      </w:r>
    </w:p>
    <w:p w:rsidR="008A572A" w:rsidRPr="000A6485" w:rsidRDefault="008A572A" w:rsidP="008A572A">
      <w:pPr>
        <w:numPr>
          <w:ilvl w:val="0"/>
          <w:numId w:val="5"/>
        </w:numPr>
        <w:tabs>
          <w:tab w:val="clear" w:pos="1080"/>
          <w:tab w:val="num" w:pos="540"/>
        </w:tabs>
        <w:spacing w:before="60" w:after="60"/>
        <w:ind w:left="540" w:hanging="180"/>
        <w:jc w:val="both"/>
        <w:rPr>
          <w:rFonts w:ascii="Verdana" w:hAnsi="Verdana"/>
          <w:bCs/>
          <w:sz w:val="16"/>
          <w:szCs w:val="16"/>
        </w:rPr>
      </w:pPr>
      <w:r w:rsidRPr="000A6485">
        <w:rPr>
          <w:rFonts w:ascii="Verdana" w:hAnsi="Verdana"/>
          <w:iCs/>
          <w:sz w:val="16"/>
          <w:szCs w:val="16"/>
        </w:rPr>
        <w:t xml:space="preserve">Planowane dochody z subwencji oświatowej na </w:t>
      </w:r>
      <w:r w:rsidRPr="00932633">
        <w:rPr>
          <w:rFonts w:ascii="Verdana" w:eastAsiaTheme="minorEastAsia" w:hAnsi="Verdana" w:cs="Verdana"/>
          <w:color w:val="000000"/>
          <w:sz w:val="16"/>
          <w:szCs w:val="16"/>
        </w:rPr>
        <w:t>2023</w:t>
      </w:r>
      <w:r w:rsidRPr="000A6485">
        <w:rPr>
          <w:rFonts w:ascii="Verdana" w:hAnsi="Verdana"/>
          <w:iCs/>
          <w:sz w:val="16"/>
          <w:szCs w:val="16"/>
        </w:rPr>
        <w:t xml:space="preserve"> r. uwzględniono w kwocie podanej przez Ministerstwo Finansów w pismach z </w:t>
      </w:r>
      <w:r>
        <w:rPr>
          <w:rFonts w:ascii="Verdana" w:hAnsi="Verdana"/>
          <w:sz w:val="16"/>
          <w:szCs w:val="16"/>
        </w:rPr>
        <w:t xml:space="preserve">13 października </w:t>
      </w:r>
      <w:r w:rsidRPr="0075325A">
        <w:rPr>
          <w:rFonts w:ascii="Verdana" w:eastAsiaTheme="minorEastAsia" w:hAnsi="Verdana" w:cs="Verdana"/>
          <w:color w:val="000000"/>
          <w:sz w:val="16"/>
          <w:szCs w:val="16"/>
        </w:rPr>
        <w:t>2022</w:t>
      </w:r>
      <w:r w:rsidRPr="00AC083A">
        <w:rPr>
          <w:rFonts w:ascii="Verdana" w:hAnsi="Verdana"/>
          <w:sz w:val="16"/>
          <w:szCs w:val="16"/>
        </w:rPr>
        <w:t xml:space="preserve"> r. znak: ST3.4750.</w:t>
      </w:r>
      <w:r>
        <w:rPr>
          <w:rFonts w:ascii="Verdana" w:hAnsi="Verdana"/>
          <w:sz w:val="16"/>
          <w:szCs w:val="16"/>
        </w:rPr>
        <w:t>23</w:t>
      </w:r>
      <w:r w:rsidRPr="00AC083A">
        <w:rPr>
          <w:rFonts w:ascii="Verdana" w:hAnsi="Verdana"/>
          <w:sz w:val="16"/>
          <w:szCs w:val="16"/>
        </w:rPr>
        <w:t>.202</w:t>
      </w:r>
      <w:r>
        <w:rPr>
          <w:rFonts w:ascii="Verdana" w:hAnsi="Verdana"/>
          <w:sz w:val="16"/>
          <w:szCs w:val="16"/>
        </w:rPr>
        <w:t>2</w:t>
      </w:r>
      <w:r w:rsidRPr="00AC083A">
        <w:rPr>
          <w:rFonts w:ascii="Verdana" w:hAnsi="Verdana"/>
          <w:sz w:val="16"/>
          <w:szCs w:val="16"/>
        </w:rPr>
        <w:t xml:space="preserve"> i ST</w:t>
      </w:r>
      <w:r>
        <w:rPr>
          <w:rFonts w:ascii="Verdana" w:hAnsi="Verdana"/>
          <w:sz w:val="16"/>
          <w:szCs w:val="16"/>
        </w:rPr>
        <w:t>3</w:t>
      </w:r>
      <w:r w:rsidRPr="00AC083A">
        <w:rPr>
          <w:rFonts w:ascii="Verdana" w:hAnsi="Verdana"/>
          <w:sz w:val="16"/>
          <w:szCs w:val="16"/>
        </w:rPr>
        <w:t>.4750.</w:t>
      </w:r>
      <w:r>
        <w:rPr>
          <w:rFonts w:ascii="Verdana" w:hAnsi="Verdana"/>
          <w:sz w:val="16"/>
          <w:szCs w:val="16"/>
        </w:rPr>
        <w:t>24.2022</w:t>
      </w:r>
      <w:r w:rsidRPr="000A6485">
        <w:rPr>
          <w:rFonts w:ascii="Verdana" w:hAnsi="Verdana"/>
          <w:iCs/>
          <w:sz w:val="16"/>
          <w:szCs w:val="16"/>
        </w:rPr>
        <w:t xml:space="preserve">, </w:t>
      </w:r>
      <w:r w:rsidRPr="000A6485">
        <w:rPr>
          <w:rFonts w:ascii="Verdana" w:hAnsi="Verdana"/>
          <w:iCs/>
          <w:sz w:val="16"/>
          <w:szCs w:val="16"/>
        </w:rPr>
        <w:br/>
        <w:t>co stanowiło podstawę do oszacowania dochodów w tym zakresie w perspektywie 2050 r.</w:t>
      </w:r>
    </w:p>
    <w:p w:rsidR="008A572A" w:rsidRPr="000A6485" w:rsidRDefault="008A572A" w:rsidP="008A572A">
      <w:pPr>
        <w:spacing w:before="240" w:after="240"/>
        <w:jc w:val="both"/>
        <w:rPr>
          <w:rFonts w:ascii="Verdana" w:hAnsi="Verdana"/>
          <w:b/>
          <w:bCs/>
          <w:sz w:val="18"/>
          <w:szCs w:val="18"/>
        </w:rPr>
      </w:pPr>
      <w:r w:rsidRPr="000A6485">
        <w:rPr>
          <w:rFonts w:ascii="Verdana" w:hAnsi="Verdana"/>
          <w:b/>
          <w:bCs/>
          <w:sz w:val="18"/>
          <w:szCs w:val="18"/>
        </w:rPr>
        <w:t>7.2.3 Wynik zbiorczy prognozy dochodów</w:t>
      </w:r>
    </w:p>
    <w:p w:rsidR="008A572A" w:rsidRPr="000A6485" w:rsidRDefault="008A572A" w:rsidP="008A572A">
      <w:pPr>
        <w:pStyle w:val="Akapitzlist"/>
        <w:spacing w:before="120" w:after="120"/>
        <w:ind w:left="0" w:firstLine="567"/>
        <w:jc w:val="both"/>
        <w:rPr>
          <w:rFonts w:ascii="Verdana" w:hAnsi="Verdana"/>
          <w:sz w:val="16"/>
          <w:szCs w:val="16"/>
        </w:rPr>
      </w:pPr>
      <w:r w:rsidRPr="000A6485">
        <w:rPr>
          <w:rFonts w:ascii="Verdana" w:hAnsi="Verdana"/>
          <w:sz w:val="16"/>
          <w:szCs w:val="16"/>
        </w:rPr>
        <w:t>Wykres nr 1</w:t>
      </w:r>
      <w:r>
        <w:rPr>
          <w:rFonts w:ascii="Verdana" w:hAnsi="Verdana"/>
          <w:sz w:val="16"/>
          <w:szCs w:val="16"/>
        </w:rPr>
        <w:t>7</w:t>
      </w:r>
      <w:r w:rsidRPr="000A6485">
        <w:rPr>
          <w:rFonts w:ascii="Verdana" w:hAnsi="Verdana"/>
          <w:sz w:val="16"/>
          <w:szCs w:val="16"/>
        </w:rPr>
        <w:t xml:space="preserve"> prezentuje prognozowane dochody ogółem w poszczególnych latach objętych Prognozą</w:t>
      </w:r>
      <w:r w:rsidRPr="000A6485">
        <w:rPr>
          <w:rStyle w:val="Odwoanieprzypisudolnego"/>
          <w:rFonts w:ascii="Verdana" w:hAnsi="Verdana"/>
          <w:sz w:val="16"/>
          <w:szCs w:val="16"/>
        </w:rPr>
        <w:footnoteReference w:id="21"/>
      </w:r>
      <w:r>
        <w:rPr>
          <w:rFonts w:ascii="Verdana" w:hAnsi="Verdana"/>
          <w:sz w:val="16"/>
          <w:szCs w:val="16"/>
        </w:rPr>
        <w:t>.</w:t>
      </w:r>
    </w:p>
    <w:p w:rsidR="008A572A" w:rsidRPr="000A6485" w:rsidRDefault="008A572A" w:rsidP="008A572A">
      <w:pPr>
        <w:tabs>
          <w:tab w:val="left" w:pos="567"/>
        </w:tabs>
        <w:spacing w:before="60" w:after="60" w:line="240" w:lineRule="auto"/>
        <w:ind w:left="567" w:hanging="567"/>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DB2126">
        <w:rPr>
          <w:rFonts w:ascii="Verdana" w:hAnsi="Verdana" w:cs="Arial"/>
          <w:b/>
          <w:bCs/>
          <w:noProof/>
          <w:sz w:val="14"/>
          <w:szCs w:val="14"/>
        </w:rPr>
        <w:t>17</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OGÓŁEM M.ST. WARSZAWY NA LATA </w:t>
      </w:r>
      <w:r w:rsidRPr="00932633">
        <w:rPr>
          <w:rFonts w:ascii="Verdana" w:hAnsi="Verdana" w:cs="Arial"/>
          <w:b/>
          <w:bCs/>
          <w:sz w:val="14"/>
          <w:szCs w:val="14"/>
        </w:rPr>
        <w:t>2023</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8A572A" w:rsidRPr="000A6485" w:rsidRDefault="008A572A" w:rsidP="008A572A">
      <w:pPr>
        <w:spacing w:before="120" w:after="120"/>
        <w:jc w:val="both"/>
        <w:rPr>
          <w:rFonts w:ascii="Verdana" w:hAnsi="Verdana"/>
          <w:sz w:val="18"/>
          <w:szCs w:val="18"/>
        </w:rPr>
      </w:pPr>
      <w:r>
        <w:rPr>
          <w:rFonts w:ascii="Verdana" w:hAnsi="Verdana"/>
          <w:noProof/>
          <w:sz w:val="18"/>
          <w:szCs w:val="18"/>
        </w:rPr>
        <w:drawing>
          <wp:inline distT="0" distB="0" distL="0" distR="0">
            <wp:extent cx="5131435" cy="2402205"/>
            <wp:effectExtent l="0" t="0" r="0" b="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1435" cy="2402205"/>
                    </a:xfrm>
                    <a:prstGeom prst="rect">
                      <a:avLst/>
                    </a:prstGeom>
                    <a:noFill/>
                    <a:ln>
                      <a:noFill/>
                    </a:ln>
                  </pic:spPr>
                </pic:pic>
              </a:graphicData>
            </a:graphic>
          </wp:inline>
        </w:drawing>
      </w:r>
    </w:p>
    <w:p w:rsidR="008A572A" w:rsidRPr="000A6485" w:rsidRDefault="008A572A" w:rsidP="008A572A">
      <w:pPr>
        <w:spacing w:before="120" w:after="120"/>
        <w:ind w:firstLine="567"/>
        <w:jc w:val="both"/>
        <w:rPr>
          <w:rFonts w:ascii="Verdana" w:hAnsi="Verdana"/>
          <w:sz w:val="16"/>
          <w:szCs w:val="16"/>
        </w:rPr>
      </w:pPr>
      <w:r w:rsidRPr="000A6485">
        <w:rPr>
          <w:rFonts w:ascii="Verdana" w:hAnsi="Verdana"/>
          <w:sz w:val="16"/>
          <w:szCs w:val="16"/>
        </w:rPr>
        <w:t>Wykres nr 1</w:t>
      </w:r>
      <w:r>
        <w:rPr>
          <w:rFonts w:ascii="Verdana" w:hAnsi="Verdana"/>
          <w:sz w:val="16"/>
          <w:szCs w:val="16"/>
        </w:rPr>
        <w:t>8</w:t>
      </w:r>
      <w:r w:rsidRPr="000A6485">
        <w:rPr>
          <w:rFonts w:ascii="Verdana" w:hAnsi="Verdana"/>
          <w:sz w:val="16"/>
          <w:szCs w:val="16"/>
        </w:rPr>
        <w:t xml:space="preserve"> prezentuje procentową zmianę rok do roku wysokości dochodów ogółem w poszczególnych latach objętych Prognozą.</w:t>
      </w:r>
    </w:p>
    <w:p w:rsidR="008A572A" w:rsidRDefault="008A572A" w:rsidP="008A572A">
      <w:pPr>
        <w:spacing w:before="120" w:after="120" w:line="240" w:lineRule="auto"/>
        <w:rPr>
          <w:rFonts w:ascii="Verdana" w:hAnsi="Verdana" w:cs="Arial"/>
          <w:b/>
          <w:bCs/>
          <w:sz w:val="14"/>
          <w:szCs w:val="14"/>
        </w:rPr>
      </w:pPr>
      <w:r>
        <w:rPr>
          <w:rFonts w:ascii="Verdana" w:hAnsi="Verdana" w:cs="Arial"/>
          <w:b/>
          <w:bCs/>
          <w:sz w:val="14"/>
          <w:szCs w:val="14"/>
        </w:rPr>
        <w:br w:type="page"/>
      </w:r>
    </w:p>
    <w:p w:rsidR="008A572A" w:rsidRPr="00790B03" w:rsidRDefault="008A572A" w:rsidP="008A572A">
      <w:pPr>
        <w:spacing w:before="120" w:after="120" w:line="240" w:lineRule="auto"/>
        <w:rPr>
          <w:rFonts w:ascii="Verdana" w:hAnsi="Verdana" w:cs="Arial"/>
          <w:b/>
          <w:bCs/>
          <w:sz w:val="14"/>
          <w:szCs w:val="14"/>
        </w:rPr>
      </w:pPr>
      <w:r w:rsidRPr="000A6485">
        <w:rPr>
          <w:rFonts w:ascii="Verdana" w:hAnsi="Verdana" w:cs="Arial"/>
          <w:b/>
          <w:bCs/>
          <w:sz w:val="14"/>
          <w:szCs w:val="14"/>
        </w:rPr>
        <w:lastRenderedPageBreak/>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DB2126">
        <w:rPr>
          <w:rFonts w:ascii="Verdana" w:hAnsi="Verdana" w:cs="Arial"/>
          <w:b/>
          <w:bCs/>
          <w:noProof/>
          <w:sz w:val="14"/>
          <w:szCs w:val="14"/>
        </w:rPr>
        <w:t>18</w:t>
      </w:r>
      <w:r w:rsidRPr="000A6485">
        <w:rPr>
          <w:rFonts w:ascii="Verdana" w:hAnsi="Verdana" w:cs="Arial"/>
          <w:b/>
          <w:bCs/>
          <w:sz w:val="14"/>
          <w:szCs w:val="14"/>
        </w:rPr>
        <w:fldChar w:fldCharType="end"/>
      </w:r>
      <w:r w:rsidRPr="000A6485">
        <w:rPr>
          <w:rFonts w:ascii="Verdana" w:hAnsi="Verdana" w:cs="Arial"/>
          <w:b/>
          <w:bCs/>
          <w:sz w:val="14"/>
          <w:szCs w:val="14"/>
        </w:rPr>
        <w:t xml:space="preserve">  PROGNOZOWANA ZMIANA PROCENTOWA ROK DO ROKU DOCHODÓW OGÓŁEM M.ST. WARSZAWY </w:t>
      </w:r>
      <w:r w:rsidRPr="000A6485">
        <w:rPr>
          <w:rFonts w:ascii="Verdana" w:hAnsi="Verdana" w:cs="Arial"/>
          <w:b/>
          <w:bCs/>
          <w:sz w:val="14"/>
          <w:szCs w:val="14"/>
        </w:rPr>
        <w:br/>
        <w:t xml:space="preserve">                </w:t>
      </w:r>
      <w:r>
        <w:rPr>
          <w:rFonts w:ascii="Verdana" w:hAnsi="Verdana" w:cs="Arial"/>
          <w:b/>
          <w:bCs/>
          <w:sz w:val="14"/>
          <w:szCs w:val="14"/>
        </w:rPr>
        <w:t xml:space="preserve">NA LATA </w:t>
      </w:r>
      <w:r w:rsidRPr="00932633">
        <w:rPr>
          <w:rFonts w:ascii="Verdana" w:hAnsi="Verdana" w:cs="Arial"/>
          <w:b/>
          <w:bCs/>
          <w:sz w:val="14"/>
          <w:szCs w:val="14"/>
        </w:rPr>
        <w:t>2023</w:t>
      </w:r>
      <w:r w:rsidRPr="000A6485">
        <w:rPr>
          <w:rFonts w:ascii="Verdana" w:hAnsi="Verdana" w:cs="Arial"/>
          <w:b/>
          <w:bCs/>
          <w:sz w:val="14"/>
          <w:szCs w:val="14"/>
        </w:rPr>
        <w:t xml:space="preserve">-2050 </w:t>
      </w:r>
      <w:r w:rsidRPr="000A6485">
        <w:rPr>
          <w:rFonts w:ascii="Verdana" w:hAnsi="Verdana" w:cs="Arial"/>
          <w:bCs/>
          <w:sz w:val="14"/>
          <w:szCs w:val="14"/>
        </w:rPr>
        <w:t>[</w:t>
      </w:r>
      <w:r>
        <w:rPr>
          <w:rFonts w:ascii="Verdana" w:hAnsi="Verdana" w:cs="Arial"/>
          <w:bCs/>
          <w:sz w:val="14"/>
          <w:szCs w:val="14"/>
        </w:rPr>
        <w:t xml:space="preserve">w </w:t>
      </w:r>
      <w:r w:rsidRPr="000A6485">
        <w:rPr>
          <w:rFonts w:ascii="Verdana" w:hAnsi="Verdana" w:cs="Arial"/>
          <w:bCs/>
          <w:sz w:val="14"/>
          <w:szCs w:val="14"/>
        </w:rPr>
        <w:t>%]</w:t>
      </w:r>
    </w:p>
    <w:p w:rsidR="008A572A" w:rsidRDefault="008A572A" w:rsidP="008A572A">
      <w:pPr>
        <w:spacing w:before="120" w:after="120"/>
        <w:jc w:val="both"/>
        <w:rPr>
          <w:rFonts w:ascii="Verdana" w:hAnsi="Verdana"/>
          <w:noProof/>
          <w:sz w:val="18"/>
          <w:szCs w:val="18"/>
        </w:rPr>
      </w:pPr>
      <w:r>
        <w:rPr>
          <w:rFonts w:ascii="Verdana" w:hAnsi="Verdana"/>
          <w:noProof/>
          <w:sz w:val="18"/>
          <w:szCs w:val="18"/>
        </w:rPr>
        <w:drawing>
          <wp:inline distT="0" distB="0" distL="0" distR="0">
            <wp:extent cx="5186045" cy="2456815"/>
            <wp:effectExtent l="0" t="0" r="0" b="0"/>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6045" cy="2456815"/>
                    </a:xfrm>
                    <a:prstGeom prst="rect">
                      <a:avLst/>
                    </a:prstGeom>
                    <a:noFill/>
                    <a:ln>
                      <a:noFill/>
                    </a:ln>
                  </pic:spPr>
                </pic:pic>
              </a:graphicData>
            </a:graphic>
          </wp:inline>
        </w:drawing>
      </w:r>
    </w:p>
    <w:p w:rsidR="008A572A" w:rsidRPr="000A6485" w:rsidRDefault="008A572A" w:rsidP="008A572A">
      <w:pPr>
        <w:spacing w:before="120" w:after="120"/>
        <w:ind w:firstLine="540"/>
        <w:jc w:val="both"/>
        <w:rPr>
          <w:rFonts w:ascii="Verdana" w:hAnsi="Verdana"/>
          <w:sz w:val="16"/>
          <w:szCs w:val="16"/>
        </w:rPr>
      </w:pPr>
      <w:r w:rsidRPr="000A6485">
        <w:rPr>
          <w:rFonts w:ascii="Verdana" w:hAnsi="Verdana"/>
          <w:sz w:val="16"/>
          <w:szCs w:val="16"/>
        </w:rPr>
        <w:t>Dalsza część opracowania zawiera uszczegółowienie zbiorczej prognozy dochodów poprzez omówienie pozycji dochodowych wyszczególnionych we wzorze WPF określonym rozporządzeniem Ministra Finansów.</w:t>
      </w:r>
    </w:p>
    <w:p w:rsidR="008A572A" w:rsidRPr="000A6485" w:rsidRDefault="008A572A" w:rsidP="008A572A">
      <w:pPr>
        <w:spacing w:before="240" w:after="240"/>
        <w:rPr>
          <w:rFonts w:ascii="Verdana" w:hAnsi="Verdana"/>
          <w:b/>
          <w:bCs/>
          <w:sz w:val="18"/>
          <w:szCs w:val="18"/>
        </w:rPr>
      </w:pPr>
      <w:r w:rsidRPr="000A6485">
        <w:rPr>
          <w:rFonts w:ascii="Verdana" w:hAnsi="Verdana"/>
          <w:b/>
          <w:bCs/>
          <w:sz w:val="18"/>
          <w:szCs w:val="18"/>
        </w:rPr>
        <w:t>7.2.3.1 Prognoza dochodów z podatku dochodowego od osób fizycznych PIT</w:t>
      </w:r>
    </w:p>
    <w:p w:rsidR="008A572A" w:rsidRPr="000A6485" w:rsidRDefault="008A572A" w:rsidP="008A572A">
      <w:pPr>
        <w:tabs>
          <w:tab w:val="left" w:pos="0"/>
        </w:tabs>
        <w:spacing w:before="120" w:after="120"/>
        <w:ind w:firstLine="567"/>
        <w:jc w:val="both"/>
        <w:rPr>
          <w:rFonts w:ascii="Verdana" w:hAnsi="Verdana"/>
          <w:sz w:val="16"/>
          <w:szCs w:val="16"/>
        </w:rPr>
      </w:pPr>
      <w:r w:rsidRPr="000A6485">
        <w:rPr>
          <w:rFonts w:ascii="Verdana" w:hAnsi="Verdana"/>
          <w:sz w:val="16"/>
          <w:szCs w:val="16"/>
        </w:rPr>
        <w:t>Wykres nr 1</w:t>
      </w:r>
      <w:r>
        <w:rPr>
          <w:rFonts w:ascii="Verdana" w:hAnsi="Verdana"/>
          <w:sz w:val="16"/>
          <w:szCs w:val="16"/>
        </w:rPr>
        <w:t>9</w:t>
      </w:r>
      <w:r w:rsidRPr="000A6485">
        <w:rPr>
          <w:rFonts w:ascii="Verdana" w:hAnsi="Verdana"/>
          <w:sz w:val="16"/>
          <w:szCs w:val="16"/>
        </w:rPr>
        <w:t xml:space="preserve"> prezentuje prognozowane dochody z udziału w PIT w poszczególnych latach objętych Prognozą.</w:t>
      </w:r>
    </w:p>
    <w:p w:rsidR="008A572A" w:rsidRPr="000A6485" w:rsidRDefault="008A572A" w:rsidP="008A572A">
      <w:pPr>
        <w:tabs>
          <w:tab w:val="left" w:pos="567"/>
        </w:tabs>
        <w:spacing w:before="120" w:after="60"/>
        <w:ind w:left="567" w:hanging="567"/>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DB2126">
        <w:rPr>
          <w:rFonts w:ascii="Verdana" w:hAnsi="Verdana" w:cs="Arial"/>
          <w:b/>
          <w:bCs/>
          <w:noProof/>
          <w:sz w:val="14"/>
          <w:szCs w:val="14"/>
        </w:rPr>
        <w:t>19</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Z</w:t>
      </w:r>
      <w:r>
        <w:rPr>
          <w:rFonts w:ascii="Verdana" w:hAnsi="Verdana" w:cs="Arial"/>
          <w:b/>
          <w:bCs/>
          <w:sz w:val="14"/>
          <w:szCs w:val="14"/>
        </w:rPr>
        <w:t xml:space="preserve"> PIT M.ST. WARSZAWY NA LATA </w:t>
      </w:r>
      <w:r w:rsidRPr="00932633">
        <w:rPr>
          <w:rFonts w:ascii="Verdana" w:hAnsi="Verdana" w:cs="Arial"/>
          <w:b/>
          <w:bCs/>
          <w:sz w:val="14"/>
          <w:szCs w:val="14"/>
        </w:rPr>
        <w:t>2023</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8A572A" w:rsidRPr="000A6485" w:rsidRDefault="008A572A" w:rsidP="008A572A">
      <w:pPr>
        <w:spacing w:before="120" w:after="120"/>
        <w:jc w:val="both"/>
      </w:pPr>
      <w:r>
        <w:rPr>
          <w:noProof/>
        </w:rPr>
        <w:drawing>
          <wp:inline distT="0" distB="0" distL="0" distR="0">
            <wp:extent cx="5759450" cy="2715895"/>
            <wp:effectExtent l="0" t="0" r="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2715895"/>
                    </a:xfrm>
                    <a:prstGeom prst="rect">
                      <a:avLst/>
                    </a:prstGeom>
                    <a:noFill/>
                    <a:ln>
                      <a:noFill/>
                    </a:ln>
                  </pic:spPr>
                </pic:pic>
              </a:graphicData>
            </a:graphic>
          </wp:inline>
        </w:drawing>
      </w:r>
    </w:p>
    <w:p w:rsidR="008A572A" w:rsidRDefault="008A572A" w:rsidP="008A572A">
      <w:pPr>
        <w:spacing w:before="120" w:after="120"/>
        <w:ind w:firstLine="539"/>
        <w:jc w:val="both"/>
        <w:rPr>
          <w:rFonts w:ascii="Verdana" w:hAnsi="Verdana"/>
          <w:sz w:val="16"/>
          <w:szCs w:val="16"/>
        </w:rPr>
      </w:pPr>
      <w:r>
        <w:rPr>
          <w:rFonts w:ascii="Verdana" w:hAnsi="Verdana" w:cs="Arial"/>
          <w:iCs/>
          <w:noProof/>
          <w:sz w:val="16"/>
          <w:szCs w:val="16"/>
        </w:rPr>
        <mc:AlternateContent>
          <mc:Choice Requires="wps">
            <w:drawing>
              <wp:anchor distT="0" distB="0" distL="114300" distR="114300" simplePos="0" relativeHeight="251713536" behindDoc="0" locked="0" layoutInCell="1" allowOverlap="1" wp14:anchorId="00B54CEF" wp14:editId="465517FC">
                <wp:simplePos x="0" y="0"/>
                <wp:positionH relativeFrom="margin">
                  <wp:align>left</wp:align>
                </wp:positionH>
                <wp:positionV relativeFrom="paragraph">
                  <wp:posOffset>6350</wp:posOffset>
                </wp:positionV>
                <wp:extent cx="5764377" cy="490118"/>
                <wp:effectExtent l="0" t="0" r="0" b="5715"/>
                <wp:wrapNone/>
                <wp:docPr id="11" name="Pole tekstowe 11"/>
                <wp:cNvGraphicFramePr/>
                <a:graphic xmlns:a="http://schemas.openxmlformats.org/drawingml/2006/main">
                  <a:graphicData uri="http://schemas.microsoft.com/office/word/2010/wordprocessingShape">
                    <wps:wsp>
                      <wps:cNvSpPr txBox="1"/>
                      <wps:spPr>
                        <a:xfrm>
                          <a:off x="0" y="0"/>
                          <a:ext cx="5764377" cy="490118"/>
                        </a:xfrm>
                        <a:prstGeom prst="rect">
                          <a:avLst/>
                        </a:prstGeom>
                        <a:noFill/>
                        <a:ln w="6350">
                          <a:noFill/>
                        </a:ln>
                      </wps:spPr>
                      <wps:txbx>
                        <w:txbxContent>
                          <w:p w:rsidR="008A572A" w:rsidRDefault="008A572A" w:rsidP="008A572A">
                            <w:pPr>
                              <w:spacing w:line="240" w:lineRule="auto"/>
                            </w:pPr>
                            <w:r w:rsidRPr="00095FA7">
                              <w:rPr>
                                <w:rFonts w:ascii="Verdana" w:hAnsi="Verdana" w:cs="Verdana"/>
                                <w:sz w:val="14"/>
                                <w:szCs w:val="14"/>
                                <w:lang w:eastAsia="ko-KR"/>
                              </w:rPr>
                              <w:t>*</w:t>
                            </w:r>
                            <w:r w:rsidRPr="00095FA7">
                              <w:rPr>
                                <w:rFonts w:ascii="Verdana" w:hAnsi="Verdana" w:cs="Verdana"/>
                                <w:sz w:val="16"/>
                                <w:szCs w:val="16"/>
                                <w:lang w:eastAsia="ko-KR"/>
                              </w:rPr>
                              <w:t xml:space="preserve"> </w:t>
                            </w:r>
                            <w:r w:rsidRPr="00854670">
                              <w:rPr>
                                <w:rFonts w:ascii="Verdana" w:hAnsi="Verdana" w:cs="Verdana"/>
                                <w:sz w:val="12"/>
                                <w:szCs w:val="12"/>
                                <w:lang w:eastAsia="ko-KR"/>
                              </w:rPr>
                              <w:t>Plan dochodów z udziału w PIT na 2022 r. ujmuje kwotę 851.903.975,39 zł, stanowiącą przesunięcie z 2023 r. na 2022 r. przekazania subwencji rozwojowej należnej w 2023 r. z jednoczesną zmianą kwalifikacji źródła dochodów z subwencji rozwojowej na udział w PIT i brakiem przekazania subwencji rozwojowej w 2023 r., zgodnie z ustawą z 15.09.2022 r. o zmianie ustawy o dochodach jednostek samorządu terytorialnego oraz niektórych innych ustaw (Dz. U. poz. 1964).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54CEF" id="Pole tekstowe 11" o:spid="_x0000_s1028" type="#_x0000_t202" style="position:absolute;left:0;text-align:left;margin-left:0;margin-top:.5pt;width:453.9pt;height:38.6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" filled="f" stroked="f" strokeweight=".5pt">
                <v:textbox>
                  <w:txbxContent>
                    <w:p w:rsidR="008A572A" w:rsidRDefault="008A572A" w:rsidP="008A572A">
                      <w:pPr>
                        <w:spacing w:line="240" w:lineRule="auto"/>
                      </w:pPr>
                      <w:r w:rsidRPr="00095FA7">
                        <w:rPr>
                          <w:rFonts w:ascii="Verdana" w:hAnsi="Verdana" w:cs="Verdana"/>
                          <w:sz w:val="14"/>
                          <w:szCs w:val="14"/>
                          <w:lang w:eastAsia="ko-KR"/>
                        </w:rPr>
                        <w:t>*</w:t>
                      </w:r>
                      <w:r w:rsidRPr="00095FA7">
                        <w:rPr>
                          <w:rFonts w:ascii="Verdana" w:hAnsi="Verdana" w:cs="Verdana"/>
                          <w:sz w:val="16"/>
                          <w:szCs w:val="16"/>
                          <w:lang w:eastAsia="ko-KR"/>
                        </w:rPr>
                        <w:t xml:space="preserve"> </w:t>
                      </w:r>
                      <w:r w:rsidRPr="00854670">
                        <w:rPr>
                          <w:rFonts w:ascii="Verdana" w:hAnsi="Verdana" w:cs="Verdana"/>
                          <w:sz w:val="12"/>
                          <w:szCs w:val="12"/>
                          <w:lang w:eastAsia="ko-KR"/>
                        </w:rPr>
                        <w:t>Plan dochodów z udziału w PIT na 2022 r. ujmuje kwotę 851.903.975,39 zł, stanowiącą przesunięcie z 2023 r. na 2022 r. przekazania subwencji rozwojowej należnej w 2023 r. z jednoczesną zmianą kwalifikacji źródła dochodów z subwencji rozwojowej na udział w PIT i brakiem przekazania subwencji rozwojowej w 2023 r., zgodnie z ustawą z 15.09.2022 r. o zmianie ustawy o dochodach jednostek samorządu terytorialnego oraz niektórych innych ustaw (Dz. U. poz. 1964).</w:t>
                      </w:r>
                    </w:p>
                  </w:txbxContent>
                </v:textbox>
                <w10:wrap anchorx="margin"/>
              </v:shape>
            </w:pict>
          </mc:Fallback>
        </mc:AlternateContent>
      </w:r>
    </w:p>
    <w:p w:rsidR="008A572A" w:rsidRDefault="008A572A" w:rsidP="008A572A">
      <w:pPr>
        <w:spacing w:before="120" w:after="120"/>
        <w:ind w:firstLine="539"/>
        <w:jc w:val="both"/>
        <w:rPr>
          <w:rFonts w:ascii="Verdana" w:hAnsi="Verdana"/>
          <w:sz w:val="16"/>
          <w:szCs w:val="16"/>
        </w:rPr>
      </w:pPr>
    </w:p>
    <w:p w:rsidR="008A572A" w:rsidRPr="000A6485" w:rsidRDefault="008A572A" w:rsidP="008A572A">
      <w:pPr>
        <w:spacing w:before="240" w:after="120"/>
        <w:ind w:firstLine="539"/>
        <w:jc w:val="both"/>
        <w:rPr>
          <w:rFonts w:ascii="Verdana" w:hAnsi="Verdana"/>
          <w:sz w:val="16"/>
          <w:szCs w:val="16"/>
        </w:rPr>
      </w:pPr>
      <w:r w:rsidRPr="000A6485">
        <w:rPr>
          <w:rFonts w:ascii="Verdana" w:hAnsi="Verdana"/>
          <w:sz w:val="16"/>
          <w:szCs w:val="16"/>
        </w:rPr>
        <w:t>Prognozuje się, że wpływy m.st. Warszawy z PIT w okresie pierwszych pięciu lat prognozy tj. od 202</w:t>
      </w:r>
      <w:r>
        <w:rPr>
          <w:rFonts w:ascii="Verdana" w:hAnsi="Verdana"/>
          <w:sz w:val="16"/>
          <w:szCs w:val="16"/>
        </w:rPr>
        <w:t>3</w:t>
      </w:r>
      <w:r w:rsidRPr="000A6485">
        <w:rPr>
          <w:rFonts w:ascii="Verdana" w:hAnsi="Verdana"/>
          <w:sz w:val="16"/>
          <w:szCs w:val="16"/>
        </w:rPr>
        <w:t xml:space="preserve"> </w:t>
      </w:r>
      <w:r w:rsidRPr="000A6485">
        <w:rPr>
          <w:rFonts w:ascii="Verdana" w:hAnsi="Verdana"/>
          <w:sz w:val="16"/>
          <w:szCs w:val="16"/>
        </w:rPr>
        <w:br/>
        <w:t>do 202</w:t>
      </w:r>
      <w:r>
        <w:rPr>
          <w:rFonts w:ascii="Verdana" w:hAnsi="Verdana"/>
          <w:sz w:val="16"/>
          <w:szCs w:val="16"/>
        </w:rPr>
        <w:t>7</w:t>
      </w:r>
      <w:r w:rsidRPr="000A6485">
        <w:rPr>
          <w:rFonts w:ascii="Verdana" w:hAnsi="Verdana"/>
          <w:sz w:val="16"/>
          <w:szCs w:val="16"/>
        </w:rPr>
        <w:t xml:space="preserve"> r. wyniosą łącznie </w:t>
      </w:r>
      <w:r w:rsidRPr="000A6485">
        <w:rPr>
          <w:rFonts w:ascii="Verdana" w:hAnsi="Verdana"/>
          <w:b/>
          <w:sz w:val="16"/>
          <w:szCs w:val="16"/>
        </w:rPr>
        <w:t>3</w:t>
      </w:r>
      <w:r>
        <w:rPr>
          <w:rFonts w:ascii="Verdana" w:hAnsi="Verdana"/>
          <w:b/>
          <w:sz w:val="16"/>
          <w:szCs w:val="16"/>
        </w:rPr>
        <w:t>3,7</w:t>
      </w:r>
      <w:r w:rsidRPr="000A6485">
        <w:rPr>
          <w:rFonts w:ascii="Verdana" w:hAnsi="Verdana"/>
          <w:b/>
          <w:sz w:val="16"/>
          <w:szCs w:val="16"/>
        </w:rPr>
        <w:t xml:space="preserve"> mld zł</w:t>
      </w:r>
      <w:r w:rsidRPr="000A6485">
        <w:rPr>
          <w:rFonts w:ascii="Verdana" w:hAnsi="Verdana"/>
          <w:sz w:val="16"/>
          <w:szCs w:val="16"/>
        </w:rPr>
        <w:t xml:space="preserve">, co będzie stanowiło </w:t>
      </w:r>
      <w:r w:rsidRPr="000A6485">
        <w:rPr>
          <w:rFonts w:ascii="Verdana" w:hAnsi="Verdana"/>
          <w:b/>
          <w:sz w:val="16"/>
          <w:szCs w:val="16"/>
        </w:rPr>
        <w:t>3</w:t>
      </w:r>
      <w:r>
        <w:rPr>
          <w:rFonts w:ascii="Verdana" w:hAnsi="Verdana"/>
          <w:b/>
          <w:sz w:val="16"/>
          <w:szCs w:val="16"/>
        </w:rPr>
        <w:t>2</w:t>
      </w:r>
      <w:r w:rsidRPr="000A6485">
        <w:rPr>
          <w:rFonts w:ascii="Verdana" w:hAnsi="Verdana"/>
          <w:b/>
          <w:sz w:val="16"/>
          <w:szCs w:val="16"/>
        </w:rPr>
        <w:t>,</w:t>
      </w:r>
      <w:r>
        <w:rPr>
          <w:rFonts w:ascii="Verdana" w:hAnsi="Verdana"/>
          <w:b/>
          <w:sz w:val="16"/>
          <w:szCs w:val="16"/>
        </w:rPr>
        <w:t>4</w:t>
      </w:r>
      <w:r w:rsidRPr="000A6485">
        <w:rPr>
          <w:rFonts w:ascii="Verdana" w:hAnsi="Verdana"/>
          <w:b/>
          <w:sz w:val="16"/>
          <w:szCs w:val="16"/>
        </w:rPr>
        <w:t>%</w:t>
      </w:r>
      <w:r w:rsidRPr="000A6485">
        <w:rPr>
          <w:rFonts w:ascii="Verdana" w:hAnsi="Verdana"/>
          <w:sz w:val="16"/>
          <w:szCs w:val="16"/>
        </w:rPr>
        <w:t xml:space="preserve"> planowanych do realizacji w tym okresie dochodów ogółem.</w:t>
      </w:r>
    </w:p>
    <w:p w:rsidR="008A572A" w:rsidRDefault="008A572A" w:rsidP="008A572A">
      <w:pPr>
        <w:spacing w:before="120" w:after="120"/>
        <w:ind w:firstLine="567"/>
        <w:jc w:val="both"/>
        <w:rPr>
          <w:rFonts w:ascii="Verdana" w:hAnsi="Verdana" w:cs="Arial"/>
          <w:b/>
          <w:bCs/>
          <w:sz w:val="14"/>
          <w:szCs w:val="14"/>
        </w:rPr>
      </w:pPr>
      <w:r w:rsidRPr="000A6485">
        <w:rPr>
          <w:rFonts w:ascii="Verdana" w:hAnsi="Verdana"/>
          <w:sz w:val="16"/>
          <w:szCs w:val="16"/>
        </w:rPr>
        <w:t xml:space="preserve">Wykres nr </w:t>
      </w:r>
      <w:r>
        <w:rPr>
          <w:rFonts w:ascii="Verdana" w:hAnsi="Verdana"/>
          <w:sz w:val="16"/>
          <w:szCs w:val="16"/>
        </w:rPr>
        <w:t>20</w:t>
      </w:r>
      <w:r w:rsidRPr="000A6485">
        <w:rPr>
          <w:rFonts w:ascii="Verdana" w:hAnsi="Verdana"/>
          <w:sz w:val="16"/>
          <w:szCs w:val="16"/>
        </w:rPr>
        <w:t xml:space="preserve"> prezentuje procentową zmianę rok do roku wysokości dochodów z udziału w PIT </w:t>
      </w:r>
      <w:r w:rsidRPr="000A6485">
        <w:rPr>
          <w:rFonts w:ascii="Verdana" w:hAnsi="Verdana"/>
          <w:sz w:val="16"/>
          <w:szCs w:val="16"/>
        </w:rPr>
        <w:br/>
        <w:t>w poszczególnych latach objętych Prognozą.</w:t>
      </w:r>
      <w:r>
        <w:rPr>
          <w:rFonts w:ascii="Verdana" w:hAnsi="Verdana" w:cs="Arial"/>
          <w:b/>
          <w:bCs/>
          <w:sz w:val="14"/>
          <w:szCs w:val="14"/>
        </w:rPr>
        <w:br w:type="page"/>
      </w:r>
    </w:p>
    <w:p w:rsidR="008A572A" w:rsidRPr="000A6485" w:rsidRDefault="008A572A" w:rsidP="008A572A">
      <w:pPr>
        <w:spacing w:before="120" w:after="120" w:line="240" w:lineRule="auto"/>
        <w:rPr>
          <w:rFonts w:ascii="Verdana" w:hAnsi="Verdana"/>
          <w:sz w:val="14"/>
          <w:szCs w:val="14"/>
        </w:rPr>
      </w:pPr>
      <w:r w:rsidRPr="000A6485">
        <w:rPr>
          <w:rFonts w:ascii="Verdana" w:hAnsi="Verdana" w:cs="Arial"/>
          <w:b/>
          <w:bCs/>
          <w:sz w:val="14"/>
          <w:szCs w:val="14"/>
        </w:rPr>
        <w:lastRenderedPageBreak/>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DB2126">
        <w:rPr>
          <w:rFonts w:ascii="Verdana" w:hAnsi="Verdana" w:cs="Arial"/>
          <w:b/>
          <w:bCs/>
          <w:noProof/>
          <w:sz w:val="14"/>
          <w:szCs w:val="14"/>
        </w:rPr>
        <w:t>20</w:t>
      </w:r>
      <w:r w:rsidRPr="000A6485">
        <w:rPr>
          <w:rFonts w:ascii="Verdana" w:hAnsi="Verdana" w:cs="Arial"/>
          <w:b/>
          <w:bCs/>
          <w:sz w:val="14"/>
          <w:szCs w:val="14"/>
        </w:rPr>
        <w:fldChar w:fldCharType="end"/>
      </w:r>
      <w:r w:rsidRPr="000A6485">
        <w:rPr>
          <w:rFonts w:ascii="Verdana" w:hAnsi="Verdana" w:cs="Arial"/>
          <w:b/>
          <w:bCs/>
          <w:sz w:val="14"/>
          <w:szCs w:val="14"/>
        </w:rPr>
        <w:t xml:space="preserve">  PROGNOZOWANA ZMIANA PROCENTOWA ROK DO ROKU DOCHODÓW Z PIT M.ST. WARSZAWY </w:t>
      </w:r>
      <w:r w:rsidRPr="000A6485">
        <w:rPr>
          <w:rFonts w:ascii="Verdana" w:hAnsi="Verdana" w:cs="Arial"/>
          <w:b/>
          <w:bCs/>
          <w:sz w:val="14"/>
          <w:szCs w:val="14"/>
        </w:rPr>
        <w:br/>
        <w:t xml:space="preserve">                </w:t>
      </w:r>
      <w:r>
        <w:rPr>
          <w:rFonts w:ascii="Verdana" w:hAnsi="Verdana" w:cs="Arial"/>
          <w:b/>
          <w:bCs/>
          <w:sz w:val="14"/>
          <w:szCs w:val="14"/>
        </w:rPr>
        <w:t xml:space="preserve">NA LATA </w:t>
      </w:r>
      <w:r w:rsidRPr="00932633">
        <w:rPr>
          <w:rFonts w:ascii="Verdana" w:hAnsi="Verdana" w:cs="Arial"/>
          <w:b/>
          <w:bCs/>
          <w:sz w:val="14"/>
          <w:szCs w:val="14"/>
        </w:rPr>
        <w:t>2023</w:t>
      </w:r>
      <w:r w:rsidRPr="000A6485">
        <w:rPr>
          <w:rFonts w:ascii="Verdana" w:hAnsi="Verdana" w:cs="Arial"/>
          <w:b/>
          <w:bCs/>
          <w:sz w:val="14"/>
          <w:szCs w:val="14"/>
        </w:rPr>
        <w:t xml:space="preserve">-2050 </w:t>
      </w:r>
      <w:r w:rsidRPr="000A6485">
        <w:rPr>
          <w:rFonts w:ascii="Verdana" w:hAnsi="Verdana" w:cs="Arial"/>
          <w:bCs/>
          <w:sz w:val="14"/>
          <w:szCs w:val="14"/>
        </w:rPr>
        <w:t>[</w:t>
      </w:r>
      <w:r>
        <w:rPr>
          <w:rFonts w:ascii="Verdana" w:hAnsi="Verdana" w:cs="Arial"/>
          <w:bCs/>
          <w:sz w:val="14"/>
          <w:szCs w:val="14"/>
        </w:rPr>
        <w:t xml:space="preserve">w </w:t>
      </w:r>
      <w:r w:rsidRPr="000A6485">
        <w:rPr>
          <w:rFonts w:ascii="Verdana" w:hAnsi="Verdana" w:cs="Arial"/>
          <w:bCs/>
          <w:sz w:val="14"/>
          <w:szCs w:val="14"/>
        </w:rPr>
        <w:t>%]</w:t>
      </w:r>
    </w:p>
    <w:p w:rsidR="008A572A" w:rsidRPr="000A6485" w:rsidRDefault="008A572A" w:rsidP="008A572A">
      <w:pPr>
        <w:spacing w:before="120" w:after="120"/>
        <w:jc w:val="both"/>
        <w:rPr>
          <w:rFonts w:ascii="Verdana" w:hAnsi="Verdana"/>
          <w:sz w:val="18"/>
          <w:szCs w:val="18"/>
        </w:rPr>
      </w:pPr>
      <w:r>
        <w:rPr>
          <w:rFonts w:ascii="Verdana" w:hAnsi="Verdana"/>
          <w:noProof/>
          <w:sz w:val="18"/>
          <w:szCs w:val="18"/>
        </w:rPr>
        <w:drawing>
          <wp:inline distT="0" distB="0" distL="0" distR="0">
            <wp:extent cx="5745480" cy="2715895"/>
            <wp:effectExtent l="0" t="0" r="0" b="0"/>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5480" cy="2715895"/>
                    </a:xfrm>
                    <a:prstGeom prst="rect">
                      <a:avLst/>
                    </a:prstGeom>
                    <a:noFill/>
                    <a:ln>
                      <a:noFill/>
                    </a:ln>
                  </pic:spPr>
                </pic:pic>
              </a:graphicData>
            </a:graphic>
          </wp:inline>
        </w:drawing>
      </w:r>
    </w:p>
    <w:p w:rsidR="008A572A" w:rsidRDefault="008A572A" w:rsidP="008A572A">
      <w:pPr>
        <w:spacing w:before="60" w:after="60"/>
        <w:jc w:val="both"/>
        <w:rPr>
          <w:rFonts w:ascii="Verdana" w:hAnsi="Verdana" w:cs="Verdana"/>
          <w:sz w:val="16"/>
          <w:szCs w:val="16"/>
          <w:lang w:eastAsia="ko-KR"/>
        </w:rPr>
      </w:pPr>
      <w:r>
        <w:rPr>
          <w:rFonts w:ascii="Verdana" w:hAnsi="Verdana" w:cs="Verdana"/>
          <w:sz w:val="16"/>
          <w:szCs w:val="16"/>
          <w:lang w:eastAsia="ko-KR"/>
        </w:rPr>
        <w:t xml:space="preserve">Wieloletnia Prognoza Finansowa na lata 2023-2050 w zakresie wpływów z </w:t>
      </w:r>
      <w:r w:rsidRPr="00EC2B78">
        <w:rPr>
          <w:rFonts w:ascii="Verdana" w:hAnsi="Verdana" w:cs="Verdana"/>
          <w:sz w:val="16"/>
          <w:szCs w:val="16"/>
          <w:lang w:eastAsia="ko-KR"/>
        </w:rPr>
        <w:t>podatku dochodowego od osób fizycznych PIT</w:t>
      </w:r>
      <w:r>
        <w:rPr>
          <w:rFonts w:ascii="Verdana" w:hAnsi="Verdana" w:cs="Verdana"/>
          <w:sz w:val="16"/>
          <w:szCs w:val="16"/>
          <w:lang w:eastAsia="ko-KR"/>
        </w:rPr>
        <w:t xml:space="preserve"> została przygotowana w warunkach gruntownej zmiany zasad ustalania dochodów z PIT w wyniku nowelizacji </w:t>
      </w:r>
      <w:r w:rsidRPr="005B7485">
        <w:rPr>
          <w:rFonts w:ascii="Verdana" w:hAnsi="Verdana" w:cs="Verdana"/>
          <w:sz w:val="16"/>
          <w:szCs w:val="16"/>
          <w:lang w:eastAsia="ko-KR"/>
        </w:rPr>
        <w:t>z dnia 14 października 2021 r.</w:t>
      </w:r>
      <w:r>
        <w:rPr>
          <w:rFonts w:ascii="Verdana" w:hAnsi="Verdana" w:cs="Verdana"/>
          <w:sz w:val="16"/>
          <w:szCs w:val="16"/>
          <w:lang w:eastAsia="ko-KR"/>
        </w:rPr>
        <w:t xml:space="preserve"> </w:t>
      </w:r>
      <w:r w:rsidRPr="005B7485">
        <w:rPr>
          <w:rFonts w:ascii="Verdana" w:hAnsi="Verdana" w:cs="Verdana"/>
          <w:sz w:val="16"/>
          <w:szCs w:val="16"/>
          <w:lang w:eastAsia="ko-KR"/>
        </w:rPr>
        <w:t>ustawy o dochodach jednostek samorządu terytorialnego</w:t>
      </w:r>
      <w:r>
        <w:rPr>
          <w:rFonts w:ascii="Verdana" w:hAnsi="Verdana" w:cs="Verdana"/>
          <w:sz w:val="16"/>
          <w:szCs w:val="16"/>
          <w:lang w:eastAsia="ko-KR"/>
        </w:rPr>
        <w:t>.</w:t>
      </w:r>
    </w:p>
    <w:p w:rsidR="008A572A" w:rsidRPr="0064397A" w:rsidRDefault="008A572A" w:rsidP="008A572A">
      <w:pPr>
        <w:spacing w:before="60" w:after="60"/>
        <w:jc w:val="both"/>
        <w:rPr>
          <w:rFonts w:ascii="Verdana" w:hAnsi="Verdana" w:cs="Verdana"/>
          <w:sz w:val="16"/>
          <w:szCs w:val="16"/>
          <w:lang w:eastAsia="ko-KR"/>
        </w:rPr>
      </w:pPr>
      <w:r>
        <w:rPr>
          <w:rFonts w:ascii="Verdana" w:hAnsi="Verdana" w:cs="Verdana"/>
          <w:sz w:val="16"/>
          <w:szCs w:val="16"/>
          <w:lang w:eastAsia="ko-KR"/>
        </w:rPr>
        <w:t>Na skutek tej nowelizacji, począwszy od roku budżetowego 2022 r., ustalanie prognozy dochodów z PIT Miasta na rok budżetowy leży w kompetencjach Ministra Finansów. Ustalona przez MF roczna kwota dochodów będzie przekazywana do budżetu miasta w roku budżetowym w równych 12 miesięcznych ratach.</w:t>
      </w:r>
    </w:p>
    <w:p w:rsidR="008A572A" w:rsidRDefault="008A572A" w:rsidP="008A572A">
      <w:pPr>
        <w:spacing w:before="60" w:after="60"/>
        <w:jc w:val="both"/>
        <w:rPr>
          <w:rFonts w:ascii="Verdana" w:hAnsi="Verdana" w:cs="Verdana"/>
          <w:sz w:val="16"/>
          <w:szCs w:val="16"/>
          <w:lang w:eastAsia="ko-KR"/>
        </w:rPr>
      </w:pPr>
      <w:r>
        <w:rPr>
          <w:rFonts w:ascii="Verdana" w:hAnsi="Verdana" w:cs="Verdana"/>
          <w:sz w:val="16"/>
          <w:szCs w:val="16"/>
          <w:lang w:eastAsia="ko-KR"/>
        </w:rPr>
        <w:t>Prognozę dochodów z PIT Miasta na kolejne lata, w perspektywie określonej w WPF sporządzają samodzielnie JST.</w:t>
      </w:r>
    </w:p>
    <w:p w:rsidR="008A572A" w:rsidRDefault="008A572A" w:rsidP="008A572A">
      <w:pPr>
        <w:spacing w:before="60" w:after="60"/>
        <w:jc w:val="both"/>
        <w:rPr>
          <w:rFonts w:ascii="Verdana" w:hAnsi="Verdana" w:cs="Verdana"/>
          <w:sz w:val="16"/>
          <w:szCs w:val="16"/>
          <w:lang w:eastAsia="ko-KR"/>
        </w:rPr>
      </w:pPr>
      <w:r>
        <w:rPr>
          <w:rFonts w:ascii="Verdana" w:hAnsi="Verdana" w:cs="Verdana"/>
          <w:sz w:val="16"/>
          <w:szCs w:val="16"/>
          <w:lang w:eastAsia="ko-KR"/>
        </w:rPr>
        <w:t xml:space="preserve">Ustalona przez Ministra Finansów na rok budżetowy 2023 prognoza dochodów m.st. Warszawy z PIT uwzględnia skutki Modyfikacji programu Polski Ład, w szczególności </w:t>
      </w:r>
      <w:r w:rsidRPr="00832F1A">
        <w:rPr>
          <w:rFonts w:ascii="Verdana" w:hAnsi="Verdana" w:cs="Arial"/>
          <w:sz w:val="16"/>
          <w:szCs w:val="16"/>
        </w:rPr>
        <w:t xml:space="preserve">obniżenie stawki podatku w </w:t>
      </w:r>
      <w:r>
        <w:rPr>
          <w:rFonts w:ascii="Verdana" w:hAnsi="Verdana" w:cs="Arial"/>
          <w:sz w:val="16"/>
          <w:szCs w:val="16"/>
        </w:rPr>
        <w:t>pierwszym progu podatkowym z </w:t>
      </w:r>
      <w:r w:rsidRPr="00832F1A">
        <w:rPr>
          <w:rFonts w:ascii="Verdana" w:hAnsi="Verdana" w:cs="Arial"/>
          <w:sz w:val="16"/>
          <w:szCs w:val="16"/>
        </w:rPr>
        <w:t>17% do 12%</w:t>
      </w:r>
      <w:r>
        <w:rPr>
          <w:rFonts w:ascii="Verdana" w:hAnsi="Verdana" w:cs="Verdana"/>
          <w:sz w:val="16"/>
          <w:szCs w:val="16"/>
          <w:lang w:eastAsia="ko-KR"/>
        </w:rPr>
        <w:t xml:space="preserve">, które sprawi, że w 2023 r. </w:t>
      </w:r>
      <w:r w:rsidRPr="00A07977">
        <w:rPr>
          <w:rFonts w:ascii="Verdana" w:hAnsi="Verdana" w:cs="Verdana"/>
          <w:sz w:val="16"/>
          <w:szCs w:val="16"/>
          <w:lang w:eastAsia="ko-KR"/>
        </w:rPr>
        <w:t>dochod</w:t>
      </w:r>
      <w:r>
        <w:rPr>
          <w:rFonts w:ascii="Verdana" w:hAnsi="Verdana" w:cs="Verdana"/>
          <w:sz w:val="16"/>
          <w:szCs w:val="16"/>
          <w:lang w:eastAsia="ko-KR"/>
        </w:rPr>
        <w:t>y</w:t>
      </w:r>
      <w:r w:rsidRPr="00A07977">
        <w:rPr>
          <w:rFonts w:ascii="Verdana" w:hAnsi="Verdana" w:cs="Verdana"/>
          <w:sz w:val="16"/>
          <w:szCs w:val="16"/>
          <w:lang w:eastAsia="ko-KR"/>
        </w:rPr>
        <w:t xml:space="preserve"> Miasta</w:t>
      </w:r>
      <w:r>
        <w:rPr>
          <w:rFonts w:ascii="Verdana" w:hAnsi="Verdana" w:cs="Verdana"/>
          <w:sz w:val="16"/>
          <w:szCs w:val="16"/>
          <w:lang w:eastAsia="ko-KR"/>
        </w:rPr>
        <w:t xml:space="preserve"> będą mniejsze </w:t>
      </w:r>
      <w:r w:rsidRPr="00A07977">
        <w:rPr>
          <w:rFonts w:ascii="Verdana" w:hAnsi="Verdana" w:cs="Verdana"/>
          <w:sz w:val="16"/>
          <w:szCs w:val="16"/>
          <w:lang w:eastAsia="ko-KR"/>
        </w:rPr>
        <w:t xml:space="preserve">o </w:t>
      </w:r>
      <w:r>
        <w:rPr>
          <w:rFonts w:ascii="Verdana" w:hAnsi="Verdana" w:cs="Verdana"/>
          <w:sz w:val="16"/>
          <w:szCs w:val="16"/>
          <w:lang w:eastAsia="ko-KR"/>
        </w:rPr>
        <w:t xml:space="preserve">ok. </w:t>
      </w:r>
      <w:r>
        <w:rPr>
          <w:rFonts w:ascii="Verdana" w:hAnsi="Verdana" w:cs="Verdana"/>
          <w:b/>
          <w:sz w:val="16"/>
          <w:szCs w:val="16"/>
          <w:lang w:eastAsia="ko-KR"/>
        </w:rPr>
        <w:t>1,2 mld </w:t>
      </w:r>
      <w:r w:rsidRPr="00F56EB6">
        <w:rPr>
          <w:rFonts w:ascii="Verdana" w:hAnsi="Verdana" w:cs="Verdana"/>
          <w:b/>
          <w:sz w:val="16"/>
          <w:szCs w:val="16"/>
          <w:lang w:eastAsia="ko-KR"/>
        </w:rPr>
        <w:t>zł</w:t>
      </w:r>
      <w:r w:rsidRPr="00A07977">
        <w:rPr>
          <w:rFonts w:ascii="Verdana" w:hAnsi="Verdana" w:cs="Verdana"/>
          <w:sz w:val="16"/>
          <w:szCs w:val="16"/>
          <w:lang w:eastAsia="ko-KR"/>
        </w:rPr>
        <w:t xml:space="preserve">. </w:t>
      </w:r>
    </w:p>
    <w:p w:rsidR="008A572A" w:rsidRDefault="008A572A" w:rsidP="008A572A">
      <w:pPr>
        <w:spacing w:before="60" w:after="60"/>
        <w:jc w:val="both"/>
        <w:rPr>
          <w:rFonts w:ascii="Verdana" w:hAnsi="Verdana" w:cs="Verdana"/>
          <w:sz w:val="16"/>
          <w:szCs w:val="16"/>
        </w:rPr>
      </w:pPr>
      <w:r>
        <w:rPr>
          <w:rFonts w:ascii="Verdana" w:hAnsi="Verdana" w:cs="Verdana"/>
          <w:sz w:val="16"/>
          <w:szCs w:val="16"/>
        </w:rPr>
        <w:t xml:space="preserve">Wprowadzone w ramach Modyfikacji programu Polski Ład zmiany </w:t>
      </w:r>
      <w:r w:rsidRPr="000A6485">
        <w:rPr>
          <w:rFonts w:ascii="Verdana" w:hAnsi="Verdana" w:cs="Verdana"/>
          <w:sz w:val="16"/>
          <w:szCs w:val="16"/>
        </w:rPr>
        <w:t xml:space="preserve">w podatku dochodowym od osób fizycznych (PIT) </w:t>
      </w:r>
      <w:r w:rsidRPr="00F56EB6">
        <w:rPr>
          <w:rFonts w:ascii="Verdana" w:hAnsi="Verdana" w:cs="Verdana"/>
          <w:sz w:val="16"/>
          <w:szCs w:val="16"/>
        </w:rPr>
        <w:t>nakładają się</w:t>
      </w:r>
      <w:r>
        <w:rPr>
          <w:rFonts w:ascii="Verdana" w:hAnsi="Verdana" w:cs="Verdana"/>
          <w:sz w:val="16"/>
          <w:szCs w:val="16"/>
        </w:rPr>
        <w:t xml:space="preserve"> na </w:t>
      </w:r>
      <w:r w:rsidRPr="00F56EB6">
        <w:rPr>
          <w:rFonts w:ascii="Verdana" w:hAnsi="Verdana" w:cs="Verdana"/>
          <w:sz w:val="16"/>
          <w:szCs w:val="16"/>
        </w:rPr>
        <w:t xml:space="preserve">skutki zmian w PIT wprowadzonych </w:t>
      </w:r>
      <w:r>
        <w:rPr>
          <w:rFonts w:ascii="Verdana" w:hAnsi="Verdana" w:cs="Verdana"/>
          <w:sz w:val="16"/>
          <w:szCs w:val="16"/>
        </w:rPr>
        <w:t>od</w:t>
      </w:r>
      <w:r w:rsidRPr="00F56EB6">
        <w:rPr>
          <w:rFonts w:ascii="Verdana" w:hAnsi="Verdana" w:cs="Verdana"/>
          <w:sz w:val="16"/>
          <w:szCs w:val="16"/>
        </w:rPr>
        <w:t xml:space="preserve"> 2019 roku, które trwale obniż</w:t>
      </w:r>
      <w:r>
        <w:rPr>
          <w:rFonts w:ascii="Verdana" w:hAnsi="Verdana" w:cs="Verdana"/>
          <w:sz w:val="16"/>
          <w:szCs w:val="16"/>
        </w:rPr>
        <w:t>yły</w:t>
      </w:r>
      <w:r w:rsidRPr="00F56EB6">
        <w:rPr>
          <w:rFonts w:ascii="Verdana" w:hAnsi="Verdana" w:cs="Verdana"/>
          <w:sz w:val="16"/>
          <w:szCs w:val="16"/>
        </w:rPr>
        <w:t xml:space="preserve"> dochody samorządów</w:t>
      </w:r>
      <w:r>
        <w:rPr>
          <w:rFonts w:ascii="Verdana" w:hAnsi="Verdana" w:cs="Verdana"/>
          <w:sz w:val="16"/>
          <w:szCs w:val="16"/>
        </w:rPr>
        <w:t xml:space="preserve"> w latach 2020-2022</w:t>
      </w:r>
      <w:r w:rsidRPr="00F56EB6">
        <w:rPr>
          <w:rFonts w:ascii="Verdana" w:hAnsi="Verdana" w:cs="Verdana"/>
          <w:sz w:val="16"/>
          <w:szCs w:val="16"/>
        </w:rPr>
        <w:t>.</w:t>
      </w:r>
      <w:r>
        <w:rPr>
          <w:rFonts w:ascii="Verdana" w:hAnsi="Verdana" w:cs="Verdana"/>
          <w:sz w:val="16"/>
          <w:szCs w:val="16"/>
        </w:rPr>
        <w:t xml:space="preserve"> Zmiany legislacyjne w zakresie PIT spowodowały roczny ubytek dochodów Miasta w wys. </w:t>
      </w:r>
      <w:r>
        <w:rPr>
          <w:rFonts w:ascii="Verdana" w:hAnsi="Verdana" w:cs="Verdana"/>
          <w:b/>
          <w:sz w:val="16"/>
          <w:szCs w:val="16"/>
        </w:rPr>
        <w:t>3,5 mld </w:t>
      </w:r>
      <w:r w:rsidRPr="003373D0">
        <w:rPr>
          <w:rFonts w:ascii="Verdana" w:hAnsi="Verdana" w:cs="Verdana"/>
          <w:b/>
          <w:sz w:val="16"/>
          <w:szCs w:val="16"/>
        </w:rPr>
        <w:t>zł</w:t>
      </w:r>
      <w:r>
        <w:rPr>
          <w:rFonts w:ascii="Verdana" w:hAnsi="Verdana" w:cs="Verdana"/>
          <w:sz w:val="16"/>
          <w:szCs w:val="16"/>
        </w:rPr>
        <w:t xml:space="preserve"> i dotyczyły:</w:t>
      </w:r>
    </w:p>
    <w:p w:rsidR="008A572A" w:rsidRDefault="008A572A" w:rsidP="008A572A">
      <w:pPr>
        <w:pStyle w:val="Akapitzlist"/>
        <w:numPr>
          <w:ilvl w:val="0"/>
          <w:numId w:val="50"/>
        </w:numPr>
        <w:spacing w:before="60" w:after="60"/>
        <w:contextualSpacing w:val="0"/>
        <w:jc w:val="both"/>
        <w:rPr>
          <w:rFonts w:ascii="Verdana" w:hAnsi="Verdana" w:cs="Verdana"/>
          <w:sz w:val="16"/>
          <w:szCs w:val="16"/>
        </w:rPr>
      </w:pPr>
      <w:r w:rsidRPr="00B32F9D">
        <w:rPr>
          <w:rFonts w:ascii="Verdana" w:hAnsi="Verdana" w:cs="Verdana"/>
          <w:sz w:val="16"/>
          <w:szCs w:val="16"/>
        </w:rPr>
        <w:t>zwolnieni</w:t>
      </w:r>
      <w:r>
        <w:rPr>
          <w:rFonts w:ascii="Verdana" w:hAnsi="Verdana" w:cs="Verdana"/>
          <w:sz w:val="16"/>
          <w:szCs w:val="16"/>
        </w:rPr>
        <w:t>a</w:t>
      </w:r>
      <w:r w:rsidRPr="00B32F9D">
        <w:rPr>
          <w:rFonts w:ascii="Verdana" w:hAnsi="Verdana" w:cs="Verdana"/>
          <w:sz w:val="16"/>
          <w:szCs w:val="16"/>
        </w:rPr>
        <w:t xml:space="preserve"> z podatku PIT osób w wieku poniżej 26</w:t>
      </w:r>
      <w:r>
        <w:rPr>
          <w:rFonts w:ascii="Verdana" w:hAnsi="Verdana" w:cs="Verdana"/>
          <w:sz w:val="16"/>
          <w:szCs w:val="16"/>
        </w:rPr>
        <w:t>.</w:t>
      </w:r>
      <w:r w:rsidRPr="00B32F9D">
        <w:rPr>
          <w:rFonts w:ascii="Verdana" w:hAnsi="Verdana" w:cs="Verdana"/>
          <w:sz w:val="16"/>
          <w:szCs w:val="16"/>
        </w:rPr>
        <w:t xml:space="preserve"> roku życia</w:t>
      </w:r>
      <w:r>
        <w:rPr>
          <w:rFonts w:ascii="Verdana" w:hAnsi="Verdana" w:cs="Verdana"/>
          <w:sz w:val="16"/>
          <w:szCs w:val="16"/>
        </w:rPr>
        <w:t>,</w:t>
      </w:r>
      <w:r w:rsidRPr="00B32F9D">
        <w:rPr>
          <w:rFonts w:ascii="Verdana" w:hAnsi="Verdana" w:cs="Verdana"/>
          <w:sz w:val="16"/>
          <w:szCs w:val="16"/>
        </w:rPr>
        <w:t xml:space="preserve"> </w:t>
      </w:r>
    </w:p>
    <w:p w:rsidR="008A572A" w:rsidRDefault="008A572A" w:rsidP="008A572A">
      <w:pPr>
        <w:pStyle w:val="Akapitzlist"/>
        <w:numPr>
          <w:ilvl w:val="0"/>
          <w:numId w:val="50"/>
        </w:numPr>
        <w:spacing w:before="60" w:after="60"/>
        <w:contextualSpacing w:val="0"/>
        <w:jc w:val="both"/>
        <w:rPr>
          <w:rFonts w:ascii="Verdana" w:hAnsi="Verdana" w:cs="Verdana"/>
          <w:sz w:val="16"/>
          <w:szCs w:val="16"/>
        </w:rPr>
      </w:pPr>
      <w:r w:rsidRPr="00B32F9D">
        <w:rPr>
          <w:rFonts w:ascii="Verdana" w:hAnsi="Verdana" w:cs="Verdana"/>
          <w:sz w:val="16"/>
          <w:szCs w:val="16"/>
        </w:rPr>
        <w:t>obniżeni</w:t>
      </w:r>
      <w:r>
        <w:rPr>
          <w:rFonts w:ascii="Verdana" w:hAnsi="Verdana" w:cs="Verdana"/>
          <w:sz w:val="16"/>
          <w:szCs w:val="16"/>
        </w:rPr>
        <w:t>a</w:t>
      </w:r>
      <w:r w:rsidRPr="00B32F9D">
        <w:rPr>
          <w:rFonts w:ascii="Verdana" w:hAnsi="Verdana" w:cs="Verdana"/>
          <w:sz w:val="16"/>
          <w:szCs w:val="16"/>
        </w:rPr>
        <w:t xml:space="preserve"> s</w:t>
      </w:r>
      <w:r>
        <w:rPr>
          <w:rFonts w:ascii="Verdana" w:hAnsi="Verdana" w:cs="Verdana"/>
          <w:sz w:val="16"/>
          <w:szCs w:val="16"/>
        </w:rPr>
        <w:t>tawki podatku PIT z 18% do 17%,</w:t>
      </w:r>
    </w:p>
    <w:p w:rsidR="008A572A" w:rsidRDefault="008A572A" w:rsidP="008A572A">
      <w:pPr>
        <w:pStyle w:val="Akapitzlist"/>
        <w:numPr>
          <w:ilvl w:val="0"/>
          <w:numId w:val="50"/>
        </w:numPr>
        <w:spacing w:before="60" w:after="60"/>
        <w:contextualSpacing w:val="0"/>
        <w:jc w:val="both"/>
        <w:rPr>
          <w:rFonts w:ascii="Verdana" w:hAnsi="Verdana" w:cs="Verdana"/>
          <w:sz w:val="16"/>
          <w:szCs w:val="16"/>
        </w:rPr>
      </w:pPr>
      <w:r w:rsidRPr="00B32F9D">
        <w:rPr>
          <w:rFonts w:ascii="Verdana" w:hAnsi="Verdana" w:cs="Verdana"/>
          <w:sz w:val="16"/>
          <w:szCs w:val="16"/>
        </w:rPr>
        <w:t>podwyższe</w:t>
      </w:r>
      <w:r>
        <w:rPr>
          <w:rFonts w:ascii="Verdana" w:hAnsi="Verdana" w:cs="Verdana"/>
          <w:sz w:val="16"/>
          <w:szCs w:val="16"/>
        </w:rPr>
        <w:t>nia</w:t>
      </w:r>
      <w:r w:rsidRPr="00B32F9D">
        <w:rPr>
          <w:rFonts w:ascii="Verdana" w:hAnsi="Verdana" w:cs="Verdana"/>
          <w:sz w:val="16"/>
          <w:szCs w:val="16"/>
        </w:rPr>
        <w:t xml:space="preserve"> kwoty ko</w:t>
      </w:r>
      <w:r>
        <w:rPr>
          <w:rFonts w:ascii="Verdana" w:hAnsi="Verdana" w:cs="Verdana"/>
          <w:sz w:val="16"/>
          <w:szCs w:val="16"/>
        </w:rPr>
        <w:t>sztów uzyskania przychodu w PIT,</w:t>
      </w:r>
    </w:p>
    <w:p w:rsidR="008A572A" w:rsidRDefault="008A572A" w:rsidP="008A572A">
      <w:pPr>
        <w:pStyle w:val="Akapitzlist"/>
        <w:numPr>
          <w:ilvl w:val="0"/>
          <w:numId w:val="50"/>
        </w:numPr>
        <w:spacing w:before="60" w:after="60"/>
        <w:contextualSpacing w:val="0"/>
        <w:jc w:val="both"/>
        <w:rPr>
          <w:rFonts w:ascii="Verdana" w:hAnsi="Verdana" w:cs="Verdana"/>
          <w:sz w:val="16"/>
          <w:szCs w:val="16"/>
        </w:rPr>
      </w:pPr>
      <w:r w:rsidRPr="00B32F9D">
        <w:rPr>
          <w:rFonts w:ascii="Verdana" w:hAnsi="Verdana" w:cs="Verdana"/>
          <w:sz w:val="16"/>
          <w:szCs w:val="16"/>
        </w:rPr>
        <w:t>podwyższeni</w:t>
      </w:r>
      <w:r>
        <w:rPr>
          <w:rFonts w:ascii="Verdana" w:hAnsi="Verdana" w:cs="Verdana"/>
          <w:sz w:val="16"/>
          <w:szCs w:val="16"/>
        </w:rPr>
        <w:t>a</w:t>
      </w:r>
      <w:r w:rsidRPr="00B32F9D">
        <w:rPr>
          <w:rFonts w:ascii="Verdana" w:hAnsi="Verdana" w:cs="Verdana"/>
          <w:sz w:val="16"/>
          <w:szCs w:val="16"/>
        </w:rPr>
        <w:t xml:space="preserve"> z 250 tys. euro do 2 mln euro limitu przychodu umożliwiającego podatnikom prowadzącym pozarolniczą działalność gospodarczą skorzystanie z uproszczonej zry</w:t>
      </w:r>
      <w:r>
        <w:rPr>
          <w:rFonts w:ascii="Verdana" w:hAnsi="Verdana" w:cs="Verdana"/>
          <w:sz w:val="16"/>
          <w:szCs w:val="16"/>
        </w:rPr>
        <w:t>czałtowanej formy opodatkowania,</w:t>
      </w:r>
    </w:p>
    <w:p w:rsidR="008A572A" w:rsidRPr="00B32F9D" w:rsidRDefault="008A572A" w:rsidP="008A572A">
      <w:pPr>
        <w:pStyle w:val="Akapitzlist"/>
        <w:numPr>
          <w:ilvl w:val="0"/>
          <w:numId w:val="50"/>
        </w:numPr>
        <w:spacing w:before="60" w:after="60"/>
        <w:contextualSpacing w:val="0"/>
        <w:jc w:val="both"/>
        <w:rPr>
          <w:rFonts w:ascii="Verdana" w:hAnsi="Verdana" w:cs="Verdana"/>
          <w:sz w:val="16"/>
          <w:szCs w:val="16"/>
        </w:rPr>
      </w:pPr>
      <w:r>
        <w:rPr>
          <w:rFonts w:ascii="Verdana" w:hAnsi="Verdana" w:cs="Verdana"/>
          <w:sz w:val="16"/>
          <w:szCs w:val="16"/>
        </w:rPr>
        <w:t>Programu Polski Ład.</w:t>
      </w:r>
    </w:p>
    <w:p w:rsidR="008A572A" w:rsidRPr="0064397A" w:rsidRDefault="008A572A" w:rsidP="008A572A">
      <w:pPr>
        <w:spacing w:before="60" w:after="60"/>
        <w:jc w:val="both"/>
        <w:rPr>
          <w:rFonts w:ascii="Verdana" w:hAnsi="Verdana" w:cs="Verdana"/>
          <w:sz w:val="16"/>
          <w:szCs w:val="16"/>
          <w:lang w:eastAsia="ko-KR"/>
        </w:rPr>
      </w:pPr>
      <w:r>
        <w:rPr>
          <w:rFonts w:ascii="Verdana" w:hAnsi="Verdana"/>
          <w:bCs/>
          <w:sz w:val="16"/>
          <w:szCs w:val="16"/>
        </w:rPr>
        <w:t>Łączny skutek zmian wprowadzonych to trwały ubytek do</w:t>
      </w:r>
      <w:r w:rsidRPr="000A6485">
        <w:rPr>
          <w:rFonts w:ascii="Verdana" w:hAnsi="Verdana"/>
          <w:bCs/>
          <w:sz w:val="16"/>
          <w:szCs w:val="16"/>
        </w:rPr>
        <w:t xml:space="preserve">chodów m.st. </w:t>
      </w:r>
      <w:r w:rsidRPr="000A6485">
        <w:rPr>
          <w:rFonts w:ascii="Verdana" w:hAnsi="Verdana" w:cs="Verdana"/>
          <w:sz w:val="16"/>
          <w:szCs w:val="16"/>
        </w:rPr>
        <w:t>Warszawy</w:t>
      </w:r>
      <w:r w:rsidRPr="000A6485">
        <w:rPr>
          <w:rFonts w:ascii="Verdana" w:hAnsi="Verdana"/>
          <w:bCs/>
          <w:sz w:val="16"/>
          <w:szCs w:val="16"/>
        </w:rPr>
        <w:t xml:space="preserve"> w całej perspektywie W</w:t>
      </w:r>
      <w:r>
        <w:rPr>
          <w:rFonts w:ascii="Verdana" w:hAnsi="Verdana"/>
          <w:bCs/>
          <w:sz w:val="16"/>
          <w:szCs w:val="16"/>
        </w:rPr>
        <w:t>ieloletniej Prognozy Finansowej</w:t>
      </w:r>
      <w:r w:rsidRPr="000A6485">
        <w:rPr>
          <w:rFonts w:ascii="Verdana" w:hAnsi="Verdana"/>
          <w:bCs/>
          <w:sz w:val="16"/>
          <w:szCs w:val="16"/>
        </w:rPr>
        <w:t xml:space="preserve"> </w:t>
      </w:r>
      <w:r w:rsidRPr="000A6485">
        <w:rPr>
          <w:rFonts w:ascii="Verdana" w:hAnsi="Verdana" w:cs="Verdana"/>
          <w:sz w:val="16"/>
          <w:szCs w:val="16"/>
        </w:rPr>
        <w:t xml:space="preserve">na kwotę </w:t>
      </w:r>
      <w:r>
        <w:rPr>
          <w:rFonts w:ascii="Verdana" w:hAnsi="Verdana" w:cs="Verdana"/>
          <w:sz w:val="16"/>
          <w:szCs w:val="16"/>
        </w:rPr>
        <w:t xml:space="preserve">bliską </w:t>
      </w:r>
      <w:r>
        <w:rPr>
          <w:rFonts w:ascii="Verdana" w:hAnsi="Verdana" w:cs="Verdana"/>
          <w:b/>
          <w:sz w:val="16"/>
          <w:szCs w:val="16"/>
          <w:lang w:eastAsia="ko-KR"/>
        </w:rPr>
        <w:t>4,3</w:t>
      </w:r>
      <w:r w:rsidRPr="006C03D2">
        <w:rPr>
          <w:rFonts w:ascii="Verdana" w:hAnsi="Verdana" w:cs="Verdana"/>
          <w:b/>
          <w:sz w:val="16"/>
          <w:szCs w:val="16"/>
          <w:lang w:eastAsia="ko-KR"/>
        </w:rPr>
        <w:t> mld zł</w:t>
      </w:r>
      <w:r>
        <w:rPr>
          <w:rFonts w:ascii="Verdana" w:hAnsi="Verdana" w:cs="Verdana"/>
          <w:sz w:val="16"/>
          <w:szCs w:val="16"/>
          <w:lang w:eastAsia="ko-KR"/>
        </w:rPr>
        <w:t xml:space="preserve"> rocznie w porównaniu z </w:t>
      </w:r>
      <w:r w:rsidRPr="000A6485">
        <w:rPr>
          <w:rFonts w:ascii="Verdana" w:hAnsi="Verdana" w:cs="Verdana"/>
          <w:sz w:val="16"/>
          <w:szCs w:val="16"/>
          <w:lang w:eastAsia="ko-KR"/>
        </w:rPr>
        <w:t>sytuacją niezmienionego stanu prawnego</w:t>
      </w:r>
      <w:r w:rsidRPr="0064397A">
        <w:rPr>
          <w:rFonts w:ascii="Verdana" w:hAnsi="Verdana" w:cs="Verdana"/>
          <w:sz w:val="16"/>
          <w:szCs w:val="16"/>
          <w:lang w:eastAsia="ko-KR"/>
        </w:rPr>
        <w:t>.</w:t>
      </w:r>
    </w:p>
    <w:p w:rsidR="008A572A" w:rsidRPr="000A6485" w:rsidRDefault="008A572A" w:rsidP="008A572A">
      <w:pPr>
        <w:spacing w:before="60" w:after="60"/>
        <w:jc w:val="both"/>
        <w:rPr>
          <w:rFonts w:ascii="Verdana" w:hAnsi="Verdana"/>
          <w:sz w:val="16"/>
          <w:szCs w:val="16"/>
        </w:rPr>
      </w:pPr>
      <w:r w:rsidRPr="000A6485">
        <w:rPr>
          <w:rFonts w:ascii="Verdana" w:hAnsi="Verdana"/>
          <w:sz w:val="16"/>
          <w:szCs w:val="16"/>
        </w:rPr>
        <w:t>Metodologia prognozowania tego źródła dochodów opiera się na określeniu trzech głównych czynników determinujących wysokość uzyskiwanych środków:</w:t>
      </w:r>
    </w:p>
    <w:p w:rsidR="008A572A" w:rsidRPr="000A6485" w:rsidRDefault="008A572A" w:rsidP="008A572A">
      <w:pPr>
        <w:numPr>
          <w:ilvl w:val="0"/>
          <w:numId w:val="6"/>
        </w:numPr>
        <w:tabs>
          <w:tab w:val="clear" w:pos="1080"/>
          <w:tab w:val="num" w:pos="567"/>
        </w:tabs>
        <w:spacing w:before="60" w:after="60"/>
        <w:ind w:left="540" w:hanging="256"/>
        <w:jc w:val="both"/>
        <w:rPr>
          <w:rFonts w:ascii="Verdana" w:hAnsi="Verdana"/>
          <w:sz w:val="16"/>
          <w:szCs w:val="16"/>
        </w:rPr>
      </w:pPr>
      <w:r>
        <w:rPr>
          <w:rFonts w:ascii="Verdana" w:hAnsi="Verdana"/>
          <w:sz w:val="16"/>
          <w:szCs w:val="16"/>
        </w:rPr>
        <w:t xml:space="preserve">puli </w:t>
      </w:r>
      <w:r w:rsidRPr="000A6485">
        <w:rPr>
          <w:rFonts w:ascii="Verdana" w:hAnsi="Verdana"/>
          <w:sz w:val="16"/>
          <w:szCs w:val="16"/>
        </w:rPr>
        <w:t>wpływów z PIT do</w:t>
      </w:r>
      <w:r>
        <w:rPr>
          <w:rFonts w:ascii="Verdana" w:hAnsi="Verdana"/>
          <w:sz w:val="16"/>
          <w:szCs w:val="16"/>
        </w:rPr>
        <w:t xml:space="preserve"> poddziału między </w:t>
      </w:r>
      <w:r w:rsidRPr="000A6485">
        <w:rPr>
          <w:rFonts w:ascii="Verdana" w:hAnsi="Verdana"/>
          <w:sz w:val="16"/>
          <w:szCs w:val="16"/>
        </w:rPr>
        <w:t>budżet państwa</w:t>
      </w:r>
      <w:r>
        <w:rPr>
          <w:rFonts w:ascii="Verdana" w:hAnsi="Verdana"/>
          <w:sz w:val="16"/>
          <w:szCs w:val="16"/>
        </w:rPr>
        <w:t xml:space="preserve"> i JST</w:t>
      </w:r>
      <w:r w:rsidRPr="000A6485">
        <w:rPr>
          <w:rFonts w:ascii="Verdana" w:hAnsi="Verdana"/>
          <w:sz w:val="16"/>
          <w:szCs w:val="16"/>
        </w:rPr>
        <w:t>,</w:t>
      </w:r>
    </w:p>
    <w:p w:rsidR="008A572A" w:rsidRPr="000A6485" w:rsidRDefault="008A572A" w:rsidP="008A572A">
      <w:pPr>
        <w:numPr>
          <w:ilvl w:val="0"/>
          <w:numId w:val="6"/>
        </w:numPr>
        <w:tabs>
          <w:tab w:val="clear" w:pos="1080"/>
          <w:tab w:val="num" w:pos="567"/>
        </w:tabs>
        <w:spacing w:before="60" w:after="60"/>
        <w:ind w:left="540" w:hanging="256"/>
        <w:jc w:val="both"/>
        <w:rPr>
          <w:rFonts w:ascii="Verdana" w:hAnsi="Verdana"/>
          <w:sz w:val="16"/>
          <w:szCs w:val="16"/>
        </w:rPr>
      </w:pPr>
      <w:r w:rsidRPr="000A6485">
        <w:rPr>
          <w:rFonts w:ascii="Verdana" w:hAnsi="Verdana"/>
          <w:sz w:val="16"/>
          <w:szCs w:val="16"/>
        </w:rPr>
        <w:t>ustawowego, określonego dla miast na prawach powiatu udziału we wpływach z PIT do budżetu państwa,</w:t>
      </w:r>
    </w:p>
    <w:p w:rsidR="008A572A" w:rsidRPr="000A6485" w:rsidRDefault="008A572A" w:rsidP="008A572A">
      <w:pPr>
        <w:numPr>
          <w:ilvl w:val="0"/>
          <w:numId w:val="6"/>
        </w:numPr>
        <w:tabs>
          <w:tab w:val="clear" w:pos="1080"/>
          <w:tab w:val="num" w:pos="567"/>
        </w:tabs>
        <w:spacing w:before="60" w:after="60"/>
        <w:ind w:left="540" w:hanging="256"/>
        <w:jc w:val="both"/>
        <w:rPr>
          <w:rFonts w:ascii="Verdana" w:hAnsi="Verdana"/>
          <w:sz w:val="16"/>
          <w:szCs w:val="16"/>
        </w:rPr>
      </w:pPr>
      <w:r w:rsidRPr="000A6485">
        <w:rPr>
          <w:rFonts w:ascii="Verdana" w:hAnsi="Verdana"/>
          <w:sz w:val="16"/>
          <w:szCs w:val="16"/>
        </w:rPr>
        <w:lastRenderedPageBreak/>
        <w:t>indywidualnego, wyliczonego dla jednostki samorządu terytorialnego udziału we wpływach z PIT wszystkich jednostek samorządu terytorialnego danego typu.</w:t>
      </w:r>
    </w:p>
    <w:p w:rsidR="008A572A" w:rsidRPr="000A6485" w:rsidRDefault="008A572A" w:rsidP="008A572A">
      <w:pPr>
        <w:spacing w:before="60" w:after="60"/>
        <w:jc w:val="both"/>
        <w:rPr>
          <w:rFonts w:ascii="Verdana" w:hAnsi="Verdana"/>
          <w:sz w:val="16"/>
          <w:szCs w:val="16"/>
        </w:rPr>
      </w:pPr>
      <w:r>
        <w:rPr>
          <w:rFonts w:ascii="Verdana" w:hAnsi="Verdana"/>
          <w:sz w:val="16"/>
          <w:szCs w:val="16"/>
        </w:rPr>
        <w:t xml:space="preserve">Pula </w:t>
      </w:r>
      <w:r w:rsidRPr="000A6485">
        <w:rPr>
          <w:rFonts w:ascii="Verdana" w:hAnsi="Verdana"/>
          <w:sz w:val="16"/>
          <w:szCs w:val="16"/>
        </w:rPr>
        <w:t>wpływów z PIT do</w:t>
      </w:r>
      <w:r>
        <w:rPr>
          <w:rFonts w:ascii="Verdana" w:hAnsi="Verdana"/>
          <w:sz w:val="16"/>
          <w:szCs w:val="16"/>
        </w:rPr>
        <w:t xml:space="preserve"> poddziału między </w:t>
      </w:r>
      <w:r w:rsidRPr="000A6485">
        <w:rPr>
          <w:rFonts w:ascii="Verdana" w:hAnsi="Verdana"/>
          <w:sz w:val="16"/>
          <w:szCs w:val="16"/>
        </w:rPr>
        <w:t>budżet państwa</w:t>
      </w:r>
      <w:r>
        <w:rPr>
          <w:rFonts w:ascii="Verdana" w:hAnsi="Verdana"/>
          <w:sz w:val="16"/>
          <w:szCs w:val="16"/>
        </w:rPr>
        <w:t xml:space="preserve"> i JST</w:t>
      </w:r>
      <w:r w:rsidRPr="000A6485">
        <w:rPr>
          <w:rFonts w:ascii="Verdana" w:hAnsi="Verdana"/>
          <w:sz w:val="16"/>
          <w:szCs w:val="16"/>
        </w:rPr>
        <w:t xml:space="preserve"> </w:t>
      </w:r>
      <w:r>
        <w:rPr>
          <w:rFonts w:ascii="Verdana" w:hAnsi="Verdana"/>
          <w:sz w:val="16"/>
          <w:szCs w:val="16"/>
        </w:rPr>
        <w:t>jest</w:t>
      </w:r>
      <w:r w:rsidRPr="000A6485">
        <w:rPr>
          <w:rFonts w:ascii="Verdana" w:hAnsi="Verdana"/>
          <w:sz w:val="16"/>
          <w:szCs w:val="16"/>
        </w:rPr>
        <w:t xml:space="preserve"> silnie skorelowan</w:t>
      </w:r>
      <w:r>
        <w:rPr>
          <w:rFonts w:ascii="Verdana" w:hAnsi="Verdana"/>
          <w:sz w:val="16"/>
          <w:szCs w:val="16"/>
        </w:rPr>
        <w:t>a</w:t>
      </w:r>
      <w:r w:rsidRPr="000A6485">
        <w:rPr>
          <w:rFonts w:ascii="Verdana" w:hAnsi="Verdana"/>
          <w:sz w:val="16"/>
          <w:szCs w:val="16"/>
        </w:rPr>
        <w:t xml:space="preserve"> ze zjawiskami obserwowanymi na rynku pracy. W niniejszej prognozie uwzględniono następujące przewidywane przez Ministerstwo Finansów zdarzenia determinujące w skali kraju liczbę podatników PIT oraz wysokość podatków przez nich odprowadzanych. Zakłada się w najbliższych latach:</w:t>
      </w:r>
    </w:p>
    <w:p w:rsidR="008A572A" w:rsidRPr="000A6485" w:rsidRDefault="008A572A" w:rsidP="008A572A">
      <w:pPr>
        <w:pStyle w:val="Akapitzlist"/>
        <w:numPr>
          <w:ilvl w:val="0"/>
          <w:numId w:val="7"/>
        </w:numPr>
        <w:tabs>
          <w:tab w:val="clear" w:pos="1080"/>
        </w:tabs>
        <w:autoSpaceDE w:val="0"/>
        <w:autoSpaceDN w:val="0"/>
        <w:adjustRightInd w:val="0"/>
        <w:spacing w:before="60" w:after="60"/>
        <w:ind w:left="567" w:hanging="283"/>
        <w:contextualSpacing w:val="0"/>
        <w:jc w:val="both"/>
        <w:rPr>
          <w:rFonts w:ascii="Verdana" w:hAnsi="Verdana" w:cs="Verdana"/>
          <w:sz w:val="16"/>
          <w:szCs w:val="16"/>
        </w:rPr>
      </w:pPr>
      <w:r w:rsidRPr="000A6485">
        <w:rPr>
          <w:rFonts w:ascii="Verdana" w:hAnsi="Verdana" w:cs="Verdana"/>
          <w:sz w:val="16"/>
          <w:szCs w:val="16"/>
        </w:rPr>
        <w:t>dynamik</w:t>
      </w:r>
      <w:r>
        <w:rPr>
          <w:rFonts w:ascii="Verdana" w:hAnsi="Verdana" w:cs="Verdana"/>
          <w:sz w:val="16"/>
          <w:szCs w:val="16"/>
        </w:rPr>
        <w:t>ę</w:t>
      </w:r>
      <w:r w:rsidRPr="000A6485">
        <w:rPr>
          <w:rFonts w:ascii="Verdana" w:hAnsi="Verdana" w:cs="Verdana"/>
          <w:sz w:val="16"/>
          <w:szCs w:val="16"/>
        </w:rPr>
        <w:t xml:space="preserve"> PKB </w:t>
      </w:r>
      <w:r>
        <w:rPr>
          <w:rFonts w:ascii="Verdana" w:hAnsi="Verdana" w:cs="Verdana"/>
          <w:sz w:val="16"/>
          <w:szCs w:val="16"/>
        </w:rPr>
        <w:t>na poziomie</w:t>
      </w:r>
      <w:r w:rsidRPr="000A6485">
        <w:rPr>
          <w:rFonts w:ascii="Verdana" w:hAnsi="Verdana" w:cs="Verdana"/>
          <w:sz w:val="16"/>
          <w:szCs w:val="16"/>
        </w:rPr>
        <w:t xml:space="preserve"> </w:t>
      </w:r>
      <w:r w:rsidRPr="00F806F5">
        <w:rPr>
          <w:rFonts w:ascii="Verdana" w:hAnsi="Verdana" w:cs="Verdana"/>
          <w:b/>
          <w:sz w:val="16"/>
          <w:szCs w:val="16"/>
        </w:rPr>
        <w:t>1</w:t>
      </w:r>
      <w:r w:rsidRPr="000A6485">
        <w:rPr>
          <w:rFonts w:ascii="Verdana" w:hAnsi="Verdana" w:cs="Verdana"/>
          <w:b/>
          <w:sz w:val="16"/>
          <w:szCs w:val="16"/>
        </w:rPr>
        <w:t>,</w:t>
      </w:r>
      <w:r>
        <w:rPr>
          <w:rFonts w:ascii="Verdana" w:hAnsi="Verdana" w:cs="Verdana"/>
          <w:b/>
          <w:sz w:val="16"/>
          <w:szCs w:val="16"/>
        </w:rPr>
        <w:t>7</w:t>
      </w:r>
      <w:r w:rsidRPr="000A6485">
        <w:rPr>
          <w:rFonts w:ascii="Verdana" w:hAnsi="Verdana" w:cs="Verdana"/>
          <w:b/>
          <w:sz w:val="16"/>
          <w:szCs w:val="16"/>
        </w:rPr>
        <w:t>%</w:t>
      </w:r>
      <w:r w:rsidRPr="000A6485">
        <w:rPr>
          <w:rFonts w:ascii="Verdana" w:hAnsi="Verdana" w:cs="Verdana"/>
          <w:sz w:val="16"/>
          <w:szCs w:val="16"/>
        </w:rPr>
        <w:t xml:space="preserve"> w 202</w:t>
      </w:r>
      <w:r>
        <w:rPr>
          <w:rFonts w:ascii="Verdana" w:hAnsi="Verdana" w:cs="Verdana"/>
          <w:sz w:val="16"/>
          <w:szCs w:val="16"/>
        </w:rPr>
        <w:t>3 r.</w:t>
      </w:r>
      <w:r w:rsidRPr="005068F0">
        <w:rPr>
          <w:rFonts w:ascii="Verdana" w:hAnsi="Verdana" w:cs="Verdana"/>
          <w:sz w:val="16"/>
          <w:szCs w:val="16"/>
        </w:rPr>
        <w:t xml:space="preserve"> </w:t>
      </w:r>
      <w:r>
        <w:rPr>
          <w:rFonts w:ascii="Verdana" w:hAnsi="Verdana" w:cs="Verdana"/>
          <w:sz w:val="16"/>
          <w:szCs w:val="16"/>
        </w:rPr>
        <w:t>oraz w </w:t>
      </w:r>
      <w:r w:rsidRPr="000A6485">
        <w:rPr>
          <w:rFonts w:ascii="Verdana" w:hAnsi="Verdana" w:cs="Verdana"/>
          <w:sz w:val="16"/>
          <w:szCs w:val="16"/>
        </w:rPr>
        <w:t xml:space="preserve">kolejnych latach: </w:t>
      </w:r>
      <w:r>
        <w:rPr>
          <w:rFonts w:ascii="Verdana" w:hAnsi="Verdana" w:cs="Verdana"/>
          <w:b/>
          <w:sz w:val="16"/>
          <w:szCs w:val="16"/>
        </w:rPr>
        <w:t>3,1</w:t>
      </w:r>
      <w:r w:rsidRPr="000A6485">
        <w:rPr>
          <w:rFonts w:ascii="Verdana" w:hAnsi="Verdana" w:cs="Verdana"/>
          <w:b/>
          <w:sz w:val="16"/>
          <w:szCs w:val="16"/>
        </w:rPr>
        <w:t>%</w:t>
      </w:r>
      <w:r w:rsidRPr="000A6485">
        <w:rPr>
          <w:rFonts w:ascii="Verdana" w:hAnsi="Verdana" w:cs="Verdana"/>
          <w:sz w:val="16"/>
          <w:szCs w:val="16"/>
        </w:rPr>
        <w:t xml:space="preserve"> w 202</w:t>
      </w:r>
      <w:r>
        <w:rPr>
          <w:rFonts w:ascii="Verdana" w:hAnsi="Verdana" w:cs="Verdana"/>
          <w:sz w:val="16"/>
          <w:szCs w:val="16"/>
        </w:rPr>
        <w:t>4</w:t>
      </w:r>
      <w:r w:rsidRPr="000A6485">
        <w:rPr>
          <w:rFonts w:ascii="Verdana" w:hAnsi="Verdana" w:cs="Verdana"/>
          <w:sz w:val="16"/>
          <w:szCs w:val="16"/>
        </w:rPr>
        <w:t xml:space="preserve"> r. i </w:t>
      </w:r>
      <w:r>
        <w:rPr>
          <w:rFonts w:ascii="Verdana" w:hAnsi="Verdana" w:cs="Verdana"/>
          <w:sz w:val="16"/>
          <w:szCs w:val="16"/>
        </w:rPr>
        <w:t>w </w:t>
      </w:r>
      <w:r w:rsidRPr="000A6485">
        <w:rPr>
          <w:rFonts w:ascii="Verdana" w:hAnsi="Verdana" w:cs="Verdana"/>
          <w:sz w:val="16"/>
          <w:szCs w:val="16"/>
        </w:rPr>
        <w:t>202</w:t>
      </w:r>
      <w:r>
        <w:rPr>
          <w:rFonts w:ascii="Verdana" w:hAnsi="Verdana" w:cs="Verdana"/>
          <w:sz w:val="16"/>
          <w:szCs w:val="16"/>
        </w:rPr>
        <w:t>5</w:t>
      </w:r>
      <w:r w:rsidRPr="000A6485">
        <w:rPr>
          <w:rFonts w:ascii="Verdana" w:hAnsi="Verdana" w:cs="Verdana"/>
          <w:sz w:val="16"/>
          <w:szCs w:val="16"/>
        </w:rPr>
        <w:t xml:space="preserve"> r.</w:t>
      </w:r>
      <w:r>
        <w:rPr>
          <w:rFonts w:ascii="Verdana" w:hAnsi="Verdana" w:cs="Verdana"/>
          <w:sz w:val="16"/>
          <w:szCs w:val="16"/>
        </w:rPr>
        <w:t xml:space="preserve">, </w:t>
      </w:r>
      <w:r>
        <w:rPr>
          <w:rFonts w:ascii="Verdana" w:hAnsi="Verdana" w:cs="Verdana"/>
          <w:b/>
          <w:sz w:val="16"/>
          <w:szCs w:val="16"/>
        </w:rPr>
        <w:t>2,9</w:t>
      </w:r>
      <w:r w:rsidRPr="000A6485">
        <w:rPr>
          <w:rFonts w:ascii="Verdana" w:hAnsi="Verdana" w:cs="Verdana"/>
          <w:b/>
          <w:sz w:val="16"/>
          <w:szCs w:val="16"/>
        </w:rPr>
        <w:t>%</w:t>
      </w:r>
      <w:r w:rsidRPr="000A6485">
        <w:rPr>
          <w:rFonts w:ascii="Verdana" w:hAnsi="Verdana" w:cs="Verdana"/>
          <w:sz w:val="16"/>
          <w:szCs w:val="16"/>
        </w:rPr>
        <w:t xml:space="preserve"> w 202</w:t>
      </w:r>
      <w:r>
        <w:rPr>
          <w:rFonts w:ascii="Verdana" w:hAnsi="Verdana" w:cs="Verdana"/>
          <w:sz w:val="16"/>
          <w:szCs w:val="16"/>
        </w:rPr>
        <w:t>6</w:t>
      </w:r>
      <w:r w:rsidRPr="000A6485">
        <w:rPr>
          <w:rFonts w:ascii="Verdana" w:hAnsi="Verdana" w:cs="Verdana"/>
          <w:sz w:val="16"/>
          <w:szCs w:val="16"/>
        </w:rPr>
        <w:t xml:space="preserve"> r.,</w:t>
      </w:r>
    </w:p>
    <w:p w:rsidR="008A572A" w:rsidRPr="000A6485" w:rsidRDefault="008A572A" w:rsidP="008A572A">
      <w:pPr>
        <w:pStyle w:val="Akapitzlist"/>
        <w:numPr>
          <w:ilvl w:val="0"/>
          <w:numId w:val="7"/>
        </w:numPr>
        <w:tabs>
          <w:tab w:val="clear" w:pos="1080"/>
          <w:tab w:val="num" w:pos="709"/>
        </w:tabs>
        <w:autoSpaceDE w:val="0"/>
        <w:autoSpaceDN w:val="0"/>
        <w:adjustRightInd w:val="0"/>
        <w:spacing w:before="60" w:after="60"/>
        <w:ind w:left="567" w:hanging="283"/>
        <w:contextualSpacing w:val="0"/>
        <w:jc w:val="both"/>
        <w:rPr>
          <w:rFonts w:ascii="Verdana" w:hAnsi="Verdana" w:cs="Verdana"/>
          <w:sz w:val="16"/>
          <w:szCs w:val="16"/>
        </w:rPr>
      </w:pPr>
      <w:r w:rsidRPr="000A6485">
        <w:rPr>
          <w:rFonts w:ascii="Verdana" w:hAnsi="Verdana" w:cs="Verdana"/>
          <w:sz w:val="16"/>
          <w:szCs w:val="16"/>
        </w:rPr>
        <w:t>dynamik</w:t>
      </w:r>
      <w:r>
        <w:rPr>
          <w:rFonts w:ascii="Verdana" w:hAnsi="Verdana" w:cs="Verdana"/>
          <w:sz w:val="16"/>
          <w:szCs w:val="16"/>
        </w:rPr>
        <w:t>ę</w:t>
      </w:r>
      <w:r w:rsidRPr="000A6485">
        <w:rPr>
          <w:rFonts w:ascii="Verdana" w:hAnsi="Verdana" w:cs="Verdana"/>
          <w:sz w:val="16"/>
          <w:szCs w:val="16"/>
        </w:rPr>
        <w:t xml:space="preserve"> poziomu wynagrodzeń w gospodarce narodowej </w:t>
      </w:r>
      <w:r>
        <w:rPr>
          <w:rFonts w:ascii="Verdana" w:hAnsi="Verdana" w:cs="Verdana"/>
          <w:sz w:val="16"/>
          <w:szCs w:val="16"/>
        </w:rPr>
        <w:t>na poziomie</w:t>
      </w:r>
      <w:r w:rsidRPr="000A6485">
        <w:rPr>
          <w:rFonts w:ascii="Verdana" w:hAnsi="Verdana" w:cs="Verdana"/>
          <w:sz w:val="16"/>
          <w:szCs w:val="16"/>
        </w:rPr>
        <w:t xml:space="preserve"> </w:t>
      </w:r>
      <w:r w:rsidRPr="00F806F5">
        <w:rPr>
          <w:rFonts w:ascii="Verdana" w:hAnsi="Verdana" w:cs="Verdana"/>
          <w:b/>
          <w:sz w:val="16"/>
          <w:szCs w:val="16"/>
        </w:rPr>
        <w:t>1</w:t>
      </w:r>
      <w:r>
        <w:rPr>
          <w:rFonts w:ascii="Verdana" w:hAnsi="Verdana" w:cs="Verdana"/>
          <w:b/>
          <w:sz w:val="16"/>
          <w:szCs w:val="16"/>
        </w:rPr>
        <w:t>0</w:t>
      </w:r>
      <w:r w:rsidRPr="000A6485">
        <w:rPr>
          <w:rFonts w:ascii="Verdana" w:hAnsi="Verdana" w:cs="Verdana"/>
          <w:b/>
          <w:sz w:val="16"/>
          <w:szCs w:val="16"/>
        </w:rPr>
        <w:t>,</w:t>
      </w:r>
      <w:r>
        <w:rPr>
          <w:rFonts w:ascii="Verdana" w:hAnsi="Verdana" w:cs="Verdana"/>
          <w:b/>
          <w:sz w:val="16"/>
          <w:szCs w:val="16"/>
        </w:rPr>
        <w:t>1</w:t>
      </w:r>
      <w:r w:rsidRPr="000A6485">
        <w:rPr>
          <w:rFonts w:ascii="Verdana" w:hAnsi="Verdana" w:cs="Verdana"/>
          <w:b/>
          <w:sz w:val="16"/>
          <w:szCs w:val="16"/>
        </w:rPr>
        <w:t>%</w:t>
      </w:r>
      <w:r w:rsidRPr="000A6485">
        <w:rPr>
          <w:rFonts w:ascii="Verdana" w:hAnsi="Verdana" w:cs="Verdana"/>
          <w:sz w:val="16"/>
          <w:szCs w:val="16"/>
        </w:rPr>
        <w:t xml:space="preserve"> w 202</w:t>
      </w:r>
      <w:r>
        <w:rPr>
          <w:rFonts w:ascii="Verdana" w:hAnsi="Verdana" w:cs="Verdana"/>
          <w:sz w:val="16"/>
          <w:szCs w:val="16"/>
        </w:rPr>
        <w:t>3 r.</w:t>
      </w:r>
      <w:r w:rsidRPr="005068F0">
        <w:rPr>
          <w:rFonts w:ascii="Verdana" w:hAnsi="Verdana" w:cs="Verdana"/>
          <w:sz w:val="16"/>
          <w:szCs w:val="16"/>
        </w:rPr>
        <w:t xml:space="preserve"> </w:t>
      </w:r>
      <w:r>
        <w:rPr>
          <w:rFonts w:ascii="Verdana" w:hAnsi="Verdana" w:cs="Verdana"/>
          <w:sz w:val="16"/>
          <w:szCs w:val="16"/>
        </w:rPr>
        <w:t>oraz w </w:t>
      </w:r>
      <w:r w:rsidRPr="000A6485">
        <w:rPr>
          <w:rFonts w:ascii="Verdana" w:hAnsi="Verdana" w:cs="Verdana"/>
          <w:sz w:val="16"/>
          <w:szCs w:val="16"/>
        </w:rPr>
        <w:t xml:space="preserve">kolejnych latach: </w:t>
      </w:r>
      <w:r>
        <w:rPr>
          <w:rFonts w:ascii="Verdana" w:hAnsi="Verdana" w:cs="Verdana"/>
          <w:b/>
          <w:sz w:val="16"/>
          <w:szCs w:val="16"/>
        </w:rPr>
        <w:t>8,3</w:t>
      </w:r>
      <w:r w:rsidRPr="000A6485">
        <w:rPr>
          <w:rFonts w:ascii="Verdana" w:hAnsi="Verdana" w:cs="Verdana"/>
          <w:b/>
          <w:sz w:val="16"/>
          <w:szCs w:val="16"/>
        </w:rPr>
        <w:t>%</w:t>
      </w:r>
      <w:r w:rsidRPr="000A6485">
        <w:rPr>
          <w:rFonts w:ascii="Verdana" w:hAnsi="Verdana" w:cs="Verdana"/>
          <w:sz w:val="16"/>
          <w:szCs w:val="16"/>
        </w:rPr>
        <w:t xml:space="preserve"> w 202</w:t>
      </w:r>
      <w:r>
        <w:rPr>
          <w:rFonts w:ascii="Verdana" w:hAnsi="Verdana" w:cs="Verdana"/>
          <w:sz w:val="16"/>
          <w:szCs w:val="16"/>
        </w:rPr>
        <w:t>4</w:t>
      </w:r>
      <w:r w:rsidRPr="000A6485">
        <w:rPr>
          <w:rFonts w:ascii="Verdana" w:hAnsi="Verdana" w:cs="Verdana"/>
          <w:sz w:val="16"/>
          <w:szCs w:val="16"/>
        </w:rPr>
        <w:t xml:space="preserve"> r.</w:t>
      </w:r>
      <w:r>
        <w:rPr>
          <w:rFonts w:ascii="Verdana" w:hAnsi="Verdana" w:cs="Verdana"/>
          <w:sz w:val="16"/>
          <w:szCs w:val="16"/>
        </w:rPr>
        <w:t>,</w:t>
      </w:r>
      <w:r w:rsidRPr="000A6485">
        <w:rPr>
          <w:rFonts w:ascii="Verdana" w:hAnsi="Verdana" w:cs="Verdana"/>
          <w:sz w:val="16"/>
          <w:szCs w:val="16"/>
        </w:rPr>
        <w:t xml:space="preserve"> </w:t>
      </w:r>
      <w:r w:rsidRPr="005068F0">
        <w:rPr>
          <w:rFonts w:ascii="Verdana" w:hAnsi="Verdana" w:cs="Verdana"/>
          <w:b/>
          <w:sz w:val="16"/>
          <w:szCs w:val="16"/>
        </w:rPr>
        <w:t>6,9%</w:t>
      </w:r>
      <w:r>
        <w:rPr>
          <w:rFonts w:ascii="Verdana" w:hAnsi="Verdana" w:cs="Verdana"/>
          <w:sz w:val="16"/>
          <w:szCs w:val="16"/>
        </w:rPr>
        <w:t xml:space="preserve"> w </w:t>
      </w:r>
      <w:r w:rsidRPr="000A6485">
        <w:rPr>
          <w:rFonts w:ascii="Verdana" w:hAnsi="Verdana" w:cs="Verdana"/>
          <w:sz w:val="16"/>
          <w:szCs w:val="16"/>
        </w:rPr>
        <w:t>202</w:t>
      </w:r>
      <w:r>
        <w:rPr>
          <w:rFonts w:ascii="Verdana" w:hAnsi="Verdana" w:cs="Verdana"/>
          <w:sz w:val="16"/>
          <w:szCs w:val="16"/>
        </w:rPr>
        <w:t>5</w:t>
      </w:r>
      <w:r w:rsidRPr="000A6485">
        <w:rPr>
          <w:rFonts w:ascii="Verdana" w:hAnsi="Verdana" w:cs="Verdana"/>
          <w:sz w:val="16"/>
          <w:szCs w:val="16"/>
        </w:rPr>
        <w:t xml:space="preserve"> r.</w:t>
      </w:r>
      <w:r>
        <w:rPr>
          <w:rFonts w:ascii="Verdana" w:hAnsi="Verdana" w:cs="Verdana"/>
          <w:sz w:val="16"/>
          <w:szCs w:val="16"/>
        </w:rPr>
        <w:t xml:space="preserve">, </w:t>
      </w:r>
      <w:r>
        <w:rPr>
          <w:rFonts w:ascii="Verdana" w:hAnsi="Verdana" w:cs="Verdana"/>
          <w:b/>
          <w:sz w:val="16"/>
          <w:szCs w:val="16"/>
        </w:rPr>
        <w:t>6,1</w:t>
      </w:r>
      <w:r w:rsidRPr="000A6485">
        <w:rPr>
          <w:rFonts w:ascii="Verdana" w:hAnsi="Verdana" w:cs="Verdana"/>
          <w:b/>
          <w:sz w:val="16"/>
          <w:szCs w:val="16"/>
        </w:rPr>
        <w:t>%</w:t>
      </w:r>
      <w:r w:rsidRPr="000A6485">
        <w:rPr>
          <w:rFonts w:ascii="Verdana" w:hAnsi="Verdana" w:cs="Verdana"/>
          <w:sz w:val="16"/>
          <w:szCs w:val="16"/>
        </w:rPr>
        <w:t xml:space="preserve"> w 202</w:t>
      </w:r>
      <w:r>
        <w:rPr>
          <w:rFonts w:ascii="Verdana" w:hAnsi="Verdana" w:cs="Verdana"/>
          <w:sz w:val="16"/>
          <w:szCs w:val="16"/>
        </w:rPr>
        <w:t>6</w:t>
      </w:r>
      <w:r w:rsidRPr="000A6485">
        <w:rPr>
          <w:rFonts w:ascii="Verdana" w:hAnsi="Verdana" w:cs="Verdana"/>
          <w:sz w:val="16"/>
          <w:szCs w:val="16"/>
        </w:rPr>
        <w:t xml:space="preserve"> r.,</w:t>
      </w:r>
    </w:p>
    <w:p w:rsidR="008A572A" w:rsidRPr="000A6485" w:rsidRDefault="008A572A" w:rsidP="008A572A">
      <w:pPr>
        <w:pStyle w:val="Akapitzlist"/>
        <w:numPr>
          <w:ilvl w:val="0"/>
          <w:numId w:val="7"/>
        </w:numPr>
        <w:tabs>
          <w:tab w:val="clear" w:pos="1080"/>
          <w:tab w:val="num" w:pos="709"/>
        </w:tabs>
        <w:autoSpaceDE w:val="0"/>
        <w:autoSpaceDN w:val="0"/>
        <w:adjustRightInd w:val="0"/>
        <w:spacing w:before="60" w:after="60"/>
        <w:ind w:left="567" w:hanging="283"/>
        <w:contextualSpacing w:val="0"/>
        <w:jc w:val="both"/>
        <w:rPr>
          <w:rFonts w:ascii="Verdana" w:hAnsi="Verdana" w:cs="Verdana"/>
          <w:sz w:val="16"/>
          <w:szCs w:val="16"/>
        </w:rPr>
      </w:pPr>
      <w:r w:rsidRPr="000A6485">
        <w:rPr>
          <w:rFonts w:ascii="Verdana" w:hAnsi="Verdana" w:cs="Verdana"/>
          <w:sz w:val="16"/>
          <w:szCs w:val="16"/>
        </w:rPr>
        <w:t>dynamik</w:t>
      </w:r>
      <w:r>
        <w:rPr>
          <w:rFonts w:ascii="Verdana" w:hAnsi="Verdana" w:cs="Verdana"/>
          <w:sz w:val="16"/>
          <w:szCs w:val="16"/>
        </w:rPr>
        <w:t xml:space="preserve">ę zatrudnienia </w:t>
      </w:r>
      <w:r w:rsidRPr="000A6485">
        <w:rPr>
          <w:rFonts w:ascii="Verdana" w:hAnsi="Verdana" w:cs="Verdana"/>
          <w:sz w:val="16"/>
          <w:szCs w:val="16"/>
        </w:rPr>
        <w:t xml:space="preserve">w gospodarce narodowej </w:t>
      </w:r>
      <w:r>
        <w:rPr>
          <w:rFonts w:ascii="Verdana" w:hAnsi="Verdana" w:cs="Verdana"/>
          <w:sz w:val="16"/>
          <w:szCs w:val="16"/>
        </w:rPr>
        <w:t>na poziomie</w:t>
      </w:r>
      <w:r w:rsidRPr="000A6485">
        <w:rPr>
          <w:rFonts w:ascii="Verdana" w:hAnsi="Verdana" w:cs="Verdana"/>
          <w:sz w:val="16"/>
          <w:szCs w:val="16"/>
        </w:rPr>
        <w:t xml:space="preserve"> </w:t>
      </w:r>
      <w:r>
        <w:rPr>
          <w:rFonts w:ascii="Verdana" w:hAnsi="Verdana" w:cs="Verdana"/>
          <w:b/>
          <w:sz w:val="16"/>
          <w:szCs w:val="16"/>
        </w:rPr>
        <w:t>-0,5%</w:t>
      </w:r>
      <w:r>
        <w:rPr>
          <w:rFonts w:ascii="Verdana" w:hAnsi="Verdana" w:cs="Verdana"/>
          <w:sz w:val="16"/>
          <w:szCs w:val="16"/>
        </w:rPr>
        <w:t xml:space="preserve"> w 2023 r</w:t>
      </w:r>
      <w:r w:rsidRPr="005068F0">
        <w:rPr>
          <w:rFonts w:ascii="Verdana" w:hAnsi="Verdana" w:cs="Verdana"/>
          <w:sz w:val="16"/>
          <w:szCs w:val="16"/>
        </w:rPr>
        <w:t xml:space="preserve"> </w:t>
      </w:r>
      <w:r>
        <w:rPr>
          <w:rFonts w:ascii="Verdana" w:hAnsi="Verdana" w:cs="Verdana"/>
          <w:sz w:val="16"/>
          <w:szCs w:val="16"/>
        </w:rPr>
        <w:t>oraz w </w:t>
      </w:r>
      <w:r w:rsidRPr="000A6485">
        <w:rPr>
          <w:rFonts w:ascii="Verdana" w:hAnsi="Verdana" w:cs="Verdana"/>
          <w:sz w:val="16"/>
          <w:szCs w:val="16"/>
        </w:rPr>
        <w:t xml:space="preserve">kolejnych latach: </w:t>
      </w:r>
      <w:r>
        <w:rPr>
          <w:rFonts w:ascii="Verdana" w:hAnsi="Verdana" w:cs="Verdana"/>
          <w:b/>
          <w:sz w:val="16"/>
          <w:szCs w:val="16"/>
        </w:rPr>
        <w:t>+0,1</w:t>
      </w:r>
      <w:r w:rsidRPr="000A6485">
        <w:rPr>
          <w:rFonts w:ascii="Verdana" w:hAnsi="Verdana" w:cs="Verdana"/>
          <w:b/>
          <w:sz w:val="16"/>
          <w:szCs w:val="16"/>
        </w:rPr>
        <w:t>%</w:t>
      </w:r>
      <w:r w:rsidRPr="000A6485">
        <w:rPr>
          <w:rFonts w:ascii="Verdana" w:hAnsi="Verdana" w:cs="Verdana"/>
          <w:sz w:val="16"/>
          <w:szCs w:val="16"/>
        </w:rPr>
        <w:t xml:space="preserve"> w 202</w:t>
      </w:r>
      <w:r>
        <w:rPr>
          <w:rFonts w:ascii="Verdana" w:hAnsi="Verdana" w:cs="Verdana"/>
          <w:sz w:val="16"/>
          <w:szCs w:val="16"/>
        </w:rPr>
        <w:t>4</w:t>
      </w:r>
      <w:r w:rsidRPr="000A6485">
        <w:rPr>
          <w:rFonts w:ascii="Verdana" w:hAnsi="Verdana" w:cs="Verdana"/>
          <w:sz w:val="16"/>
          <w:szCs w:val="16"/>
        </w:rPr>
        <w:t xml:space="preserve"> r.</w:t>
      </w:r>
      <w:r>
        <w:rPr>
          <w:rFonts w:ascii="Verdana" w:hAnsi="Verdana" w:cs="Verdana"/>
          <w:sz w:val="16"/>
          <w:szCs w:val="16"/>
        </w:rPr>
        <w:t>,</w:t>
      </w:r>
      <w:r w:rsidRPr="000A6485">
        <w:rPr>
          <w:rFonts w:ascii="Verdana" w:hAnsi="Verdana" w:cs="Verdana"/>
          <w:sz w:val="16"/>
          <w:szCs w:val="16"/>
        </w:rPr>
        <w:t xml:space="preserve"> </w:t>
      </w:r>
      <w:r>
        <w:rPr>
          <w:rFonts w:ascii="Verdana" w:hAnsi="Verdana" w:cs="Verdana"/>
          <w:b/>
          <w:sz w:val="16"/>
          <w:szCs w:val="16"/>
        </w:rPr>
        <w:t>-0,1</w:t>
      </w:r>
      <w:r w:rsidRPr="005068F0">
        <w:rPr>
          <w:rFonts w:ascii="Verdana" w:hAnsi="Verdana" w:cs="Verdana"/>
          <w:b/>
          <w:sz w:val="16"/>
          <w:szCs w:val="16"/>
        </w:rPr>
        <w:t>%</w:t>
      </w:r>
      <w:r>
        <w:rPr>
          <w:rFonts w:ascii="Verdana" w:hAnsi="Verdana" w:cs="Verdana"/>
          <w:sz w:val="16"/>
          <w:szCs w:val="16"/>
        </w:rPr>
        <w:t xml:space="preserve"> w </w:t>
      </w:r>
      <w:r w:rsidRPr="000A6485">
        <w:rPr>
          <w:rFonts w:ascii="Verdana" w:hAnsi="Verdana" w:cs="Verdana"/>
          <w:sz w:val="16"/>
          <w:szCs w:val="16"/>
        </w:rPr>
        <w:t>202</w:t>
      </w:r>
      <w:r>
        <w:rPr>
          <w:rFonts w:ascii="Verdana" w:hAnsi="Verdana" w:cs="Verdana"/>
          <w:sz w:val="16"/>
          <w:szCs w:val="16"/>
        </w:rPr>
        <w:t>5</w:t>
      </w:r>
      <w:r w:rsidRPr="000A6485">
        <w:rPr>
          <w:rFonts w:ascii="Verdana" w:hAnsi="Verdana" w:cs="Verdana"/>
          <w:sz w:val="16"/>
          <w:szCs w:val="16"/>
        </w:rPr>
        <w:t xml:space="preserve"> r.</w:t>
      </w:r>
      <w:r>
        <w:rPr>
          <w:rFonts w:ascii="Verdana" w:hAnsi="Verdana" w:cs="Verdana"/>
          <w:sz w:val="16"/>
          <w:szCs w:val="16"/>
        </w:rPr>
        <w:t xml:space="preserve">, </w:t>
      </w:r>
      <w:r>
        <w:rPr>
          <w:rFonts w:ascii="Verdana" w:hAnsi="Verdana" w:cs="Verdana"/>
          <w:b/>
          <w:sz w:val="16"/>
          <w:szCs w:val="16"/>
        </w:rPr>
        <w:t>-0,3</w:t>
      </w:r>
      <w:r w:rsidRPr="000A6485">
        <w:rPr>
          <w:rFonts w:ascii="Verdana" w:hAnsi="Verdana" w:cs="Verdana"/>
          <w:b/>
          <w:sz w:val="16"/>
          <w:szCs w:val="16"/>
        </w:rPr>
        <w:t>%</w:t>
      </w:r>
      <w:r w:rsidRPr="000A6485">
        <w:rPr>
          <w:rFonts w:ascii="Verdana" w:hAnsi="Verdana" w:cs="Verdana"/>
          <w:sz w:val="16"/>
          <w:szCs w:val="16"/>
        </w:rPr>
        <w:t xml:space="preserve"> w 202</w:t>
      </w:r>
      <w:r>
        <w:rPr>
          <w:rFonts w:ascii="Verdana" w:hAnsi="Verdana" w:cs="Verdana"/>
          <w:sz w:val="16"/>
          <w:szCs w:val="16"/>
        </w:rPr>
        <w:t>6</w:t>
      </w:r>
      <w:r w:rsidRPr="000A6485">
        <w:rPr>
          <w:rFonts w:ascii="Verdana" w:hAnsi="Verdana" w:cs="Verdana"/>
          <w:sz w:val="16"/>
          <w:szCs w:val="16"/>
        </w:rPr>
        <w:t xml:space="preserve"> r.</w:t>
      </w:r>
    </w:p>
    <w:p w:rsidR="008A572A" w:rsidRPr="000A6485" w:rsidRDefault="008A572A" w:rsidP="008A572A">
      <w:pPr>
        <w:spacing w:before="60" w:after="60"/>
        <w:jc w:val="both"/>
        <w:rPr>
          <w:rFonts w:ascii="Verdana" w:hAnsi="Verdana"/>
          <w:sz w:val="16"/>
          <w:szCs w:val="16"/>
        </w:rPr>
      </w:pPr>
      <w:r w:rsidRPr="000A6485">
        <w:rPr>
          <w:rFonts w:ascii="Verdana" w:hAnsi="Verdana"/>
          <w:sz w:val="16"/>
          <w:szCs w:val="16"/>
        </w:rPr>
        <w:t xml:space="preserve">Drugim elementem prognozy dochodów z udziału w PIT, obok oszacowania ogólnej kwoty wpływów </w:t>
      </w:r>
      <w:r w:rsidRPr="000A6485">
        <w:rPr>
          <w:rFonts w:ascii="Verdana" w:hAnsi="Verdana"/>
          <w:sz w:val="16"/>
          <w:szCs w:val="16"/>
        </w:rPr>
        <w:br/>
        <w:t xml:space="preserve">z tego podatku dla całego kraju, jest określenie udziałów sektora samorządowego w dochodach z PIT </w:t>
      </w:r>
      <w:r w:rsidRPr="000A6485">
        <w:rPr>
          <w:rFonts w:ascii="Verdana" w:hAnsi="Verdana"/>
          <w:sz w:val="16"/>
          <w:szCs w:val="16"/>
        </w:rPr>
        <w:br/>
        <w:t xml:space="preserve">oraz udziałów poszczególnych jednostek. </w:t>
      </w:r>
    </w:p>
    <w:p w:rsidR="008A572A" w:rsidRDefault="008A572A" w:rsidP="008A572A">
      <w:pPr>
        <w:spacing w:before="60" w:after="60"/>
        <w:jc w:val="both"/>
        <w:rPr>
          <w:rFonts w:ascii="Verdana" w:hAnsi="Verdana"/>
          <w:sz w:val="16"/>
          <w:szCs w:val="16"/>
        </w:rPr>
      </w:pPr>
      <w:r>
        <w:rPr>
          <w:rFonts w:ascii="Verdana" w:hAnsi="Verdana"/>
          <w:sz w:val="16"/>
          <w:szCs w:val="16"/>
        </w:rPr>
        <w:t>W dniu 13</w:t>
      </w:r>
      <w:r w:rsidRPr="000A6485">
        <w:rPr>
          <w:rFonts w:ascii="Verdana" w:hAnsi="Verdana"/>
          <w:sz w:val="16"/>
          <w:szCs w:val="16"/>
        </w:rPr>
        <w:t xml:space="preserve"> października 20</w:t>
      </w:r>
      <w:r>
        <w:rPr>
          <w:rFonts w:ascii="Verdana" w:hAnsi="Verdana"/>
          <w:sz w:val="16"/>
          <w:szCs w:val="16"/>
        </w:rPr>
        <w:t xml:space="preserve">22 r. Minister Finansów </w:t>
      </w:r>
      <w:r w:rsidRPr="000A6485">
        <w:rPr>
          <w:rFonts w:ascii="Verdana" w:hAnsi="Verdana"/>
          <w:sz w:val="16"/>
          <w:szCs w:val="16"/>
        </w:rPr>
        <w:t xml:space="preserve">- zgodnie z art. 33 ust. 1 pkt 1 ustawy z dnia 13 listopada </w:t>
      </w:r>
      <w:r>
        <w:rPr>
          <w:rFonts w:ascii="Verdana" w:hAnsi="Verdana"/>
          <w:sz w:val="16"/>
          <w:szCs w:val="16"/>
        </w:rPr>
        <w:br/>
      </w:r>
      <w:r w:rsidRPr="000A6485">
        <w:rPr>
          <w:rFonts w:ascii="Verdana" w:hAnsi="Verdana"/>
          <w:sz w:val="16"/>
          <w:szCs w:val="16"/>
        </w:rPr>
        <w:t>2003 r. o dochodach jednostek samorządu terytorialnego - poinformował jednos</w:t>
      </w:r>
      <w:r>
        <w:rPr>
          <w:rFonts w:ascii="Verdana" w:hAnsi="Verdana"/>
          <w:sz w:val="16"/>
          <w:szCs w:val="16"/>
        </w:rPr>
        <w:t>tki samorządu terytorialnego, w </w:t>
      </w:r>
      <w:r w:rsidRPr="000A6485">
        <w:rPr>
          <w:rFonts w:ascii="Verdana" w:hAnsi="Verdana"/>
          <w:sz w:val="16"/>
          <w:szCs w:val="16"/>
        </w:rPr>
        <w:t>tym m.st. Warszawa, o planowanych udziałach we wpływach z podatku</w:t>
      </w:r>
      <w:r>
        <w:rPr>
          <w:rFonts w:ascii="Verdana" w:hAnsi="Verdana"/>
          <w:sz w:val="16"/>
          <w:szCs w:val="16"/>
        </w:rPr>
        <w:t xml:space="preserve"> dochodowego od osób fizycznych ustalonych na 2023 r.</w:t>
      </w:r>
    </w:p>
    <w:p w:rsidR="008A572A" w:rsidRPr="000A6485" w:rsidRDefault="008A572A" w:rsidP="008A572A">
      <w:pPr>
        <w:spacing w:before="60" w:after="60"/>
        <w:jc w:val="both"/>
        <w:rPr>
          <w:rFonts w:ascii="Verdana" w:hAnsi="Verdana" w:cs="Verdana"/>
          <w:sz w:val="16"/>
          <w:szCs w:val="16"/>
        </w:rPr>
      </w:pPr>
      <w:r w:rsidRPr="000A6485">
        <w:rPr>
          <w:rFonts w:ascii="Verdana" w:hAnsi="Verdana" w:cs="Verdana"/>
          <w:sz w:val="16"/>
          <w:szCs w:val="16"/>
        </w:rPr>
        <w:t>Na 202</w:t>
      </w:r>
      <w:r>
        <w:rPr>
          <w:rFonts w:ascii="Verdana" w:hAnsi="Verdana" w:cs="Verdana"/>
          <w:sz w:val="16"/>
          <w:szCs w:val="16"/>
        </w:rPr>
        <w:t>3</w:t>
      </w:r>
      <w:r w:rsidRPr="000A6485">
        <w:rPr>
          <w:rFonts w:ascii="Verdana" w:hAnsi="Verdana" w:cs="Verdana"/>
          <w:sz w:val="16"/>
          <w:szCs w:val="16"/>
        </w:rPr>
        <w:t xml:space="preserve"> r. Ministerstwo Finansów zakłada wzrost – podobnie jak w latach poprzednich – wskaźnika udziału dla wszystkich gmin w kraju w planowanych ogólnych wpływach z PIT, tj. z </w:t>
      </w:r>
      <w:r w:rsidRPr="000A6485">
        <w:rPr>
          <w:rFonts w:ascii="Verdana" w:hAnsi="Verdana" w:cs="Verdana"/>
          <w:b/>
          <w:sz w:val="16"/>
          <w:szCs w:val="16"/>
        </w:rPr>
        <w:t>38,</w:t>
      </w:r>
      <w:r>
        <w:rPr>
          <w:rFonts w:ascii="Verdana" w:hAnsi="Verdana" w:cs="Verdana"/>
          <w:b/>
          <w:sz w:val="16"/>
          <w:szCs w:val="16"/>
        </w:rPr>
        <w:t>34</w:t>
      </w:r>
      <w:r w:rsidRPr="000A6485">
        <w:rPr>
          <w:rFonts w:ascii="Verdana" w:hAnsi="Verdana" w:cs="Verdana"/>
          <w:b/>
          <w:sz w:val="16"/>
          <w:szCs w:val="16"/>
        </w:rPr>
        <w:t>%</w:t>
      </w:r>
      <w:r w:rsidRPr="000A6485">
        <w:rPr>
          <w:rFonts w:ascii="Verdana" w:hAnsi="Verdana" w:cs="Verdana"/>
          <w:sz w:val="16"/>
          <w:szCs w:val="16"/>
        </w:rPr>
        <w:t xml:space="preserve"> w 20</w:t>
      </w:r>
      <w:r>
        <w:rPr>
          <w:rFonts w:ascii="Verdana" w:hAnsi="Verdana" w:cs="Verdana"/>
          <w:sz w:val="16"/>
          <w:szCs w:val="16"/>
        </w:rPr>
        <w:t>22</w:t>
      </w:r>
      <w:r w:rsidRPr="000A6485">
        <w:rPr>
          <w:rFonts w:ascii="Verdana" w:hAnsi="Verdana" w:cs="Verdana"/>
          <w:sz w:val="16"/>
          <w:szCs w:val="16"/>
        </w:rPr>
        <w:t xml:space="preserve"> r. do </w:t>
      </w:r>
      <w:r w:rsidRPr="000A6485">
        <w:rPr>
          <w:rFonts w:ascii="Verdana" w:hAnsi="Verdana" w:cs="Verdana"/>
          <w:b/>
          <w:sz w:val="16"/>
          <w:szCs w:val="16"/>
        </w:rPr>
        <w:t>38,</w:t>
      </w:r>
      <w:r>
        <w:rPr>
          <w:rFonts w:ascii="Verdana" w:hAnsi="Verdana" w:cs="Verdana"/>
          <w:b/>
          <w:sz w:val="16"/>
          <w:szCs w:val="16"/>
        </w:rPr>
        <w:t>40</w:t>
      </w:r>
      <w:r w:rsidRPr="000A6485">
        <w:rPr>
          <w:rFonts w:ascii="Verdana" w:hAnsi="Verdana" w:cs="Verdana"/>
          <w:b/>
          <w:sz w:val="16"/>
          <w:szCs w:val="16"/>
        </w:rPr>
        <w:t>%</w:t>
      </w:r>
      <w:r w:rsidRPr="000A6485">
        <w:rPr>
          <w:rFonts w:ascii="Verdana" w:hAnsi="Verdana" w:cs="Verdana"/>
          <w:sz w:val="16"/>
          <w:szCs w:val="16"/>
        </w:rPr>
        <w:t xml:space="preserve"> </w:t>
      </w:r>
      <w:r w:rsidRPr="000A6485">
        <w:rPr>
          <w:rFonts w:ascii="Verdana" w:hAnsi="Verdana" w:cs="Verdana"/>
          <w:sz w:val="16"/>
          <w:szCs w:val="16"/>
        </w:rPr>
        <w:br/>
        <w:t>w 202</w:t>
      </w:r>
      <w:r>
        <w:rPr>
          <w:rFonts w:ascii="Verdana" w:hAnsi="Verdana" w:cs="Verdana"/>
          <w:sz w:val="16"/>
          <w:szCs w:val="16"/>
        </w:rPr>
        <w:t>3</w:t>
      </w:r>
      <w:r w:rsidRPr="000A6485">
        <w:rPr>
          <w:rFonts w:ascii="Verdana" w:hAnsi="Verdana" w:cs="Verdana"/>
          <w:sz w:val="16"/>
          <w:szCs w:val="16"/>
        </w:rPr>
        <w:t xml:space="preserve"> r. w związku ze zmian</w:t>
      </w:r>
      <w:r>
        <w:rPr>
          <w:rFonts w:ascii="Verdana" w:hAnsi="Verdana" w:cs="Verdana"/>
          <w:sz w:val="16"/>
          <w:szCs w:val="16"/>
        </w:rPr>
        <w:t>ą</w:t>
      </w:r>
      <w:r w:rsidRPr="000A6485">
        <w:rPr>
          <w:rFonts w:ascii="Verdana" w:hAnsi="Verdana" w:cs="Verdana"/>
          <w:sz w:val="16"/>
          <w:szCs w:val="16"/>
        </w:rPr>
        <w:t xml:space="preserve"> liczby pensjonariuszy </w:t>
      </w:r>
      <w:r>
        <w:rPr>
          <w:rFonts w:ascii="Verdana" w:hAnsi="Verdana" w:cs="Verdana"/>
          <w:sz w:val="16"/>
          <w:szCs w:val="16"/>
        </w:rPr>
        <w:t>przyjętych</w:t>
      </w:r>
      <w:r w:rsidRPr="000A6485">
        <w:rPr>
          <w:rFonts w:ascii="Verdana" w:hAnsi="Verdana" w:cs="Verdana"/>
          <w:sz w:val="16"/>
          <w:szCs w:val="16"/>
        </w:rPr>
        <w:t xml:space="preserve"> </w:t>
      </w:r>
      <w:r>
        <w:rPr>
          <w:rFonts w:ascii="Verdana" w:hAnsi="Verdana" w:cs="Verdana"/>
          <w:sz w:val="16"/>
          <w:szCs w:val="16"/>
        </w:rPr>
        <w:t xml:space="preserve">do </w:t>
      </w:r>
      <w:r w:rsidRPr="000A6485">
        <w:rPr>
          <w:rFonts w:ascii="Verdana" w:hAnsi="Verdana" w:cs="Verdana"/>
          <w:sz w:val="16"/>
          <w:szCs w:val="16"/>
        </w:rPr>
        <w:t>domów opieki społecznej</w:t>
      </w:r>
      <w:r>
        <w:rPr>
          <w:rFonts w:ascii="Verdana" w:hAnsi="Verdana" w:cs="Verdana"/>
          <w:sz w:val="16"/>
          <w:szCs w:val="16"/>
        </w:rPr>
        <w:t xml:space="preserve"> </w:t>
      </w:r>
      <w:r>
        <w:rPr>
          <w:rFonts w:ascii="Verdana" w:hAnsi="Verdana" w:cs="Verdana"/>
          <w:sz w:val="16"/>
          <w:szCs w:val="16"/>
          <w:lang w:eastAsia="ko-KR"/>
        </w:rPr>
        <w:t>przed dniem 1 </w:t>
      </w:r>
      <w:r w:rsidRPr="00011AAA">
        <w:rPr>
          <w:rFonts w:ascii="Verdana" w:hAnsi="Verdana" w:cs="Verdana"/>
          <w:sz w:val="16"/>
          <w:szCs w:val="16"/>
          <w:lang w:eastAsia="ko-KR"/>
        </w:rPr>
        <w:t>stycznia 2004 r</w:t>
      </w:r>
      <w:r>
        <w:rPr>
          <w:rFonts w:ascii="Verdana" w:hAnsi="Verdana" w:cs="Verdana"/>
          <w:sz w:val="16"/>
          <w:szCs w:val="16"/>
          <w:lang w:eastAsia="ko-KR"/>
        </w:rPr>
        <w:t>.</w:t>
      </w:r>
      <w:r w:rsidRPr="000A6485">
        <w:rPr>
          <w:rFonts w:ascii="Verdana" w:hAnsi="Verdana" w:cs="Verdana"/>
          <w:sz w:val="16"/>
          <w:szCs w:val="16"/>
        </w:rPr>
        <w:t xml:space="preserve">, w części powiatowej udział jest stały i wynosi </w:t>
      </w:r>
      <w:r w:rsidRPr="000A6485">
        <w:rPr>
          <w:rFonts w:ascii="Verdana" w:hAnsi="Verdana" w:cs="Verdana"/>
          <w:b/>
          <w:sz w:val="16"/>
          <w:szCs w:val="16"/>
        </w:rPr>
        <w:t>10,25%</w:t>
      </w:r>
      <w:r w:rsidRPr="000A6485">
        <w:rPr>
          <w:rFonts w:ascii="Verdana" w:hAnsi="Verdana" w:cs="Verdana"/>
          <w:sz w:val="16"/>
          <w:szCs w:val="16"/>
        </w:rPr>
        <w:t>.</w:t>
      </w:r>
    </w:p>
    <w:p w:rsidR="008A572A" w:rsidRPr="000A6485" w:rsidRDefault="008A572A" w:rsidP="008A572A">
      <w:pPr>
        <w:pStyle w:val="Akapitzlist"/>
        <w:autoSpaceDE w:val="0"/>
        <w:autoSpaceDN w:val="0"/>
        <w:adjustRightInd w:val="0"/>
        <w:spacing w:before="60" w:after="60"/>
        <w:ind w:left="0"/>
        <w:contextualSpacing w:val="0"/>
        <w:jc w:val="both"/>
        <w:rPr>
          <w:rFonts w:ascii="Verdana" w:hAnsi="Verdana" w:cs="Verdana"/>
          <w:sz w:val="16"/>
          <w:szCs w:val="16"/>
        </w:rPr>
      </w:pPr>
      <w:r w:rsidRPr="000A6485">
        <w:rPr>
          <w:rFonts w:ascii="Verdana" w:hAnsi="Verdana" w:cs="Verdana"/>
          <w:sz w:val="16"/>
          <w:szCs w:val="16"/>
        </w:rPr>
        <w:t>Wskaźnik udziału podatku należnego odprowadzonego od podatników zamieszkałych na terenie m.st. Warszawy w podatku na</w:t>
      </w:r>
      <w:r>
        <w:rPr>
          <w:rFonts w:ascii="Verdana" w:hAnsi="Verdana" w:cs="Verdana"/>
          <w:sz w:val="16"/>
          <w:szCs w:val="16"/>
        </w:rPr>
        <w:t>leżnym dla kraju wynosi dla 2023</w:t>
      </w:r>
      <w:r w:rsidRPr="000A6485">
        <w:rPr>
          <w:rFonts w:ascii="Verdana" w:hAnsi="Verdana" w:cs="Verdana"/>
          <w:sz w:val="16"/>
          <w:szCs w:val="16"/>
        </w:rPr>
        <w:t xml:space="preserve"> r. </w:t>
      </w:r>
      <w:r w:rsidRPr="000A6485">
        <w:rPr>
          <w:rFonts w:ascii="Verdana" w:hAnsi="Verdana" w:cs="Verdana"/>
          <w:b/>
          <w:sz w:val="16"/>
          <w:szCs w:val="16"/>
        </w:rPr>
        <w:t>11,</w:t>
      </w:r>
      <w:r>
        <w:rPr>
          <w:rFonts w:ascii="Verdana" w:hAnsi="Verdana" w:cs="Verdana"/>
          <w:b/>
          <w:sz w:val="16"/>
          <w:szCs w:val="16"/>
        </w:rPr>
        <w:t>58</w:t>
      </w:r>
      <w:r w:rsidRPr="000A6485">
        <w:rPr>
          <w:rFonts w:ascii="Verdana" w:hAnsi="Verdana" w:cs="Verdana"/>
          <w:b/>
          <w:sz w:val="16"/>
          <w:szCs w:val="16"/>
        </w:rPr>
        <w:t>%</w:t>
      </w:r>
      <w:r w:rsidRPr="000A6485">
        <w:rPr>
          <w:rFonts w:ascii="Verdana" w:hAnsi="Verdana" w:cs="Verdana"/>
          <w:sz w:val="16"/>
          <w:szCs w:val="16"/>
        </w:rPr>
        <w:t xml:space="preserve"> wobec poziomu </w:t>
      </w:r>
      <w:r w:rsidRPr="000A6485">
        <w:rPr>
          <w:rFonts w:ascii="Verdana" w:hAnsi="Verdana" w:cs="Verdana"/>
          <w:b/>
          <w:sz w:val="16"/>
          <w:szCs w:val="16"/>
        </w:rPr>
        <w:t>11,</w:t>
      </w:r>
      <w:r>
        <w:rPr>
          <w:rFonts w:ascii="Verdana" w:hAnsi="Verdana" w:cs="Verdana"/>
          <w:b/>
          <w:sz w:val="16"/>
          <w:szCs w:val="16"/>
        </w:rPr>
        <w:t>64</w:t>
      </w:r>
      <w:r w:rsidRPr="000A6485">
        <w:rPr>
          <w:rFonts w:ascii="Verdana" w:hAnsi="Verdana" w:cs="Verdana"/>
          <w:b/>
          <w:sz w:val="16"/>
          <w:szCs w:val="16"/>
        </w:rPr>
        <w:t>%</w:t>
      </w:r>
      <w:r>
        <w:rPr>
          <w:rFonts w:ascii="Verdana" w:hAnsi="Verdana" w:cs="Verdana"/>
          <w:sz w:val="16"/>
          <w:szCs w:val="16"/>
        </w:rPr>
        <w:t xml:space="preserve"> w 2022</w:t>
      </w:r>
      <w:r w:rsidRPr="000A6485">
        <w:rPr>
          <w:rFonts w:ascii="Verdana" w:hAnsi="Verdana" w:cs="Verdana"/>
          <w:sz w:val="16"/>
          <w:szCs w:val="16"/>
        </w:rPr>
        <w:t xml:space="preserve"> r.</w:t>
      </w:r>
      <w:r>
        <w:rPr>
          <w:rFonts w:ascii="Verdana" w:hAnsi="Verdana" w:cs="Verdana"/>
          <w:sz w:val="16"/>
          <w:szCs w:val="16"/>
        </w:rPr>
        <w:t xml:space="preserve"> Udział ten został wyliczony wg zasad zgodnie z nowelizacją</w:t>
      </w:r>
      <w:r w:rsidRPr="009232EB">
        <w:rPr>
          <w:rFonts w:ascii="Verdana" w:hAnsi="Verdana" w:cs="Verdana"/>
          <w:sz w:val="16"/>
          <w:szCs w:val="16"/>
        </w:rPr>
        <w:t xml:space="preserve"> z dnia 14 października 2021 r. ustawy o dochodach jednostek samorządu terytorialnego, zwanej ustawą o wsparciu jednostek samor</w:t>
      </w:r>
      <w:r>
        <w:rPr>
          <w:rFonts w:ascii="Verdana" w:hAnsi="Verdana" w:cs="Verdana"/>
          <w:sz w:val="16"/>
          <w:szCs w:val="16"/>
        </w:rPr>
        <w:t xml:space="preserve">ządu terytorialnego w związku </w:t>
      </w:r>
      <w:r>
        <w:rPr>
          <w:rFonts w:ascii="Verdana" w:hAnsi="Verdana" w:cs="Verdana"/>
          <w:sz w:val="16"/>
          <w:szCs w:val="16"/>
        </w:rPr>
        <w:br/>
        <w:t xml:space="preserve">z </w:t>
      </w:r>
      <w:r w:rsidRPr="009232EB">
        <w:rPr>
          <w:rFonts w:ascii="Verdana" w:hAnsi="Verdana" w:cs="Verdana"/>
          <w:sz w:val="16"/>
          <w:szCs w:val="16"/>
        </w:rPr>
        <w:t>Programem Polski Ład</w:t>
      </w:r>
      <w:r>
        <w:rPr>
          <w:rFonts w:ascii="Verdana" w:hAnsi="Verdana" w:cs="Verdana"/>
          <w:sz w:val="16"/>
          <w:szCs w:val="16"/>
        </w:rPr>
        <w:t>. Udział na 2023</w:t>
      </w:r>
      <w:r w:rsidRPr="009232EB">
        <w:rPr>
          <w:rFonts w:ascii="Verdana" w:hAnsi="Verdana" w:cs="Verdana"/>
          <w:sz w:val="16"/>
          <w:szCs w:val="16"/>
        </w:rPr>
        <w:t xml:space="preserve"> r. został ustalony jako średnia ważona arytmetyczna z 3 lat obliczeniowych obejmujących: rok 202</w:t>
      </w:r>
      <w:r>
        <w:rPr>
          <w:rFonts w:ascii="Verdana" w:hAnsi="Verdana" w:cs="Verdana"/>
          <w:sz w:val="16"/>
          <w:szCs w:val="16"/>
        </w:rPr>
        <w:t>1</w:t>
      </w:r>
      <w:r w:rsidRPr="009232EB">
        <w:rPr>
          <w:rFonts w:ascii="Verdana" w:hAnsi="Verdana" w:cs="Verdana"/>
          <w:sz w:val="16"/>
          <w:szCs w:val="16"/>
        </w:rPr>
        <w:t>, rok 20</w:t>
      </w:r>
      <w:r>
        <w:rPr>
          <w:rFonts w:ascii="Verdana" w:hAnsi="Verdana" w:cs="Verdana"/>
          <w:sz w:val="16"/>
          <w:szCs w:val="16"/>
        </w:rPr>
        <w:t>20</w:t>
      </w:r>
      <w:r w:rsidRPr="009232EB">
        <w:rPr>
          <w:rFonts w:ascii="Verdana" w:hAnsi="Verdana" w:cs="Verdana"/>
          <w:sz w:val="16"/>
          <w:szCs w:val="16"/>
        </w:rPr>
        <w:t xml:space="preserve"> i rok 201</w:t>
      </w:r>
      <w:r>
        <w:rPr>
          <w:rFonts w:ascii="Verdana" w:hAnsi="Verdana" w:cs="Verdana"/>
          <w:sz w:val="16"/>
          <w:szCs w:val="16"/>
        </w:rPr>
        <w:t>9</w:t>
      </w:r>
      <w:r w:rsidRPr="009232EB">
        <w:rPr>
          <w:rFonts w:ascii="Verdana" w:hAnsi="Verdana" w:cs="Verdana"/>
          <w:sz w:val="16"/>
          <w:szCs w:val="16"/>
        </w:rPr>
        <w:t>, odpowiednio z wagami 0,5, 0,33 i 0,17.</w:t>
      </w:r>
    </w:p>
    <w:p w:rsidR="008A572A" w:rsidRDefault="008A572A" w:rsidP="008A572A">
      <w:pPr>
        <w:spacing w:before="60" w:after="60"/>
        <w:jc w:val="both"/>
        <w:rPr>
          <w:rFonts w:ascii="Verdana" w:hAnsi="Verdana"/>
          <w:sz w:val="18"/>
          <w:szCs w:val="18"/>
        </w:rPr>
      </w:pPr>
      <w:r>
        <w:rPr>
          <w:rFonts w:ascii="Verdana" w:hAnsi="Verdana"/>
          <w:sz w:val="16"/>
          <w:szCs w:val="16"/>
        </w:rPr>
        <w:t>W prognozie sporządzonej na kolejne lata w</w:t>
      </w:r>
      <w:r w:rsidRPr="00A4416D">
        <w:rPr>
          <w:rFonts w:ascii="Verdana" w:hAnsi="Verdana"/>
          <w:sz w:val="16"/>
          <w:szCs w:val="16"/>
        </w:rPr>
        <w:t xml:space="preserve">skaźniki partycypacji sektora samorządowego i </w:t>
      </w:r>
      <w:r>
        <w:rPr>
          <w:rFonts w:ascii="Verdana" w:hAnsi="Verdana"/>
          <w:sz w:val="16"/>
          <w:szCs w:val="16"/>
        </w:rPr>
        <w:t>m.st. Warszawy w dochodach z PI</w:t>
      </w:r>
      <w:r w:rsidRPr="00A4416D">
        <w:rPr>
          <w:rFonts w:ascii="Verdana" w:hAnsi="Verdana"/>
          <w:sz w:val="16"/>
          <w:szCs w:val="16"/>
        </w:rPr>
        <w:t>T zostały przyjęte na poziomie oszacowanym przez Ministerstwo Finansów dla 202</w:t>
      </w:r>
      <w:r>
        <w:rPr>
          <w:rFonts w:ascii="Verdana" w:hAnsi="Verdana"/>
          <w:sz w:val="16"/>
          <w:szCs w:val="16"/>
        </w:rPr>
        <w:t>3</w:t>
      </w:r>
      <w:r w:rsidRPr="00A4416D">
        <w:rPr>
          <w:rFonts w:ascii="Verdana" w:hAnsi="Verdana"/>
          <w:sz w:val="16"/>
          <w:szCs w:val="16"/>
        </w:rPr>
        <w:t xml:space="preserve"> r.</w:t>
      </w:r>
    </w:p>
    <w:p w:rsidR="008A572A" w:rsidRDefault="008A572A" w:rsidP="008A572A">
      <w:pPr>
        <w:spacing w:before="60" w:after="60"/>
        <w:jc w:val="both"/>
        <w:rPr>
          <w:rFonts w:ascii="Verdana" w:hAnsi="Verdana" w:cs="Arial"/>
          <w:sz w:val="16"/>
          <w:szCs w:val="16"/>
        </w:rPr>
      </w:pPr>
      <w:r>
        <w:rPr>
          <w:rFonts w:ascii="Verdana" w:hAnsi="Verdana" w:cs="Verdana"/>
          <w:sz w:val="16"/>
          <w:szCs w:val="16"/>
        </w:rPr>
        <w:t>Nowelizacja</w:t>
      </w:r>
      <w:r w:rsidRPr="009232EB">
        <w:rPr>
          <w:rFonts w:ascii="Verdana" w:hAnsi="Verdana" w:cs="Verdana"/>
          <w:sz w:val="16"/>
          <w:szCs w:val="16"/>
        </w:rPr>
        <w:t xml:space="preserve"> z 14 października 2021 r. ustawy o dochodach jednostek samorządu terytorialnego, zwanej ustawą o wsparciu jednostek samor</w:t>
      </w:r>
      <w:r>
        <w:rPr>
          <w:rFonts w:ascii="Verdana" w:hAnsi="Verdana" w:cs="Verdana"/>
          <w:sz w:val="16"/>
          <w:szCs w:val="16"/>
        </w:rPr>
        <w:t xml:space="preserve">ządu terytorialnego w związku z </w:t>
      </w:r>
      <w:r w:rsidRPr="009232EB">
        <w:rPr>
          <w:rFonts w:ascii="Verdana" w:hAnsi="Verdana" w:cs="Verdana"/>
          <w:sz w:val="16"/>
          <w:szCs w:val="16"/>
        </w:rPr>
        <w:t>Programem Polski Ład</w:t>
      </w:r>
      <w:r>
        <w:rPr>
          <w:rFonts w:ascii="Verdana" w:hAnsi="Verdana" w:cs="Verdana"/>
          <w:sz w:val="16"/>
          <w:szCs w:val="16"/>
        </w:rPr>
        <w:t xml:space="preserve">, w przypadku gdyby, </w:t>
      </w:r>
      <w:r w:rsidRPr="00A14FD5">
        <w:rPr>
          <w:rFonts w:ascii="Verdana" w:hAnsi="Verdana" w:cs="Verdana"/>
          <w:sz w:val="16"/>
          <w:szCs w:val="16"/>
        </w:rPr>
        <w:t xml:space="preserve">wykonana ogólna kwota wpływów z PIT była inna od prognozowanej, </w:t>
      </w:r>
      <w:r>
        <w:rPr>
          <w:rFonts w:ascii="Verdana" w:hAnsi="Verdana" w:cs="Verdana"/>
          <w:sz w:val="16"/>
          <w:szCs w:val="16"/>
        </w:rPr>
        <w:t xml:space="preserve">przewiduje korektę prognozy dochodów </w:t>
      </w:r>
      <w:r w:rsidRPr="00A14FD5">
        <w:rPr>
          <w:rFonts w:ascii="Verdana" w:hAnsi="Verdana" w:cs="Verdana"/>
          <w:sz w:val="16"/>
          <w:szCs w:val="16"/>
        </w:rPr>
        <w:t>po dwóch latach od roku w którym różnica wystąpiła przez zwiększenie albo zmniej</w:t>
      </w:r>
      <w:r>
        <w:rPr>
          <w:rFonts w:ascii="Verdana" w:hAnsi="Verdana" w:cs="Verdana"/>
          <w:sz w:val="16"/>
          <w:szCs w:val="16"/>
        </w:rPr>
        <w:t>szenie planowanych dochodów z </w:t>
      </w:r>
      <w:r w:rsidRPr="00A14FD5">
        <w:rPr>
          <w:rFonts w:ascii="Verdana" w:hAnsi="Verdana" w:cs="Verdana"/>
          <w:sz w:val="16"/>
          <w:szCs w:val="16"/>
        </w:rPr>
        <w:t>tego tytułu o równowartość różnicy między kwotą prognozowaną a wykonaną.</w:t>
      </w:r>
      <w:r w:rsidRPr="005068F0">
        <w:rPr>
          <w:rFonts w:ascii="Verdana" w:hAnsi="Verdana" w:cs="Arial"/>
          <w:sz w:val="16"/>
          <w:szCs w:val="16"/>
        </w:rPr>
        <w:t xml:space="preserve"> </w:t>
      </w:r>
      <w:r>
        <w:rPr>
          <w:rFonts w:ascii="Verdana" w:hAnsi="Verdana" w:cs="Arial"/>
          <w:sz w:val="16"/>
          <w:szCs w:val="16"/>
        </w:rPr>
        <w:t>Pierwszym rokiem, w którym przepisy te będą miały zastosowanie jest rok 2024.</w:t>
      </w:r>
    </w:p>
    <w:p w:rsidR="008A572A" w:rsidRDefault="008A572A" w:rsidP="008A572A">
      <w:pPr>
        <w:spacing w:before="60" w:after="60"/>
        <w:jc w:val="both"/>
        <w:rPr>
          <w:rFonts w:ascii="Verdana" w:hAnsi="Verdana" w:cs="Verdana"/>
          <w:sz w:val="16"/>
          <w:szCs w:val="16"/>
        </w:rPr>
      </w:pPr>
      <w:r w:rsidRPr="00BC3D02">
        <w:rPr>
          <w:rFonts w:ascii="Verdana" w:hAnsi="Verdana" w:cs="Verdana"/>
          <w:sz w:val="16"/>
          <w:szCs w:val="16"/>
        </w:rPr>
        <w:t>Biorąc pod uwagę przewidywane wykonanie dochodów z PIT ujętych w projekcie budżetu państwa</w:t>
      </w:r>
      <w:r>
        <w:rPr>
          <w:rFonts w:ascii="Verdana" w:hAnsi="Verdana" w:cs="Verdana"/>
          <w:sz w:val="16"/>
          <w:szCs w:val="16"/>
        </w:rPr>
        <w:t xml:space="preserve"> na 2023 r.,</w:t>
      </w:r>
      <w:r w:rsidRPr="00BC3D02">
        <w:rPr>
          <w:rFonts w:ascii="Verdana" w:hAnsi="Verdana" w:cs="Verdana"/>
          <w:sz w:val="16"/>
          <w:szCs w:val="16"/>
        </w:rPr>
        <w:t xml:space="preserve"> oraz przy założeniu, że wykonanie dochodów z podatku zryczałtowanego w II półroczu 20</w:t>
      </w:r>
      <w:r>
        <w:rPr>
          <w:rFonts w:ascii="Verdana" w:hAnsi="Verdana" w:cs="Verdana"/>
          <w:sz w:val="16"/>
          <w:szCs w:val="16"/>
        </w:rPr>
        <w:t>22 r. będzie takie samo jak w I </w:t>
      </w:r>
      <w:r w:rsidRPr="00BC3D02">
        <w:rPr>
          <w:rFonts w:ascii="Verdana" w:hAnsi="Verdana" w:cs="Verdana"/>
          <w:sz w:val="16"/>
          <w:szCs w:val="16"/>
        </w:rPr>
        <w:t>półroczu</w:t>
      </w:r>
      <w:r>
        <w:rPr>
          <w:rFonts w:ascii="Verdana" w:hAnsi="Verdana" w:cs="Verdana"/>
          <w:sz w:val="16"/>
          <w:szCs w:val="16"/>
        </w:rPr>
        <w:t xml:space="preserve">, w prognozie dochodów z PIT uwzględniono spodziewaną </w:t>
      </w:r>
      <w:r w:rsidRPr="00BC3D02">
        <w:rPr>
          <w:rFonts w:ascii="Verdana" w:hAnsi="Verdana" w:cs="Verdana"/>
          <w:sz w:val="16"/>
          <w:szCs w:val="16"/>
        </w:rPr>
        <w:t>korektę</w:t>
      </w:r>
      <w:r>
        <w:rPr>
          <w:rFonts w:ascii="Verdana" w:hAnsi="Verdana" w:cs="Verdana"/>
          <w:sz w:val="16"/>
          <w:szCs w:val="16"/>
        </w:rPr>
        <w:t xml:space="preserve"> rozliczeniową </w:t>
      </w:r>
      <w:r w:rsidRPr="00BC3D02">
        <w:rPr>
          <w:rFonts w:ascii="Verdana" w:hAnsi="Verdana" w:cs="Verdana"/>
          <w:sz w:val="16"/>
          <w:szCs w:val="16"/>
        </w:rPr>
        <w:t xml:space="preserve">dochodów z PIT </w:t>
      </w:r>
      <w:r>
        <w:rPr>
          <w:rFonts w:ascii="Verdana" w:hAnsi="Verdana" w:cs="Verdana"/>
          <w:sz w:val="16"/>
          <w:szCs w:val="16"/>
        </w:rPr>
        <w:t xml:space="preserve">in minus w wysokości </w:t>
      </w:r>
      <w:r>
        <w:rPr>
          <w:rFonts w:ascii="Verdana" w:hAnsi="Verdana" w:cs="Verdana"/>
          <w:b/>
          <w:sz w:val="16"/>
          <w:szCs w:val="16"/>
        </w:rPr>
        <w:t>914 mln </w:t>
      </w:r>
      <w:r w:rsidRPr="00183589">
        <w:rPr>
          <w:rFonts w:ascii="Verdana" w:hAnsi="Verdana" w:cs="Verdana"/>
          <w:b/>
          <w:sz w:val="16"/>
          <w:szCs w:val="16"/>
        </w:rPr>
        <w:t>zł</w:t>
      </w:r>
      <w:r>
        <w:rPr>
          <w:rFonts w:ascii="Verdana" w:hAnsi="Verdana" w:cs="Verdana"/>
          <w:sz w:val="16"/>
          <w:szCs w:val="16"/>
        </w:rPr>
        <w:t>, ze skutkiem dla 2024 r.</w:t>
      </w:r>
      <w:r>
        <w:rPr>
          <w:rFonts w:ascii="Verdana" w:hAnsi="Verdana" w:cs="Verdana"/>
          <w:sz w:val="16"/>
          <w:szCs w:val="16"/>
        </w:rPr>
        <w:br w:type="page"/>
      </w:r>
    </w:p>
    <w:p w:rsidR="008A572A" w:rsidRPr="000A6485" w:rsidRDefault="008A572A" w:rsidP="008A572A">
      <w:pPr>
        <w:spacing w:before="240" w:after="240"/>
        <w:rPr>
          <w:rFonts w:ascii="Verdana" w:hAnsi="Verdana"/>
          <w:b/>
          <w:bCs/>
          <w:sz w:val="18"/>
          <w:szCs w:val="18"/>
        </w:rPr>
      </w:pPr>
      <w:r w:rsidRPr="000A6485">
        <w:rPr>
          <w:rFonts w:ascii="Verdana" w:hAnsi="Verdana"/>
          <w:b/>
          <w:bCs/>
          <w:sz w:val="18"/>
          <w:szCs w:val="18"/>
        </w:rPr>
        <w:lastRenderedPageBreak/>
        <w:t>7.2.3.2 Prognoza dochodów z podatku dochodowego od osób prawnych CIT</w:t>
      </w:r>
    </w:p>
    <w:p w:rsidR="008A572A" w:rsidRPr="000A6485" w:rsidRDefault="008A572A" w:rsidP="008A572A">
      <w:pPr>
        <w:tabs>
          <w:tab w:val="left" w:pos="0"/>
        </w:tabs>
        <w:spacing w:before="120" w:after="120"/>
        <w:ind w:firstLine="567"/>
        <w:jc w:val="both"/>
        <w:rPr>
          <w:rFonts w:ascii="Verdana" w:hAnsi="Verdana"/>
          <w:sz w:val="16"/>
          <w:szCs w:val="16"/>
        </w:rPr>
      </w:pPr>
      <w:r w:rsidRPr="000A6485">
        <w:rPr>
          <w:rFonts w:ascii="Verdana" w:hAnsi="Verdana"/>
          <w:sz w:val="16"/>
          <w:szCs w:val="16"/>
        </w:rPr>
        <w:t xml:space="preserve">Wykres nr </w:t>
      </w:r>
      <w:r>
        <w:rPr>
          <w:rFonts w:ascii="Verdana" w:hAnsi="Verdana"/>
          <w:sz w:val="16"/>
          <w:szCs w:val="16"/>
        </w:rPr>
        <w:t>21</w:t>
      </w:r>
      <w:r w:rsidRPr="000A6485">
        <w:rPr>
          <w:rFonts w:ascii="Verdana" w:hAnsi="Verdana"/>
          <w:sz w:val="16"/>
          <w:szCs w:val="16"/>
        </w:rPr>
        <w:t xml:space="preserve"> prezentuje prognozowane dochody z udziału w CIT w poszczególnych latach objętych Prognozą.</w:t>
      </w:r>
    </w:p>
    <w:p w:rsidR="008A572A" w:rsidRPr="000A6485" w:rsidRDefault="008A572A" w:rsidP="008A572A">
      <w:pPr>
        <w:tabs>
          <w:tab w:val="left" w:pos="567"/>
        </w:tabs>
        <w:spacing w:before="120" w:after="60"/>
        <w:ind w:left="567" w:hanging="567"/>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DB2126">
        <w:rPr>
          <w:rFonts w:ascii="Verdana" w:hAnsi="Verdana" w:cs="Arial"/>
          <w:b/>
          <w:bCs/>
          <w:noProof/>
          <w:sz w:val="14"/>
          <w:szCs w:val="14"/>
        </w:rPr>
        <w:t>21</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Z</w:t>
      </w:r>
      <w:r>
        <w:rPr>
          <w:rFonts w:ascii="Verdana" w:hAnsi="Verdana" w:cs="Arial"/>
          <w:b/>
          <w:bCs/>
          <w:sz w:val="14"/>
          <w:szCs w:val="14"/>
        </w:rPr>
        <w:t xml:space="preserve"> CIT M.ST. WARSZAWY NA LATA </w:t>
      </w:r>
      <w:r w:rsidRPr="00932633">
        <w:rPr>
          <w:rFonts w:ascii="Verdana" w:hAnsi="Verdana" w:cs="Arial"/>
          <w:b/>
          <w:bCs/>
          <w:sz w:val="14"/>
          <w:szCs w:val="14"/>
        </w:rPr>
        <w:t>2023</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8A572A" w:rsidRPr="000A6485" w:rsidRDefault="008A572A" w:rsidP="008A572A">
      <w:pPr>
        <w:spacing w:before="120" w:after="120"/>
        <w:jc w:val="both"/>
        <w:rPr>
          <w:rFonts w:ascii="Verdana" w:hAnsi="Verdana"/>
          <w:b/>
          <w:bCs/>
          <w:noProof/>
          <w:sz w:val="20"/>
          <w:szCs w:val="20"/>
        </w:rPr>
      </w:pPr>
      <w:r>
        <w:rPr>
          <w:rFonts w:ascii="Verdana" w:hAnsi="Verdana"/>
          <w:b/>
          <w:bCs/>
          <w:noProof/>
          <w:sz w:val="20"/>
          <w:szCs w:val="20"/>
        </w:rPr>
        <w:drawing>
          <wp:inline distT="0" distB="0" distL="0" distR="0">
            <wp:extent cx="5745480" cy="2456815"/>
            <wp:effectExtent l="0" t="0" r="0" b="0"/>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5480" cy="2456815"/>
                    </a:xfrm>
                    <a:prstGeom prst="rect">
                      <a:avLst/>
                    </a:prstGeom>
                    <a:noFill/>
                    <a:ln>
                      <a:noFill/>
                    </a:ln>
                  </pic:spPr>
                </pic:pic>
              </a:graphicData>
            </a:graphic>
          </wp:inline>
        </w:drawing>
      </w:r>
    </w:p>
    <w:p w:rsidR="008A572A" w:rsidRDefault="008A572A" w:rsidP="008A572A">
      <w:pPr>
        <w:spacing w:before="60" w:after="60"/>
        <w:ind w:firstLine="540"/>
        <w:jc w:val="both"/>
        <w:rPr>
          <w:rFonts w:ascii="Verdana" w:hAnsi="Verdana"/>
          <w:sz w:val="16"/>
          <w:szCs w:val="16"/>
        </w:rPr>
      </w:pPr>
      <w:r w:rsidRPr="000A6485">
        <w:rPr>
          <w:rFonts w:ascii="Verdana" w:hAnsi="Verdana"/>
          <w:sz w:val="16"/>
          <w:szCs w:val="16"/>
        </w:rPr>
        <w:t>Prognozuje się, że wpływy m.st. Warszawy z CIT w okresie pierwszych pięciu lat prognozy tj. od 202</w:t>
      </w:r>
      <w:r>
        <w:rPr>
          <w:rFonts w:ascii="Verdana" w:hAnsi="Verdana"/>
          <w:sz w:val="16"/>
          <w:szCs w:val="16"/>
        </w:rPr>
        <w:t>3</w:t>
      </w:r>
      <w:r w:rsidRPr="000A6485">
        <w:rPr>
          <w:rFonts w:ascii="Verdana" w:hAnsi="Verdana"/>
          <w:sz w:val="16"/>
          <w:szCs w:val="16"/>
        </w:rPr>
        <w:t xml:space="preserve"> </w:t>
      </w:r>
      <w:r w:rsidRPr="000A6485">
        <w:rPr>
          <w:rFonts w:ascii="Verdana" w:hAnsi="Verdana"/>
          <w:sz w:val="16"/>
          <w:szCs w:val="16"/>
        </w:rPr>
        <w:br/>
        <w:t>do 202</w:t>
      </w:r>
      <w:r>
        <w:rPr>
          <w:rFonts w:ascii="Verdana" w:hAnsi="Verdana"/>
          <w:sz w:val="16"/>
          <w:szCs w:val="16"/>
        </w:rPr>
        <w:t>7</w:t>
      </w:r>
      <w:r w:rsidRPr="000A6485">
        <w:rPr>
          <w:rFonts w:ascii="Verdana" w:hAnsi="Verdana"/>
          <w:sz w:val="16"/>
          <w:szCs w:val="16"/>
        </w:rPr>
        <w:t xml:space="preserve"> r. wyniosą łącznie </w:t>
      </w:r>
      <w:r>
        <w:rPr>
          <w:rFonts w:ascii="Verdana" w:hAnsi="Verdana"/>
          <w:b/>
          <w:sz w:val="16"/>
          <w:szCs w:val="16"/>
        </w:rPr>
        <w:t>10,0</w:t>
      </w:r>
      <w:r w:rsidRPr="000A6485">
        <w:rPr>
          <w:rFonts w:ascii="Verdana" w:hAnsi="Verdana"/>
          <w:b/>
          <w:sz w:val="16"/>
          <w:szCs w:val="16"/>
        </w:rPr>
        <w:t xml:space="preserve"> mld zł</w:t>
      </w:r>
      <w:r w:rsidRPr="000A6485">
        <w:rPr>
          <w:rFonts w:ascii="Verdana" w:hAnsi="Verdana"/>
          <w:sz w:val="16"/>
          <w:szCs w:val="16"/>
        </w:rPr>
        <w:t xml:space="preserve">, co będzie stanowiło </w:t>
      </w:r>
      <w:r>
        <w:rPr>
          <w:rFonts w:ascii="Verdana" w:hAnsi="Verdana"/>
          <w:b/>
          <w:sz w:val="16"/>
          <w:szCs w:val="16"/>
        </w:rPr>
        <w:t>9,6</w:t>
      </w:r>
      <w:r w:rsidRPr="000A6485">
        <w:rPr>
          <w:rFonts w:ascii="Verdana" w:hAnsi="Verdana"/>
          <w:b/>
          <w:sz w:val="16"/>
          <w:szCs w:val="16"/>
        </w:rPr>
        <w:t>%</w:t>
      </w:r>
      <w:r w:rsidRPr="000A6485">
        <w:rPr>
          <w:rFonts w:ascii="Verdana" w:hAnsi="Verdana"/>
          <w:sz w:val="16"/>
          <w:szCs w:val="16"/>
        </w:rPr>
        <w:t xml:space="preserve"> planowanych do realizacji w tym okresie dochodów ogółem.</w:t>
      </w:r>
    </w:p>
    <w:p w:rsidR="008A572A" w:rsidRPr="000A6485" w:rsidRDefault="008A572A" w:rsidP="008A572A">
      <w:pPr>
        <w:spacing w:before="60" w:after="60"/>
        <w:ind w:firstLine="567"/>
        <w:jc w:val="both"/>
        <w:rPr>
          <w:rFonts w:ascii="Verdana" w:hAnsi="Verdana"/>
          <w:sz w:val="16"/>
          <w:szCs w:val="16"/>
        </w:rPr>
      </w:pPr>
      <w:r w:rsidRPr="000A6485">
        <w:rPr>
          <w:rFonts w:ascii="Verdana" w:hAnsi="Verdana"/>
          <w:sz w:val="16"/>
          <w:szCs w:val="16"/>
        </w:rPr>
        <w:t xml:space="preserve">Wykres </w:t>
      </w:r>
      <w:r>
        <w:rPr>
          <w:rFonts w:ascii="Verdana" w:hAnsi="Verdana"/>
          <w:sz w:val="16"/>
          <w:szCs w:val="16"/>
        </w:rPr>
        <w:t>nr 22</w:t>
      </w:r>
      <w:r w:rsidRPr="000A6485">
        <w:rPr>
          <w:rFonts w:ascii="Verdana" w:hAnsi="Verdana"/>
          <w:sz w:val="16"/>
          <w:szCs w:val="16"/>
        </w:rPr>
        <w:t xml:space="preserve"> prezentuje procentową zmianę rok do roku wysokości dochodów z udziału w CIT </w:t>
      </w:r>
      <w:r w:rsidRPr="000A6485">
        <w:rPr>
          <w:rFonts w:ascii="Verdana" w:hAnsi="Verdana"/>
          <w:sz w:val="16"/>
          <w:szCs w:val="16"/>
        </w:rPr>
        <w:br/>
        <w:t>w poszczególnych latach objętych Prognozą.</w:t>
      </w:r>
    </w:p>
    <w:p w:rsidR="008A572A" w:rsidRPr="000A6485" w:rsidRDefault="008A572A" w:rsidP="008A572A">
      <w:pPr>
        <w:spacing w:before="120" w:after="120" w:line="240" w:lineRule="auto"/>
        <w:rPr>
          <w:rFonts w:ascii="Verdana" w:hAnsi="Verdana"/>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DB2126">
        <w:rPr>
          <w:rFonts w:ascii="Verdana" w:hAnsi="Verdana" w:cs="Arial"/>
          <w:b/>
          <w:bCs/>
          <w:noProof/>
          <w:sz w:val="14"/>
          <w:szCs w:val="14"/>
        </w:rPr>
        <w:t>22</w:t>
      </w:r>
      <w:r w:rsidRPr="000A6485">
        <w:rPr>
          <w:rFonts w:ascii="Verdana" w:hAnsi="Verdana" w:cs="Arial"/>
          <w:b/>
          <w:bCs/>
          <w:sz w:val="14"/>
          <w:szCs w:val="14"/>
        </w:rPr>
        <w:fldChar w:fldCharType="end"/>
      </w:r>
      <w:r w:rsidRPr="000A6485">
        <w:rPr>
          <w:rFonts w:ascii="Verdana" w:hAnsi="Verdana" w:cs="Arial"/>
          <w:b/>
          <w:bCs/>
          <w:sz w:val="14"/>
          <w:szCs w:val="14"/>
        </w:rPr>
        <w:t xml:space="preserve">  PROGNOZOWANA ZMIANA PROCENTOWA ROK DO ROKU DOCHODÓW Z CIT M.ST. WARSZAWY </w:t>
      </w:r>
      <w:r w:rsidRPr="000A6485">
        <w:rPr>
          <w:rFonts w:ascii="Verdana" w:hAnsi="Verdana" w:cs="Arial"/>
          <w:b/>
          <w:bCs/>
          <w:sz w:val="14"/>
          <w:szCs w:val="14"/>
        </w:rPr>
        <w:br/>
        <w:t xml:space="preserve">                </w:t>
      </w:r>
      <w:r>
        <w:rPr>
          <w:rFonts w:ascii="Verdana" w:hAnsi="Verdana" w:cs="Arial"/>
          <w:b/>
          <w:bCs/>
          <w:sz w:val="14"/>
          <w:szCs w:val="14"/>
        </w:rPr>
        <w:t xml:space="preserve">NA LATA </w:t>
      </w:r>
      <w:r w:rsidRPr="00932633">
        <w:rPr>
          <w:rFonts w:ascii="Verdana" w:hAnsi="Verdana" w:cs="Arial"/>
          <w:b/>
          <w:bCs/>
          <w:sz w:val="14"/>
          <w:szCs w:val="14"/>
        </w:rPr>
        <w:t>2023</w:t>
      </w:r>
      <w:r w:rsidRPr="000A6485">
        <w:rPr>
          <w:rFonts w:ascii="Verdana" w:hAnsi="Verdana" w:cs="Arial"/>
          <w:b/>
          <w:bCs/>
          <w:sz w:val="14"/>
          <w:szCs w:val="14"/>
        </w:rPr>
        <w:t xml:space="preserve">-2050 </w:t>
      </w:r>
      <w:r w:rsidRPr="000A6485">
        <w:rPr>
          <w:rFonts w:ascii="Verdana" w:hAnsi="Verdana" w:cs="Arial"/>
          <w:bCs/>
          <w:sz w:val="14"/>
          <w:szCs w:val="14"/>
        </w:rPr>
        <w:t>[</w:t>
      </w:r>
      <w:r>
        <w:rPr>
          <w:rFonts w:ascii="Verdana" w:hAnsi="Verdana" w:cs="Arial"/>
          <w:bCs/>
          <w:sz w:val="14"/>
          <w:szCs w:val="14"/>
        </w:rPr>
        <w:t xml:space="preserve">w </w:t>
      </w:r>
      <w:r w:rsidRPr="000A6485">
        <w:rPr>
          <w:rFonts w:ascii="Verdana" w:hAnsi="Verdana" w:cs="Arial"/>
          <w:bCs/>
          <w:sz w:val="14"/>
          <w:szCs w:val="14"/>
        </w:rPr>
        <w:t>%]</w:t>
      </w:r>
    </w:p>
    <w:p w:rsidR="008A572A" w:rsidRPr="000A6485" w:rsidRDefault="008A572A" w:rsidP="008A572A">
      <w:pPr>
        <w:spacing w:before="120" w:after="120"/>
        <w:jc w:val="both"/>
        <w:rPr>
          <w:rFonts w:ascii="Verdana" w:hAnsi="Verdana"/>
          <w:sz w:val="18"/>
          <w:szCs w:val="18"/>
        </w:rPr>
      </w:pPr>
      <w:r>
        <w:rPr>
          <w:rFonts w:ascii="Verdana" w:hAnsi="Verdana"/>
          <w:noProof/>
          <w:sz w:val="18"/>
          <w:szCs w:val="18"/>
        </w:rPr>
        <w:drawing>
          <wp:inline distT="0" distB="0" distL="0" distR="0">
            <wp:extent cx="5745480" cy="2456815"/>
            <wp:effectExtent l="0" t="0" r="0"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5480" cy="2456815"/>
                    </a:xfrm>
                    <a:prstGeom prst="rect">
                      <a:avLst/>
                    </a:prstGeom>
                    <a:noFill/>
                    <a:ln>
                      <a:noFill/>
                    </a:ln>
                  </pic:spPr>
                </pic:pic>
              </a:graphicData>
            </a:graphic>
          </wp:inline>
        </w:drawing>
      </w:r>
    </w:p>
    <w:p w:rsidR="008A572A" w:rsidRDefault="008A572A" w:rsidP="008A572A">
      <w:pPr>
        <w:spacing w:before="60" w:after="60"/>
        <w:jc w:val="both"/>
        <w:rPr>
          <w:rFonts w:ascii="Verdana" w:hAnsi="Verdana" w:cs="Verdana"/>
          <w:sz w:val="16"/>
          <w:szCs w:val="16"/>
          <w:lang w:eastAsia="ko-KR"/>
        </w:rPr>
      </w:pPr>
      <w:r>
        <w:rPr>
          <w:rFonts w:ascii="Verdana" w:hAnsi="Verdana" w:cs="Verdana"/>
          <w:sz w:val="16"/>
          <w:szCs w:val="16"/>
          <w:lang w:eastAsia="ko-KR"/>
        </w:rPr>
        <w:t xml:space="preserve">Wieloletnia Prognoza Finansowa na lata 2023-2050 w zakresie wpływów z </w:t>
      </w:r>
      <w:r w:rsidRPr="00EC2B78">
        <w:rPr>
          <w:rFonts w:ascii="Verdana" w:hAnsi="Verdana" w:cs="Verdana"/>
          <w:sz w:val="16"/>
          <w:szCs w:val="16"/>
          <w:lang w:eastAsia="ko-KR"/>
        </w:rPr>
        <w:t xml:space="preserve">podatku dochodowego od osób </w:t>
      </w:r>
      <w:r>
        <w:rPr>
          <w:rFonts w:ascii="Verdana" w:hAnsi="Verdana" w:cs="Verdana"/>
          <w:sz w:val="16"/>
          <w:szCs w:val="16"/>
          <w:lang w:eastAsia="ko-KR"/>
        </w:rPr>
        <w:t>prawnych C</w:t>
      </w:r>
      <w:r w:rsidRPr="00EC2B78">
        <w:rPr>
          <w:rFonts w:ascii="Verdana" w:hAnsi="Verdana" w:cs="Verdana"/>
          <w:sz w:val="16"/>
          <w:szCs w:val="16"/>
          <w:lang w:eastAsia="ko-KR"/>
        </w:rPr>
        <w:t>IT</w:t>
      </w:r>
      <w:r>
        <w:rPr>
          <w:rFonts w:ascii="Verdana" w:hAnsi="Verdana" w:cs="Verdana"/>
          <w:sz w:val="16"/>
          <w:szCs w:val="16"/>
          <w:lang w:eastAsia="ko-KR"/>
        </w:rPr>
        <w:t>, analogicznie do prognozy dochodów z PIT, została przygotowana w warunkach gruntownej zmiany zasad ustalania dochodów, w tym związanej z nowelizacją</w:t>
      </w:r>
      <w:r w:rsidRPr="005B7485">
        <w:rPr>
          <w:rFonts w:ascii="Verdana" w:hAnsi="Verdana" w:cs="Verdana"/>
          <w:sz w:val="16"/>
          <w:szCs w:val="16"/>
          <w:lang w:eastAsia="ko-KR"/>
        </w:rPr>
        <w:t xml:space="preserve"> z dnia 14 października 2021 r.</w:t>
      </w:r>
      <w:r>
        <w:rPr>
          <w:rFonts w:ascii="Verdana" w:hAnsi="Verdana" w:cs="Verdana"/>
          <w:sz w:val="16"/>
          <w:szCs w:val="16"/>
          <w:lang w:eastAsia="ko-KR"/>
        </w:rPr>
        <w:t xml:space="preserve"> </w:t>
      </w:r>
      <w:r w:rsidRPr="005B7485">
        <w:rPr>
          <w:rFonts w:ascii="Verdana" w:hAnsi="Verdana" w:cs="Verdana"/>
          <w:sz w:val="16"/>
          <w:szCs w:val="16"/>
          <w:lang w:eastAsia="ko-KR"/>
        </w:rPr>
        <w:t>ustawy o dochodach jednostek samorządu terytorialnego</w:t>
      </w:r>
      <w:r>
        <w:rPr>
          <w:rFonts w:ascii="Verdana" w:hAnsi="Verdana" w:cs="Verdana"/>
          <w:sz w:val="16"/>
          <w:szCs w:val="16"/>
          <w:lang w:eastAsia="ko-KR"/>
        </w:rPr>
        <w:t>.</w:t>
      </w:r>
    </w:p>
    <w:p w:rsidR="008A572A" w:rsidRPr="0064397A" w:rsidRDefault="008A572A" w:rsidP="008A572A">
      <w:pPr>
        <w:spacing w:before="60" w:after="60"/>
        <w:jc w:val="both"/>
        <w:rPr>
          <w:rFonts w:ascii="Verdana" w:hAnsi="Verdana" w:cs="Verdana"/>
          <w:sz w:val="16"/>
          <w:szCs w:val="16"/>
          <w:lang w:eastAsia="ko-KR"/>
        </w:rPr>
      </w:pPr>
      <w:r>
        <w:rPr>
          <w:rFonts w:ascii="Verdana" w:hAnsi="Verdana" w:cs="Verdana"/>
          <w:sz w:val="16"/>
          <w:szCs w:val="16"/>
          <w:lang w:eastAsia="ko-KR"/>
        </w:rPr>
        <w:t>Zgodnie z wspomnianą nowelizacją począwszy od roku budżetowego 2022 r. ustalanie prognozy dochodów z CIT Miasta na rok budżetowy leży w kompetencjach Ministra Finansów. Ustalona przez MF roczna kwota dochodów będzie przekazywana do budżetu miasta w roku budżetowym w równych 12 miesięcznych ratach.</w:t>
      </w:r>
    </w:p>
    <w:p w:rsidR="008A572A" w:rsidRDefault="008A572A" w:rsidP="008A572A">
      <w:pPr>
        <w:spacing w:before="60" w:after="60"/>
        <w:jc w:val="both"/>
        <w:rPr>
          <w:rFonts w:ascii="Verdana" w:hAnsi="Verdana"/>
          <w:sz w:val="16"/>
          <w:szCs w:val="16"/>
        </w:rPr>
      </w:pPr>
      <w:r w:rsidRPr="000A6485">
        <w:rPr>
          <w:rFonts w:ascii="Verdana" w:hAnsi="Verdana"/>
          <w:sz w:val="16"/>
          <w:szCs w:val="16"/>
        </w:rPr>
        <w:lastRenderedPageBreak/>
        <w:t xml:space="preserve">Dochody z CIT są drugim obok wpływów z PIT źródłem dochodów pochodzących z udziałów w podatkach stanowiących dochód budżetu państwa. W wyniku pogorszenia się koniunktury gospodarczej nastąpił znaczący spadek wpływów z CIT z poziomu </w:t>
      </w:r>
      <w:r w:rsidRPr="000A6485">
        <w:rPr>
          <w:rFonts w:ascii="Verdana" w:hAnsi="Verdana"/>
          <w:b/>
          <w:sz w:val="16"/>
          <w:szCs w:val="16"/>
        </w:rPr>
        <w:t>811 mln zł</w:t>
      </w:r>
      <w:r w:rsidRPr="000A6485">
        <w:rPr>
          <w:rFonts w:ascii="Verdana" w:hAnsi="Verdana"/>
          <w:sz w:val="16"/>
          <w:szCs w:val="16"/>
        </w:rPr>
        <w:t xml:space="preserve"> w 2008 r. do </w:t>
      </w:r>
      <w:r w:rsidRPr="000A6485">
        <w:rPr>
          <w:rFonts w:ascii="Verdana" w:hAnsi="Verdana"/>
          <w:b/>
          <w:sz w:val="16"/>
          <w:szCs w:val="16"/>
        </w:rPr>
        <w:t>535 mln zł</w:t>
      </w:r>
      <w:r w:rsidRPr="000A6485">
        <w:rPr>
          <w:rFonts w:ascii="Verdana" w:hAnsi="Verdana"/>
          <w:sz w:val="16"/>
          <w:szCs w:val="16"/>
        </w:rPr>
        <w:t xml:space="preserve"> w 2010 r. Po odnotowaniu wzrostu </w:t>
      </w:r>
      <w:r w:rsidRPr="000A6485">
        <w:rPr>
          <w:rFonts w:ascii="Verdana" w:hAnsi="Verdana"/>
          <w:sz w:val="16"/>
          <w:szCs w:val="16"/>
        </w:rPr>
        <w:br/>
        <w:t>w 2011 r. (</w:t>
      </w:r>
      <w:r w:rsidRPr="000A6485">
        <w:rPr>
          <w:rFonts w:ascii="Verdana" w:hAnsi="Verdana"/>
          <w:b/>
          <w:sz w:val="16"/>
          <w:szCs w:val="16"/>
        </w:rPr>
        <w:t>585 mln zł</w:t>
      </w:r>
      <w:r w:rsidRPr="000A6485">
        <w:rPr>
          <w:rFonts w:ascii="Verdana" w:hAnsi="Verdana"/>
          <w:sz w:val="16"/>
          <w:szCs w:val="16"/>
        </w:rPr>
        <w:t xml:space="preserve">) w następnych trzech latach, tj. 2012-2014, obserwowano spadek wpływów </w:t>
      </w:r>
      <w:r w:rsidRPr="000A6485">
        <w:rPr>
          <w:rFonts w:ascii="Verdana" w:hAnsi="Verdana"/>
          <w:sz w:val="16"/>
          <w:szCs w:val="16"/>
        </w:rPr>
        <w:br/>
        <w:t xml:space="preserve">(do poziomu odpowiednio </w:t>
      </w:r>
      <w:r w:rsidRPr="000A6485">
        <w:rPr>
          <w:rFonts w:ascii="Verdana" w:hAnsi="Verdana"/>
          <w:b/>
          <w:sz w:val="16"/>
          <w:szCs w:val="16"/>
        </w:rPr>
        <w:t>537</w:t>
      </w:r>
      <w:r w:rsidRPr="000A6485">
        <w:rPr>
          <w:rFonts w:ascii="Verdana" w:hAnsi="Verdana"/>
          <w:sz w:val="16"/>
          <w:szCs w:val="16"/>
        </w:rPr>
        <w:t xml:space="preserve">, </w:t>
      </w:r>
      <w:r w:rsidRPr="000A6485">
        <w:rPr>
          <w:rFonts w:ascii="Verdana" w:hAnsi="Verdana"/>
          <w:b/>
          <w:sz w:val="16"/>
          <w:szCs w:val="16"/>
        </w:rPr>
        <w:t>468</w:t>
      </w:r>
      <w:r w:rsidRPr="000A6485">
        <w:rPr>
          <w:rFonts w:ascii="Verdana" w:hAnsi="Verdana"/>
          <w:sz w:val="16"/>
          <w:szCs w:val="16"/>
        </w:rPr>
        <w:t xml:space="preserve"> i </w:t>
      </w:r>
      <w:r w:rsidRPr="000A6485">
        <w:rPr>
          <w:rFonts w:ascii="Verdana" w:hAnsi="Verdana"/>
          <w:b/>
          <w:sz w:val="16"/>
          <w:szCs w:val="16"/>
        </w:rPr>
        <w:t>524 mln zł</w:t>
      </w:r>
      <w:r w:rsidRPr="000A6485">
        <w:rPr>
          <w:rFonts w:ascii="Verdana" w:hAnsi="Verdana"/>
          <w:sz w:val="16"/>
          <w:szCs w:val="16"/>
        </w:rPr>
        <w:t>). Wzrost dochodów w latach 2015-20</w:t>
      </w:r>
      <w:r>
        <w:rPr>
          <w:rFonts w:ascii="Verdana" w:hAnsi="Verdana"/>
          <w:sz w:val="16"/>
          <w:szCs w:val="16"/>
        </w:rPr>
        <w:t>22</w:t>
      </w:r>
      <w:r w:rsidRPr="000A6485">
        <w:rPr>
          <w:rFonts w:ascii="Verdana" w:hAnsi="Verdana"/>
          <w:sz w:val="16"/>
          <w:szCs w:val="16"/>
        </w:rPr>
        <w:t xml:space="preserve"> do poziomu </w:t>
      </w:r>
      <w:r>
        <w:rPr>
          <w:rFonts w:ascii="Verdana" w:hAnsi="Verdana"/>
          <w:b/>
          <w:sz w:val="16"/>
          <w:szCs w:val="16"/>
        </w:rPr>
        <w:t>1,365 mld zł</w:t>
      </w:r>
      <w:r w:rsidRPr="000A6485">
        <w:rPr>
          <w:rFonts w:ascii="Verdana" w:hAnsi="Verdana"/>
          <w:b/>
          <w:sz w:val="16"/>
          <w:szCs w:val="16"/>
        </w:rPr>
        <w:t xml:space="preserve"> </w:t>
      </w:r>
      <w:r w:rsidRPr="000A6485">
        <w:rPr>
          <w:rFonts w:ascii="Verdana" w:hAnsi="Verdana"/>
          <w:sz w:val="16"/>
          <w:szCs w:val="16"/>
        </w:rPr>
        <w:t xml:space="preserve">oznaczał powrót na ścieżkę </w:t>
      </w:r>
      <w:r>
        <w:rPr>
          <w:rFonts w:ascii="Verdana" w:hAnsi="Verdana"/>
          <w:sz w:val="16"/>
          <w:szCs w:val="16"/>
        </w:rPr>
        <w:t xml:space="preserve">znaczących </w:t>
      </w:r>
      <w:r w:rsidRPr="000A6485">
        <w:rPr>
          <w:rFonts w:ascii="Verdana" w:hAnsi="Verdana"/>
          <w:sz w:val="16"/>
          <w:szCs w:val="16"/>
        </w:rPr>
        <w:t>wzrost</w:t>
      </w:r>
      <w:r>
        <w:rPr>
          <w:rFonts w:ascii="Verdana" w:hAnsi="Verdana"/>
          <w:sz w:val="16"/>
          <w:szCs w:val="16"/>
        </w:rPr>
        <w:t>ów</w:t>
      </w:r>
      <w:r w:rsidRPr="000A6485">
        <w:rPr>
          <w:rFonts w:ascii="Verdana" w:hAnsi="Verdana"/>
          <w:sz w:val="16"/>
          <w:szCs w:val="16"/>
        </w:rPr>
        <w:t xml:space="preserve"> dochodów z tego tytułu. </w:t>
      </w:r>
    </w:p>
    <w:p w:rsidR="008A572A" w:rsidRPr="000A6485" w:rsidRDefault="008A572A" w:rsidP="008A572A">
      <w:pPr>
        <w:spacing w:before="60" w:after="60"/>
        <w:jc w:val="both"/>
        <w:rPr>
          <w:rFonts w:ascii="Verdana" w:hAnsi="Verdana"/>
          <w:sz w:val="16"/>
          <w:szCs w:val="16"/>
        </w:rPr>
      </w:pPr>
      <w:r>
        <w:rPr>
          <w:rFonts w:ascii="Verdana" w:hAnsi="Verdana"/>
          <w:sz w:val="16"/>
          <w:szCs w:val="16"/>
        </w:rPr>
        <w:t xml:space="preserve">Ministerstwo Finansów prognozuje, </w:t>
      </w:r>
      <w:r w:rsidRPr="000A6485">
        <w:rPr>
          <w:rFonts w:ascii="Verdana" w:hAnsi="Verdana"/>
          <w:sz w:val="16"/>
          <w:szCs w:val="16"/>
        </w:rPr>
        <w:t>że w 202</w:t>
      </w:r>
      <w:r>
        <w:rPr>
          <w:rFonts w:ascii="Verdana" w:hAnsi="Verdana"/>
          <w:sz w:val="16"/>
          <w:szCs w:val="16"/>
        </w:rPr>
        <w:t>3</w:t>
      </w:r>
      <w:r w:rsidRPr="000A6485">
        <w:rPr>
          <w:rFonts w:ascii="Verdana" w:hAnsi="Verdana"/>
          <w:sz w:val="16"/>
          <w:szCs w:val="16"/>
        </w:rPr>
        <w:t xml:space="preserve"> r. dochody z CIT</w:t>
      </w:r>
      <w:r>
        <w:rPr>
          <w:rFonts w:ascii="Verdana" w:hAnsi="Verdana"/>
          <w:sz w:val="16"/>
          <w:szCs w:val="16"/>
        </w:rPr>
        <w:t xml:space="preserve"> odnotują kolejny silny wzrost i wyniosą</w:t>
      </w:r>
      <w:r w:rsidRPr="000A6485">
        <w:rPr>
          <w:rFonts w:ascii="Verdana" w:hAnsi="Verdana"/>
          <w:sz w:val="16"/>
          <w:szCs w:val="16"/>
        </w:rPr>
        <w:t xml:space="preserve"> </w:t>
      </w:r>
      <w:r>
        <w:rPr>
          <w:rFonts w:ascii="Verdana" w:hAnsi="Verdana"/>
          <w:sz w:val="16"/>
          <w:szCs w:val="16"/>
        </w:rPr>
        <w:br/>
      </w:r>
      <w:r>
        <w:rPr>
          <w:rFonts w:ascii="Verdana" w:hAnsi="Verdana"/>
          <w:b/>
          <w:sz w:val="16"/>
          <w:szCs w:val="16"/>
        </w:rPr>
        <w:t>1,918 mld</w:t>
      </w:r>
      <w:r w:rsidRPr="000A6485">
        <w:rPr>
          <w:rFonts w:ascii="Verdana" w:hAnsi="Verdana"/>
          <w:b/>
          <w:sz w:val="16"/>
          <w:szCs w:val="16"/>
        </w:rPr>
        <w:t xml:space="preserve"> zł</w:t>
      </w:r>
      <w:r w:rsidRPr="000A6485">
        <w:rPr>
          <w:rFonts w:ascii="Verdana" w:hAnsi="Verdana"/>
          <w:sz w:val="16"/>
          <w:szCs w:val="16"/>
        </w:rPr>
        <w:t>.</w:t>
      </w:r>
    </w:p>
    <w:p w:rsidR="008A572A" w:rsidRDefault="008A572A" w:rsidP="008A572A">
      <w:pPr>
        <w:spacing w:before="60" w:after="60"/>
        <w:jc w:val="both"/>
        <w:rPr>
          <w:rFonts w:ascii="Verdana" w:hAnsi="Verdana" w:cs="Verdana"/>
          <w:sz w:val="16"/>
          <w:szCs w:val="16"/>
          <w:lang w:eastAsia="ko-KR"/>
        </w:rPr>
      </w:pPr>
      <w:r>
        <w:rPr>
          <w:rFonts w:ascii="Verdana" w:hAnsi="Verdana" w:cs="Verdana"/>
          <w:sz w:val="16"/>
          <w:szCs w:val="16"/>
          <w:lang w:eastAsia="ko-KR"/>
        </w:rPr>
        <w:t>Prognozę dochodów z CIT Miasta na kolejne lata, w perspektywie określonej w WPF sporządzają samodzielnie JST.</w:t>
      </w:r>
    </w:p>
    <w:p w:rsidR="008A572A" w:rsidRPr="000A6485" w:rsidRDefault="008A572A" w:rsidP="008A572A">
      <w:pPr>
        <w:spacing w:before="60" w:after="60"/>
        <w:jc w:val="both"/>
        <w:rPr>
          <w:rFonts w:ascii="Verdana" w:hAnsi="Verdana"/>
          <w:sz w:val="16"/>
          <w:szCs w:val="16"/>
        </w:rPr>
      </w:pPr>
      <w:r w:rsidRPr="000A6485">
        <w:rPr>
          <w:rFonts w:ascii="Verdana" w:hAnsi="Verdana"/>
          <w:sz w:val="16"/>
          <w:szCs w:val="16"/>
        </w:rPr>
        <w:t>W metodologii prognozowania dochodów Warszawy z podatku dochodowego od osób prawnych wyróżnia się dwa czynniki oddziaływujące na wysokość uzyskiwanych środków:</w:t>
      </w:r>
    </w:p>
    <w:p w:rsidR="008A572A" w:rsidRPr="000A6485" w:rsidRDefault="008A572A" w:rsidP="008A572A">
      <w:pPr>
        <w:numPr>
          <w:ilvl w:val="0"/>
          <w:numId w:val="8"/>
        </w:numPr>
        <w:tabs>
          <w:tab w:val="clear" w:pos="1080"/>
          <w:tab w:val="num" w:pos="360"/>
        </w:tabs>
        <w:spacing w:before="60" w:after="60"/>
        <w:ind w:left="360" w:hanging="180"/>
        <w:jc w:val="both"/>
        <w:rPr>
          <w:rFonts w:ascii="Verdana" w:hAnsi="Verdana"/>
          <w:sz w:val="16"/>
          <w:szCs w:val="16"/>
        </w:rPr>
      </w:pPr>
      <w:r w:rsidRPr="000A6485">
        <w:rPr>
          <w:rFonts w:ascii="Verdana" w:hAnsi="Verdana"/>
          <w:sz w:val="16"/>
          <w:szCs w:val="16"/>
        </w:rPr>
        <w:t>wpływy z CIT do budżetu państwa,</w:t>
      </w:r>
    </w:p>
    <w:p w:rsidR="008A572A" w:rsidRDefault="008A572A" w:rsidP="008A572A">
      <w:pPr>
        <w:numPr>
          <w:ilvl w:val="0"/>
          <w:numId w:val="8"/>
        </w:numPr>
        <w:tabs>
          <w:tab w:val="clear" w:pos="1080"/>
          <w:tab w:val="num" w:pos="360"/>
        </w:tabs>
        <w:spacing w:before="60" w:after="60"/>
        <w:ind w:left="360" w:hanging="180"/>
        <w:jc w:val="both"/>
        <w:rPr>
          <w:rFonts w:ascii="Verdana" w:hAnsi="Verdana"/>
          <w:sz w:val="16"/>
          <w:szCs w:val="16"/>
        </w:rPr>
      </w:pPr>
      <w:r w:rsidRPr="000A6485">
        <w:rPr>
          <w:rFonts w:ascii="Verdana" w:hAnsi="Verdana"/>
          <w:sz w:val="16"/>
          <w:szCs w:val="16"/>
        </w:rPr>
        <w:t>udział m.st. Warszawy we wpływach z CIT do budżetu państwa.</w:t>
      </w:r>
    </w:p>
    <w:p w:rsidR="008A572A" w:rsidRPr="00A4416D" w:rsidRDefault="008A572A" w:rsidP="008A572A">
      <w:pPr>
        <w:spacing w:before="60" w:after="60"/>
        <w:jc w:val="both"/>
        <w:rPr>
          <w:rFonts w:ascii="Verdana" w:hAnsi="Verdana" w:cs="Verdana"/>
          <w:sz w:val="16"/>
          <w:szCs w:val="16"/>
        </w:rPr>
      </w:pPr>
      <w:r w:rsidRPr="00A4416D">
        <w:rPr>
          <w:rFonts w:ascii="Verdana" w:hAnsi="Verdana" w:cs="Verdana"/>
          <w:sz w:val="16"/>
          <w:szCs w:val="16"/>
        </w:rPr>
        <w:t xml:space="preserve">Wysokość udziału we wpływach z CIT jest stała i wynosi w części gminnej – </w:t>
      </w:r>
      <w:r w:rsidRPr="00A4416D">
        <w:rPr>
          <w:rFonts w:ascii="Verdana" w:hAnsi="Verdana" w:cs="Verdana"/>
          <w:b/>
          <w:sz w:val="16"/>
          <w:szCs w:val="16"/>
        </w:rPr>
        <w:t>6,71%,</w:t>
      </w:r>
      <w:r w:rsidRPr="00A4416D">
        <w:rPr>
          <w:rFonts w:ascii="Verdana" w:hAnsi="Verdana" w:cs="Verdana"/>
          <w:sz w:val="16"/>
          <w:szCs w:val="16"/>
        </w:rPr>
        <w:t xml:space="preserve"> a w części powiatowej </w:t>
      </w:r>
      <w:r w:rsidRPr="00A4416D">
        <w:rPr>
          <w:rFonts w:ascii="Verdana" w:hAnsi="Verdana" w:cs="Verdana"/>
          <w:sz w:val="16"/>
          <w:szCs w:val="16"/>
        </w:rPr>
        <w:br/>
        <w:t xml:space="preserve">– </w:t>
      </w:r>
      <w:r w:rsidRPr="00A4416D">
        <w:rPr>
          <w:rFonts w:ascii="Verdana" w:hAnsi="Verdana" w:cs="Verdana"/>
          <w:b/>
          <w:sz w:val="16"/>
          <w:szCs w:val="16"/>
        </w:rPr>
        <w:t>1,40%</w:t>
      </w:r>
      <w:r w:rsidRPr="00A4416D">
        <w:rPr>
          <w:rFonts w:ascii="Verdana" w:hAnsi="Verdana" w:cs="Verdana"/>
          <w:sz w:val="16"/>
          <w:szCs w:val="16"/>
        </w:rPr>
        <w:t xml:space="preserve">, tj. łącznie udział dla m.st. Warszawy </w:t>
      </w:r>
      <w:r>
        <w:rPr>
          <w:rFonts w:ascii="Verdana" w:hAnsi="Verdana" w:cs="Verdana"/>
          <w:sz w:val="16"/>
          <w:szCs w:val="16"/>
        </w:rPr>
        <w:t xml:space="preserve">jako miasta na prawach powiatu </w:t>
      </w:r>
      <w:r w:rsidRPr="00A4416D">
        <w:rPr>
          <w:rFonts w:ascii="Verdana" w:hAnsi="Verdana" w:cs="Verdana"/>
          <w:sz w:val="16"/>
          <w:szCs w:val="16"/>
        </w:rPr>
        <w:t xml:space="preserve">wynosi </w:t>
      </w:r>
      <w:r w:rsidRPr="00A4416D">
        <w:rPr>
          <w:rFonts w:ascii="Verdana" w:hAnsi="Verdana" w:cs="Verdana"/>
          <w:b/>
          <w:sz w:val="16"/>
          <w:szCs w:val="16"/>
        </w:rPr>
        <w:t>8,11%.</w:t>
      </w:r>
    </w:p>
    <w:p w:rsidR="008A572A" w:rsidRPr="00A4416D" w:rsidRDefault="008A572A" w:rsidP="008A572A">
      <w:pPr>
        <w:spacing w:before="60" w:after="60"/>
        <w:jc w:val="both"/>
        <w:rPr>
          <w:rFonts w:ascii="Verdana" w:hAnsi="Verdana"/>
          <w:sz w:val="16"/>
          <w:szCs w:val="16"/>
        </w:rPr>
      </w:pPr>
      <w:r>
        <w:rPr>
          <w:rFonts w:ascii="Verdana" w:hAnsi="Verdana" w:cs="Verdana"/>
          <w:sz w:val="16"/>
          <w:szCs w:val="16"/>
        </w:rPr>
        <w:t>Indywidualny u</w:t>
      </w:r>
      <w:r w:rsidRPr="00A4416D">
        <w:rPr>
          <w:rFonts w:ascii="Verdana" w:hAnsi="Verdana" w:cs="Verdana"/>
          <w:sz w:val="16"/>
          <w:szCs w:val="16"/>
        </w:rPr>
        <w:t>dział</w:t>
      </w:r>
      <w:r>
        <w:rPr>
          <w:rFonts w:ascii="Verdana" w:hAnsi="Verdana" w:cs="Verdana"/>
          <w:sz w:val="16"/>
          <w:szCs w:val="16"/>
        </w:rPr>
        <w:t xml:space="preserve"> m.st. Warszawy wynoszący </w:t>
      </w:r>
      <w:r>
        <w:rPr>
          <w:rFonts w:ascii="Verdana" w:hAnsi="Verdana" w:cs="Verdana"/>
          <w:b/>
          <w:sz w:val="16"/>
          <w:szCs w:val="16"/>
        </w:rPr>
        <w:t>24,79</w:t>
      </w:r>
      <w:r w:rsidRPr="00A4416D">
        <w:rPr>
          <w:rFonts w:ascii="Verdana" w:hAnsi="Verdana" w:cs="Verdana"/>
          <w:b/>
          <w:sz w:val="16"/>
          <w:szCs w:val="16"/>
        </w:rPr>
        <w:t>%</w:t>
      </w:r>
      <w:r>
        <w:rPr>
          <w:rFonts w:ascii="Verdana" w:hAnsi="Verdana" w:cs="Verdana"/>
          <w:sz w:val="16"/>
          <w:szCs w:val="16"/>
        </w:rPr>
        <w:t xml:space="preserve"> </w:t>
      </w:r>
      <w:r w:rsidRPr="00A4416D">
        <w:rPr>
          <w:rFonts w:ascii="Verdana" w:hAnsi="Verdana" w:cs="Verdana"/>
          <w:sz w:val="16"/>
          <w:szCs w:val="16"/>
        </w:rPr>
        <w:t>został wyliczony</w:t>
      </w:r>
      <w:r>
        <w:rPr>
          <w:rFonts w:ascii="Verdana" w:hAnsi="Verdana" w:cs="Verdana"/>
          <w:sz w:val="16"/>
          <w:szCs w:val="16"/>
        </w:rPr>
        <w:t xml:space="preserve"> przez Ministra Finansów</w:t>
      </w:r>
      <w:r w:rsidRPr="00A4416D">
        <w:rPr>
          <w:rFonts w:ascii="Verdana" w:hAnsi="Verdana" w:cs="Verdana"/>
          <w:sz w:val="16"/>
          <w:szCs w:val="16"/>
        </w:rPr>
        <w:t xml:space="preserve"> wg nowych zasad zgodnie z nowelizacją</w:t>
      </w:r>
      <w:r>
        <w:rPr>
          <w:rFonts w:ascii="Verdana" w:hAnsi="Verdana" w:cs="Verdana"/>
          <w:sz w:val="16"/>
          <w:szCs w:val="16"/>
        </w:rPr>
        <w:t xml:space="preserve"> z dnia 14 </w:t>
      </w:r>
      <w:r w:rsidRPr="00A4416D">
        <w:rPr>
          <w:rFonts w:ascii="Verdana" w:hAnsi="Verdana" w:cs="Verdana"/>
          <w:sz w:val="16"/>
          <w:szCs w:val="16"/>
        </w:rPr>
        <w:t>października 2021 r. ustawy o dochodach jednostek samorządu terytorialnego, zwanej ustawą o wsparciu jednostek samorządu terytorialnego w związku z Programem Polski Ład. Udział na 202</w:t>
      </w:r>
      <w:r>
        <w:rPr>
          <w:rFonts w:ascii="Verdana" w:hAnsi="Verdana" w:cs="Verdana"/>
          <w:sz w:val="16"/>
          <w:szCs w:val="16"/>
        </w:rPr>
        <w:t>3</w:t>
      </w:r>
      <w:r w:rsidRPr="00A4416D">
        <w:rPr>
          <w:rFonts w:ascii="Verdana" w:hAnsi="Verdana" w:cs="Verdana"/>
          <w:sz w:val="16"/>
          <w:szCs w:val="16"/>
        </w:rPr>
        <w:t xml:space="preserve"> r. został ustalony jako średnia ważona arytmetyczna z 3 lat obliczeniowych obejmujących: rok 202</w:t>
      </w:r>
      <w:r>
        <w:rPr>
          <w:rFonts w:ascii="Verdana" w:hAnsi="Verdana" w:cs="Verdana"/>
          <w:sz w:val="16"/>
          <w:szCs w:val="16"/>
        </w:rPr>
        <w:t>1</w:t>
      </w:r>
      <w:r w:rsidRPr="00A4416D">
        <w:rPr>
          <w:rFonts w:ascii="Verdana" w:hAnsi="Verdana" w:cs="Verdana"/>
          <w:sz w:val="16"/>
          <w:szCs w:val="16"/>
        </w:rPr>
        <w:t>, rok 20</w:t>
      </w:r>
      <w:r>
        <w:rPr>
          <w:rFonts w:ascii="Verdana" w:hAnsi="Verdana" w:cs="Verdana"/>
          <w:sz w:val="16"/>
          <w:szCs w:val="16"/>
        </w:rPr>
        <w:t>20</w:t>
      </w:r>
      <w:r w:rsidRPr="00A4416D">
        <w:rPr>
          <w:rFonts w:ascii="Verdana" w:hAnsi="Verdana" w:cs="Verdana"/>
          <w:sz w:val="16"/>
          <w:szCs w:val="16"/>
        </w:rPr>
        <w:t xml:space="preserve"> i rok 201</w:t>
      </w:r>
      <w:r>
        <w:rPr>
          <w:rFonts w:ascii="Verdana" w:hAnsi="Verdana" w:cs="Verdana"/>
          <w:sz w:val="16"/>
          <w:szCs w:val="16"/>
        </w:rPr>
        <w:t>9</w:t>
      </w:r>
      <w:r w:rsidRPr="00A4416D">
        <w:rPr>
          <w:rFonts w:ascii="Verdana" w:hAnsi="Verdana" w:cs="Verdana"/>
          <w:sz w:val="16"/>
          <w:szCs w:val="16"/>
        </w:rPr>
        <w:t>, odpowiednio z wagami 0,5, 0,33 i 0,17.</w:t>
      </w:r>
    </w:p>
    <w:p w:rsidR="008A572A" w:rsidRPr="00A4416D" w:rsidRDefault="008A572A" w:rsidP="008A572A">
      <w:pPr>
        <w:spacing w:before="60" w:after="60"/>
        <w:jc w:val="both"/>
        <w:rPr>
          <w:rFonts w:ascii="Verdana" w:hAnsi="Verdana"/>
          <w:sz w:val="18"/>
          <w:szCs w:val="18"/>
        </w:rPr>
      </w:pPr>
      <w:r>
        <w:rPr>
          <w:rFonts w:ascii="Verdana" w:hAnsi="Verdana"/>
          <w:sz w:val="16"/>
          <w:szCs w:val="16"/>
        </w:rPr>
        <w:t>W prognozie sporządzonej na kolejne lata w</w:t>
      </w:r>
      <w:r w:rsidRPr="00A4416D">
        <w:rPr>
          <w:rFonts w:ascii="Verdana" w:hAnsi="Verdana"/>
          <w:sz w:val="16"/>
          <w:szCs w:val="16"/>
        </w:rPr>
        <w:t xml:space="preserve">skaźniki partycypacji sektora samorządowego i </w:t>
      </w:r>
      <w:r>
        <w:rPr>
          <w:rFonts w:ascii="Verdana" w:hAnsi="Verdana"/>
          <w:sz w:val="16"/>
          <w:szCs w:val="16"/>
        </w:rPr>
        <w:t>m.st. Warszawy w dochodach z C</w:t>
      </w:r>
      <w:r w:rsidRPr="00A4416D">
        <w:rPr>
          <w:rFonts w:ascii="Verdana" w:hAnsi="Verdana"/>
          <w:sz w:val="16"/>
          <w:szCs w:val="16"/>
        </w:rPr>
        <w:t>IT zostały przyjęte na poziomie oszacowanym przez Ministerstwo Finansów dla 202</w:t>
      </w:r>
      <w:r>
        <w:rPr>
          <w:rFonts w:ascii="Verdana" w:hAnsi="Verdana"/>
          <w:sz w:val="16"/>
          <w:szCs w:val="16"/>
        </w:rPr>
        <w:t>3</w:t>
      </w:r>
      <w:r w:rsidRPr="00A4416D">
        <w:rPr>
          <w:rFonts w:ascii="Verdana" w:hAnsi="Verdana"/>
          <w:sz w:val="16"/>
          <w:szCs w:val="16"/>
        </w:rPr>
        <w:t xml:space="preserve"> r.</w:t>
      </w:r>
      <w:r w:rsidRPr="00A4416D">
        <w:rPr>
          <w:rFonts w:ascii="Verdana" w:hAnsi="Verdana"/>
          <w:sz w:val="18"/>
          <w:szCs w:val="18"/>
        </w:rPr>
        <w:t xml:space="preserve"> </w:t>
      </w:r>
    </w:p>
    <w:p w:rsidR="008A572A" w:rsidRDefault="008A572A" w:rsidP="008A572A">
      <w:pPr>
        <w:spacing w:before="60" w:after="60"/>
        <w:jc w:val="both"/>
        <w:rPr>
          <w:rFonts w:ascii="Verdana" w:hAnsi="Verdana" w:cs="Verdana"/>
          <w:sz w:val="16"/>
          <w:szCs w:val="16"/>
        </w:rPr>
      </w:pPr>
      <w:r w:rsidRPr="00433BE0">
        <w:rPr>
          <w:rFonts w:ascii="Verdana" w:hAnsi="Verdana" w:cs="Verdana"/>
          <w:sz w:val="16"/>
          <w:szCs w:val="16"/>
        </w:rPr>
        <w:t>Zakładane przez Ministerstwo Finansów utrzymanie dynamiki realnego wzrostu gospodarczego w najbliższych latach z lekką tendencją spadkową powinno przełożyć się na utrzymanie w latach następnych wpływów na stałym poziomie z 202</w:t>
      </w:r>
      <w:r>
        <w:rPr>
          <w:rFonts w:ascii="Verdana" w:hAnsi="Verdana" w:cs="Verdana"/>
          <w:sz w:val="16"/>
          <w:szCs w:val="16"/>
        </w:rPr>
        <w:t>3</w:t>
      </w:r>
      <w:r w:rsidRPr="00433BE0">
        <w:rPr>
          <w:rFonts w:ascii="Verdana" w:hAnsi="Verdana" w:cs="Verdana"/>
          <w:sz w:val="16"/>
          <w:szCs w:val="16"/>
        </w:rPr>
        <w:t xml:space="preserve"> r.</w:t>
      </w:r>
    </w:p>
    <w:p w:rsidR="008A572A" w:rsidRDefault="008A572A" w:rsidP="008A572A">
      <w:pPr>
        <w:spacing w:before="60" w:after="60"/>
        <w:jc w:val="both"/>
        <w:rPr>
          <w:rFonts w:ascii="Verdana" w:hAnsi="Verdana" w:cs="Arial"/>
          <w:sz w:val="16"/>
          <w:szCs w:val="16"/>
        </w:rPr>
      </w:pPr>
      <w:r>
        <w:rPr>
          <w:rFonts w:ascii="Verdana" w:hAnsi="Verdana" w:cs="Verdana"/>
          <w:sz w:val="16"/>
          <w:szCs w:val="16"/>
        </w:rPr>
        <w:t>Nowelizacja</w:t>
      </w:r>
      <w:r w:rsidRPr="009232EB">
        <w:rPr>
          <w:rFonts w:ascii="Verdana" w:hAnsi="Verdana" w:cs="Verdana"/>
          <w:sz w:val="16"/>
          <w:szCs w:val="16"/>
        </w:rPr>
        <w:t xml:space="preserve"> z 14 października 2021 r. ustawy o dochodach jednostek samorządu terytorialnego, zwanej ustawą o wsparciu jednostek samor</w:t>
      </w:r>
      <w:r>
        <w:rPr>
          <w:rFonts w:ascii="Verdana" w:hAnsi="Verdana" w:cs="Verdana"/>
          <w:sz w:val="16"/>
          <w:szCs w:val="16"/>
        </w:rPr>
        <w:t>ządu terytorialnego w związku z </w:t>
      </w:r>
      <w:r w:rsidRPr="009232EB">
        <w:rPr>
          <w:rFonts w:ascii="Verdana" w:hAnsi="Verdana" w:cs="Verdana"/>
          <w:sz w:val="16"/>
          <w:szCs w:val="16"/>
        </w:rPr>
        <w:t>Programem Polski Ład</w:t>
      </w:r>
      <w:r>
        <w:rPr>
          <w:rFonts w:ascii="Verdana" w:hAnsi="Verdana" w:cs="Verdana"/>
          <w:sz w:val="16"/>
          <w:szCs w:val="16"/>
        </w:rPr>
        <w:t xml:space="preserve">, w przypadku gdyby, </w:t>
      </w:r>
      <w:r w:rsidRPr="00A14FD5">
        <w:rPr>
          <w:rFonts w:ascii="Verdana" w:hAnsi="Verdana" w:cs="Verdana"/>
          <w:sz w:val="16"/>
          <w:szCs w:val="16"/>
        </w:rPr>
        <w:t xml:space="preserve">wykonana ogólna kwota wpływów z </w:t>
      </w:r>
      <w:r>
        <w:rPr>
          <w:rFonts w:ascii="Verdana" w:hAnsi="Verdana" w:cs="Verdana"/>
          <w:sz w:val="16"/>
          <w:szCs w:val="16"/>
        </w:rPr>
        <w:t>C</w:t>
      </w:r>
      <w:r w:rsidRPr="00A14FD5">
        <w:rPr>
          <w:rFonts w:ascii="Verdana" w:hAnsi="Verdana" w:cs="Verdana"/>
          <w:sz w:val="16"/>
          <w:szCs w:val="16"/>
        </w:rPr>
        <w:t xml:space="preserve">IT była inna od prognozowanej, </w:t>
      </w:r>
      <w:r>
        <w:rPr>
          <w:rFonts w:ascii="Verdana" w:hAnsi="Verdana" w:cs="Verdana"/>
          <w:sz w:val="16"/>
          <w:szCs w:val="16"/>
        </w:rPr>
        <w:t xml:space="preserve">przewiduje korektę prognozy dochodów </w:t>
      </w:r>
      <w:r w:rsidRPr="00A14FD5">
        <w:rPr>
          <w:rFonts w:ascii="Verdana" w:hAnsi="Verdana" w:cs="Verdana"/>
          <w:sz w:val="16"/>
          <w:szCs w:val="16"/>
        </w:rPr>
        <w:t>po dwóch latach od roku w którym różnica wystąpiła przez zwiększenie albo zmni</w:t>
      </w:r>
      <w:r>
        <w:rPr>
          <w:rFonts w:ascii="Verdana" w:hAnsi="Verdana" w:cs="Verdana"/>
          <w:sz w:val="16"/>
          <w:szCs w:val="16"/>
        </w:rPr>
        <w:t>ejszenie planowanych dochodów z </w:t>
      </w:r>
      <w:r w:rsidRPr="00A14FD5">
        <w:rPr>
          <w:rFonts w:ascii="Verdana" w:hAnsi="Verdana" w:cs="Verdana"/>
          <w:sz w:val="16"/>
          <w:szCs w:val="16"/>
        </w:rPr>
        <w:t>tego tytułu o równowartość różnicy między kwotą prognozowaną a wykonaną.</w:t>
      </w:r>
      <w:r>
        <w:rPr>
          <w:rFonts w:ascii="Verdana" w:hAnsi="Verdana" w:cs="Verdana"/>
          <w:sz w:val="16"/>
          <w:szCs w:val="16"/>
        </w:rPr>
        <w:t xml:space="preserve"> </w:t>
      </w:r>
      <w:r>
        <w:rPr>
          <w:rFonts w:ascii="Verdana" w:hAnsi="Verdana" w:cs="Arial"/>
          <w:sz w:val="16"/>
          <w:szCs w:val="16"/>
        </w:rPr>
        <w:t>Pierwszym rokiem, w którym przepisy te będą miały zastosowanie jest rok 2024.</w:t>
      </w:r>
    </w:p>
    <w:p w:rsidR="008A572A" w:rsidRPr="00BC3D02" w:rsidRDefault="008A572A" w:rsidP="008A572A">
      <w:pPr>
        <w:spacing w:before="60" w:after="60"/>
        <w:jc w:val="both"/>
        <w:rPr>
          <w:rFonts w:ascii="Verdana" w:hAnsi="Verdana" w:cs="Verdana"/>
          <w:sz w:val="16"/>
          <w:szCs w:val="16"/>
        </w:rPr>
      </w:pPr>
      <w:r w:rsidRPr="00BC3D02">
        <w:rPr>
          <w:rFonts w:ascii="Verdana" w:hAnsi="Verdana" w:cs="Verdana"/>
          <w:sz w:val="16"/>
          <w:szCs w:val="16"/>
        </w:rPr>
        <w:t>Biorąc pod uwagę prz</w:t>
      </w:r>
      <w:r>
        <w:rPr>
          <w:rFonts w:ascii="Verdana" w:hAnsi="Verdana" w:cs="Verdana"/>
          <w:sz w:val="16"/>
          <w:szCs w:val="16"/>
        </w:rPr>
        <w:t>ewidywane wykonanie dochodów z C</w:t>
      </w:r>
      <w:r w:rsidRPr="00BC3D02">
        <w:rPr>
          <w:rFonts w:ascii="Verdana" w:hAnsi="Verdana" w:cs="Verdana"/>
          <w:sz w:val="16"/>
          <w:szCs w:val="16"/>
        </w:rPr>
        <w:t>IT ujętych w projekcie budżetu państwa</w:t>
      </w:r>
      <w:r>
        <w:rPr>
          <w:rFonts w:ascii="Verdana" w:hAnsi="Verdana" w:cs="Verdana"/>
          <w:sz w:val="16"/>
          <w:szCs w:val="16"/>
        </w:rPr>
        <w:t xml:space="preserve"> na 2023 r.,</w:t>
      </w:r>
      <w:r w:rsidRPr="00BC3D02">
        <w:rPr>
          <w:rFonts w:ascii="Verdana" w:hAnsi="Verdana" w:cs="Verdana"/>
          <w:sz w:val="16"/>
          <w:szCs w:val="16"/>
        </w:rPr>
        <w:t xml:space="preserve"> </w:t>
      </w:r>
      <w:r>
        <w:rPr>
          <w:rFonts w:ascii="Verdana" w:hAnsi="Verdana" w:cs="Verdana"/>
          <w:sz w:val="16"/>
          <w:szCs w:val="16"/>
        </w:rPr>
        <w:t xml:space="preserve">w prognozie dochodów z CIT uwzględniono spodziewaną </w:t>
      </w:r>
      <w:r w:rsidRPr="00BC3D02">
        <w:rPr>
          <w:rFonts w:ascii="Verdana" w:hAnsi="Verdana" w:cs="Verdana"/>
          <w:sz w:val="16"/>
          <w:szCs w:val="16"/>
        </w:rPr>
        <w:t>korektę</w:t>
      </w:r>
      <w:r>
        <w:rPr>
          <w:rFonts w:ascii="Verdana" w:hAnsi="Verdana" w:cs="Verdana"/>
          <w:sz w:val="16"/>
          <w:szCs w:val="16"/>
        </w:rPr>
        <w:t xml:space="preserve"> rozliczeniową dochodów z C</w:t>
      </w:r>
      <w:r w:rsidRPr="00BC3D02">
        <w:rPr>
          <w:rFonts w:ascii="Verdana" w:hAnsi="Verdana" w:cs="Verdana"/>
          <w:sz w:val="16"/>
          <w:szCs w:val="16"/>
        </w:rPr>
        <w:t xml:space="preserve">IT </w:t>
      </w:r>
      <w:r>
        <w:rPr>
          <w:rFonts w:ascii="Verdana" w:hAnsi="Verdana" w:cs="Verdana"/>
          <w:sz w:val="16"/>
          <w:szCs w:val="16"/>
        </w:rPr>
        <w:t xml:space="preserve">in plus </w:t>
      </w:r>
      <w:r>
        <w:rPr>
          <w:rFonts w:ascii="Verdana" w:hAnsi="Verdana" w:cs="Verdana"/>
          <w:sz w:val="16"/>
          <w:szCs w:val="16"/>
        </w:rPr>
        <w:br/>
        <w:t xml:space="preserve">w wysokości </w:t>
      </w:r>
      <w:r>
        <w:rPr>
          <w:rFonts w:ascii="Verdana" w:hAnsi="Verdana" w:cs="Verdana"/>
          <w:b/>
          <w:sz w:val="16"/>
          <w:szCs w:val="16"/>
        </w:rPr>
        <w:t>373 mln </w:t>
      </w:r>
      <w:r w:rsidRPr="00183589">
        <w:rPr>
          <w:rFonts w:ascii="Verdana" w:hAnsi="Verdana" w:cs="Verdana"/>
          <w:b/>
          <w:sz w:val="16"/>
          <w:szCs w:val="16"/>
        </w:rPr>
        <w:t>zł</w:t>
      </w:r>
      <w:r>
        <w:rPr>
          <w:rFonts w:ascii="Verdana" w:hAnsi="Verdana" w:cs="Verdana"/>
          <w:sz w:val="16"/>
          <w:szCs w:val="16"/>
        </w:rPr>
        <w:t>, ze skutkiem dla 2024 r.</w:t>
      </w:r>
    </w:p>
    <w:p w:rsidR="008A572A" w:rsidRDefault="008A572A" w:rsidP="008A572A">
      <w:pPr>
        <w:autoSpaceDE w:val="0"/>
        <w:autoSpaceDN w:val="0"/>
        <w:adjustRightInd w:val="0"/>
        <w:spacing w:before="60" w:after="60"/>
        <w:jc w:val="both"/>
        <w:rPr>
          <w:rFonts w:ascii="Verdana" w:hAnsi="Verdana" w:cs="Verdana"/>
          <w:sz w:val="16"/>
          <w:szCs w:val="16"/>
        </w:rPr>
      </w:pPr>
      <w:r>
        <w:rPr>
          <w:rFonts w:ascii="Verdana" w:hAnsi="Verdana" w:cs="Verdana"/>
          <w:sz w:val="16"/>
          <w:szCs w:val="16"/>
        </w:rPr>
        <w:br w:type="page"/>
      </w:r>
    </w:p>
    <w:p w:rsidR="008A572A" w:rsidRPr="000A6485" w:rsidRDefault="008A572A" w:rsidP="008A572A">
      <w:pPr>
        <w:spacing w:before="240" w:after="240"/>
        <w:ind w:left="1077" w:hanging="1077"/>
        <w:rPr>
          <w:rFonts w:ascii="Verdana" w:hAnsi="Verdana"/>
          <w:b/>
          <w:bCs/>
          <w:sz w:val="18"/>
          <w:szCs w:val="18"/>
        </w:rPr>
      </w:pPr>
      <w:r w:rsidRPr="000A6485">
        <w:rPr>
          <w:rFonts w:ascii="Verdana" w:hAnsi="Verdana"/>
          <w:b/>
          <w:bCs/>
          <w:sz w:val="18"/>
          <w:szCs w:val="18"/>
        </w:rPr>
        <w:lastRenderedPageBreak/>
        <w:t>7.2.3.3 Prognoza dochodów z subwencji ogólnej</w:t>
      </w:r>
    </w:p>
    <w:p w:rsidR="008A572A" w:rsidRPr="000A6485" w:rsidRDefault="008A572A" w:rsidP="008A572A">
      <w:pPr>
        <w:tabs>
          <w:tab w:val="left" w:pos="0"/>
        </w:tabs>
        <w:spacing w:before="240" w:after="120"/>
        <w:ind w:firstLine="567"/>
        <w:jc w:val="both"/>
        <w:rPr>
          <w:rFonts w:ascii="Verdana" w:hAnsi="Verdana"/>
          <w:sz w:val="16"/>
          <w:szCs w:val="16"/>
        </w:rPr>
      </w:pPr>
      <w:r w:rsidRPr="000A6485">
        <w:rPr>
          <w:rFonts w:ascii="Verdana" w:hAnsi="Verdana"/>
          <w:sz w:val="16"/>
          <w:szCs w:val="16"/>
        </w:rPr>
        <w:t xml:space="preserve">Wykres </w:t>
      </w:r>
      <w:r>
        <w:rPr>
          <w:rFonts w:ascii="Verdana" w:hAnsi="Verdana"/>
          <w:sz w:val="16"/>
          <w:szCs w:val="16"/>
        </w:rPr>
        <w:t xml:space="preserve">nr 23 </w:t>
      </w:r>
      <w:r w:rsidRPr="000A6485">
        <w:rPr>
          <w:rFonts w:ascii="Verdana" w:hAnsi="Verdana"/>
          <w:sz w:val="16"/>
          <w:szCs w:val="16"/>
        </w:rPr>
        <w:t>prezentuje prognozowane dochody z subwencji ogólnej w poszczególnych latach objętych Prognozą.</w:t>
      </w:r>
    </w:p>
    <w:p w:rsidR="008A572A" w:rsidRPr="000A6485" w:rsidRDefault="008A572A" w:rsidP="008A572A">
      <w:pPr>
        <w:tabs>
          <w:tab w:val="left" w:pos="720"/>
        </w:tabs>
        <w:spacing w:before="240" w:after="60" w:line="240" w:lineRule="auto"/>
        <w:ind w:left="720" w:hanging="720"/>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DB2126">
        <w:rPr>
          <w:rFonts w:ascii="Verdana" w:hAnsi="Verdana" w:cs="Arial"/>
          <w:b/>
          <w:bCs/>
          <w:noProof/>
          <w:sz w:val="14"/>
          <w:szCs w:val="14"/>
        </w:rPr>
        <w:t>23</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Z SUBWENCJI OGÓ</w:t>
      </w:r>
      <w:r>
        <w:rPr>
          <w:rFonts w:ascii="Verdana" w:hAnsi="Verdana" w:cs="Arial"/>
          <w:b/>
          <w:bCs/>
          <w:sz w:val="14"/>
          <w:szCs w:val="14"/>
        </w:rPr>
        <w:t xml:space="preserve">LNEJ M.ST. WARSZAWY NA LATA </w:t>
      </w:r>
      <w:r w:rsidRPr="00932633">
        <w:rPr>
          <w:rFonts w:ascii="Verdana" w:hAnsi="Verdana" w:cs="Arial"/>
          <w:b/>
          <w:bCs/>
          <w:sz w:val="14"/>
          <w:szCs w:val="14"/>
        </w:rPr>
        <w:t>2023</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8A572A" w:rsidRPr="000A6485" w:rsidRDefault="008A572A" w:rsidP="008A572A">
      <w:pPr>
        <w:spacing w:before="120" w:after="120"/>
        <w:jc w:val="both"/>
        <w:rPr>
          <w:rFonts w:ascii="Verdana" w:hAnsi="Verdana"/>
          <w:b/>
          <w:bCs/>
          <w:sz w:val="20"/>
          <w:szCs w:val="20"/>
        </w:rPr>
      </w:pPr>
      <w:r>
        <w:rPr>
          <w:rFonts w:ascii="Verdana" w:hAnsi="Verdana"/>
          <w:b/>
          <w:bCs/>
          <w:noProof/>
          <w:sz w:val="20"/>
          <w:szCs w:val="20"/>
        </w:rPr>
        <w:drawing>
          <wp:inline distT="0" distB="0" distL="0" distR="0">
            <wp:extent cx="5581650" cy="2661285"/>
            <wp:effectExtent l="0" t="0" r="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1650" cy="2661285"/>
                    </a:xfrm>
                    <a:prstGeom prst="rect">
                      <a:avLst/>
                    </a:prstGeom>
                    <a:noFill/>
                    <a:ln>
                      <a:noFill/>
                    </a:ln>
                  </pic:spPr>
                </pic:pic>
              </a:graphicData>
            </a:graphic>
          </wp:inline>
        </w:drawing>
      </w:r>
    </w:p>
    <w:p w:rsidR="008A572A" w:rsidRDefault="008A572A" w:rsidP="008A572A">
      <w:pPr>
        <w:spacing w:before="60" w:after="60"/>
        <w:ind w:firstLine="539"/>
        <w:jc w:val="both"/>
        <w:rPr>
          <w:rFonts w:ascii="Verdana" w:hAnsi="Verdana"/>
          <w:iCs/>
          <w:sz w:val="16"/>
          <w:szCs w:val="16"/>
        </w:rPr>
      </w:pPr>
      <w:r w:rsidRPr="000A6485">
        <w:rPr>
          <w:rFonts w:ascii="Verdana" w:hAnsi="Verdana"/>
          <w:sz w:val="16"/>
          <w:szCs w:val="16"/>
        </w:rPr>
        <w:t>Prognozuje się, że wpływy m.st. Warszawy z subwencji ogólnej w okresie pierwszych</w:t>
      </w:r>
      <w:r>
        <w:rPr>
          <w:rFonts w:ascii="Verdana" w:hAnsi="Verdana"/>
          <w:sz w:val="16"/>
          <w:szCs w:val="16"/>
        </w:rPr>
        <w:t xml:space="preserve"> pięciu lat prognozy tj. od 2023 do 2027</w:t>
      </w:r>
      <w:r w:rsidRPr="000A6485">
        <w:rPr>
          <w:rFonts w:ascii="Verdana" w:hAnsi="Verdana"/>
          <w:sz w:val="16"/>
          <w:szCs w:val="16"/>
        </w:rPr>
        <w:t xml:space="preserve"> r. wyniosą łącznie </w:t>
      </w:r>
      <w:r>
        <w:rPr>
          <w:rFonts w:ascii="Verdana" w:hAnsi="Verdana"/>
          <w:b/>
          <w:sz w:val="16"/>
          <w:szCs w:val="16"/>
        </w:rPr>
        <w:t>18,9</w:t>
      </w:r>
      <w:r w:rsidRPr="000A6485">
        <w:rPr>
          <w:rFonts w:ascii="Verdana" w:hAnsi="Verdana"/>
          <w:b/>
          <w:sz w:val="16"/>
          <w:szCs w:val="16"/>
        </w:rPr>
        <w:t xml:space="preserve"> mld zł</w:t>
      </w:r>
      <w:r w:rsidRPr="000A6485">
        <w:rPr>
          <w:rFonts w:ascii="Verdana" w:hAnsi="Verdana"/>
          <w:sz w:val="16"/>
          <w:szCs w:val="16"/>
        </w:rPr>
        <w:t xml:space="preserve">, co będzie stanowiło </w:t>
      </w:r>
      <w:r>
        <w:rPr>
          <w:rFonts w:ascii="Verdana" w:hAnsi="Verdana"/>
          <w:b/>
          <w:sz w:val="16"/>
          <w:szCs w:val="16"/>
        </w:rPr>
        <w:t>18,2</w:t>
      </w:r>
      <w:r w:rsidRPr="000A6485">
        <w:rPr>
          <w:rFonts w:ascii="Verdana" w:hAnsi="Verdana"/>
          <w:b/>
          <w:sz w:val="16"/>
          <w:szCs w:val="16"/>
        </w:rPr>
        <w:t>%</w:t>
      </w:r>
      <w:r w:rsidRPr="000A6485">
        <w:rPr>
          <w:rFonts w:ascii="Verdana" w:hAnsi="Verdana"/>
          <w:sz w:val="16"/>
          <w:szCs w:val="16"/>
        </w:rPr>
        <w:t xml:space="preserve"> planowanych do realizacji </w:t>
      </w:r>
      <w:r w:rsidRPr="000A6485">
        <w:rPr>
          <w:rFonts w:ascii="Verdana" w:hAnsi="Verdana"/>
          <w:sz w:val="16"/>
          <w:szCs w:val="16"/>
        </w:rPr>
        <w:br/>
        <w:t>w tym okresie dochodów ogółem.</w:t>
      </w:r>
    </w:p>
    <w:p w:rsidR="008A572A" w:rsidRPr="000A6485" w:rsidRDefault="008A572A" w:rsidP="008A572A">
      <w:pPr>
        <w:spacing w:before="60" w:after="60"/>
        <w:ind w:firstLine="567"/>
        <w:jc w:val="both"/>
        <w:rPr>
          <w:rFonts w:ascii="Verdana" w:hAnsi="Verdana"/>
          <w:sz w:val="16"/>
          <w:szCs w:val="16"/>
        </w:rPr>
      </w:pPr>
      <w:r w:rsidRPr="000A6485">
        <w:rPr>
          <w:rFonts w:ascii="Verdana" w:hAnsi="Verdana"/>
          <w:sz w:val="16"/>
          <w:szCs w:val="16"/>
        </w:rPr>
        <w:t xml:space="preserve">Wykres </w:t>
      </w:r>
      <w:r>
        <w:rPr>
          <w:rFonts w:ascii="Verdana" w:hAnsi="Verdana"/>
          <w:sz w:val="16"/>
          <w:szCs w:val="16"/>
        </w:rPr>
        <w:t>nr 24</w:t>
      </w:r>
      <w:r w:rsidRPr="000A6485">
        <w:rPr>
          <w:rFonts w:ascii="Verdana" w:hAnsi="Verdana"/>
          <w:sz w:val="16"/>
          <w:szCs w:val="16"/>
        </w:rPr>
        <w:t xml:space="preserve"> prezentuje procentową zmianę rok do roku wysokości dochodów z subwencji ogólnej </w:t>
      </w:r>
      <w:r w:rsidRPr="000A6485">
        <w:rPr>
          <w:rFonts w:ascii="Verdana" w:hAnsi="Verdana"/>
          <w:sz w:val="16"/>
          <w:szCs w:val="16"/>
        </w:rPr>
        <w:br/>
        <w:t>w poszczególnych latach objętych Prognozą.</w:t>
      </w:r>
    </w:p>
    <w:p w:rsidR="008A572A" w:rsidRPr="000A6485" w:rsidRDefault="008A572A" w:rsidP="008A572A">
      <w:pPr>
        <w:spacing w:before="240" w:after="120" w:line="240" w:lineRule="auto"/>
        <w:rPr>
          <w:rFonts w:ascii="Verdana" w:hAnsi="Verdana"/>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DB2126">
        <w:rPr>
          <w:rFonts w:ascii="Verdana" w:hAnsi="Verdana" w:cs="Arial"/>
          <w:b/>
          <w:bCs/>
          <w:noProof/>
          <w:sz w:val="14"/>
          <w:szCs w:val="14"/>
        </w:rPr>
        <w:t>24</w:t>
      </w:r>
      <w:r w:rsidRPr="000A6485">
        <w:rPr>
          <w:rFonts w:ascii="Verdana" w:hAnsi="Verdana" w:cs="Arial"/>
          <w:b/>
          <w:bCs/>
          <w:sz w:val="14"/>
          <w:szCs w:val="14"/>
        </w:rPr>
        <w:fldChar w:fldCharType="end"/>
      </w:r>
      <w:r w:rsidRPr="000A6485">
        <w:rPr>
          <w:rFonts w:ascii="Verdana" w:hAnsi="Verdana" w:cs="Arial"/>
          <w:b/>
          <w:bCs/>
          <w:sz w:val="14"/>
          <w:szCs w:val="14"/>
        </w:rPr>
        <w:t xml:space="preserve">  PROGNOZOWANA ZMIANA PROCENTOWA ROK DO ROKU DOCHODÓW Z SUBWENCJI OGÓLNEJ </w:t>
      </w:r>
      <w:r w:rsidRPr="000A6485">
        <w:rPr>
          <w:rFonts w:ascii="Verdana" w:hAnsi="Verdana" w:cs="Arial"/>
          <w:b/>
          <w:bCs/>
          <w:sz w:val="14"/>
          <w:szCs w:val="14"/>
        </w:rPr>
        <w:br/>
        <w:t xml:space="preserve">                M.ST. WARSZAWY NA LATA </w:t>
      </w:r>
      <w:r w:rsidRPr="00932633">
        <w:rPr>
          <w:rFonts w:ascii="Verdana" w:hAnsi="Verdana" w:cs="Arial"/>
          <w:b/>
          <w:bCs/>
          <w:sz w:val="14"/>
          <w:szCs w:val="14"/>
        </w:rPr>
        <w:t>2023</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w:t>
      </w:r>
    </w:p>
    <w:p w:rsidR="008A572A" w:rsidRPr="000A6485" w:rsidRDefault="008A572A" w:rsidP="008A572A">
      <w:pPr>
        <w:spacing w:before="120" w:after="120"/>
        <w:jc w:val="both"/>
        <w:rPr>
          <w:rFonts w:ascii="Verdana" w:hAnsi="Verdana"/>
          <w:sz w:val="18"/>
          <w:szCs w:val="18"/>
        </w:rPr>
      </w:pPr>
      <w:r>
        <w:rPr>
          <w:rFonts w:ascii="Verdana" w:hAnsi="Verdana"/>
          <w:noProof/>
          <w:sz w:val="18"/>
          <w:szCs w:val="18"/>
        </w:rPr>
        <w:drawing>
          <wp:inline distT="0" distB="0" distL="0" distR="0">
            <wp:extent cx="5636260" cy="2661285"/>
            <wp:effectExtent l="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36260" cy="2661285"/>
                    </a:xfrm>
                    <a:prstGeom prst="rect">
                      <a:avLst/>
                    </a:prstGeom>
                    <a:noFill/>
                    <a:ln>
                      <a:noFill/>
                    </a:ln>
                  </pic:spPr>
                </pic:pic>
              </a:graphicData>
            </a:graphic>
          </wp:inline>
        </w:drawing>
      </w:r>
    </w:p>
    <w:p w:rsidR="008A572A" w:rsidRPr="000A6485" w:rsidRDefault="008A572A" w:rsidP="008A572A">
      <w:pPr>
        <w:spacing w:before="60" w:after="60"/>
        <w:ind w:firstLine="540"/>
        <w:jc w:val="both"/>
        <w:rPr>
          <w:rFonts w:ascii="Verdana" w:hAnsi="Verdana"/>
          <w:sz w:val="16"/>
          <w:szCs w:val="16"/>
        </w:rPr>
      </w:pPr>
      <w:r w:rsidRPr="000A6485">
        <w:rPr>
          <w:rFonts w:ascii="Verdana" w:hAnsi="Verdana"/>
          <w:sz w:val="16"/>
          <w:szCs w:val="16"/>
        </w:rPr>
        <w:t xml:space="preserve">M.st. Warszawa w ramach subwencji ogólnej otrzymuje środki z tytułu części oświatowej i części równoważącej naliczanej zgodnie z przepisami ustawy z dnia 13 listopada 2003 r. </w:t>
      </w:r>
      <w:r w:rsidRPr="003A7E7C">
        <w:rPr>
          <w:rFonts w:ascii="Verdana" w:hAnsi="Verdana"/>
          <w:i/>
          <w:sz w:val="16"/>
          <w:szCs w:val="16"/>
        </w:rPr>
        <w:t>o dochodach jednostek samorządu terytorialnego</w:t>
      </w:r>
      <w:r w:rsidRPr="000A6485">
        <w:rPr>
          <w:rFonts w:ascii="Verdana" w:hAnsi="Verdana"/>
          <w:sz w:val="16"/>
          <w:szCs w:val="16"/>
        </w:rPr>
        <w:t xml:space="preserve"> </w:t>
      </w:r>
      <w:r>
        <w:rPr>
          <w:rFonts w:ascii="Verdana" w:hAnsi="Verdana" w:cs="Arial"/>
          <w:iCs/>
          <w:sz w:val="16"/>
          <w:szCs w:val="16"/>
        </w:rPr>
        <w:t>(Dz.</w:t>
      </w:r>
      <w:r w:rsidRPr="000A6485">
        <w:rPr>
          <w:rFonts w:ascii="Verdana" w:hAnsi="Verdana" w:cs="Arial"/>
          <w:iCs/>
          <w:sz w:val="16"/>
          <w:szCs w:val="16"/>
        </w:rPr>
        <w:t xml:space="preserve">U. z </w:t>
      </w:r>
      <w:r>
        <w:rPr>
          <w:rFonts w:ascii="Verdana" w:hAnsi="Verdana" w:cs="Arial"/>
          <w:iCs/>
          <w:sz w:val="16"/>
          <w:szCs w:val="16"/>
        </w:rPr>
        <w:t>2021 r. poz. 1672, 1901 i 1927</w:t>
      </w:r>
      <w:r w:rsidRPr="000A6485">
        <w:rPr>
          <w:rFonts w:ascii="Verdana" w:hAnsi="Verdana" w:cs="Arial"/>
          <w:iCs/>
          <w:sz w:val="16"/>
          <w:szCs w:val="16"/>
        </w:rPr>
        <w:t>)</w:t>
      </w:r>
      <w:r w:rsidRPr="000A6485">
        <w:rPr>
          <w:rFonts w:ascii="Verdana" w:hAnsi="Verdana"/>
          <w:sz w:val="16"/>
          <w:szCs w:val="16"/>
        </w:rPr>
        <w:t>.</w:t>
      </w:r>
    </w:p>
    <w:p w:rsidR="008A572A" w:rsidRPr="000A6485" w:rsidRDefault="008A572A" w:rsidP="008A572A">
      <w:pPr>
        <w:spacing w:before="60" w:after="60"/>
        <w:ind w:firstLine="540"/>
        <w:jc w:val="both"/>
        <w:rPr>
          <w:rFonts w:ascii="Verdana" w:hAnsi="Verdana"/>
          <w:sz w:val="16"/>
          <w:szCs w:val="16"/>
        </w:rPr>
      </w:pPr>
      <w:r w:rsidRPr="000A6485">
        <w:rPr>
          <w:rFonts w:ascii="Verdana" w:hAnsi="Verdana"/>
          <w:sz w:val="16"/>
          <w:szCs w:val="16"/>
        </w:rPr>
        <w:lastRenderedPageBreak/>
        <w:t xml:space="preserve">Część oświatowa subwencji ogólnej w budżecie m.st. Warszawy jest drugim pod względem wartości źródłem dochodów. Zakłada się, że środki pozyskiwane z tego tytułu będą stanowiły </w:t>
      </w:r>
      <w:r>
        <w:rPr>
          <w:rFonts w:ascii="Verdana" w:hAnsi="Verdana"/>
          <w:sz w:val="16"/>
          <w:szCs w:val="16"/>
        </w:rPr>
        <w:t xml:space="preserve">ok. </w:t>
      </w:r>
      <w:r w:rsidRPr="002751E6">
        <w:rPr>
          <w:rFonts w:ascii="Verdana" w:hAnsi="Verdana"/>
          <w:b/>
          <w:sz w:val="16"/>
          <w:szCs w:val="16"/>
        </w:rPr>
        <w:t>17,</w:t>
      </w:r>
      <w:r>
        <w:rPr>
          <w:rFonts w:ascii="Verdana" w:hAnsi="Verdana"/>
          <w:b/>
          <w:sz w:val="16"/>
          <w:szCs w:val="16"/>
        </w:rPr>
        <w:t>1</w:t>
      </w:r>
      <w:r w:rsidRPr="002751E6">
        <w:rPr>
          <w:rFonts w:ascii="Verdana" w:hAnsi="Verdana"/>
          <w:b/>
          <w:sz w:val="16"/>
          <w:szCs w:val="16"/>
        </w:rPr>
        <w:t xml:space="preserve">% </w:t>
      </w:r>
      <w:r w:rsidRPr="000A6485">
        <w:rPr>
          <w:rFonts w:ascii="Verdana" w:hAnsi="Verdana"/>
          <w:sz w:val="16"/>
          <w:szCs w:val="16"/>
        </w:rPr>
        <w:t>całkowitych wpływów Miasta</w:t>
      </w:r>
      <w:r>
        <w:rPr>
          <w:rFonts w:ascii="Verdana" w:hAnsi="Verdana"/>
          <w:sz w:val="16"/>
          <w:szCs w:val="16"/>
        </w:rPr>
        <w:t xml:space="preserve"> w latach 2023-2027</w:t>
      </w:r>
      <w:r w:rsidRPr="000A6485">
        <w:rPr>
          <w:rFonts w:ascii="Verdana" w:hAnsi="Verdana"/>
          <w:sz w:val="16"/>
          <w:szCs w:val="16"/>
        </w:rPr>
        <w:t xml:space="preserve">. </w:t>
      </w:r>
    </w:p>
    <w:p w:rsidR="008A572A" w:rsidRPr="000A6485" w:rsidRDefault="008A572A" w:rsidP="008A572A">
      <w:pPr>
        <w:spacing w:before="60" w:after="60"/>
        <w:ind w:firstLine="540"/>
        <w:jc w:val="both"/>
        <w:rPr>
          <w:rFonts w:ascii="Verdana" w:hAnsi="Verdana"/>
          <w:sz w:val="16"/>
          <w:szCs w:val="16"/>
        </w:rPr>
      </w:pPr>
      <w:r w:rsidRPr="000A6485">
        <w:rPr>
          <w:rFonts w:ascii="Verdana" w:hAnsi="Verdana"/>
          <w:sz w:val="16"/>
          <w:szCs w:val="16"/>
        </w:rPr>
        <w:t>Wielkość części oświatowej subwencji ogólnej dla wszystkich jednostek samorządu terytorialnego ustalana jest corocznie w ustawie budżetowej. Minister właściwy do spraw oświaty i wychowania dzieli część oświatową subwencji ogólnej między poszczególne j.s.t. biorąc pod uwagę zakres realizowanych przez te jednostki zadań oświatowych. W sposobie podziału części oświatowej subwencji ogólnej między poszczególne j.s.t. uwzględnia się w szczególności:</w:t>
      </w:r>
    </w:p>
    <w:p w:rsidR="008A572A" w:rsidRPr="000A6485" w:rsidRDefault="008A572A" w:rsidP="008A572A">
      <w:pPr>
        <w:numPr>
          <w:ilvl w:val="0"/>
          <w:numId w:val="9"/>
        </w:numPr>
        <w:tabs>
          <w:tab w:val="clear" w:pos="1080"/>
          <w:tab w:val="num" w:pos="540"/>
        </w:tabs>
        <w:spacing w:before="60" w:after="60"/>
        <w:ind w:left="538" w:hanging="181"/>
        <w:jc w:val="both"/>
        <w:rPr>
          <w:rFonts w:ascii="Verdana" w:hAnsi="Verdana"/>
          <w:sz w:val="16"/>
          <w:szCs w:val="16"/>
        </w:rPr>
      </w:pPr>
      <w:r w:rsidRPr="000A6485">
        <w:rPr>
          <w:rFonts w:ascii="Verdana" w:hAnsi="Verdana"/>
          <w:sz w:val="16"/>
          <w:szCs w:val="16"/>
        </w:rPr>
        <w:t>stopnie awansu zawodowego nauczycieli,</w:t>
      </w:r>
    </w:p>
    <w:p w:rsidR="008A572A" w:rsidRPr="000A6485" w:rsidRDefault="008A572A" w:rsidP="008A572A">
      <w:pPr>
        <w:numPr>
          <w:ilvl w:val="0"/>
          <w:numId w:val="9"/>
        </w:numPr>
        <w:tabs>
          <w:tab w:val="clear" w:pos="1080"/>
          <w:tab w:val="num" w:pos="540"/>
        </w:tabs>
        <w:spacing w:before="60" w:after="60"/>
        <w:ind w:left="538" w:hanging="181"/>
        <w:jc w:val="both"/>
        <w:rPr>
          <w:rFonts w:ascii="Verdana" w:hAnsi="Verdana"/>
          <w:sz w:val="16"/>
          <w:szCs w:val="16"/>
        </w:rPr>
      </w:pPr>
      <w:r w:rsidRPr="000A6485">
        <w:rPr>
          <w:rFonts w:ascii="Verdana" w:hAnsi="Verdana"/>
          <w:sz w:val="16"/>
          <w:szCs w:val="16"/>
        </w:rPr>
        <w:t xml:space="preserve">typy i rodzaje szkół i placówek, </w:t>
      </w:r>
    </w:p>
    <w:p w:rsidR="008A572A" w:rsidRPr="000A6485" w:rsidRDefault="008A572A" w:rsidP="008A572A">
      <w:pPr>
        <w:numPr>
          <w:ilvl w:val="0"/>
          <w:numId w:val="9"/>
        </w:numPr>
        <w:tabs>
          <w:tab w:val="clear" w:pos="1080"/>
          <w:tab w:val="num" w:pos="540"/>
        </w:tabs>
        <w:spacing w:before="60" w:after="60"/>
        <w:ind w:left="538" w:hanging="181"/>
        <w:jc w:val="both"/>
        <w:rPr>
          <w:rFonts w:ascii="Verdana" w:hAnsi="Verdana"/>
          <w:sz w:val="16"/>
          <w:szCs w:val="16"/>
        </w:rPr>
      </w:pPr>
      <w:r w:rsidRPr="000A6485">
        <w:rPr>
          <w:rFonts w:ascii="Verdana" w:hAnsi="Verdana"/>
          <w:sz w:val="16"/>
          <w:szCs w:val="16"/>
        </w:rPr>
        <w:t>liczbę uczniów w tych szkołach i placówkach, prowadzonych przez poszczególne j.s.t.</w:t>
      </w:r>
    </w:p>
    <w:p w:rsidR="008A572A" w:rsidRPr="000A6485" w:rsidRDefault="008A572A" w:rsidP="008A572A">
      <w:pPr>
        <w:spacing w:before="60" w:after="60"/>
        <w:ind w:firstLine="567"/>
        <w:jc w:val="both"/>
        <w:rPr>
          <w:rFonts w:ascii="Verdana" w:hAnsi="Verdana"/>
          <w:sz w:val="16"/>
          <w:szCs w:val="16"/>
        </w:rPr>
      </w:pPr>
      <w:r w:rsidRPr="000A6485">
        <w:rPr>
          <w:rFonts w:ascii="Verdana" w:hAnsi="Verdana"/>
          <w:sz w:val="16"/>
          <w:szCs w:val="16"/>
        </w:rPr>
        <w:t xml:space="preserve">Zakłada się, że dokonujący się w Warszawie awans zawodowy nauczycieli, rosnąca ilość oraz duża różnorodność typów szkół i zwiększająca się liczba uczniów spowoduje, że obowiązujący sposób podziału części oświatowej subwencji ogólnej będzie korzystnie oddziaływał na wysokość należnej Warszawie subwencji. </w:t>
      </w:r>
    </w:p>
    <w:p w:rsidR="008A572A" w:rsidRDefault="008A572A" w:rsidP="008A572A">
      <w:pPr>
        <w:spacing w:before="60" w:after="60"/>
        <w:ind w:firstLine="540"/>
        <w:jc w:val="both"/>
        <w:rPr>
          <w:rFonts w:ascii="Verdana" w:hAnsi="Verdana"/>
          <w:sz w:val="16"/>
          <w:szCs w:val="16"/>
        </w:rPr>
      </w:pPr>
      <w:r>
        <w:rPr>
          <w:rFonts w:ascii="Verdana" w:hAnsi="Verdana"/>
          <w:sz w:val="16"/>
          <w:szCs w:val="16"/>
        </w:rPr>
        <w:t>Z</w:t>
      </w:r>
      <w:r w:rsidRPr="000A6485">
        <w:rPr>
          <w:rFonts w:ascii="Verdana" w:hAnsi="Verdana"/>
          <w:sz w:val="16"/>
          <w:szCs w:val="16"/>
        </w:rPr>
        <w:t>ałożono</w:t>
      </w:r>
      <w:r>
        <w:rPr>
          <w:rFonts w:ascii="Verdana" w:hAnsi="Verdana"/>
          <w:sz w:val="16"/>
          <w:szCs w:val="16"/>
        </w:rPr>
        <w:t>, że dochody</w:t>
      </w:r>
      <w:r w:rsidRPr="000A6485">
        <w:rPr>
          <w:rFonts w:ascii="Verdana" w:hAnsi="Verdana"/>
          <w:sz w:val="16"/>
          <w:szCs w:val="16"/>
        </w:rPr>
        <w:t xml:space="preserve"> z tytułu subwencji og</w:t>
      </w:r>
      <w:r>
        <w:rPr>
          <w:rFonts w:ascii="Verdana" w:hAnsi="Verdana"/>
          <w:sz w:val="16"/>
          <w:szCs w:val="16"/>
        </w:rPr>
        <w:t xml:space="preserve">ólnej w części równoważącej m.st. Warszawa będzie otrzymywać w perspektywie najbliższych dwóch lat w wysokości </w:t>
      </w:r>
      <w:r>
        <w:rPr>
          <w:rFonts w:ascii="Verdana" w:hAnsi="Verdana"/>
          <w:b/>
          <w:sz w:val="16"/>
          <w:szCs w:val="16"/>
        </w:rPr>
        <w:t>180,2</w:t>
      </w:r>
      <w:r w:rsidRPr="00441563">
        <w:rPr>
          <w:rFonts w:ascii="Verdana" w:hAnsi="Verdana"/>
          <w:b/>
          <w:sz w:val="16"/>
          <w:szCs w:val="16"/>
        </w:rPr>
        <w:t xml:space="preserve"> mln zł</w:t>
      </w:r>
      <w:r w:rsidRPr="004C27A9">
        <w:rPr>
          <w:rFonts w:ascii="Verdana" w:hAnsi="Verdana"/>
          <w:sz w:val="16"/>
          <w:szCs w:val="16"/>
        </w:rPr>
        <w:t xml:space="preserve">, </w:t>
      </w:r>
      <w:r w:rsidRPr="00004AD8">
        <w:rPr>
          <w:rFonts w:ascii="Verdana" w:hAnsi="Verdana"/>
          <w:sz w:val="16"/>
          <w:szCs w:val="16"/>
        </w:rPr>
        <w:t xml:space="preserve">z tego </w:t>
      </w:r>
      <w:r>
        <w:rPr>
          <w:rFonts w:ascii="Verdana" w:hAnsi="Verdana"/>
          <w:b/>
          <w:sz w:val="16"/>
          <w:szCs w:val="16"/>
        </w:rPr>
        <w:t>120,2</w:t>
      </w:r>
      <w:r w:rsidRPr="00441563">
        <w:rPr>
          <w:rFonts w:ascii="Verdana" w:hAnsi="Verdana"/>
          <w:b/>
          <w:sz w:val="16"/>
          <w:szCs w:val="16"/>
        </w:rPr>
        <w:t xml:space="preserve"> mln zł</w:t>
      </w:r>
      <w:r>
        <w:rPr>
          <w:rFonts w:ascii="Verdana" w:hAnsi="Verdana"/>
          <w:sz w:val="16"/>
          <w:szCs w:val="16"/>
        </w:rPr>
        <w:t xml:space="preserve"> w 2023 r. zgodnie z informacją Ministra Finansów i z uwzględnieniem skutków finansowych wynikających z art. 35 ustawy </w:t>
      </w:r>
      <w:r>
        <w:rPr>
          <w:rFonts w:ascii="Verdana" w:hAnsi="Verdana"/>
          <w:sz w:val="16"/>
          <w:szCs w:val="16"/>
        </w:rPr>
        <w:br/>
        <w:t xml:space="preserve">z 1 grudnia 2022 r. </w:t>
      </w:r>
      <w:r w:rsidRPr="0022307F">
        <w:rPr>
          <w:rFonts w:ascii="Verdana" w:hAnsi="Verdana"/>
          <w:i/>
          <w:sz w:val="16"/>
          <w:szCs w:val="16"/>
        </w:rPr>
        <w:t>o szczególnych rozwiązaniach służących realizacji ustawy budżetowej na rok 2023</w:t>
      </w:r>
      <w:r>
        <w:rPr>
          <w:rFonts w:ascii="Verdana" w:hAnsi="Verdana"/>
          <w:sz w:val="16"/>
          <w:szCs w:val="16"/>
        </w:rPr>
        <w:t xml:space="preserve"> oraz </w:t>
      </w:r>
      <w:r>
        <w:rPr>
          <w:rFonts w:ascii="Verdana" w:hAnsi="Verdana"/>
          <w:sz w:val="16"/>
          <w:szCs w:val="16"/>
        </w:rPr>
        <w:br/>
      </w:r>
      <w:r w:rsidRPr="00441563">
        <w:rPr>
          <w:rFonts w:ascii="Verdana" w:hAnsi="Verdana"/>
          <w:b/>
          <w:sz w:val="16"/>
          <w:szCs w:val="16"/>
        </w:rPr>
        <w:t>60 mln zł</w:t>
      </w:r>
      <w:r>
        <w:rPr>
          <w:rFonts w:ascii="Verdana" w:hAnsi="Verdana"/>
          <w:sz w:val="16"/>
          <w:szCs w:val="16"/>
        </w:rPr>
        <w:t xml:space="preserve"> w 2024 r. Od 2025 r. nie zaplanowano dochodów z tego tytułu w związku z trwającymi w Ministerstwie Finansów pracami nad zmianą systemu wyrównawczego między jednostkami samorządu terytorialnego.</w:t>
      </w:r>
    </w:p>
    <w:p w:rsidR="008A572A" w:rsidRDefault="008A572A" w:rsidP="008A572A">
      <w:pPr>
        <w:spacing w:before="60" w:after="60"/>
        <w:ind w:firstLine="540"/>
        <w:jc w:val="both"/>
        <w:rPr>
          <w:rFonts w:ascii="Verdana" w:hAnsi="Verdana"/>
          <w:sz w:val="16"/>
          <w:szCs w:val="16"/>
        </w:rPr>
      </w:pPr>
      <w:r>
        <w:rPr>
          <w:rFonts w:ascii="Verdana" w:hAnsi="Verdana"/>
          <w:sz w:val="16"/>
          <w:szCs w:val="16"/>
        </w:rPr>
        <w:t>Zgodnie n</w:t>
      </w:r>
      <w:r w:rsidRPr="004C27A9">
        <w:rPr>
          <w:rFonts w:ascii="Verdana" w:hAnsi="Verdana"/>
          <w:sz w:val="16"/>
          <w:szCs w:val="16"/>
        </w:rPr>
        <w:t xml:space="preserve">owelizacją ustawy z dnia 14 października </w:t>
      </w:r>
      <w:r>
        <w:rPr>
          <w:rFonts w:ascii="Verdana" w:hAnsi="Verdana"/>
          <w:sz w:val="16"/>
          <w:szCs w:val="16"/>
        </w:rPr>
        <w:t>2021 r</w:t>
      </w:r>
      <w:r w:rsidRPr="004C27A9">
        <w:rPr>
          <w:rFonts w:ascii="Verdana" w:hAnsi="Verdana"/>
          <w:sz w:val="16"/>
          <w:szCs w:val="16"/>
        </w:rPr>
        <w:t>.</w:t>
      </w:r>
      <w:r>
        <w:rPr>
          <w:rFonts w:ascii="Verdana" w:hAnsi="Verdana"/>
          <w:sz w:val="16"/>
          <w:szCs w:val="16"/>
        </w:rPr>
        <w:t xml:space="preserve"> </w:t>
      </w:r>
      <w:r w:rsidRPr="004C27A9">
        <w:rPr>
          <w:rFonts w:ascii="Verdana" w:hAnsi="Verdana"/>
          <w:sz w:val="16"/>
          <w:szCs w:val="16"/>
        </w:rPr>
        <w:t xml:space="preserve">o dochodach </w:t>
      </w:r>
      <w:r>
        <w:rPr>
          <w:rFonts w:ascii="Verdana" w:hAnsi="Verdana"/>
          <w:sz w:val="16"/>
          <w:szCs w:val="16"/>
        </w:rPr>
        <w:t>jednostek samorządu terytorialnego</w:t>
      </w:r>
      <w:r w:rsidRPr="004C27A9">
        <w:rPr>
          <w:rFonts w:ascii="Verdana" w:hAnsi="Verdana"/>
          <w:sz w:val="16"/>
          <w:szCs w:val="16"/>
        </w:rPr>
        <w:t xml:space="preserve"> </w:t>
      </w:r>
      <w:r>
        <w:rPr>
          <w:rFonts w:ascii="Verdana" w:hAnsi="Verdana"/>
          <w:sz w:val="16"/>
          <w:szCs w:val="16"/>
        </w:rPr>
        <w:t>Warszawa powinna zacząć otrzymywać od 2023 r. c</w:t>
      </w:r>
      <w:r w:rsidRPr="00537533">
        <w:rPr>
          <w:rFonts w:ascii="Verdana" w:hAnsi="Verdana"/>
          <w:sz w:val="16"/>
          <w:szCs w:val="16"/>
        </w:rPr>
        <w:t>zęść rozwojow</w:t>
      </w:r>
      <w:r>
        <w:rPr>
          <w:rFonts w:ascii="Verdana" w:hAnsi="Verdana"/>
          <w:sz w:val="16"/>
          <w:szCs w:val="16"/>
        </w:rPr>
        <w:t>ą</w:t>
      </w:r>
      <w:r w:rsidRPr="00537533">
        <w:rPr>
          <w:rFonts w:ascii="Verdana" w:hAnsi="Verdana"/>
          <w:sz w:val="16"/>
          <w:szCs w:val="16"/>
        </w:rPr>
        <w:t xml:space="preserve"> subwencji ogólnej</w:t>
      </w:r>
      <w:r>
        <w:rPr>
          <w:rFonts w:ascii="Verdana" w:hAnsi="Verdana"/>
          <w:sz w:val="16"/>
          <w:szCs w:val="16"/>
        </w:rPr>
        <w:t xml:space="preserve">. </w:t>
      </w:r>
    </w:p>
    <w:p w:rsidR="008A572A" w:rsidRPr="004C27A9" w:rsidRDefault="008A572A" w:rsidP="008A572A">
      <w:pPr>
        <w:spacing w:before="60" w:after="60"/>
        <w:ind w:firstLine="540"/>
        <w:jc w:val="both"/>
        <w:rPr>
          <w:rFonts w:ascii="Verdana" w:hAnsi="Verdana"/>
          <w:sz w:val="16"/>
          <w:szCs w:val="16"/>
        </w:rPr>
      </w:pPr>
      <w:r>
        <w:rPr>
          <w:rFonts w:ascii="Verdana" w:hAnsi="Verdana"/>
          <w:sz w:val="16"/>
          <w:szCs w:val="16"/>
        </w:rPr>
        <w:t>Po wprowadzeniu Polskiego Ładu obniżającego na trwale dochody JST z PIT, ustawodawca wprowadzając część rozwojową postanowił w części rekompensować ubytki w dochodach JST na wypadek uchwalenia kolejnych zmian w podatkach skutkujących obniżeniem dochodów z PIT lub CIT.</w:t>
      </w:r>
      <w:r w:rsidRPr="004C27A9">
        <w:rPr>
          <w:rFonts w:ascii="Verdana" w:hAnsi="Verdana"/>
          <w:sz w:val="16"/>
          <w:szCs w:val="16"/>
        </w:rPr>
        <w:t xml:space="preserve"> Wprowadzono bowiem regułę dochodową stanowiącą, że prognozowane na rok budżetowy dochody JST z PIT i CIT oraz część rozwojowa subwencji ogólnej nie mogą być niższe od referencyjnej kwoty rocznego dochodu JST z PIT i CIT:</w:t>
      </w:r>
    </w:p>
    <w:p w:rsidR="008A572A" w:rsidRPr="004F6895" w:rsidRDefault="008A572A" w:rsidP="008A572A">
      <w:pPr>
        <w:autoSpaceDE w:val="0"/>
        <w:autoSpaceDN w:val="0"/>
        <w:adjustRightInd w:val="0"/>
        <w:spacing w:before="60" w:after="60"/>
        <w:jc w:val="both"/>
        <w:rPr>
          <w:rFonts w:ascii="Verdana" w:hAnsi="Verdana" w:cs="Arial"/>
          <w:sz w:val="16"/>
          <w:szCs w:val="16"/>
        </w:rPr>
      </w:pPr>
      <m:oMathPara>
        <m:oMath>
          <m:r>
            <w:rPr>
              <w:rFonts w:ascii="Cambria Math" w:hAnsi="Cambria Math" w:cs="Arial"/>
              <w:sz w:val="16"/>
              <w:szCs w:val="16"/>
            </w:rPr>
            <m:t xml:space="preserve">Prognozowane PIT+CIT+subwencja rozwojowa≥kwota referencyjna   </m:t>
          </m:r>
        </m:oMath>
      </m:oMathPara>
    </w:p>
    <w:p w:rsidR="008A572A" w:rsidRPr="00441563" w:rsidRDefault="008A572A" w:rsidP="008A572A">
      <w:pPr>
        <w:spacing w:before="60" w:after="60"/>
        <w:ind w:firstLine="540"/>
        <w:jc w:val="both"/>
        <w:rPr>
          <w:rFonts w:ascii="Verdana" w:hAnsi="Verdana"/>
          <w:sz w:val="16"/>
          <w:szCs w:val="16"/>
        </w:rPr>
      </w:pPr>
      <w:r w:rsidRPr="00441563">
        <w:rPr>
          <w:rFonts w:ascii="Verdana" w:hAnsi="Verdana"/>
          <w:sz w:val="16"/>
          <w:szCs w:val="16"/>
        </w:rPr>
        <w:t xml:space="preserve">W przypadku gdy powyższy warunek nie byłby spełniony odpowiedniemu zwiększeniu </w:t>
      </w:r>
      <w:r>
        <w:rPr>
          <w:rFonts w:ascii="Verdana" w:hAnsi="Verdana"/>
          <w:sz w:val="16"/>
          <w:szCs w:val="16"/>
        </w:rPr>
        <w:t>ma</w:t>
      </w:r>
      <w:r w:rsidRPr="00441563">
        <w:rPr>
          <w:rFonts w:ascii="Verdana" w:hAnsi="Verdana"/>
          <w:sz w:val="16"/>
          <w:szCs w:val="16"/>
        </w:rPr>
        <w:t xml:space="preserve"> podlegać część rozwojowa subwencji ogólnej.</w:t>
      </w:r>
    </w:p>
    <w:p w:rsidR="008A572A" w:rsidRDefault="008A572A" w:rsidP="008A572A">
      <w:pPr>
        <w:spacing w:before="60" w:after="60"/>
        <w:ind w:firstLine="540"/>
        <w:jc w:val="both"/>
        <w:rPr>
          <w:rFonts w:ascii="Verdana" w:hAnsi="Verdana"/>
          <w:sz w:val="16"/>
          <w:szCs w:val="16"/>
        </w:rPr>
      </w:pPr>
      <w:r w:rsidRPr="00441563">
        <w:rPr>
          <w:rFonts w:ascii="Verdana" w:hAnsi="Verdana"/>
          <w:sz w:val="16"/>
          <w:szCs w:val="16"/>
        </w:rPr>
        <w:t xml:space="preserve">W 2023 r. na skutek działania ww. reguły dochodowej, w związku z wprowadzeniem Modyfikacji Programu Polski Ład, część rozwojowa subwencji ogólnej dla m.st. Warszawy, rekompensująca ubytki w dochodach z PIT miała wynieść zgodnie z szacunkami przeprowadzonymi na etapie projektu ustawy </w:t>
      </w:r>
      <w:r w:rsidRPr="00441563">
        <w:rPr>
          <w:rFonts w:ascii="Verdana" w:hAnsi="Verdana"/>
          <w:b/>
          <w:sz w:val="16"/>
          <w:szCs w:val="16"/>
        </w:rPr>
        <w:t>1,168 mld zł</w:t>
      </w:r>
      <w:r w:rsidRPr="00441563">
        <w:rPr>
          <w:rFonts w:ascii="Verdana" w:hAnsi="Verdana"/>
          <w:sz w:val="16"/>
          <w:szCs w:val="16"/>
        </w:rPr>
        <w:t xml:space="preserve">. </w:t>
      </w:r>
    </w:p>
    <w:p w:rsidR="008A572A" w:rsidRDefault="008A572A" w:rsidP="008A572A">
      <w:pPr>
        <w:spacing w:before="60" w:after="60"/>
        <w:ind w:firstLine="540"/>
        <w:jc w:val="both"/>
        <w:rPr>
          <w:rFonts w:ascii="Verdana" w:hAnsi="Verdana"/>
          <w:sz w:val="16"/>
          <w:szCs w:val="16"/>
        </w:rPr>
      </w:pPr>
      <w:r>
        <w:rPr>
          <w:rFonts w:ascii="Verdana" w:hAnsi="Verdana"/>
          <w:sz w:val="16"/>
          <w:szCs w:val="16"/>
        </w:rPr>
        <w:t xml:space="preserve">Powyższa kwota </w:t>
      </w:r>
      <w:r w:rsidRPr="00441563">
        <w:rPr>
          <w:rFonts w:ascii="Verdana" w:hAnsi="Verdana"/>
          <w:sz w:val="16"/>
          <w:szCs w:val="16"/>
        </w:rPr>
        <w:t>nie rekompens</w:t>
      </w:r>
      <w:r>
        <w:rPr>
          <w:rFonts w:ascii="Verdana" w:hAnsi="Verdana"/>
          <w:sz w:val="16"/>
          <w:szCs w:val="16"/>
        </w:rPr>
        <w:t>owałaby</w:t>
      </w:r>
      <w:r w:rsidRPr="00441563">
        <w:rPr>
          <w:rFonts w:ascii="Verdana" w:hAnsi="Verdana"/>
          <w:sz w:val="16"/>
          <w:szCs w:val="16"/>
        </w:rPr>
        <w:t xml:space="preserve"> w pełni dla każdej JST ubytku w dochodach własnych JST</w:t>
      </w:r>
      <w:r>
        <w:rPr>
          <w:rFonts w:ascii="Verdana" w:hAnsi="Verdana"/>
          <w:sz w:val="16"/>
          <w:szCs w:val="16"/>
        </w:rPr>
        <w:t>, bowiem:</w:t>
      </w:r>
    </w:p>
    <w:p w:rsidR="008A572A" w:rsidRPr="00441563" w:rsidRDefault="008A572A" w:rsidP="008A572A">
      <w:pPr>
        <w:pStyle w:val="Akapitzlist"/>
        <w:numPr>
          <w:ilvl w:val="0"/>
          <w:numId w:val="64"/>
        </w:numPr>
        <w:spacing w:before="60" w:after="60"/>
        <w:contextualSpacing w:val="0"/>
        <w:jc w:val="both"/>
        <w:rPr>
          <w:rFonts w:ascii="Verdana" w:hAnsi="Verdana"/>
          <w:sz w:val="16"/>
          <w:szCs w:val="16"/>
        </w:rPr>
      </w:pPr>
      <w:r w:rsidRPr="00441563">
        <w:rPr>
          <w:rFonts w:ascii="Verdana" w:hAnsi="Verdana"/>
          <w:sz w:val="16"/>
          <w:szCs w:val="16"/>
        </w:rPr>
        <w:t xml:space="preserve">kwoty referencyjne na kolejne lata są istotnie zaniżone, w tym kwota dla 2022 r., wskazana ustawie </w:t>
      </w:r>
      <w:r>
        <w:rPr>
          <w:rFonts w:ascii="Verdana" w:hAnsi="Verdana"/>
          <w:sz w:val="16"/>
          <w:szCs w:val="16"/>
        </w:rPr>
        <w:br/>
      </w:r>
      <w:r w:rsidRPr="00441563">
        <w:rPr>
          <w:rFonts w:ascii="Verdana" w:hAnsi="Verdana"/>
          <w:sz w:val="16"/>
          <w:szCs w:val="16"/>
        </w:rPr>
        <w:t xml:space="preserve">o dochodach jednostek samorządu terytorialnego, została błędnie ustalona na poziomie zaniżonym </w:t>
      </w:r>
      <w:r>
        <w:rPr>
          <w:rFonts w:ascii="Verdana" w:hAnsi="Verdana"/>
          <w:sz w:val="16"/>
          <w:szCs w:val="16"/>
        </w:rPr>
        <w:br/>
      </w:r>
      <w:r w:rsidRPr="00441563">
        <w:rPr>
          <w:rFonts w:ascii="Verdana" w:hAnsi="Verdana"/>
          <w:sz w:val="16"/>
          <w:szCs w:val="16"/>
        </w:rPr>
        <w:t xml:space="preserve">o blisko </w:t>
      </w:r>
      <w:r w:rsidRPr="00441563">
        <w:rPr>
          <w:rFonts w:ascii="Verdana" w:hAnsi="Verdana"/>
          <w:b/>
          <w:sz w:val="16"/>
          <w:szCs w:val="16"/>
        </w:rPr>
        <w:t>10 mld zł</w:t>
      </w:r>
      <w:r w:rsidRPr="00441563">
        <w:rPr>
          <w:rFonts w:ascii="Verdana" w:hAnsi="Verdana"/>
          <w:sz w:val="16"/>
          <w:szCs w:val="16"/>
        </w:rPr>
        <w:t xml:space="preserve"> (w kwocie 69.946 mln zł zamiast 79.757 mln zł),</w:t>
      </w:r>
    </w:p>
    <w:p w:rsidR="008A572A" w:rsidRPr="00441563" w:rsidRDefault="008A572A" w:rsidP="008A572A">
      <w:pPr>
        <w:pStyle w:val="Akapitzlist"/>
        <w:numPr>
          <w:ilvl w:val="0"/>
          <w:numId w:val="64"/>
        </w:numPr>
        <w:spacing w:before="60" w:after="60"/>
        <w:contextualSpacing w:val="0"/>
        <w:jc w:val="both"/>
        <w:rPr>
          <w:rFonts w:ascii="Verdana" w:hAnsi="Verdana"/>
          <w:sz w:val="16"/>
          <w:szCs w:val="16"/>
        </w:rPr>
      </w:pPr>
      <w:r w:rsidRPr="00441563">
        <w:rPr>
          <w:rFonts w:ascii="Verdana" w:hAnsi="Verdana"/>
          <w:sz w:val="16"/>
          <w:szCs w:val="16"/>
        </w:rPr>
        <w:t>sposób podziału części rozwojowej subwencji ogólnej</w:t>
      </w:r>
      <w:r>
        <w:rPr>
          <w:rFonts w:ascii="Verdana" w:hAnsi="Verdana"/>
          <w:sz w:val="16"/>
          <w:szCs w:val="16"/>
        </w:rPr>
        <w:t xml:space="preserve"> między poszczególne JST</w:t>
      </w:r>
      <w:r w:rsidRPr="00441563">
        <w:rPr>
          <w:rFonts w:ascii="Verdana" w:hAnsi="Verdana"/>
          <w:sz w:val="16"/>
          <w:szCs w:val="16"/>
        </w:rPr>
        <w:t xml:space="preserve"> został dokonany według niewłaściwej metodologii, która nie rekompensuje w pełni każdej JST ubytków w dochodach z PIT.</w:t>
      </w:r>
    </w:p>
    <w:p w:rsidR="008A572A" w:rsidRPr="00011AAA" w:rsidRDefault="008A572A" w:rsidP="008A572A">
      <w:pPr>
        <w:autoSpaceDE w:val="0"/>
        <w:autoSpaceDN w:val="0"/>
        <w:adjustRightInd w:val="0"/>
        <w:spacing w:before="60" w:after="60"/>
        <w:ind w:firstLine="567"/>
        <w:jc w:val="both"/>
        <w:rPr>
          <w:rFonts w:ascii="Verdana" w:hAnsi="Verdana" w:cs="Arial"/>
          <w:sz w:val="16"/>
          <w:szCs w:val="16"/>
        </w:rPr>
      </w:pPr>
      <w:r>
        <w:rPr>
          <w:rFonts w:ascii="Verdana" w:hAnsi="Verdana" w:cs="Arial"/>
          <w:sz w:val="16"/>
          <w:szCs w:val="16"/>
        </w:rPr>
        <w:t>Jednakże ustawą z</w:t>
      </w:r>
      <w:r w:rsidRPr="001431CA">
        <w:rPr>
          <w:rFonts w:ascii="Verdana" w:hAnsi="Verdana" w:cs="Arial"/>
          <w:sz w:val="16"/>
          <w:szCs w:val="16"/>
        </w:rPr>
        <w:t xml:space="preserve"> dnia 15 września 2022 r.</w:t>
      </w:r>
      <w:r>
        <w:rPr>
          <w:rFonts w:ascii="Verdana" w:hAnsi="Verdana" w:cs="Arial"/>
          <w:sz w:val="16"/>
          <w:szCs w:val="16"/>
        </w:rPr>
        <w:t xml:space="preserve"> </w:t>
      </w:r>
      <w:r w:rsidRPr="001431CA">
        <w:rPr>
          <w:rFonts w:ascii="Verdana" w:hAnsi="Verdana" w:cs="Arial"/>
          <w:sz w:val="16"/>
          <w:szCs w:val="16"/>
        </w:rPr>
        <w:t>o zmianie ustawy o dochodach jednostek samorządu terytorialnego oraz niektórych innych ustaw</w:t>
      </w:r>
      <w:r>
        <w:rPr>
          <w:rFonts w:ascii="Verdana" w:hAnsi="Verdana" w:cs="Arial"/>
          <w:sz w:val="16"/>
          <w:szCs w:val="16"/>
        </w:rPr>
        <w:t xml:space="preserve"> zawieszono w 2023 r. wypłatę dla wszystkich JST, w tym także dla m.st. Warszawy, części </w:t>
      </w:r>
      <w:r w:rsidRPr="00537533">
        <w:rPr>
          <w:rFonts w:ascii="Verdana" w:hAnsi="Verdana"/>
          <w:sz w:val="16"/>
          <w:szCs w:val="16"/>
        </w:rPr>
        <w:t>rozwojow</w:t>
      </w:r>
      <w:r>
        <w:rPr>
          <w:rFonts w:ascii="Verdana" w:hAnsi="Verdana"/>
          <w:sz w:val="16"/>
          <w:szCs w:val="16"/>
        </w:rPr>
        <w:t>ej</w:t>
      </w:r>
      <w:r w:rsidRPr="00537533">
        <w:rPr>
          <w:rFonts w:ascii="Verdana" w:hAnsi="Verdana"/>
          <w:sz w:val="16"/>
          <w:szCs w:val="16"/>
        </w:rPr>
        <w:t xml:space="preserve"> subwencji ogólnej</w:t>
      </w:r>
      <w:r>
        <w:rPr>
          <w:rFonts w:ascii="Verdana" w:hAnsi="Verdana"/>
          <w:sz w:val="16"/>
          <w:szCs w:val="16"/>
        </w:rPr>
        <w:t xml:space="preserve">. Jednocześnie przepisy ww. nowelizacji ustawy przewidują wypłatę w 2022 r. środków w postaci dodatkowego PIT w kwocie </w:t>
      </w:r>
      <w:r>
        <w:rPr>
          <w:rFonts w:ascii="Verdana" w:hAnsi="Verdana"/>
          <w:b/>
          <w:sz w:val="16"/>
          <w:szCs w:val="16"/>
        </w:rPr>
        <w:t>852</w:t>
      </w:r>
      <w:r w:rsidRPr="00E569B8">
        <w:rPr>
          <w:rFonts w:ascii="Verdana" w:hAnsi="Verdana"/>
          <w:b/>
          <w:sz w:val="16"/>
          <w:szCs w:val="16"/>
        </w:rPr>
        <w:t xml:space="preserve"> mln zł</w:t>
      </w:r>
      <w:r>
        <w:rPr>
          <w:rFonts w:ascii="Verdana" w:hAnsi="Verdana"/>
          <w:sz w:val="16"/>
          <w:szCs w:val="16"/>
        </w:rPr>
        <w:t xml:space="preserve">, czyli o </w:t>
      </w:r>
      <w:r>
        <w:rPr>
          <w:rFonts w:ascii="Verdana" w:hAnsi="Verdana"/>
          <w:b/>
          <w:sz w:val="16"/>
          <w:szCs w:val="16"/>
        </w:rPr>
        <w:t>316 mln z</w:t>
      </w:r>
      <w:r w:rsidRPr="00E569B8">
        <w:rPr>
          <w:rFonts w:ascii="Verdana" w:hAnsi="Verdana"/>
          <w:b/>
          <w:sz w:val="16"/>
          <w:szCs w:val="16"/>
        </w:rPr>
        <w:t>ł</w:t>
      </w:r>
      <w:r>
        <w:rPr>
          <w:rFonts w:ascii="Verdana" w:hAnsi="Verdana"/>
          <w:sz w:val="16"/>
          <w:szCs w:val="16"/>
        </w:rPr>
        <w:t xml:space="preserve"> mniejszej niż pierwotnie planowana część rozwojowa subwencji ogólnej.</w:t>
      </w:r>
    </w:p>
    <w:p w:rsidR="008A572A" w:rsidRDefault="008A572A" w:rsidP="008A572A">
      <w:pPr>
        <w:spacing w:before="60" w:after="60"/>
        <w:ind w:firstLine="540"/>
        <w:jc w:val="both"/>
        <w:rPr>
          <w:rFonts w:ascii="Verdana" w:hAnsi="Verdana"/>
          <w:sz w:val="16"/>
          <w:szCs w:val="16"/>
        </w:rPr>
      </w:pPr>
      <w:r w:rsidRPr="000A6485">
        <w:rPr>
          <w:rFonts w:ascii="Verdana" w:hAnsi="Verdana"/>
          <w:sz w:val="16"/>
          <w:szCs w:val="16"/>
        </w:rPr>
        <w:lastRenderedPageBreak/>
        <w:t>Prognozuje się, że</w:t>
      </w:r>
      <w:r>
        <w:rPr>
          <w:rFonts w:ascii="Verdana" w:hAnsi="Verdana"/>
          <w:sz w:val="16"/>
          <w:szCs w:val="16"/>
        </w:rPr>
        <w:t xml:space="preserve"> w kolejnych latach </w:t>
      </w:r>
      <w:r w:rsidRPr="000A6485">
        <w:rPr>
          <w:rFonts w:ascii="Verdana" w:hAnsi="Verdana"/>
          <w:sz w:val="16"/>
          <w:szCs w:val="16"/>
        </w:rPr>
        <w:t xml:space="preserve">wpływy m.st. Warszawy z </w:t>
      </w:r>
      <w:r>
        <w:rPr>
          <w:rFonts w:ascii="Verdana" w:hAnsi="Verdana" w:cs="Arial"/>
          <w:sz w:val="16"/>
          <w:szCs w:val="16"/>
        </w:rPr>
        <w:t>części rozwojowej subwencji ogólnej</w:t>
      </w:r>
      <w:r>
        <w:rPr>
          <w:rFonts w:ascii="Verdana" w:hAnsi="Verdana"/>
          <w:sz w:val="16"/>
          <w:szCs w:val="16"/>
        </w:rPr>
        <w:t xml:space="preserve"> w </w:t>
      </w:r>
      <w:r w:rsidRPr="000A6485">
        <w:rPr>
          <w:rFonts w:ascii="Verdana" w:hAnsi="Verdana"/>
          <w:sz w:val="16"/>
          <w:szCs w:val="16"/>
        </w:rPr>
        <w:t>okresie od 202</w:t>
      </w:r>
      <w:r>
        <w:rPr>
          <w:rFonts w:ascii="Verdana" w:hAnsi="Verdana"/>
          <w:sz w:val="16"/>
          <w:szCs w:val="16"/>
        </w:rPr>
        <w:t>4</w:t>
      </w:r>
      <w:r w:rsidRPr="000A6485">
        <w:rPr>
          <w:rFonts w:ascii="Verdana" w:hAnsi="Verdana"/>
          <w:sz w:val="16"/>
          <w:szCs w:val="16"/>
        </w:rPr>
        <w:t xml:space="preserve"> do 202</w:t>
      </w:r>
      <w:r>
        <w:rPr>
          <w:rFonts w:ascii="Verdana" w:hAnsi="Verdana"/>
          <w:sz w:val="16"/>
          <w:szCs w:val="16"/>
        </w:rPr>
        <w:t>7</w:t>
      </w:r>
      <w:r w:rsidRPr="000A6485">
        <w:rPr>
          <w:rFonts w:ascii="Verdana" w:hAnsi="Verdana"/>
          <w:sz w:val="16"/>
          <w:szCs w:val="16"/>
        </w:rPr>
        <w:t xml:space="preserve"> r. wyniosą łącznie </w:t>
      </w:r>
      <w:r>
        <w:rPr>
          <w:rFonts w:ascii="Verdana" w:hAnsi="Verdana"/>
          <w:b/>
          <w:sz w:val="16"/>
          <w:szCs w:val="16"/>
        </w:rPr>
        <w:t>888 mln</w:t>
      </w:r>
      <w:r w:rsidRPr="000A6485">
        <w:rPr>
          <w:rFonts w:ascii="Verdana" w:hAnsi="Verdana"/>
          <w:b/>
          <w:sz w:val="16"/>
          <w:szCs w:val="16"/>
        </w:rPr>
        <w:t xml:space="preserve"> zł</w:t>
      </w:r>
      <w:r w:rsidRPr="000A6485">
        <w:rPr>
          <w:rFonts w:ascii="Verdana" w:hAnsi="Verdana"/>
          <w:sz w:val="16"/>
          <w:szCs w:val="16"/>
        </w:rPr>
        <w:t xml:space="preserve">, co będzie stanowiło </w:t>
      </w:r>
      <w:r>
        <w:rPr>
          <w:rFonts w:ascii="Verdana" w:hAnsi="Verdana"/>
          <w:b/>
          <w:sz w:val="16"/>
          <w:szCs w:val="16"/>
        </w:rPr>
        <w:t>0,9</w:t>
      </w:r>
      <w:r w:rsidRPr="000A6485">
        <w:rPr>
          <w:rFonts w:ascii="Verdana" w:hAnsi="Verdana"/>
          <w:b/>
          <w:sz w:val="16"/>
          <w:szCs w:val="16"/>
        </w:rPr>
        <w:t>%</w:t>
      </w:r>
      <w:r w:rsidRPr="000A6485">
        <w:rPr>
          <w:rFonts w:ascii="Verdana" w:hAnsi="Verdana"/>
          <w:sz w:val="16"/>
          <w:szCs w:val="16"/>
        </w:rPr>
        <w:t xml:space="preserve"> planowanych do realizacji w tym okresie dochodów ogółem.</w:t>
      </w:r>
    </w:p>
    <w:p w:rsidR="008A572A" w:rsidRDefault="008A572A" w:rsidP="008A572A">
      <w:pPr>
        <w:spacing w:before="60" w:after="60"/>
        <w:ind w:firstLine="540"/>
        <w:jc w:val="both"/>
        <w:rPr>
          <w:rFonts w:ascii="Verdana" w:hAnsi="Verdana"/>
          <w:sz w:val="16"/>
          <w:szCs w:val="16"/>
        </w:rPr>
      </w:pPr>
      <w:r>
        <w:rPr>
          <w:rFonts w:ascii="Verdana" w:hAnsi="Verdana"/>
          <w:sz w:val="16"/>
          <w:szCs w:val="16"/>
        </w:rPr>
        <w:t xml:space="preserve">Wpływy z części rozwojowej w 2024 r. ujęte w Wieloletniej Prognozie Finansowej Miasta wynoszą </w:t>
      </w:r>
      <w:r>
        <w:rPr>
          <w:rFonts w:ascii="Verdana" w:hAnsi="Verdana"/>
          <w:b/>
          <w:sz w:val="16"/>
          <w:szCs w:val="16"/>
        </w:rPr>
        <w:t>261 mln </w:t>
      </w:r>
      <w:r w:rsidRPr="00CD3CA6">
        <w:rPr>
          <w:rFonts w:ascii="Verdana" w:hAnsi="Verdana"/>
          <w:b/>
          <w:sz w:val="16"/>
          <w:szCs w:val="16"/>
        </w:rPr>
        <w:t>zł</w:t>
      </w:r>
      <w:r>
        <w:rPr>
          <w:rFonts w:ascii="Verdana" w:hAnsi="Verdana"/>
          <w:sz w:val="16"/>
          <w:szCs w:val="16"/>
        </w:rPr>
        <w:t xml:space="preserve"> i są wyższe niż kwoty ujęte w kolejnych latach w związku z </w:t>
      </w:r>
      <w:r>
        <w:rPr>
          <w:rFonts w:ascii="Verdana" w:hAnsi="Verdana" w:cs="Verdana"/>
          <w:sz w:val="16"/>
          <w:szCs w:val="16"/>
        </w:rPr>
        <w:t xml:space="preserve">ustawową korektą prognoz dochodów z PIT i CIT z tytułu różnic pomiędzy prognozami i ich faktyczną realizacją. W oparciu o </w:t>
      </w:r>
      <w:r w:rsidRPr="00211E25">
        <w:rPr>
          <w:rFonts w:ascii="Verdana" w:hAnsi="Verdana" w:cs="Verdana"/>
          <w:sz w:val="16"/>
          <w:szCs w:val="16"/>
        </w:rPr>
        <w:t>przewidywane wykonanie dochodów</w:t>
      </w:r>
      <w:r>
        <w:rPr>
          <w:rFonts w:ascii="Verdana" w:hAnsi="Verdana" w:cs="Verdana"/>
          <w:sz w:val="16"/>
          <w:szCs w:val="16"/>
        </w:rPr>
        <w:t xml:space="preserve"> w tych źródłach</w:t>
      </w:r>
      <w:r w:rsidRPr="00211E25">
        <w:rPr>
          <w:rFonts w:ascii="Verdana" w:hAnsi="Verdana" w:cs="Verdana"/>
          <w:sz w:val="16"/>
          <w:szCs w:val="16"/>
        </w:rPr>
        <w:t xml:space="preserve"> ujęt</w:t>
      </w:r>
      <w:r>
        <w:rPr>
          <w:rFonts w:ascii="Verdana" w:hAnsi="Verdana" w:cs="Verdana"/>
          <w:sz w:val="16"/>
          <w:szCs w:val="16"/>
        </w:rPr>
        <w:t>e w </w:t>
      </w:r>
      <w:r w:rsidRPr="00211E25">
        <w:rPr>
          <w:rFonts w:ascii="Verdana" w:hAnsi="Verdana" w:cs="Verdana"/>
          <w:sz w:val="16"/>
          <w:szCs w:val="16"/>
        </w:rPr>
        <w:t>projekcie budżetu państwa</w:t>
      </w:r>
      <w:r>
        <w:rPr>
          <w:rFonts w:ascii="Verdana" w:hAnsi="Verdana" w:cs="Verdana"/>
          <w:sz w:val="16"/>
          <w:szCs w:val="16"/>
        </w:rPr>
        <w:t xml:space="preserve"> na 2023 r.</w:t>
      </w:r>
      <w:r w:rsidRPr="00211E25">
        <w:rPr>
          <w:rFonts w:ascii="Verdana" w:hAnsi="Verdana" w:cs="Verdana"/>
          <w:sz w:val="16"/>
          <w:szCs w:val="16"/>
        </w:rPr>
        <w:t xml:space="preserve"> </w:t>
      </w:r>
      <w:r>
        <w:rPr>
          <w:rFonts w:ascii="Verdana" w:hAnsi="Verdana" w:cs="Verdana"/>
          <w:sz w:val="16"/>
          <w:szCs w:val="16"/>
        </w:rPr>
        <w:t>szacuje się, że ł</w:t>
      </w:r>
      <w:r w:rsidRPr="00211E25">
        <w:rPr>
          <w:rFonts w:ascii="Verdana" w:hAnsi="Verdana" w:cs="Verdana"/>
          <w:sz w:val="16"/>
          <w:szCs w:val="16"/>
        </w:rPr>
        <w:t>ączna korekta dochodów Warszawy w 2024 r. z tytułu realizacji</w:t>
      </w:r>
      <w:r>
        <w:rPr>
          <w:rFonts w:ascii="Verdana" w:hAnsi="Verdana" w:cs="Verdana"/>
          <w:sz w:val="16"/>
          <w:szCs w:val="16"/>
        </w:rPr>
        <w:t xml:space="preserve"> planu PIT i CIT w 2022 r. wynie</w:t>
      </w:r>
      <w:r w:rsidRPr="00211E25">
        <w:rPr>
          <w:rFonts w:ascii="Verdana" w:hAnsi="Verdana" w:cs="Verdana"/>
          <w:sz w:val="16"/>
          <w:szCs w:val="16"/>
        </w:rPr>
        <w:t>s</w:t>
      </w:r>
      <w:r>
        <w:rPr>
          <w:rFonts w:ascii="Verdana" w:hAnsi="Verdana" w:cs="Verdana"/>
          <w:sz w:val="16"/>
          <w:szCs w:val="16"/>
        </w:rPr>
        <w:t>ie</w:t>
      </w:r>
      <w:r w:rsidRPr="00211E25">
        <w:rPr>
          <w:rFonts w:ascii="Verdana" w:hAnsi="Verdana" w:cs="Verdana"/>
          <w:sz w:val="16"/>
          <w:szCs w:val="16"/>
        </w:rPr>
        <w:t xml:space="preserve"> in minus </w:t>
      </w:r>
      <w:r w:rsidRPr="00211E25">
        <w:rPr>
          <w:rFonts w:ascii="Verdana" w:hAnsi="Verdana" w:cs="Verdana"/>
          <w:b/>
          <w:sz w:val="16"/>
          <w:szCs w:val="16"/>
        </w:rPr>
        <w:t>541 mln zł</w:t>
      </w:r>
      <w:r>
        <w:rPr>
          <w:rFonts w:ascii="Verdana" w:hAnsi="Verdana" w:cs="Verdana"/>
          <w:b/>
          <w:sz w:val="16"/>
          <w:szCs w:val="16"/>
        </w:rPr>
        <w:t>.</w:t>
      </w:r>
    </w:p>
    <w:p w:rsidR="008A572A" w:rsidRPr="00BC3D02" w:rsidRDefault="008A572A" w:rsidP="008A572A">
      <w:pPr>
        <w:spacing w:before="60" w:after="60"/>
        <w:ind w:firstLine="540"/>
        <w:jc w:val="both"/>
        <w:rPr>
          <w:rFonts w:ascii="Verdana" w:hAnsi="Verdana" w:cs="Verdana"/>
          <w:sz w:val="16"/>
          <w:szCs w:val="16"/>
        </w:rPr>
      </w:pPr>
      <w:r w:rsidRPr="00211E25">
        <w:rPr>
          <w:rFonts w:ascii="Verdana" w:hAnsi="Verdana"/>
          <w:sz w:val="16"/>
          <w:szCs w:val="16"/>
        </w:rPr>
        <w:t>W związku z powyższą korektą część rozwojowa subwe</w:t>
      </w:r>
      <w:r>
        <w:rPr>
          <w:rFonts w:ascii="Verdana" w:hAnsi="Verdana"/>
          <w:sz w:val="16"/>
          <w:szCs w:val="16"/>
        </w:rPr>
        <w:t xml:space="preserve">ncji ogólnej </w:t>
      </w:r>
      <w:r w:rsidRPr="00211E25">
        <w:rPr>
          <w:rFonts w:ascii="Verdana" w:hAnsi="Verdana"/>
          <w:sz w:val="16"/>
          <w:szCs w:val="16"/>
        </w:rPr>
        <w:t>dla Warszawy</w:t>
      </w:r>
      <w:r>
        <w:rPr>
          <w:rFonts w:ascii="Verdana" w:hAnsi="Verdana"/>
          <w:sz w:val="16"/>
          <w:szCs w:val="16"/>
        </w:rPr>
        <w:t xml:space="preserve"> będzie wyższa</w:t>
      </w:r>
      <w:r w:rsidRPr="00211E25">
        <w:rPr>
          <w:rFonts w:ascii="Verdana" w:hAnsi="Verdana"/>
          <w:sz w:val="16"/>
          <w:szCs w:val="16"/>
        </w:rPr>
        <w:t xml:space="preserve"> o</w:t>
      </w:r>
      <w:r>
        <w:rPr>
          <w:rFonts w:ascii="Verdana" w:hAnsi="Verdana"/>
          <w:sz w:val="16"/>
          <w:szCs w:val="16"/>
        </w:rPr>
        <w:t> </w:t>
      </w:r>
      <w:r>
        <w:rPr>
          <w:rFonts w:ascii="Verdana" w:hAnsi="Verdana"/>
          <w:b/>
          <w:sz w:val="16"/>
          <w:szCs w:val="16"/>
        </w:rPr>
        <w:t>162,6 </w:t>
      </w:r>
      <w:r w:rsidRPr="00211E25">
        <w:rPr>
          <w:rFonts w:ascii="Verdana" w:hAnsi="Verdana"/>
          <w:b/>
          <w:sz w:val="16"/>
          <w:szCs w:val="16"/>
        </w:rPr>
        <w:t>mln zł</w:t>
      </w:r>
      <w:r w:rsidRPr="00211E25">
        <w:rPr>
          <w:rFonts w:ascii="Verdana" w:hAnsi="Verdana"/>
          <w:sz w:val="16"/>
          <w:szCs w:val="16"/>
        </w:rPr>
        <w:t xml:space="preserve"> w porównaniu gdyby korekt</w:t>
      </w:r>
      <w:r>
        <w:rPr>
          <w:rFonts w:ascii="Verdana" w:hAnsi="Verdana"/>
          <w:sz w:val="16"/>
          <w:szCs w:val="16"/>
        </w:rPr>
        <w:t>a</w:t>
      </w:r>
      <w:r w:rsidRPr="00211E25">
        <w:rPr>
          <w:rFonts w:ascii="Verdana" w:hAnsi="Verdana"/>
          <w:sz w:val="16"/>
          <w:szCs w:val="16"/>
        </w:rPr>
        <w:t xml:space="preserve"> dochodów w 2024 r. nie wystąpiła. </w:t>
      </w:r>
    </w:p>
    <w:p w:rsidR="008A572A" w:rsidRDefault="008A572A" w:rsidP="008A572A">
      <w:pPr>
        <w:tabs>
          <w:tab w:val="left" w:pos="2962"/>
        </w:tabs>
        <w:spacing w:before="60" w:after="60"/>
        <w:jc w:val="both"/>
        <w:rPr>
          <w:rFonts w:ascii="Verdana" w:hAnsi="Verdana"/>
          <w:sz w:val="16"/>
          <w:szCs w:val="16"/>
        </w:rPr>
      </w:pPr>
      <w:r>
        <w:rPr>
          <w:rFonts w:ascii="Verdana" w:hAnsi="Verdana"/>
          <w:sz w:val="16"/>
          <w:szCs w:val="16"/>
        </w:rPr>
        <w:t>W</w:t>
      </w:r>
      <w:r w:rsidRPr="00211E25">
        <w:rPr>
          <w:rFonts w:ascii="Verdana" w:hAnsi="Verdana"/>
          <w:sz w:val="16"/>
          <w:szCs w:val="16"/>
        </w:rPr>
        <w:t xml:space="preserve"> kolejnych latach prognozy Wieloletnia Prognoza Finansowa m.st. Warszawy nie przewiduje ustawowej korekty prognozy z tytułu różnic pomiędzy prognozą i jej realizacją</w:t>
      </w:r>
      <w:r>
        <w:rPr>
          <w:rFonts w:ascii="Verdana" w:hAnsi="Verdana"/>
          <w:sz w:val="16"/>
          <w:szCs w:val="16"/>
        </w:rPr>
        <w:t xml:space="preserve"> w zakresie dochodów z PIT i CIT i w związku z tym wpływy z części rozwojowej w 2025 r. wyniosą </w:t>
      </w:r>
      <w:r w:rsidRPr="0053276C">
        <w:rPr>
          <w:rFonts w:ascii="Verdana" w:hAnsi="Verdana"/>
          <w:b/>
          <w:sz w:val="16"/>
          <w:szCs w:val="16"/>
        </w:rPr>
        <w:t>139 mln zł</w:t>
      </w:r>
      <w:r>
        <w:rPr>
          <w:rFonts w:ascii="Verdana" w:hAnsi="Verdana"/>
          <w:sz w:val="16"/>
          <w:szCs w:val="16"/>
        </w:rPr>
        <w:t xml:space="preserve"> i będą niższe niż w 2024 r. Przewiduje się, że w kolejnych latach zostanie odnotowana wysoka dynamika wpływów w tym źródle w związku z prognozowanym szybszym wzrostem kwoty referencyjnej od założonego w WPF wzrostu dochodów z PIT i CIT. W 2026 r. planuje się dochody z </w:t>
      </w:r>
      <w:r>
        <w:rPr>
          <w:rFonts w:ascii="Verdana" w:hAnsi="Verdana" w:cs="Arial"/>
          <w:sz w:val="16"/>
          <w:szCs w:val="16"/>
        </w:rPr>
        <w:t xml:space="preserve">części </w:t>
      </w:r>
      <w:r w:rsidRPr="00537533">
        <w:rPr>
          <w:rFonts w:ascii="Verdana" w:hAnsi="Verdana"/>
          <w:sz w:val="16"/>
          <w:szCs w:val="16"/>
        </w:rPr>
        <w:t>rozwojow</w:t>
      </w:r>
      <w:r>
        <w:rPr>
          <w:rFonts w:ascii="Verdana" w:hAnsi="Verdana"/>
          <w:sz w:val="16"/>
          <w:szCs w:val="16"/>
        </w:rPr>
        <w:t>ej</w:t>
      </w:r>
      <w:r w:rsidRPr="00537533">
        <w:rPr>
          <w:rFonts w:ascii="Verdana" w:hAnsi="Verdana"/>
          <w:sz w:val="16"/>
          <w:szCs w:val="16"/>
        </w:rPr>
        <w:t xml:space="preserve"> subwencji ogólnej</w:t>
      </w:r>
      <w:r>
        <w:rPr>
          <w:rFonts w:ascii="Verdana" w:hAnsi="Verdana"/>
          <w:sz w:val="16"/>
          <w:szCs w:val="16"/>
        </w:rPr>
        <w:t xml:space="preserve"> w kwocie </w:t>
      </w:r>
      <w:r w:rsidRPr="0053276C">
        <w:rPr>
          <w:rFonts w:ascii="Verdana" w:hAnsi="Verdana"/>
          <w:b/>
          <w:sz w:val="16"/>
          <w:szCs w:val="16"/>
        </w:rPr>
        <w:t>205 mln zł</w:t>
      </w:r>
      <w:r>
        <w:rPr>
          <w:rFonts w:ascii="Verdana" w:hAnsi="Verdana"/>
          <w:sz w:val="16"/>
          <w:szCs w:val="16"/>
        </w:rPr>
        <w:t xml:space="preserve"> oraz </w:t>
      </w:r>
      <w:r w:rsidRPr="0053276C">
        <w:rPr>
          <w:rFonts w:ascii="Verdana" w:hAnsi="Verdana"/>
          <w:b/>
          <w:sz w:val="16"/>
          <w:szCs w:val="16"/>
        </w:rPr>
        <w:t>283 mln zł</w:t>
      </w:r>
      <w:r>
        <w:rPr>
          <w:rFonts w:ascii="Verdana" w:hAnsi="Verdana"/>
          <w:sz w:val="16"/>
          <w:szCs w:val="16"/>
        </w:rPr>
        <w:t xml:space="preserve"> w 2027 r.</w:t>
      </w:r>
    </w:p>
    <w:p w:rsidR="008A572A" w:rsidRPr="000A6485" w:rsidRDefault="008A572A" w:rsidP="008A572A">
      <w:pPr>
        <w:spacing w:before="240" w:after="240"/>
        <w:ind w:left="1077" w:hanging="1077"/>
        <w:rPr>
          <w:rFonts w:ascii="Verdana" w:hAnsi="Verdana"/>
          <w:b/>
          <w:bCs/>
          <w:sz w:val="18"/>
          <w:szCs w:val="18"/>
        </w:rPr>
      </w:pPr>
      <w:r w:rsidRPr="000A6485">
        <w:rPr>
          <w:rFonts w:ascii="Verdana" w:hAnsi="Verdana"/>
          <w:b/>
          <w:bCs/>
          <w:sz w:val="18"/>
          <w:szCs w:val="18"/>
        </w:rPr>
        <w:t>7.2.3.4 Prognoza dochodów z dotacji i środków przeznaczonych na cele bieżące</w:t>
      </w:r>
    </w:p>
    <w:p w:rsidR="008A572A" w:rsidRPr="000A6485" w:rsidRDefault="008A572A" w:rsidP="008A572A">
      <w:pPr>
        <w:tabs>
          <w:tab w:val="left" w:pos="0"/>
        </w:tabs>
        <w:spacing w:before="120" w:after="120"/>
        <w:ind w:firstLine="567"/>
        <w:jc w:val="both"/>
        <w:rPr>
          <w:rFonts w:ascii="Verdana" w:hAnsi="Verdana" w:cs="Arial"/>
          <w:b/>
          <w:bCs/>
          <w:sz w:val="16"/>
          <w:szCs w:val="16"/>
        </w:rPr>
      </w:pPr>
      <w:r w:rsidRPr="000A6485">
        <w:rPr>
          <w:rFonts w:ascii="Verdana" w:hAnsi="Verdana"/>
          <w:sz w:val="16"/>
          <w:szCs w:val="16"/>
        </w:rPr>
        <w:t>Wykres nr 2</w:t>
      </w:r>
      <w:r>
        <w:rPr>
          <w:rFonts w:ascii="Verdana" w:hAnsi="Verdana"/>
          <w:sz w:val="16"/>
          <w:szCs w:val="16"/>
        </w:rPr>
        <w:t>5</w:t>
      </w:r>
      <w:r w:rsidRPr="000A6485">
        <w:rPr>
          <w:rFonts w:ascii="Verdana" w:hAnsi="Verdana"/>
          <w:sz w:val="16"/>
          <w:szCs w:val="16"/>
        </w:rPr>
        <w:t xml:space="preserve"> prezentuje prognozowane dochody z dotacji i środków przeznaczonych na cele bieżące </w:t>
      </w:r>
      <w:r w:rsidRPr="000A6485">
        <w:rPr>
          <w:rFonts w:ascii="Verdana" w:hAnsi="Verdana"/>
          <w:sz w:val="16"/>
          <w:szCs w:val="16"/>
        </w:rPr>
        <w:br/>
        <w:t>w poszczególnych latach objętych Prognozą.</w:t>
      </w:r>
    </w:p>
    <w:p w:rsidR="008A572A" w:rsidRPr="000A6485" w:rsidRDefault="008A572A" w:rsidP="008A572A">
      <w:pPr>
        <w:tabs>
          <w:tab w:val="left" w:pos="567"/>
        </w:tabs>
        <w:spacing w:before="240" w:after="60" w:line="240" w:lineRule="auto"/>
        <w:ind w:left="567" w:hanging="567"/>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DB2126">
        <w:rPr>
          <w:rFonts w:ascii="Verdana" w:hAnsi="Verdana" w:cs="Arial"/>
          <w:b/>
          <w:bCs/>
          <w:noProof/>
          <w:sz w:val="14"/>
          <w:szCs w:val="14"/>
        </w:rPr>
        <w:t>25</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Z DOTACJI I ŚRODKÓW PRZEZNACZONYCH NA CELE BIEŻĄCE </w:t>
      </w:r>
      <w:r>
        <w:rPr>
          <w:rFonts w:ascii="Verdana" w:hAnsi="Verdana" w:cs="Arial"/>
          <w:b/>
          <w:bCs/>
          <w:sz w:val="14"/>
          <w:szCs w:val="14"/>
        </w:rPr>
        <w:br/>
        <w:t xml:space="preserve">    M.ST. WARSZAWY NA LATA </w:t>
      </w:r>
      <w:r w:rsidRPr="00932633">
        <w:rPr>
          <w:rFonts w:ascii="Verdana" w:hAnsi="Verdana" w:cs="Arial"/>
          <w:b/>
          <w:bCs/>
          <w:sz w:val="14"/>
          <w:szCs w:val="14"/>
        </w:rPr>
        <w:t>2023</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8A572A" w:rsidRPr="000A6485" w:rsidRDefault="008A572A" w:rsidP="008A572A">
      <w:pPr>
        <w:spacing w:before="120" w:after="120"/>
        <w:jc w:val="both"/>
        <w:rPr>
          <w:rFonts w:ascii="Verdana" w:hAnsi="Verdana"/>
          <w:b/>
          <w:bCs/>
          <w:sz w:val="20"/>
          <w:szCs w:val="20"/>
        </w:rPr>
      </w:pPr>
      <w:r>
        <w:rPr>
          <w:rFonts w:ascii="Verdana" w:hAnsi="Verdana"/>
          <w:b/>
          <w:bCs/>
          <w:noProof/>
          <w:sz w:val="20"/>
          <w:szCs w:val="20"/>
        </w:rPr>
        <w:drawing>
          <wp:inline distT="0" distB="0" distL="0" distR="0">
            <wp:extent cx="5909310" cy="2934335"/>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9310" cy="2934335"/>
                    </a:xfrm>
                    <a:prstGeom prst="rect">
                      <a:avLst/>
                    </a:prstGeom>
                    <a:noFill/>
                    <a:ln>
                      <a:noFill/>
                    </a:ln>
                  </pic:spPr>
                </pic:pic>
              </a:graphicData>
            </a:graphic>
          </wp:inline>
        </w:drawing>
      </w:r>
    </w:p>
    <w:p w:rsidR="008A572A" w:rsidRPr="000A6485" w:rsidRDefault="008A572A" w:rsidP="008A572A">
      <w:pPr>
        <w:spacing w:before="40" w:after="40"/>
        <w:ind w:firstLine="539"/>
        <w:jc w:val="both"/>
        <w:rPr>
          <w:rFonts w:ascii="Verdana" w:hAnsi="Verdana"/>
          <w:sz w:val="16"/>
          <w:szCs w:val="16"/>
        </w:rPr>
      </w:pPr>
      <w:r w:rsidRPr="000A6485">
        <w:rPr>
          <w:rFonts w:ascii="Verdana" w:hAnsi="Verdana"/>
          <w:sz w:val="16"/>
          <w:szCs w:val="16"/>
        </w:rPr>
        <w:t>Prognozuje się, że wpływy m.st. Warszawy z dotacji i środków przeznaczonych na cele bieżące w okresie pierwszych pięciu lat prognozy tj. od 202</w:t>
      </w:r>
      <w:r>
        <w:rPr>
          <w:rFonts w:ascii="Verdana" w:hAnsi="Verdana"/>
          <w:sz w:val="16"/>
          <w:szCs w:val="16"/>
        </w:rPr>
        <w:t>3</w:t>
      </w:r>
      <w:r w:rsidRPr="000A6485">
        <w:rPr>
          <w:rFonts w:ascii="Verdana" w:hAnsi="Verdana"/>
          <w:sz w:val="16"/>
          <w:szCs w:val="16"/>
        </w:rPr>
        <w:t xml:space="preserve"> do 202</w:t>
      </w:r>
      <w:r>
        <w:rPr>
          <w:rFonts w:ascii="Verdana" w:hAnsi="Verdana"/>
          <w:sz w:val="16"/>
          <w:szCs w:val="16"/>
        </w:rPr>
        <w:t>7</w:t>
      </w:r>
      <w:r w:rsidRPr="000A6485">
        <w:rPr>
          <w:rFonts w:ascii="Verdana" w:hAnsi="Verdana"/>
          <w:sz w:val="16"/>
          <w:szCs w:val="16"/>
        </w:rPr>
        <w:t xml:space="preserve"> r. wyniosą łącznie </w:t>
      </w:r>
      <w:r>
        <w:rPr>
          <w:rFonts w:ascii="Verdana" w:hAnsi="Verdana"/>
          <w:b/>
          <w:sz w:val="16"/>
          <w:szCs w:val="16"/>
        </w:rPr>
        <w:t>3,7</w:t>
      </w:r>
      <w:r w:rsidRPr="000A6485">
        <w:rPr>
          <w:rFonts w:ascii="Verdana" w:hAnsi="Verdana"/>
          <w:b/>
          <w:sz w:val="16"/>
          <w:szCs w:val="16"/>
        </w:rPr>
        <w:t xml:space="preserve"> mld zł</w:t>
      </w:r>
      <w:r w:rsidRPr="000A6485">
        <w:rPr>
          <w:rFonts w:ascii="Verdana" w:hAnsi="Verdana"/>
          <w:sz w:val="16"/>
          <w:szCs w:val="16"/>
        </w:rPr>
        <w:t xml:space="preserve">, co będzie stanowiło </w:t>
      </w:r>
      <w:r>
        <w:rPr>
          <w:rFonts w:ascii="Verdana" w:hAnsi="Verdana"/>
          <w:b/>
          <w:sz w:val="16"/>
          <w:szCs w:val="16"/>
        </w:rPr>
        <w:t>3,6</w:t>
      </w:r>
      <w:r w:rsidRPr="000A6485">
        <w:rPr>
          <w:rFonts w:ascii="Verdana" w:hAnsi="Verdana"/>
          <w:b/>
          <w:sz w:val="16"/>
          <w:szCs w:val="16"/>
        </w:rPr>
        <w:t>%</w:t>
      </w:r>
      <w:r w:rsidRPr="000A6485">
        <w:rPr>
          <w:rFonts w:ascii="Verdana" w:hAnsi="Verdana"/>
          <w:sz w:val="16"/>
          <w:szCs w:val="16"/>
        </w:rPr>
        <w:t xml:space="preserve"> planowanych do realizacji w tym okresie dochodów ogółem.</w:t>
      </w:r>
    </w:p>
    <w:p w:rsidR="008A572A" w:rsidRPr="000A6485" w:rsidRDefault="008A572A" w:rsidP="008A572A">
      <w:pPr>
        <w:spacing w:before="40" w:after="40"/>
        <w:ind w:firstLine="567"/>
        <w:jc w:val="both"/>
        <w:rPr>
          <w:rFonts w:ascii="Verdana" w:hAnsi="Verdana"/>
          <w:sz w:val="16"/>
          <w:szCs w:val="16"/>
        </w:rPr>
      </w:pPr>
      <w:r>
        <w:rPr>
          <w:rFonts w:ascii="Verdana" w:hAnsi="Verdana"/>
          <w:sz w:val="16"/>
          <w:szCs w:val="16"/>
        </w:rPr>
        <w:t>Istotną zmianą w planie dotacji z budżetu państwa jest zmniejszenie środków</w:t>
      </w:r>
      <w:r w:rsidRPr="00621F36">
        <w:rPr>
          <w:rFonts w:ascii="Verdana" w:hAnsi="Verdana"/>
          <w:sz w:val="16"/>
          <w:szCs w:val="16"/>
        </w:rPr>
        <w:t xml:space="preserve"> na realiza</w:t>
      </w:r>
      <w:r>
        <w:rPr>
          <w:rFonts w:ascii="Verdana" w:hAnsi="Verdana"/>
          <w:sz w:val="16"/>
          <w:szCs w:val="16"/>
        </w:rPr>
        <w:t xml:space="preserve">cję programu „Rodzina 500 Plus” w związku </w:t>
      </w:r>
      <w:r w:rsidRPr="00004AD8">
        <w:rPr>
          <w:rFonts w:ascii="Verdana" w:hAnsi="Verdana"/>
          <w:sz w:val="16"/>
          <w:szCs w:val="16"/>
        </w:rPr>
        <w:t>przeniesi</w:t>
      </w:r>
      <w:r>
        <w:rPr>
          <w:rFonts w:ascii="Verdana" w:hAnsi="Verdana"/>
          <w:sz w:val="16"/>
          <w:szCs w:val="16"/>
        </w:rPr>
        <w:t>e</w:t>
      </w:r>
      <w:r w:rsidRPr="00004AD8">
        <w:rPr>
          <w:rFonts w:ascii="Verdana" w:hAnsi="Verdana"/>
          <w:sz w:val="16"/>
          <w:szCs w:val="16"/>
        </w:rPr>
        <w:t>n</w:t>
      </w:r>
      <w:r>
        <w:rPr>
          <w:rFonts w:ascii="Verdana" w:hAnsi="Verdana"/>
          <w:sz w:val="16"/>
          <w:szCs w:val="16"/>
        </w:rPr>
        <w:t>iem</w:t>
      </w:r>
      <w:r w:rsidRPr="00004AD8">
        <w:rPr>
          <w:rFonts w:ascii="Verdana" w:hAnsi="Verdana"/>
          <w:sz w:val="16"/>
          <w:szCs w:val="16"/>
        </w:rPr>
        <w:t xml:space="preserve"> </w:t>
      </w:r>
      <w:r>
        <w:rPr>
          <w:rFonts w:ascii="Verdana" w:hAnsi="Verdana"/>
          <w:sz w:val="16"/>
          <w:szCs w:val="16"/>
        </w:rPr>
        <w:t>od 1 czerwca</w:t>
      </w:r>
      <w:r w:rsidRPr="00004AD8">
        <w:rPr>
          <w:rFonts w:ascii="Verdana" w:hAnsi="Verdana"/>
          <w:sz w:val="16"/>
          <w:szCs w:val="16"/>
        </w:rPr>
        <w:t xml:space="preserve"> 2022 r. z JST do Zakładu Ubezpieczeń Społecznych</w:t>
      </w:r>
      <w:r>
        <w:rPr>
          <w:rFonts w:ascii="Verdana" w:hAnsi="Verdana"/>
          <w:sz w:val="16"/>
          <w:szCs w:val="16"/>
        </w:rPr>
        <w:t xml:space="preserve"> zadania</w:t>
      </w:r>
      <w:r w:rsidRPr="00004AD8">
        <w:rPr>
          <w:rFonts w:ascii="Verdana" w:hAnsi="Verdana"/>
          <w:sz w:val="16"/>
          <w:szCs w:val="16"/>
        </w:rPr>
        <w:t xml:space="preserve"> polegające</w:t>
      </w:r>
      <w:r>
        <w:rPr>
          <w:rFonts w:ascii="Verdana" w:hAnsi="Verdana"/>
          <w:sz w:val="16"/>
          <w:szCs w:val="16"/>
        </w:rPr>
        <w:t>go</w:t>
      </w:r>
      <w:r w:rsidRPr="00004AD8">
        <w:rPr>
          <w:rFonts w:ascii="Verdana" w:hAnsi="Verdana"/>
          <w:sz w:val="16"/>
          <w:szCs w:val="16"/>
        </w:rPr>
        <w:t xml:space="preserve"> na</w:t>
      </w:r>
      <w:r>
        <w:rPr>
          <w:rFonts w:ascii="Verdana" w:hAnsi="Verdana"/>
          <w:sz w:val="16"/>
          <w:szCs w:val="16"/>
        </w:rPr>
        <w:t xml:space="preserve"> </w:t>
      </w:r>
      <w:r w:rsidRPr="00004AD8">
        <w:rPr>
          <w:rFonts w:ascii="Verdana" w:hAnsi="Verdana"/>
          <w:sz w:val="16"/>
          <w:szCs w:val="16"/>
        </w:rPr>
        <w:t>obsłudze</w:t>
      </w:r>
      <w:r>
        <w:rPr>
          <w:rFonts w:ascii="Verdana" w:hAnsi="Verdana"/>
          <w:sz w:val="16"/>
          <w:szCs w:val="16"/>
        </w:rPr>
        <w:t xml:space="preserve"> tego programu n</w:t>
      </w:r>
      <w:r w:rsidRPr="00004AD8">
        <w:rPr>
          <w:rFonts w:ascii="Verdana" w:hAnsi="Verdana"/>
          <w:sz w:val="16"/>
          <w:szCs w:val="16"/>
        </w:rPr>
        <w:t xml:space="preserve">a mocy nowelizacji z </w:t>
      </w:r>
      <w:r>
        <w:rPr>
          <w:rFonts w:ascii="Verdana" w:hAnsi="Verdana"/>
          <w:sz w:val="16"/>
          <w:szCs w:val="16"/>
        </w:rPr>
        <w:t>1</w:t>
      </w:r>
      <w:r w:rsidRPr="00004AD8">
        <w:rPr>
          <w:rFonts w:ascii="Verdana" w:hAnsi="Verdana"/>
          <w:sz w:val="16"/>
          <w:szCs w:val="16"/>
        </w:rPr>
        <w:t xml:space="preserve">7 września 2021 roku ustawy </w:t>
      </w:r>
      <w:r>
        <w:rPr>
          <w:rFonts w:ascii="Verdana" w:hAnsi="Verdana"/>
          <w:i/>
          <w:sz w:val="16"/>
          <w:szCs w:val="16"/>
        </w:rPr>
        <w:t>o </w:t>
      </w:r>
      <w:r w:rsidRPr="00D1589B">
        <w:rPr>
          <w:rFonts w:ascii="Verdana" w:hAnsi="Verdana"/>
          <w:i/>
          <w:sz w:val="16"/>
          <w:szCs w:val="16"/>
        </w:rPr>
        <w:t xml:space="preserve">pomocy </w:t>
      </w:r>
      <w:r w:rsidRPr="00D1589B">
        <w:rPr>
          <w:rFonts w:ascii="Verdana" w:hAnsi="Verdana"/>
          <w:i/>
          <w:sz w:val="16"/>
          <w:szCs w:val="16"/>
        </w:rPr>
        <w:lastRenderedPageBreak/>
        <w:t>państwa w wychowaniu dzieci oraz niektórych innych ustaw</w:t>
      </w:r>
      <w:r>
        <w:rPr>
          <w:rFonts w:ascii="Verdana" w:hAnsi="Verdana"/>
          <w:sz w:val="16"/>
          <w:szCs w:val="16"/>
        </w:rPr>
        <w:t xml:space="preserve"> (Dz. U. poz. 1981). Począwszy od 2023 r. nie zaplanowano dochodów z tego tytułu, które w 2021 r., w ostatnim pełnym roku obsługi programu przez JST wyniosły </w:t>
      </w:r>
      <w:r>
        <w:rPr>
          <w:rFonts w:ascii="Verdana" w:hAnsi="Verdana"/>
          <w:b/>
          <w:sz w:val="16"/>
          <w:szCs w:val="16"/>
        </w:rPr>
        <w:t>2,0 mld zł.</w:t>
      </w:r>
    </w:p>
    <w:p w:rsidR="008A572A" w:rsidRPr="000A6485" w:rsidRDefault="008A572A" w:rsidP="008A572A">
      <w:pPr>
        <w:spacing w:before="240" w:after="120" w:line="240" w:lineRule="auto"/>
        <w:rPr>
          <w:rFonts w:ascii="Verdana" w:hAnsi="Verdana"/>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DB2126">
        <w:rPr>
          <w:rFonts w:ascii="Verdana" w:hAnsi="Verdana" w:cs="Arial"/>
          <w:b/>
          <w:bCs/>
          <w:noProof/>
          <w:sz w:val="14"/>
          <w:szCs w:val="14"/>
        </w:rPr>
        <w:t>26</w:t>
      </w:r>
      <w:r w:rsidRPr="000A6485">
        <w:rPr>
          <w:rFonts w:ascii="Verdana" w:hAnsi="Verdana" w:cs="Arial"/>
          <w:b/>
          <w:bCs/>
          <w:sz w:val="14"/>
          <w:szCs w:val="14"/>
        </w:rPr>
        <w:fldChar w:fldCharType="end"/>
      </w:r>
      <w:r w:rsidRPr="000A6485">
        <w:rPr>
          <w:rFonts w:ascii="Verdana" w:hAnsi="Verdana" w:cs="Arial"/>
          <w:b/>
          <w:bCs/>
          <w:sz w:val="14"/>
          <w:szCs w:val="14"/>
        </w:rPr>
        <w:t xml:space="preserve">  PROGNOZOWANA ZMIANA PROCENTOWA ROK DO ROKU DOCHODÓW Z DOTACJI I ŚRODKÓW </w:t>
      </w:r>
      <w:r w:rsidRPr="000A6485">
        <w:rPr>
          <w:rFonts w:ascii="Verdana" w:hAnsi="Verdana" w:cs="Arial"/>
          <w:b/>
          <w:bCs/>
          <w:sz w:val="14"/>
          <w:szCs w:val="14"/>
        </w:rPr>
        <w:br/>
        <w:t xml:space="preserve">                PRZEZNACZONYCH NA CELE BIE</w:t>
      </w:r>
      <w:r>
        <w:rPr>
          <w:rFonts w:ascii="Verdana" w:hAnsi="Verdana" w:cs="Arial"/>
          <w:b/>
          <w:bCs/>
          <w:sz w:val="14"/>
          <w:szCs w:val="14"/>
        </w:rPr>
        <w:t xml:space="preserve">ŻĄCE M.ST. WARSZAWY NA LATA </w:t>
      </w:r>
      <w:r w:rsidRPr="00932633">
        <w:rPr>
          <w:rFonts w:ascii="Verdana" w:hAnsi="Verdana" w:cs="Arial"/>
          <w:b/>
          <w:bCs/>
          <w:sz w:val="14"/>
          <w:szCs w:val="14"/>
        </w:rPr>
        <w:t>2023</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w:t>
      </w:r>
    </w:p>
    <w:p w:rsidR="008A572A" w:rsidRPr="000A6485" w:rsidRDefault="008A572A" w:rsidP="008A572A">
      <w:pPr>
        <w:spacing w:before="120" w:after="120"/>
        <w:jc w:val="both"/>
        <w:rPr>
          <w:rFonts w:ascii="Verdana" w:hAnsi="Verdana"/>
          <w:sz w:val="18"/>
          <w:szCs w:val="18"/>
        </w:rPr>
      </w:pPr>
      <w:r>
        <w:rPr>
          <w:rFonts w:ascii="Verdana" w:hAnsi="Verdana"/>
          <w:noProof/>
          <w:sz w:val="18"/>
          <w:szCs w:val="18"/>
        </w:rPr>
        <w:drawing>
          <wp:inline distT="0" distB="0" distL="0" distR="0">
            <wp:extent cx="5772785" cy="2647950"/>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2785" cy="2647950"/>
                    </a:xfrm>
                    <a:prstGeom prst="rect">
                      <a:avLst/>
                    </a:prstGeom>
                    <a:noFill/>
                    <a:ln>
                      <a:noFill/>
                    </a:ln>
                  </pic:spPr>
                </pic:pic>
              </a:graphicData>
            </a:graphic>
          </wp:inline>
        </w:drawing>
      </w:r>
    </w:p>
    <w:p w:rsidR="008A572A" w:rsidRPr="000A6485" w:rsidRDefault="008A572A" w:rsidP="008A572A">
      <w:pPr>
        <w:spacing w:before="60" w:after="60"/>
        <w:jc w:val="both"/>
        <w:rPr>
          <w:rFonts w:ascii="Verdana" w:hAnsi="Verdana"/>
          <w:sz w:val="16"/>
          <w:szCs w:val="16"/>
        </w:rPr>
      </w:pPr>
      <w:r w:rsidRPr="000A6485">
        <w:rPr>
          <w:rFonts w:ascii="Verdana" w:hAnsi="Verdana"/>
          <w:sz w:val="16"/>
          <w:szCs w:val="16"/>
        </w:rPr>
        <w:t>W m.st. Warszawa dochody z dotacji i środków przeznaczonych na cele bieżące stanowią głównie:</w:t>
      </w:r>
    </w:p>
    <w:p w:rsidR="008A572A" w:rsidRPr="000A6485" w:rsidRDefault="008A572A" w:rsidP="008A572A">
      <w:pPr>
        <w:pStyle w:val="Akapitzlist"/>
        <w:numPr>
          <w:ilvl w:val="0"/>
          <w:numId w:val="11"/>
        </w:numPr>
        <w:spacing w:before="60" w:after="60"/>
        <w:ind w:left="567" w:hanging="283"/>
        <w:contextualSpacing w:val="0"/>
        <w:jc w:val="both"/>
        <w:rPr>
          <w:rFonts w:ascii="Verdana" w:hAnsi="Verdana"/>
          <w:sz w:val="16"/>
          <w:szCs w:val="16"/>
        </w:rPr>
      </w:pPr>
      <w:r w:rsidRPr="000A6485">
        <w:rPr>
          <w:rFonts w:ascii="Verdana" w:hAnsi="Verdana"/>
          <w:sz w:val="16"/>
          <w:szCs w:val="16"/>
        </w:rPr>
        <w:t>dotacje celowe z budżetu państwa na cele bieżące, w tym na realizację Programu „Rodzina 500 Plus”</w:t>
      </w:r>
      <w:r>
        <w:rPr>
          <w:rFonts w:ascii="Verdana" w:hAnsi="Verdana"/>
          <w:sz w:val="16"/>
          <w:szCs w:val="16"/>
        </w:rPr>
        <w:t xml:space="preserve"> </w:t>
      </w:r>
      <w:r>
        <w:rPr>
          <w:rFonts w:ascii="Verdana" w:hAnsi="Verdana"/>
          <w:sz w:val="16"/>
          <w:szCs w:val="16"/>
        </w:rPr>
        <w:br/>
        <w:t>(do 2022 r.)</w:t>
      </w:r>
      <w:r w:rsidRPr="000A6485">
        <w:rPr>
          <w:rFonts w:ascii="Verdana" w:hAnsi="Verdana"/>
          <w:sz w:val="16"/>
          <w:szCs w:val="16"/>
        </w:rPr>
        <w:t>,</w:t>
      </w:r>
    </w:p>
    <w:p w:rsidR="008A572A" w:rsidRPr="000A6485" w:rsidRDefault="008A572A" w:rsidP="008A572A">
      <w:pPr>
        <w:pStyle w:val="Akapitzlist"/>
        <w:numPr>
          <w:ilvl w:val="0"/>
          <w:numId w:val="11"/>
        </w:numPr>
        <w:spacing w:before="60" w:after="60"/>
        <w:ind w:left="567" w:hanging="283"/>
        <w:contextualSpacing w:val="0"/>
        <w:jc w:val="both"/>
        <w:rPr>
          <w:rFonts w:ascii="Verdana" w:hAnsi="Verdana"/>
          <w:sz w:val="16"/>
          <w:szCs w:val="16"/>
        </w:rPr>
      </w:pPr>
      <w:r w:rsidRPr="000A6485">
        <w:rPr>
          <w:rFonts w:ascii="Verdana" w:hAnsi="Verdana"/>
          <w:sz w:val="16"/>
          <w:szCs w:val="16"/>
        </w:rPr>
        <w:t>dotacje z budżetów innych jednostek samorządu terytorialnego na funkcjonowanie komunikacji podmiejskiej,</w:t>
      </w:r>
    </w:p>
    <w:p w:rsidR="008A572A" w:rsidRPr="000A6485" w:rsidRDefault="008A572A" w:rsidP="008A572A">
      <w:pPr>
        <w:pStyle w:val="Akapitzlist"/>
        <w:numPr>
          <w:ilvl w:val="0"/>
          <w:numId w:val="11"/>
        </w:numPr>
        <w:spacing w:before="60" w:after="60"/>
        <w:ind w:left="567" w:hanging="283"/>
        <w:contextualSpacing w:val="0"/>
        <w:jc w:val="both"/>
        <w:rPr>
          <w:rFonts w:ascii="Verdana" w:hAnsi="Verdana"/>
          <w:sz w:val="16"/>
          <w:szCs w:val="16"/>
        </w:rPr>
      </w:pPr>
      <w:r w:rsidRPr="000A6485">
        <w:rPr>
          <w:rFonts w:ascii="Verdana" w:hAnsi="Verdana"/>
          <w:sz w:val="16"/>
          <w:szCs w:val="16"/>
        </w:rPr>
        <w:t>środki na dofinansowanie projektów realizowanych w rama</w:t>
      </w:r>
      <w:r>
        <w:rPr>
          <w:rFonts w:ascii="Verdana" w:hAnsi="Verdana"/>
          <w:sz w:val="16"/>
          <w:szCs w:val="16"/>
        </w:rPr>
        <w:t>ch programów Unii Europejskiej</w:t>
      </w:r>
      <w:r w:rsidRPr="000A6485">
        <w:rPr>
          <w:rFonts w:ascii="Verdana" w:hAnsi="Verdana"/>
          <w:sz w:val="16"/>
          <w:szCs w:val="16"/>
        </w:rPr>
        <w:t>.</w:t>
      </w:r>
    </w:p>
    <w:p w:rsidR="008A572A" w:rsidRPr="000A6485" w:rsidRDefault="008A572A" w:rsidP="008A572A">
      <w:pPr>
        <w:spacing w:before="60" w:after="60"/>
        <w:jc w:val="both"/>
        <w:rPr>
          <w:rFonts w:ascii="Verdana" w:hAnsi="Verdana"/>
          <w:sz w:val="16"/>
          <w:szCs w:val="16"/>
        </w:rPr>
      </w:pPr>
      <w:r w:rsidRPr="000A6485">
        <w:rPr>
          <w:rFonts w:ascii="Verdana" w:hAnsi="Verdana"/>
          <w:sz w:val="16"/>
          <w:szCs w:val="16"/>
        </w:rPr>
        <w:t xml:space="preserve">Środki otrzymane z tytułu </w:t>
      </w:r>
      <w:r w:rsidRPr="000A6485">
        <w:rPr>
          <w:rFonts w:ascii="Verdana" w:hAnsi="Verdana"/>
          <w:b/>
          <w:sz w:val="16"/>
          <w:szCs w:val="16"/>
        </w:rPr>
        <w:t>dotacji z budżetu państwa</w:t>
      </w:r>
      <w:r w:rsidRPr="000A6485">
        <w:rPr>
          <w:rFonts w:ascii="Verdana" w:hAnsi="Verdana"/>
          <w:sz w:val="16"/>
          <w:szCs w:val="16"/>
        </w:rPr>
        <w:t xml:space="preserve"> są przeznaczone na finansowanie:</w:t>
      </w:r>
    </w:p>
    <w:p w:rsidR="008A572A" w:rsidRPr="000A6485" w:rsidRDefault="008A572A" w:rsidP="008A572A">
      <w:pPr>
        <w:pStyle w:val="Akapitzlist"/>
        <w:numPr>
          <w:ilvl w:val="0"/>
          <w:numId w:val="12"/>
        </w:numPr>
        <w:spacing w:before="60" w:after="60"/>
        <w:ind w:left="567" w:hanging="283"/>
        <w:contextualSpacing w:val="0"/>
        <w:jc w:val="both"/>
        <w:rPr>
          <w:rFonts w:ascii="Verdana" w:hAnsi="Verdana"/>
          <w:sz w:val="16"/>
          <w:szCs w:val="16"/>
        </w:rPr>
      </w:pPr>
      <w:r w:rsidRPr="000A6485">
        <w:rPr>
          <w:rFonts w:ascii="Verdana" w:hAnsi="Verdana"/>
          <w:sz w:val="16"/>
          <w:szCs w:val="16"/>
        </w:rPr>
        <w:t>zadań własnych, w tym:</w:t>
      </w:r>
    </w:p>
    <w:p w:rsidR="008A572A" w:rsidRPr="000A6485" w:rsidRDefault="008A572A" w:rsidP="008A572A">
      <w:pPr>
        <w:pStyle w:val="Akapitzlist"/>
        <w:numPr>
          <w:ilvl w:val="0"/>
          <w:numId w:val="13"/>
        </w:numPr>
        <w:spacing w:before="60" w:after="60"/>
        <w:ind w:left="1134" w:hanging="283"/>
        <w:contextualSpacing w:val="0"/>
        <w:jc w:val="both"/>
        <w:rPr>
          <w:rFonts w:ascii="Verdana" w:hAnsi="Verdana"/>
          <w:i/>
          <w:sz w:val="16"/>
          <w:szCs w:val="16"/>
        </w:rPr>
      </w:pPr>
      <w:r w:rsidRPr="000A6485">
        <w:rPr>
          <w:rFonts w:ascii="Verdana" w:hAnsi="Verdana"/>
          <w:sz w:val="16"/>
          <w:szCs w:val="16"/>
        </w:rPr>
        <w:t>wychowania przedszkolnego,</w:t>
      </w:r>
    </w:p>
    <w:p w:rsidR="008A572A" w:rsidRPr="000A6485" w:rsidRDefault="008A572A" w:rsidP="008A572A">
      <w:pPr>
        <w:pStyle w:val="Akapitzlist"/>
        <w:numPr>
          <w:ilvl w:val="0"/>
          <w:numId w:val="13"/>
        </w:numPr>
        <w:spacing w:before="60" w:after="60"/>
        <w:ind w:left="1134" w:hanging="283"/>
        <w:contextualSpacing w:val="0"/>
        <w:jc w:val="both"/>
        <w:rPr>
          <w:rFonts w:ascii="Verdana" w:hAnsi="Verdana"/>
          <w:i/>
          <w:sz w:val="16"/>
          <w:szCs w:val="16"/>
        </w:rPr>
      </w:pPr>
      <w:r w:rsidRPr="000A6485">
        <w:rPr>
          <w:rFonts w:ascii="Verdana" w:hAnsi="Verdana"/>
          <w:sz w:val="16"/>
          <w:szCs w:val="16"/>
        </w:rPr>
        <w:t>wypłat</w:t>
      </w:r>
      <w:r w:rsidRPr="000A6485">
        <w:rPr>
          <w:rFonts w:ascii="Verdana" w:hAnsi="Verdana"/>
          <w:i/>
          <w:sz w:val="16"/>
          <w:szCs w:val="16"/>
        </w:rPr>
        <w:t xml:space="preserve"> </w:t>
      </w:r>
      <w:r w:rsidRPr="000A6485">
        <w:rPr>
          <w:rFonts w:ascii="Verdana" w:hAnsi="Verdana"/>
          <w:sz w:val="16"/>
          <w:szCs w:val="16"/>
        </w:rPr>
        <w:t>zasiłków stałych,</w:t>
      </w:r>
    </w:p>
    <w:p w:rsidR="008A572A" w:rsidRPr="000A6485" w:rsidRDefault="008A572A" w:rsidP="008A572A">
      <w:pPr>
        <w:pStyle w:val="Akapitzlist"/>
        <w:numPr>
          <w:ilvl w:val="0"/>
          <w:numId w:val="13"/>
        </w:numPr>
        <w:spacing w:before="60" w:after="60"/>
        <w:ind w:left="1134" w:hanging="283"/>
        <w:contextualSpacing w:val="0"/>
        <w:jc w:val="both"/>
        <w:rPr>
          <w:rFonts w:ascii="Verdana" w:hAnsi="Verdana"/>
          <w:sz w:val="16"/>
          <w:szCs w:val="16"/>
        </w:rPr>
      </w:pPr>
      <w:r w:rsidRPr="000A6485">
        <w:rPr>
          <w:rFonts w:ascii="Verdana" w:hAnsi="Verdana"/>
          <w:sz w:val="16"/>
          <w:szCs w:val="16"/>
        </w:rPr>
        <w:t>funkcjonowania ośrodków pomocy społecznej,</w:t>
      </w:r>
    </w:p>
    <w:p w:rsidR="008A572A" w:rsidRPr="000A6485" w:rsidRDefault="008A572A" w:rsidP="008A572A">
      <w:pPr>
        <w:pStyle w:val="Akapitzlist"/>
        <w:numPr>
          <w:ilvl w:val="0"/>
          <w:numId w:val="13"/>
        </w:numPr>
        <w:spacing w:before="60" w:after="60"/>
        <w:ind w:left="1134" w:hanging="283"/>
        <w:contextualSpacing w:val="0"/>
        <w:jc w:val="both"/>
        <w:rPr>
          <w:rFonts w:ascii="Verdana" w:hAnsi="Verdana"/>
          <w:sz w:val="16"/>
          <w:szCs w:val="16"/>
        </w:rPr>
      </w:pPr>
      <w:r w:rsidRPr="000A6485">
        <w:rPr>
          <w:rFonts w:ascii="Verdana" w:hAnsi="Verdana"/>
          <w:sz w:val="16"/>
          <w:szCs w:val="16"/>
        </w:rPr>
        <w:t>funkcjonowania domów pomocy społecznej,</w:t>
      </w:r>
    </w:p>
    <w:p w:rsidR="008A572A" w:rsidRPr="000A6485" w:rsidRDefault="008A572A" w:rsidP="008A572A">
      <w:pPr>
        <w:pStyle w:val="Akapitzlist"/>
        <w:numPr>
          <w:ilvl w:val="0"/>
          <w:numId w:val="13"/>
        </w:numPr>
        <w:spacing w:before="60" w:after="60"/>
        <w:ind w:left="1134" w:hanging="283"/>
        <w:contextualSpacing w:val="0"/>
        <w:jc w:val="both"/>
        <w:rPr>
          <w:rFonts w:ascii="Verdana" w:hAnsi="Verdana"/>
          <w:sz w:val="16"/>
          <w:szCs w:val="16"/>
        </w:rPr>
      </w:pPr>
      <w:r w:rsidRPr="000A6485">
        <w:rPr>
          <w:rFonts w:ascii="Verdana" w:hAnsi="Verdana"/>
          <w:sz w:val="16"/>
          <w:szCs w:val="16"/>
        </w:rPr>
        <w:t>dożywiania dla potrzebujących,</w:t>
      </w:r>
    </w:p>
    <w:p w:rsidR="008A572A" w:rsidRPr="000A6485" w:rsidRDefault="008A572A" w:rsidP="008A572A">
      <w:pPr>
        <w:pStyle w:val="Akapitzlist"/>
        <w:numPr>
          <w:ilvl w:val="0"/>
          <w:numId w:val="13"/>
        </w:numPr>
        <w:spacing w:before="60" w:after="60"/>
        <w:ind w:left="1134" w:hanging="283"/>
        <w:contextualSpacing w:val="0"/>
        <w:jc w:val="both"/>
        <w:rPr>
          <w:rFonts w:ascii="Verdana" w:hAnsi="Verdana"/>
          <w:sz w:val="16"/>
          <w:szCs w:val="16"/>
        </w:rPr>
      </w:pPr>
      <w:r w:rsidRPr="000A6485">
        <w:rPr>
          <w:rFonts w:ascii="Verdana" w:hAnsi="Verdana"/>
          <w:sz w:val="16"/>
          <w:szCs w:val="16"/>
        </w:rPr>
        <w:t>realizacji wieloletniego programu w zakresie dożywiania „Posiłek w szkole i w domu”,</w:t>
      </w:r>
    </w:p>
    <w:p w:rsidR="008A572A" w:rsidRPr="000A6485" w:rsidRDefault="008A572A" w:rsidP="008A572A">
      <w:pPr>
        <w:pStyle w:val="Akapitzlist"/>
        <w:numPr>
          <w:ilvl w:val="0"/>
          <w:numId w:val="13"/>
        </w:numPr>
        <w:spacing w:before="60" w:after="60"/>
        <w:ind w:left="1134" w:hanging="283"/>
        <w:contextualSpacing w:val="0"/>
        <w:jc w:val="both"/>
        <w:rPr>
          <w:rFonts w:ascii="Verdana" w:hAnsi="Verdana"/>
          <w:sz w:val="16"/>
          <w:szCs w:val="16"/>
        </w:rPr>
      </w:pPr>
      <w:r w:rsidRPr="000A6485">
        <w:rPr>
          <w:rFonts w:ascii="Verdana" w:hAnsi="Verdana"/>
          <w:sz w:val="16"/>
          <w:szCs w:val="16"/>
        </w:rPr>
        <w:t>opłacenia składek na ubezpieczenie zdrowotne płaconych za osoby pobierające niektóre świadczenia z pomocy społecznej,</w:t>
      </w:r>
    </w:p>
    <w:p w:rsidR="008A572A" w:rsidRDefault="008A572A" w:rsidP="008A572A">
      <w:pPr>
        <w:pStyle w:val="Akapitzlist"/>
        <w:numPr>
          <w:ilvl w:val="0"/>
          <w:numId w:val="13"/>
        </w:numPr>
        <w:spacing w:before="60" w:after="60"/>
        <w:ind w:left="1134" w:hanging="283"/>
        <w:contextualSpacing w:val="0"/>
        <w:jc w:val="both"/>
        <w:rPr>
          <w:rFonts w:ascii="Verdana" w:hAnsi="Verdana"/>
          <w:sz w:val="16"/>
          <w:szCs w:val="16"/>
        </w:rPr>
      </w:pPr>
      <w:r w:rsidRPr="000A6485">
        <w:rPr>
          <w:rFonts w:ascii="Verdana" w:hAnsi="Verdana"/>
          <w:sz w:val="16"/>
          <w:szCs w:val="16"/>
        </w:rPr>
        <w:t>wypłat zasiłków i pomocy w naturze oraz składek na ubezpieczenie emerytalne i rentowe,</w:t>
      </w:r>
    </w:p>
    <w:p w:rsidR="008A572A" w:rsidRPr="000A6485" w:rsidRDefault="008A572A" w:rsidP="008A572A">
      <w:pPr>
        <w:pStyle w:val="Akapitzlist"/>
        <w:numPr>
          <w:ilvl w:val="0"/>
          <w:numId w:val="12"/>
        </w:numPr>
        <w:spacing w:before="60" w:after="60"/>
        <w:ind w:left="567" w:hanging="283"/>
        <w:contextualSpacing w:val="0"/>
        <w:jc w:val="both"/>
        <w:rPr>
          <w:rFonts w:ascii="Verdana" w:hAnsi="Verdana"/>
          <w:sz w:val="16"/>
          <w:szCs w:val="16"/>
        </w:rPr>
      </w:pPr>
      <w:r w:rsidRPr="000A6485">
        <w:rPr>
          <w:rFonts w:ascii="Verdana" w:hAnsi="Verdana"/>
          <w:sz w:val="16"/>
          <w:szCs w:val="16"/>
        </w:rPr>
        <w:t>zadań zleconych, w tym głównie:</w:t>
      </w:r>
    </w:p>
    <w:p w:rsidR="008A572A" w:rsidRPr="000A6485" w:rsidRDefault="008A572A" w:rsidP="008A572A">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wypłat świadczeń rodzinnych,</w:t>
      </w:r>
    </w:p>
    <w:p w:rsidR="008A572A" w:rsidRPr="000A6485" w:rsidRDefault="008A572A" w:rsidP="008A572A">
      <w:pPr>
        <w:pStyle w:val="Akapitzlist"/>
        <w:numPr>
          <w:ilvl w:val="0"/>
          <w:numId w:val="23"/>
        </w:numPr>
        <w:spacing w:before="60" w:after="60"/>
        <w:ind w:left="1134" w:hanging="283"/>
        <w:contextualSpacing w:val="0"/>
        <w:jc w:val="both"/>
        <w:rPr>
          <w:rFonts w:ascii="Verdana" w:hAnsi="Verdana"/>
          <w:sz w:val="16"/>
          <w:szCs w:val="16"/>
        </w:rPr>
      </w:pPr>
      <w:r w:rsidRPr="00DC25D4">
        <w:rPr>
          <w:rFonts w:ascii="Verdana" w:hAnsi="Verdana"/>
          <w:sz w:val="16"/>
          <w:szCs w:val="16"/>
        </w:rPr>
        <w:t>dofinansowanie zadań wynikających z programu kompleksowego wsparcia dla rodzin "Za życiem</w:t>
      </w:r>
      <w:r>
        <w:rPr>
          <w:rFonts w:ascii="Verdana" w:hAnsi="Verdana"/>
          <w:sz w:val="16"/>
          <w:szCs w:val="16"/>
        </w:rPr>
        <w:t>”,</w:t>
      </w:r>
    </w:p>
    <w:p w:rsidR="008A572A" w:rsidRPr="000A6485" w:rsidRDefault="008A572A" w:rsidP="008A572A">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utrzymania Komendy Powiatowej Państwowej Straży Pożarnej,</w:t>
      </w:r>
    </w:p>
    <w:p w:rsidR="008A572A" w:rsidRPr="000A6485" w:rsidRDefault="008A572A" w:rsidP="008A572A">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opłacenia składek na ubezpieczenie zdrowotne oraz świadczeń dla osób nieobjętych obowią</w:t>
      </w:r>
      <w:r>
        <w:rPr>
          <w:rFonts w:ascii="Verdana" w:hAnsi="Verdana"/>
          <w:sz w:val="16"/>
          <w:szCs w:val="16"/>
        </w:rPr>
        <w:t xml:space="preserve">zkiem ubezpieczenia zdrowotnego, za </w:t>
      </w:r>
      <w:r w:rsidRPr="00D1589B">
        <w:rPr>
          <w:rFonts w:ascii="Verdana" w:hAnsi="Verdana"/>
          <w:sz w:val="16"/>
          <w:szCs w:val="16"/>
        </w:rPr>
        <w:t>osoby pobierające niektóre świadczenia rodzinne</w:t>
      </w:r>
      <w:r>
        <w:rPr>
          <w:rFonts w:ascii="Verdana" w:hAnsi="Verdana"/>
          <w:sz w:val="16"/>
          <w:szCs w:val="16"/>
        </w:rPr>
        <w:t xml:space="preserve">, </w:t>
      </w:r>
      <w:r w:rsidRPr="00D1589B">
        <w:rPr>
          <w:rFonts w:ascii="Verdana" w:hAnsi="Verdana"/>
          <w:sz w:val="16"/>
          <w:szCs w:val="16"/>
        </w:rPr>
        <w:t xml:space="preserve">za osoby </w:t>
      </w:r>
      <w:r w:rsidRPr="00D1589B">
        <w:rPr>
          <w:rFonts w:ascii="Verdana" w:hAnsi="Verdana"/>
          <w:sz w:val="16"/>
          <w:szCs w:val="16"/>
        </w:rPr>
        <w:lastRenderedPageBreak/>
        <w:t>pobierające zasiłki dla opiekunów</w:t>
      </w:r>
      <w:r w:rsidRPr="00B2446D">
        <w:rPr>
          <w:rFonts w:ascii="Verdana" w:hAnsi="Verdana"/>
          <w:sz w:val="16"/>
          <w:szCs w:val="16"/>
        </w:rPr>
        <w:t xml:space="preserve"> </w:t>
      </w:r>
      <w:r w:rsidRPr="00D1589B">
        <w:rPr>
          <w:rFonts w:ascii="Verdana" w:hAnsi="Verdana"/>
          <w:sz w:val="16"/>
          <w:szCs w:val="16"/>
        </w:rPr>
        <w:t>oraz za osoby uczestniczące w zajęciach w centrum integracji społecznej</w:t>
      </w:r>
      <w:r>
        <w:rPr>
          <w:rFonts w:ascii="Verdana" w:hAnsi="Verdana"/>
          <w:sz w:val="16"/>
          <w:szCs w:val="16"/>
        </w:rPr>
        <w:t>,</w:t>
      </w:r>
    </w:p>
    <w:p w:rsidR="008A572A" w:rsidRPr="000A6485" w:rsidRDefault="008A572A" w:rsidP="008A572A">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realizacji zadań z zakresu administracji rządowej,</w:t>
      </w:r>
    </w:p>
    <w:p w:rsidR="008A572A" w:rsidRPr="000A6485" w:rsidRDefault="008A572A" w:rsidP="008A572A">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opracowa</w:t>
      </w:r>
      <w:r>
        <w:rPr>
          <w:rFonts w:ascii="Verdana" w:hAnsi="Verdana"/>
          <w:sz w:val="16"/>
          <w:szCs w:val="16"/>
        </w:rPr>
        <w:t>ń</w:t>
      </w:r>
      <w:r w:rsidRPr="000A6485">
        <w:rPr>
          <w:rFonts w:ascii="Verdana" w:hAnsi="Verdana"/>
          <w:sz w:val="16"/>
          <w:szCs w:val="16"/>
        </w:rPr>
        <w:t xml:space="preserve"> i</w:t>
      </w:r>
      <w:r>
        <w:rPr>
          <w:rFonts w:ascii="Verdana" w:hAnsi="Verdana"/>
          <w:sz w:val="16"/>
          <w:szCs w:val="16"/>
        </w:rPr>
        <w:t xml:space="preserve"> prac geodezyjnych</w:t>
      </w:r>
      <w:r w:rsidRPr="000A6485">
        <w:rPr>
          <w:rFonts w:ascii="Verdana" w:hAnsi="Verdana"/>
          <w:sz w:val="16"/>
          <w:szCs w:val="16"/>
        </w:rPr>
        <w:t xml:space="preserve"> i kartograficzn</w:t>
      </w:r>
      <w:r>
        <w:rPr>
          <w:rFonts w:ascii="Verdana" w:hAnsi="Verdana"/>
          <w:sz w:val="16"/>
          <w:szCs w:val="16"/>
        </w:rPr>
        <w:t>ych</w:t>
      </w:r>
      <w:r w:rsidRPr="000A6485">
        <w:rPr>
          <w:rFonts w:ascii="Verdana" w:hAnsi="Verdana"/>
          <w:sz w:val="16"/>
          <w:szCs w:val="16"/>
        </w:rPr>
        <w:t>,</w:t>
      </w:r>
    </w:p>
    <w:p w:rsidR="008A572A" w:rsidRPr="000A6485" w:rsidRDefault="008A572A" w:rsidP="008A572A">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świadcze</w:t>
      </w:r>
      <w:r>
        <w:rPr>
          <w:rFonts w:ascii="Verdana" w:hAnsi="Verdana"/>
          <w:sz w:val="16"/>
          <w:szCs w:val="16"/>
        </w:rPr>
        <w:t>ń</w:t>
      </w:r>
      <w:r w:rsidRPr="000A6485">
        <w:rPr>
          <w:rFonts w:ascii="Verdana" w:hAnsi="Verdana"/>
          <w:sz w:val="16"/>
          <w:szCs w:val="16"/>
        </w:rPr>
        <w:t xml:space="preserve"> opieki zdrowotnej,</w:t>
      </w:r>
    </w:p>
    <w:p w:rsidR="008A572A" w:rsidRPr="000A6485" w:rsidRDefault="008A572A" w:rsidP="008A572A">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funkcjonowania ośrodków wsparcia,</w:t>
      </w:r>
    </w:p>
    <w:p w:rsidR="008A572A" w:rsidRDefault="008A572A" w:rsidP="008A572A">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funkcjonowania placówek opiekuńczo-wychowawczych,</w:t>
      </w:r>
    </w:p>
    <w:p w:rsidR="008A572A" w:rsidRDefault="008A572A" w:rsidP="008A572A">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funkcjonowania</w:t>
      </w:r>
      <w:r w:rsidRPr="00B2446D">
        <w:rPr>
          <w:rFonts w:ascii="Verdana" w:hAnsi="Verdana"/>
          <w:sz w:val="16"/>
          <w:szCs w:val="16"/>
        </w:rPr>
        <w:t xml:space="preserve"> </w:t>
      </w:r>
      <w:r>
        <w:rPr>
          <w:rFonts w:ascii="Verdana" w:hAnsi="Verdana"/>
          <w:sz w:val="16"/>
          <w:szCs w:val="16"/>
        </w:rPr>
        <w:t>ośrodków</w:t>
      </w:r>
      <w:r w:rsidRPr="00D1589B">
        <w:rPr>
          <w:rFonts w:ascii="Verdana" w:hAnsi="Verdana"/>
          <w:sz w:val="16"/>
          <w:szCs w:val="16"/>
        </w:rPr>
        <w:t xml:space="preserve"> pomocy społecznej</w:t>
      </w:r>
      <w:r>
        <w:rPr>
          <w:rFonts w:ascii="Verdana" w:hAnsi="Verdana"/>
          <w:sz w:val="16"/>
          <w:szCs w:val="16"/>
        </w:rPr>
        <w:t>,</w:t>
      </w:r>
    </w:p>
    <w:p w:rsidR="008A572A" w:rsidRPr="00B2446D" w:rsidRDefault="008A572A" w:rsidP="008A572A">
      <w:pPr>
        <w:pStyle w:val="Akapitzlist"/>
        <w:numPr>
          <w:ilvl w:val="0"/>
          <w:numId w:val="23"/>
        </w:numPr>
        <w:spacing w:before="60" w:after="60"/>
        <w:ind w:left="1134" w:hanging="283"/>
        <w:contextualSpacing w:val="0"/>
        <w:jc w:val="both"/>
        <w:rPr>
          <w:rFonts w:ascii="Verdana" w:hAnsi="Verdana"/>
          <w:sz w:val="16"/>
          <w:szCs w:val="16"/>
        </w:rPr>
      </w:pPr>
      <w:r w:rsidRPr="00B2446D">
        <w:rPr>
          <w:rFonts w:ascii="Verdana" w:hAnsi="Verdana"/>
          <w:sz w:val="16"/>
          <w:szCs w:val="16"/>
        </w:rPr>
        <w:t>przec</w:t>
      </w:r>
      <w:r>
        <w:rPr>
          <w:rFonts w:ascii="Verdana" w:hAnsi="Verdana"/>
          <w:sz w:val="16"/>
          <w:szCs w:val="16"/>
        </w:rPr>
        <w:t>iwdziałania przemocy w rodzinie,</w:t>
      </w:r>
    </w:p>
    <w:p w:rsidR="008A572A" w:rsidRPr="00D1589B" w:rsidRDefault="008A572A" w:rsidP="008A572A">
      <w:pPr>
        <w:pStyle w:val="Akapitzlist"/>
        <w:numPr>
          <w:ilvl w:val="0"/>
          <w:numId w:val="23"/>
        </w:numPr>
        <w:spacing w:before="60" w:after="60"/>
        <w:ind w:left="1134" w:hanging="283"/>
        <w:contextualSpacing w:val="0"/>
        <w:jc w:val="both"/>
        <w:rPr>
          <w:rFonts w:ascii="Verdana" w:hAnsi="Verdana"/>
          <w:sz w:val="16"/>
          <w:szCs w:val="16"/>
        </w:rPr>
      </w:pPr>
      <w:r>
        <w:rPr>
          <w:rFonts w:ascii="Verdana" w:hAnsi="Verdana"/>
          <w:sz w:val="16"/>
          <w:szCs w:val="16"/>
        </w:rPr>
        <w:t>funkcjonowania zespołów</w:t>
      </w:r>
      <w:r w:rsidRPr="00D1589B">
        <w:rPr>
          <w:rFonts w:ascii="Verdana" w:hAnsi="Verdana"/>
          <w:sz w:val="16"/>
          <w:szCs w:val="16"/>
        </w:rPr>
        <w:t xml:space="preserve"> do spraw</w:t>
      </w:r>
      <w:r>
        <w:rPr>
          <w:rFonts w:ascii="Verdana" w:hAnsi="Verdana"/>
          <w:sz w:val="16"/>
          <w:szCs w:val="16"/>
        </w:rPr>
        <w:t xml:space="preserve"> orzekania o niepełnosprawności,</w:t>
      </w:r>
    </w:p>
    <w:p w:rsidR="008A572A" w:rsidRPr="000A6485" w:rsidRDefault="008A572A" w:rsidP="008A572A">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funkcjonowania nadzoru budowlanego,</w:t>
      </w:r>
    </w:p>
    <w:p w:rsidR="008A572A" w:rsidRPr="000A6485" w:rsidRDefault="008A572A" w:rsidP="008A572A">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gospodarki gruntami i nieruchomościami,</w:t>
      </w:r>
    </w:p>
    <w:p w:rsidR="008A572A" w:rsidRDefault="008A572A" w:rsidP="008A572A">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pomocy dla cudzoziemców i repatriantów,</w:t>
      </w:r>
    </w:p>
    <w:p w:rsidR="008A572A" w:rsidRDefault="008A572A" w:rsidP="008A572A">
      <w:pPr>
        <w:pStyle w:val="Akapitzlist"/>
        <w:numPr>
          <w:ilvl w:val="0"/>
          <w:numId w:val="23"/>
        </w:numPr>
        <w:spacing w:before="60" w:after="60"/>
        <w:ind w:left="1134" w:hanging="283"/>
        <w:contextualSpacing w:val="0"/>
        <w:jc w:val="both"/>
        <w:rPr>
          <w:rFonts w:ascii="Verdana" w:hAnsi="Verdana"/>
          <w:sz w:val="16"/>
          <w:szCs w:val="16"/>
        </w:rPr>
      </w:pPr>
      <w:r>
        <w:rPr>
          <w:rFonts w:ascii="Verdana" w:hAnsi="Verdana"/>
          <w:sz w:val="16"/>
          <w:szCs w:val="16"/>
        </w:rPr>
        <w:t>ewidencji</w:t>
      </w:r>
      <w:r w:rsidRPr="00D1589B">
        <w:rPr>
          <w:rFonts w:ascii="Verdana" w:hAnsi="Verdana"/>
          <w:sz w:val="16"/>
          <w:szCs w:val="16"/>
        </w:rPr>
        <w:t xml:space="preserve"> ludności</w:t>
      </w:r>
      <w:r>
        <w:rPr>
          <w:rFonts w:ascii="Verdana" w:hAnsi="Verdana"/>
          <w:sz w:val="16"/>
          <w:szCs w:val="16"/>
        </w:rPr>
        <w:t>,</w:t>
      </w:r>
    </w:p>
    <w:p w:rsidR="008A572A" w:rsidRDefault="008A572A" w:rsidP="008A572A">
      <w:pPr>
        <w:pStyle w:val="Akapitzlist"/>
        <w:numPr>
          <w:ilvl w:val="0"/>
          <w:numId w:val="23"/>
        </w:numPr>
        <w:spacing w:before="60" w:after="60"/>
        <w:ind w:left="1134" w:hanging="283"/>
        <w:contextualSpacing w:val="0"/>
        <w:jc w:val="both"/>
        <w:rPr>
          <w:rFonts w:ascii="Verdana" w:hAnsi="Verdana"/>
          <w:sz w:val="16"/>
          <w:szCs w:val="16"/>
        </w:rPr>
      </w:pPr>
      <w:r>
        <w:rPr>
          <w:rFonts w:ascii="Verdana" w:hAnsi="Verdana"/>
          <w:sz w:val="16"/>
          <w:szCs w:val="16"/>
        </w:rPr>
        <w:t xml:space="preserve">udzielania </w:t>
      </w:r>
      <w:r w:rsidRPr="00D1589B">
        <w:rPr>
          <w:rFonts w:ascii="Verdana" w:hAnsi="Verdana"/>
          <w:sz w:val="16"/>
          <w:szCs w:val="16"/>
        </w:rPr>
        <w:t>nieodpłatn</w:t>
      </w:r>
      <w:r>
        <w:rPr>
          <w:rFonts w:ascii="Verdana" w:hAnsi="Verdana"/>
          <w:sz w:val="16"/>
          <w:szCs w:val="16"/>
        </w:rPr>
        <w:t>ej</w:t>
      </w:r>
      <w:r w:rsidRPr="00D1589B">
        <w:rPr>
          <w:rFonts w:ascii="Verdana" w:hAnsi="Verdana"/>
          <w:sz w:val="16"/>
          <w:szCs w:val="16"/>
        </w:rPr>
        <w:t xml:space="preserve"> pomoc</w:t>
      </w:r>
      <w:r>
        <w:rPr>
          <w:rFonts w:ascii="Verdana" w:hAnsi="Verdana"/>
          <w:sz w:val="16"/>
          <w:szCs w:val="16"/>
        </w:rPr>
        <w:t>y</w:t>
      </w:r>
      <w:r w:rsidRPr="00D1589B">
        <w:rPr>
          <w:rFonts w:ascii="Verdana" w:hAnsi="Verdana"/>
          <w:sz w:val="16"/>
          <w:szCs w:val="16"/>
        </w:rPr>
        <w:t xml:space="preserve"> prawn</w:t>
      </w:r>
      <w:r>
        <w:rPr>
          <w:rFonts w:ascii="Verdana" w:hAnsi="Verdana"/>
          <w:sz w:val="16"/>
          <w:szCs w:val="16"/>
        </w:rPr>
        <w:t>ej,</w:t>
      </w:r>
    </w:p>
    <w:p w:rsidR="008A572A" w:rsidRPr="00D1589B" w:rsidRDefault="008A572A" w:rsidP="008A572A">
      <w:pPr>
        <w:pStyle w:val="Akapitzlist"/>
        <w:numPr>
          <w:ilvl w:val="0"/>
          <w:numId w:val="23"/>
        </w:numPr>
        <w:spacing w:before="60" w:after="60"/>
        <w:ind w:left="1134" w:hanging="283"/>
        <w:contextualSpacing w:val="0"/>
        <w:jc w:val="both"/>
        <w:rPr>
          <w:rFonts w:ascii="Verdana" w:hAnsi="Verdana"/>
          <w:sz w:val="16"/>
          <w:szCs w:val="16"/>
        </w:rPr>
      </w:pPr>
      <w:r>
        <w:rPr>
          <w:rFonts w:ascii="Verdana" w:hAnsi="Verdana"/>
          <w:sz w:val="16"/>
          <w:szCs w:val="16"/>
        </w:rPr>
        <w:t xml:space="preserve">przeprowadzania </w:t>
      </w:r>
      <w:r w:rsidRPr="00D1589B">
        <w:rPr>
          <w:rFonts w:ascii="Verdana" w:hAnsi="Verdana"/>
          <w:sz w:val="16"/>
          <w:szCs w:val="16"/>
        </w:rPr>
        <w:t>kwalifikacj</w:t>
      </w:r>
      <w:r>
        <w:rPr>
          <w:rFonts w:ascii="Verdana" w:hAnsi="Verdana"/>
          <w:sz w:val="16"/>
          <w:szCs w:val="16"/>
        </w:rPr>
        <w:t xml:space="preserve">i </w:t>
      </w:r>
      <w:r w:rsidRPr="00D1589B">
        <w:rPr>
          <w:rFonts w:ascii="Verdana" w:hAnsi="Verdana"/>
          <w:sz w:val="16"/>
          <w:szCs w:val="16"/>
        </w:rPr>
        <w:t>wojskow</w:t>
      </w:r>
      <w:r>
        <w:rPr>
          <w:rFonts w:ascii="Verdana" w:hAnsi="Verdana"/>
          <w:sz w:val="16"/>
          <w:szCs w:val="16"/>
        </w:rPr>
        <w:t>ej,</w:t>
      </w:r>
    </w:p>
    <w:p w:rsidR="008A572A" w:rsidRPr="000A6485" w:rsidRDefault="008A572A" w:rsidP="008A572A">
      <w:pPr>
        <w:pStyle w:val="Akapitzlist"/>
        <w:numPr>
          <w:ilvl w:val="0"/>
          <w:numId w:val="12"/>
        </w:numPr>
        <w:spacing w:before="60" w:after="60"/>
        <w:ind w:left="567" w:hanging="283"/>
        <w:contextualSpacing w:val="0"/>
        <w:jc w:val="both"/>
        <w:rPr>
          <w:rFonts w:ascii="Verdana" w:hAnsi="Verdana"/>
          <w:sz w:val="16"/>
          <w:szCs w:val="16"/>
        </w:rPr>
      </w:pPr>
      <w:r w:rsidRPr="000A6485">
        <w:rPr>
          <w:rFonts w:ascii="Verdana" w:hAnsi="Verdana"/>
          <w:sz w:val="16"/>
          <w:szCs w:val="16"/>
        </w:rPr>
        <w:t>zadań realizowanych na podstawie porozumień z organami administracji rządowej, w tym głównie:</w:t>
      </w:r>
    </w:p>
    <w:p w:rsidR="008A572A" w:rsidRPr="000A6485" w:rsidRDefault="008A572A" w:rsidP="008A572A">
      <w:pPr>
        <w:pStyle w:val="Akapitzlist"/>
        <w:numPr>
          <w:ilvl w:val="0"/>
          <w:numId w:val="23"/>
        </w:numPr>
        <w:spacing w:before="60" w:after="60"/>
        <w:ind w:left="1134" w:hanging="283"/>
        <w:contextualSpacing w:val="0"/>
        <w:jc w:val="both"/>
        <w:rPr>
          <w:rFonts w:ascii="Verdana" w:hAnsi="Verdana"/>
          <w:sz w:val="16"/>
          <w:szCs w:val="16"/>
        </w:rPr>
      </w:pPr>
      <w:proofErr w:type="spellStart"/>
      <w:r w:rsidRPr="000A6485">
        <w:rPr>
          <w:rFonts w:ascii="Verdana" w:hAnsi="Verdana"/>
          <w:sz w:val="16"/>
          <w:szCs w:val="16"/>
        </w:rPr>
        <w:t>grobownictwo</w:t>
      </w:r>
      <w:proofErr w:type="spellEnd"/>
      <w:r w:rsidRPr="000A6485">
        <w:rPr>
          <w:rFonts w:ascii="Verdana" w:hAnsi="Verdana"/>
          <w:sz w:val="16"/>
          <w:szCs w:val="16"/>
        </w:rPr>
        <w:t xml:space="preserve"> wojenne,</w:t>
      </w:r>
    </w:p>
    <w:p w:rsidR="008A572A" w:rsidRDefault="008A572A" w:rsidP="008A572A">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utrzymanie i funkcjonowanie systemu powiadamiania ratunkowego na terenie kraju,</w:t>
      </w:r>
    </w:p>
    <w:p w:rsidR="008A572A" w:rsidRPr="000A6485" w:rsidRDefault="008A572A" w:rsidP="008A572A">
      <w:pPr>
        <w:pStyle w:val="Akapitzlist"/>
        <w:numPr>
          <w:ilvl w:val="0"/>
          <w:numId w:val="23"/>
        </w:numPr>
        <w:spacing w:before="60" w:after="60"/>
        <w:ind w:left="1134" w:hanging="283"/>
        <w:contextualSpacing w:val="0"/>
        <w:jc w:val="both"/>
        <w:rPr>
          <w:rFonts w:ascii="Verdana" w:hAnsi="Verdana"/>
          <w:sz w:val="16"/>
          <w:szCs w:val="16"/>
        </w:rPr>
      </w:pPr>
      <w:r w:rsidRPr="00850C52">
        <w:rPr>
          <w:rFonts w:ascii="Verdana" w:hAnsi="Verdana"/>
          <w:sz w:val="16"/>
          <w:szCs w:val="16"/>
        </w:rPr>
        <w:t xml:space="preserve">zadania wynikające z programu kompleksowego </w:t>
      </w:r>
      <w:r>
        <w:rPr>
          <w:rFonts w:ascii="Verdana" w:hAnsi="Verdana"/>
          <w:sz w:val="16"/>
          <w:szCs w:val="16"/>
        </w:rPr>
        <w:t>wsparcia dla rodzin "Za życiem",</w:t>
      </w:r>
    </w:p>
    <w:p w:rsidR="008A572A" w:rsidRPr="000A6485" w:rsidRDefault="008A572A" w:rsidP="008A572A">
      <w:pPr>
        <w:pStyle w:val="Akapitzlist"/>
        <w:numPr>
          <w:ilvl w:val="0"/>
          <w:numId w:val="23"/>
        </w:numPr>
        <w:spacing w:before="60" w:after="60"/>
        <w:ind w:left="1134" w:hanging="283"/>
        <w:contextualSpacing w:val="0"/>
        <w:jc w:val="both"/>
        <w:rPr>
          <w:rFonts w:ascii="Verdana" w:hAnsi="Verdana"/>
          <w:sz w:val="16"/>
          <w:szCs w:val="16"/>
        </w:rPr>
      </w:pPr>
      <w:r>
        <w:rPr>
          <w:rFonts w:ascii="Verdana" w:hAnsi="Verdana"/>
          <w:sz w:val="16"/>
          <w:szCs w:val="16"/>
        </w:rPr>
        <w:t xml:space="preserve">przeprowadzania </w:t>
      </w:r>
      <w:r w:rsidRPr="00D1589B">
        <w:rPr>
          <w:rFonts w:ascii="Verdana" w:hAnsi="Verdana"/>
          <w:sz w:val="16"/>
          <w:szCs w:val="16"/>
        </w:rPr>
        <w:t>kwalifikacj</w:t>
      </w:r>
      <w:r>
        <w:rPr>
          <w:rFonts w:ascii="Verdana" w:hAnsi="Verdana"/>
          <w:sz w:val="16"/>
          <w:szCs w:val="16"/>
        </w:rPr>
        <w:t xml:space="preserve">i </w:t>
      </w:r>
      <w:r w:rsidRPr="00D1589B">
        <w:rPr>
          <w:rFonts w:ascii="Verdana" w:hAnsi="Verdana"/>
          <w:sz w:val="16"/>
          <w:szCs w:val="16"/>
        </w:rPr>
        <w:t>wojskow</w:t>
      </w:r>
      <w:r>
        <w:rPr>
          <w:rFonts w:ascii="Verdana" w:hAnsi="Verdana"/>
          <w:sz w:val="16"/>
          <w:szCs w:val="16"/>
        </w:rPr>
        <w:t>ej</w:t>
      </w:r>
      <w:r w:rsidRPr="000A6485">
        <w:rPr>
          <w:rFonts w:ascii="Verdana" w:hAnsi="Verdana"/>
          <w:sz w:val="16"/>
          <w:szCs w:val="16"/>
        </w:rPr>
        <w:t>.</w:t>
      </w:r>
    </w:p>
    <w:p w:rsidR="008A572A" w:rsidRPr="00205357" w:rsidRDefault="008A572A" w:rsidP="008A572A">
      <w:pPr>
        <w:pStyle w:val="Default"/>
        <w:spacing w:before="60" w:after="60" w:line="360" w:lineRule="auto"/>
        <w:jc w:val="both"/>
        <w:rPr>
          <w:rFonts w:ascii="Verdana" w:hAnsi="Verdana"/>
          <w:color w:val="auto"/>
          <w:sz w:val="16"/>
          <w:szCs w:val="16"/>
        </w:rPr>
      </w:pPr>
      <w:r w:rsidRPr="000A6485">
        <w:rPr>
          <w:rFonts w:ascii="Verdana" w:hAnsi="Verdana"/>
          <w:b/>
          <w:sz w:val="16"/>
          <w:szCs w:val="16"/>
        </w:rPr>
        <w:t>Dotacje z budżetów innych jednostek samorządu terytorialnego na funkcjonowanie komunikacji podmiejskiej</w:t>
      </w:r>
      <w:r w:rsidRPr="000A6485">
        <w:rPr>
          <w:rFonts w:ascii="Verdana" w:hAnsi="Verdana" w:cs="Times New Roman"/>
          <w:color w:val="auto"/>
          <w:sz w:val="16"/>
          <w:szCs w:val="16"/>
        </w:rPr>
        <w:t xml:space="preserve"> stanowią dotacje celowe z gmin podwarszawskich z tytułu funkcjonowania - w ramach lokalnego transportu zbiorowego organizowanego przez m.st. Warszawa - komunikacji na obszarze tych gmin </w:t>
      </w:r>
      <w:r w:rsidRPr="000A6485">
        <w:rPr>
          <w:rFonts w:ascii="Verdana" w:hAnsi="Verdana" w:cs="Times New Roman"/>
          <w:color w:val="auto"/>
          <w:sz w:val="16"/>
          <w:szCs w:val="16"/>
        </w:rPr>
        <w:br/>
        <w:t xml:space="preserve">na podstawie zawartych porozumień międzygminnych. Założono poziom dochodów z tego tytułu w wysokości </w:t>
      </w:r>
      <w:r w:rsidRPr="00187E19">
        <w:rPr>
          <w:rFonts w:ascii="Verdana" w:hAnsi="Verdana" w:cs="Times New Roman"/>
          <w:b/>
          <w:color w:val="auto"/>
          <w:sz w:val="16"/>
          <w:szCs w:val="16"/>
        </w:rPr>
        <w:t>124 mln zł</w:t>
      </w:r>
      <w:r>
        <w:rPr>
          <w:rFonts w:ascii="Verdana" w:hAnsi="Verdana" w:cs="Times New Roman"/>
          <w:color w:val="auto"/>
          <w:sz w:val="16"/>
          <w:szCs w:val="16"/>
        </w:rPr>
        <w:t xml:space="preserve"> w 2023 r. i </w:t>
      </w:r>
      <w:r>
        <w:rPr>
          <w:rFonts w:ascii="Verdana" w:hAnsi="Verdana" w:cs="Times New Roman"/>
          <w:b/>
          <w:color w:val="auto"/>
          <w:sz w:val="16"/>
          <w:szCs w:val="16"/>
        </w:rPr>
        <w:t>94</w:t>
      </w:r>
      <w:r w:rsidRPr="00205357">
        <w:rPr>
          <w:rFonts w:ascii="Verdana" w:hAnsi="Verdana"/>
          <w:b/>
          <w:color w:val="auto"/>
          <w:sz w:val="16"/>
          <w:szCs w:val="16"/>
        </w:rPr>
        <w:t xml:space="preserve"> mln zł</w:t>
      </w:r>
      <w:r w:rsidRPr="00205357">
        <w:rPr>
          <w:rFonts w:ascii="Verdana" w:hAnsi="Verdana"/>
          <w:color w:val="auto"/>
          <w:sz w:val="16"/>
          <w:szCs w:val="16"/>
        </w:rPr>
        <w:t xml:space="preserve"> rocznie</w:t>
      </w:r>
      <w:r>
        <w:rPr>
          <w:rFonts w:ascii="Verdana" w:hAnsi="Verdana"/>
          <w:color w:val="auto"/>
          <w:sz w:val="16"/>
          <w:szCs w:val="16"/>
        </w:rPr>
        <w:t xml:space="preserve"> od 2025 r.</w:t>
      </w:r>
    </w:p>
    <w:p w:rsidR="008A572A" w:rsidRPr="00205357" w:rsidRDefault="008A572A" w:rsidP="008A572A">
      <w:pPr>
        <w:spacing w:before="60" w:after="60"/>
        <w:jc w:val="both"/>
        <w:rPr>
          <w:rFonts w:ascii="Verdana" w:hAnsi="Verdana"/>
          <w:sz w:val="16"/>
          <w:szCs w:val="16"/>
        </w:rPr>
      </w:pPr>
      <w:r w:rsidRPr="00205357">
        <w:rPr>
          <w:rFonts w:ascii="Verdana" w:hAnsi="Verdana"/>
          <w:sz w:val="16"/>
          <w:szCs w:val="16"/>
        </w:rPr>
        <w:t xml:space="preserve">Prognoza dochodów ujmuje </w:t>
      </w:r>
      <w:r w:rsidRPr="00205357">
        <w:rPr>
          <w:rFonts w:ascii="Verdana" w:hAnsi="Verdana"/>
          <w:b/>
          <w:sz w:val="16"/>
          <w:szCs w:val="16"/>
        </w:rPr>
        <w:t>dochody przekazywane z budżetu Unii Europejskiej</w:t>
      </w:r>
      <w:r w:rsidRPr="00205357">
        <w:rPr>
          <w:rFonts w:ascii="Verdana" w:hAnsi="Verdana"/>
          <w:sz w:val="16"/>
          <w:szCs w:val="16"/>
        </w:rPr>
        <w:t xml:space="preserve"> w ramach perspektywy finansowej obejmującej lata 2014-2020.</w:t>
      </w:r>
    </w:p>
    <w:p w:rsidR="008A572A" w:rsidRPr="00205357" w:rsidRDefault="008A572A" w:rsidP="008A572A">
      <w:pPr>
        <w:spacing w:before="60" w:after="60"/>
        <w:jc w:val="both"/>
        <w:rPr>
          <w:rFonts w:ascii="Verdana" w:hAnsi="Verdana"/>
          <w:sz w:val="16"/>
          <w:szCs w:val="16"/>
        </w:rPr>
      </w:pPr>
      <w:r w:rsidRPr="00205357">
        <w:rPr>
          <w:rFonts w:ascii="Verdana" w:hAnsi="Verdana"/>
          <w:sz w:val="16"/>
          <w:szCs w:val="16"/>
        </w:rPr>
        <w:t xml:space="preserve">Dochody z tytułu realizacji bieżących programów Unii Europejskiej będą realizowane w latach 2023-2025 </w:t>
      </w:r>
      <w:r w:rsidRPr="00205357">
        <w:rPr>
          <w:rFonts w:ascii="Verdana" w:hAnsi="Verdana"/>
          <w:sz w:val="16"/>
          <w:szCs w:val="16"/>
        </w:rPr>
        <w:br/>
        <w:t xml:space="preserve">i wyniosą łącznie </w:t>
      </w:r>
      <w:r>
        <w:rPr>
          <w:rFonts w:ascii="Verdana" w:hAnsi="Verdana"/>
          <w:b/>
          <w:sz w:val="16"/>
          <w:szCs w:val="16"/>
        </w:rPr>
        <w:t>27,6</w:t>
      </w:r>
      <w:r w:rsidRPr="00205357">
        <w:rPr>
          <w:rFonts w:ascii="Verdana" w:hAnsi="Verdana"/>
          <w:b/>
          <w:sz w:val="16"/>
          <w:szCs w:val="16"/>
        </w:rPr>
        <w:t xml:space="preserve"> mln zł</w:t>
      </w:r>
      <w:r w:rsidRPr="00205357">
        <w:rPr>
          <w:rFonts w:ascii="Verdana" w:hAnsi="Verdana"/>
          <w:sz w:val="16"/>
          <w:szCs w:val="16"/>
        </w:rPr>
        <w:t>. W poszczególnych latach będą kształtowały się następująco:</w:t>
      </w:r>
    </w:p>
    <w:p w:rsidR="008A572A" w:rsidRPr="00205357" w:rsidRDefault="008A572A" w:rsidP="008A572A">
      <w:pPr>
        <w:numPr>
          <w:ilvl w:val="0"/>
          <w:numId w:val="10"/>
        </w:numPr>
        <w:tabs>
          <w:tab w:val="clear" w:pos="1080"/>
          <w:tab w:val="num" w:pos="540"/>
        </w:tabs>
        <w:spacing w:before="60" w:after="60"/>
        <w:ind w:left="539" w:hanging="255"/>
        <w:jc w:val="both"/>
        <w:rPr>
          <w:rFonts w:ascii="Verdana" w:hAnsi="Verdana"/>
          <w:sz w:val="16"/>
          <w:szCs w:val="16"/>
        </w:rPr>
      </w:pPr>
      <w:r w:rsidRPr="00205357">
        <w:rPr>
          <w:rFonts w:ascii="Verdana" w:hAnsi="Verdana"/>
          <w:sz w:val="16"/>
          <w:szCs w:val="16"/>
        </w:rPr>
        <w:t xml:space="preserve">2023 r.:   </w:t>
      </w:r>
      <w:r>
        <w:rPr>
          <w:rFonts w:ascii="Verdana" w:hAnsi="Verdana"/>
          <w:b/>
          <w:sz w:val="16"/>
          <w:szCs w:val="16"/>
        </w:rPr>
        <w:t>24,1</w:t>
      </w:r>
      <w:r w:rsidRPr="00205357">
        <w:rPr>
          <w:rFonts w:ascii="Verdana" w:hAnsi="Verdana"/>
          <w:b/>
          <w:sz w:val="16"/>
          <w:szCs w:val="16"/>
        </w:rPr>
        <w:t xml:space="preserve"> mln zł</w:t>
      </w:r>
    </w:p>
    <w:p w:rsidR="008A572A" w:rsidRPr="00205357" w:rsidRDefault="008A572A" w:rsidP="008A572A">
      <w:pPr>
        <w:numPr>
          <w:ilvl w:val="0"/>
          <w:numId w:val="10"/>
        </w:numPr>
        <w:tabs>
          <w:tab w:val="clear" w:pos="1080"/>
          <w:tab w:val="num" w:pos="540"/>
        </w:tabs>
        <w:spacing w:before="60" w:after="60"/>
        <w:ind w:left="539" w:hanging="255"/>
        <w:jc w:val="both"/>
        <w:rPr>
          <w:rFonts w:ascii="Verdana" w:hAnsi="Verdana"/>
          <w:sz w:val="16"/>
          <w:szCs w:val="16"/>
        </w:rPr>
      </w:pPr>
      <w:r w:rsidRPr="00205357">
        <w:rPr>
          <w:rFonts w:ascii="Verdana" w:hAnsi="Verdana"/>
          <w:sz w:val="16"/>
          <w:szCs w:val="16"/>
        </w:rPr>
        <w:t xml:space="preserve">2024 r.:     </w:t>
      </w:r>
      <w:r>
        <w:rPr>
          <w:rFonts w:ascii="Verdana" w:hAnsi="Verdana"/>
          <w:b/>
          <w:sz w:val="16"/>
          <w:szCs w:val="16"/>
        </w:rPr>
        <w:t>1,9</w:t>
      </w:r>
      <w:r w:rsidRPr="00205357">
        <w:rPr>
          <w:rFonts w:ascii="Verdana" w:hAnsi="Verdana"/>
          <w:b/>
          <w:sz w:val="16"/>
          <w:szCs w:val="16"/>
        </w:rPr>
        <w:t xml:space="preserve"> mln zł</w:t>
      </w:r>
    </w:p>
    <w:p w:rsidR="008A572A" w:rsidRPr="00205357" w:rsidRDefault="008A572A" w:rsidP="008A572A">
      <w:pPr>
        <w:numPr>
          <w:ilvl w:val="0"/>
          <w:numId w:val="10"/>
        </w:numPr>
        <w:tabs>
          <w:tab w:val="clear" w:pos="1080"/>
          <w:tab w:val="num" w:pos="540"/>
        </w:tabs>
        <w:spacing w:before="60" w:after="60"/>
        <w:ind w:left="539" w:hanging="255"/>
        <w:jc w:val="both"/>
        <w:rPr>
          <w:rFonts w:ascii="Verdana" w:hAnsi="Verdana"/>
          <w:sz w:val="16"/>
          <w:szCs w:val="16"/>
        </w:rPr>
      </w:pPr>
      <w:r w:rsidRPr="00205357">
        <w:rPr>
          <w:rFonts w:ascii="Verdana" w:hAnsi="Verdana"/>
          <w:sz w:val="16"/>
          <w:szCs w:val="16"/>
        </w:rPr>
        <w:t xml:space="preserve">2025 r.:     </w:t>
      </w:r>
      <w:r>
        <w:rPr>
          <w:rFonts w:ascii="Verdana" w:hAnsi="Verdana"/>
          <w:b/>
          <w:sz w:val="16"/>
          <w:szCs w:val="16"/>
        </w:rPr>
        <w:t>1,7</w:t>
      </w:r>
      <w:r w:rsidRPr="00205357">
        <w:rPr>
          <w:rFonts w:ascii="Verdana" w:hAnsi="Verdana"/>
          <w:b/>
          <w:sz w:val="16"/>
          <w:szCs w:val="16"/>
        </w:rPr>
        <w:t xml:space="preserve"> mln zł</w:t>
      </w:r>
    </w:p>
    <w:p w:rsidR="008A572A" w:rsidRPr="00B2446D" w:rsidRDefault="008A572A" w:rsidP="008A572A">
      <w:pPr>
        <w:ind w:left="539"/>
        <w:jc w:val="both"/>
        <w:rPr>
          <w:rFonts w:ascii="Verdana" w:hAnsi="Verdana"/>
          <w:sz w:val="16"/>
          <w:szCs w:val="16"/>
        </w:rPr>
      </w:pPr>
    </w:p>
    <w:p w:rsidR="008A572A" w:rsidRDefault="008A572A" w:rsidP="008A572A">
      <w:pPr>
        <w:spacing w:before="240" w:after="240"/>
        <w:rPr>
          <w:rFonts w:ascii="Verdana" w:hAnsi="Verdana"/>
          <w:b/>
          <w:bCs/>
          <w:sz w:val="18"/>
          <w:szCs w:val="18"/>
        </w:rPr>
      </w:pPr>
      <w:r>
        <w:rPr>
          <w:rFonts w:ascii="Verdana" w:hAnsi="Verdana"/>
          <w:b/>
          <w:bCs/>
          <w:sz w:val="18"/>
          <w:szCs w:val="18"/>
        </w:rPr>
        <w:br w:type="page"/>
      </w:r>
    </w:p>
    <w:p w:rsidR="008A572A" w:rsidRPr="000A6485" w:rsidRDefault="008A572A" w:rsidP="008A572A">
      <w:pPr>
        <w:spacing w:before="240" w:after="240"/>
        <w:rPr>
          <w:rFonts w:ascii="Verdana" w:hAnsi="Verdana"/>
          <w:b/>
          <w:bCs/>
          <w:sz w:val="18"/>
          <w:szCs w:val="18"/>
        </w:rPr>
      </w:pPr>
      <w:r w:rsidRPr="000A6485">
        <w:rPr>
          <w:rFonts w:ascii="Verdana" w:hAnsi="Verdana"/>
          <w:b/>
          <w:bCs/>
          <w:sz w:val="18"/>
          <w:szCs w:val="18"/>
        </w:rPr>
        <w:lastRenderedPageBreak/>
        <w:t>7.2.3.5 Prognoza dochodów z podatku od nieruchomości</w:t>
      </w:r>
    </w:p>
    <w:p w:rsidR="008A572A" w:rsidRPr="000A6485" w:rsidRDefault="008A572A" w:rsidP="008A572A">
      <w:pPr>
        <w:tabs>
          <w:tab w:val="left" w:pos="0"/>
        </w:tabs>
        <w:spacing w:before="120" w:after="60"/>
        <w:ind w:firstLine="567"/>
        <w:jc w:val="both"/>
        <w:rPr>
          <w:rFonts w:ascii="Verdana" w:hAnsi="Verdana"/>
          <w:sz w:val="16"/>
          <w:szCs w:val="16"/>
        </w:rPr>
      </w:pPr>
      <w:r w:rsidRPr="000A6485">
        <w:rPr>
          <w:rFonts w:ascii="Verdana" w:hAnsi="Verdana"/>
          <w:sz w:val="16"/>
          <w:szCs w:val="16"/>
        </w:rPr>
        <w:t xml:space="preserve">Wykres </w:t>
      </w:r>
      <w:r>
        <w:rPr>
          <w:rFonts w:ascii="Verdana" w:hAnsi="Verdana"/>
          <w:sz w:val="16"/>
          <w:szCs w:val="16"/>
        </w:rPr>
        <w:t>nr 27</w:t>
      </w:r>
      <w:r w:rsidRPr="000A6485">
        <w:rPr>
          <w:rFonts w:ascii="Verdana" w:hAnsi="Verdana"/>
          <w:sz w:val="16"/>
          <w:szCs w:val="16"/>
        </w:rPr>
        <w:t xml:space="preserve"> prezentuje prognozowane dochody z podatku od nieruchomości w poszczególnych latach objętych Prognozą.</w:t>
      </w:r>
    </w:p>
    <w:p w:rsidR="008A572A" w:rsidRPr="000A6485" w:rsidRDefault="008A572A" w:rsidP="008A572A">
      <w:pPr>
        <w:tabs>
          <w:tab w:val="left" w:pos="567"/>
        </w:tabs>
        <w:spacing w:before="120" w:after="60" w:line="240" w:lineRule="auto"/>
        <w:ind w:left="567" w:hanging="567"/>
        <w:rPr>
          <w:rFonts w:ascii="Verdana" w:hAnsi="Verdana" w:cs="Arial"/>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DB2126">
        <w:rPr>
          <w:rFonts w:ascii="Verdana" w:hAnsi="Verdana" w:cs="Arial"/>
          <w:b/>
          <w:bCs/>
          <w:noProof/>
          <w:sz w:val="14"/>
          <w:szCs w:val="14"/>
        </w:rPr>
        <w:t>27</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Z PODATKU OD NIERUCHOMOŚCI M.ST. WARSZAWY NA LATA </w:t>
      </w:r>
      <w:r w:rsidRPr="00932633">
        <w:rPr>
          <w:rFonts w:ascii="Verdana" w:hAnsi="Verdana" w:cs="Arial"/>
          <w:b/>
          <w:bCs/>
          <w:sz w:val="14"/>
          <w:szCs w:val="14"/>
        </w:rPr>
        <w:t>2023</w:t>
      </w:r>
      <w:r w:rsidRPr="000A6485">
        <w:rPr>
          <w:rFonts w:ascii="Verdana" w:hAnsi="Verdana" w:cs="Arial"/>
          <w:b/>
          <w:bCs/>
          <w:sz w:val="14"/>
          <w:szCs w:val="14"/>
        </w:rPr>
        <w:t xml:space="preserve">-2050 </w:t>
      </w:r>
      <w:r w:rsidRPr="000A6485">
        <w:rPr>
          <w:rFonts w:ascii="Verdana" w:hAnsi="Verdana" w:cs="Arial"/>
          <w:b/>
          <w:bCs/>
          <w:sz w:val="14"/>
          <w:szCs w:val="14"/>
        </w:rPr>
        <w:br/>
      </w:r>
      <w:r w:rsidRPr="000A6485">
        <w:rPr>
          <w:rFonts w:ascii="Verdana" w:hAnsi="Verdana" w:cs="Arial"/>
          <w:bCs/>
          <w:sz w:val="14"/>
          <w:szCs w:val="14"/>
        </w:rPr>
        <w:t xml:space="preserve">    </w:t>
      </w:r>
      <w:r>
        <w:rPr>
          <w:rFonts w:ascii="Verdana" w:hAnsi="Verdana" w:cs="Arial"/>
          <w:bCs/>
          <w:sz w:val="14"/>
          <w:szCs w:val="14"/>
        </w:rPr>
        <w:t xml:space="preserve">[w </w:t>
      </w:r>
      <w:r w:rsidRPr="000A6485">
        <w:rPr>
          <w:rFonts w:ascii="Verdana" w:hAnsi="Verdana" w:cs="Arial"/>
          <w:bCs/>
          <w:sz w:val="14"/>
          <w:szCs w:val="14"/>
        </w:rPr>
        <w:t>mln zł]</w:t>
      </w:r>
    </w:p>
    <w:p w:rsidR="008A572A" w:rsidRPr="000A6485" w:rsidRDefault="008A572A" w:rsidP="008A572A">
      <w:pPr>
        <w:spacing w:before="120" w:after="120"/>
        <w:jc w:val="both"/>
        <w:rPr>
          <w:rFonts w:ascii="Verdana" w:hAnsi="Verdana"/>
          <w:sz w:val="18"/>
          <w:szCs w:val="18"/>
        </w:rPr>
      </w:pPr>
      <w:r>
        <w:rPr>
          <w:rFonts w:ascii="Verdana" w:hAnsi="Verdana"/>
          <w:b/>
          <w:bCs/>
          <w:noProof/>
          <w:sz w:val="20"/>
          <w:szCs w:val="20"/>
        </w:rPr>
        <w:drawing>
          <wp:inline distT="0" distB="0" distL="0" distR="0">
            <wp:extent cx="5841365" cy="2988945"/>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1365" cy="2988945"/>
                    </a:xfrm>
                    <a:prstGeom prst="rect">
                      <a:avLst/>
                    </a:prstGeom>
                    <a:noFill/>
                    <a:ln>
                      <a:noFill/>
                    </a:ln>
                  </pic:spPr>
                </pic:pic>
              </a:graphicData>
            </a:graphic>
          </wp:inline>
        </w:drawing>
      </w:r>
    </w:p>
    <w:p w:rsidR="008A572A" w:rsidRPr="00A61201" w:rsidRDefault="008A572A" w:rsidP="008A572A">
      <w:pPr>
        <w:spacing w:before="60" w:after="60"/>
        <w:ind w:firstLine="539"/>
        <w:jc w:val="both"/>
        <w:rPr>
          <w:rFonts w:ascii="Verdana" w:hAnsi="Verdana"/>
          <w:sz w:val="16"/>
          <w:szCs w:val="16"/>
        </w:rPr>
      </w:pPr>
      <w:r w:rsidRPr="00A61201">
        <w:rPr>
          <w:rFonts w:ascii="Verdana" w:hAnsi="Verdana"/>
          <w:sz w:val="16"/>
          <w:szCs w:val="16"/>
        </w:rPr>
        <w:t>Prognozuje się, że wpływy m.st. Warszawy z podatku od nieruchomości w okresie pierwszych pięciu lat prognozy tj. od 202</w:t>
      </w:r>
      <w:r>
        <w:rPr>
          <w:rFonts w:ascii="Verdana" w:hAnsi="Verdana"/>
          <w:sz w:val="16"/>
          <w:szCs w:val="16"/>
        </w:rPr>
        <w:t>3</w:t>
      </w:r>
      <w:r w:rsidRPr="00A61201">
        <w:rPr>
          <w:rFonts w:ascii="Verdana" w:hAnsi="Verdana"/>
          <w:sz w:val="16"/>
          <w:szCs w:val="16"/>
        </w:rPr>
        <w:t xml:space="preserve"> do 202</w:t>
      </w:r>
      <w:r>
        <w:rPr>
          <w:rFonts w:ascii="Verdana" w:hAnsi="Verdana"/>
          <w:sz w:val="16"/>
          <w:szCs w:val="16"/>
        </w:rPr>
        <w:t>7</w:t>
      </w:r>
      <w:r w:rsidRPr="00A61201">
        <w:rPr>
          <w:rFonts w:ascii="Verdana" w:hAnsi="Verdana"/>
          <w:sz w:val="16"/>
          <w:szCs w:val="16"/>
        </w:rPr>
        <w:t xml:space="preserve"> r. wyniosą łącznie </w:t>
      </w:r>
      <w:r w:rsidRPr="00F17E33">
        <w:rPr>
          <w:rFonts w:ascii="Verdana" w:hAnsi="Verdana"/>
          <w:b/>
          <w:sz w:val="16"/>
          <w:szCs w:val="16"/>
        </w:rPr>
        <w:t xml:space="preserve">8,1 mld </w:t>
      </w:r>
      <w:r w:rsidRPr="00A61201">
        <w:rPr>
          <w:rFonts w:ascii="Verdana" w:hAnsi="Verdana"/>
          <w:b/>
          <w:sz w:val="16"/>
          <w:szCs w:val="16"/>
        </w:rPr>
        <w:t>zł</w:t>
      </w:r>
      <w:r w:rsidRPr="00A61201">
        <w:rPr>
          <w:rFonts w:ascii="Verdana" w:hAnsi="Verdana"/>
          <w:sz w:val="16"/>
          <w:szCs w:val="16"/>
        </w:rPr>
        <w:t xml:space="preserve">, co będzie stanowiło </w:t>
      </w:r>
      <w:r w:rsidRPr="00F17E33">
        <w:rPr>
          <w:rFonts w:ascii="Verdana" w:hAnsi="Verdana"/>
          <w:b/>
          <w:sz w:val="16"/>
          <w:szCs w:val="16"/>
        </w:rPr>
        <w:t>7,8%</w:t>
      </w:r>
      <w:r w:rsidRPr="00F17E33">
        <w:rPr>
          <w:rFonts w:ascii="Verdana" w:hAnsi="Verdana"/>
          <w:sz w:val="16"/>
          <w:szCs w:val="16"/>
        </w:rPr>
        <w:t xml:space="preserve"> </w:t>
      </w:r>
      <w:r w:rsidRPr="00A61201">
        <w:rPr>
          <w:rFonts w:ascii="Verdana" w:hAnsi="Verdana"/>
          <w:sz w:val="16"/>
          <w:szCs w:val="16"/>
        </w:rPr>
        <w:t xml:space="preserve">planowanych </w:t>
      </w:r>
      <w:r w:rsidRPr="00A61201">
        <w:rPr>
          <w:rFonts w:ascii="Verdana" w:hAnsi="Verdana"/>
          <w:sz w:val="16"/>
          <w:szCs w:val="16"/>
        </w:rPr>
        <w:br/>
        <w:t>do realizacji w tym okresie dochodów ogółem.</w:t>
      </w:r>
    </w:p>
    <w:p w:rsidR="008A572A" w:rsidRPr="00A61201" w:rsidRDefault="008A572A" w:rsidP="008A572A">
      <w:pPr>
        <w:spacing w:before="60" w:after="60"/>
        <w:jc w:val="both"/>
        <w:rPr>
          <w:rFonts w:ascii="Verdana" w:hAnsi="Verdana"/>
          <w:sz w:val="16"/>
          <w:szCs w:val="16"/>
        </w:rPr>
      </w:pPr>
      <w:r w:rsidRPr="00A61201">
        <w:rPr>
          <w:rFonts w:ascii="Verdana" w:hAnsi="Verdana"/>
          <w:sz w:val="16"/>
          <w:szCs w:val="16"/>
        </w:rPr>
        <w:t>W kalkulacji planu dochodów z</w:t>
      </w:r>
      <w:r w:rsidRPr="00A61201">
        <w:rPr>
          <w:rFonts w:ascii="Verdana" w:hAnsi="Verdana"/>
          <w:b/>
          <w:bCs/>
          <w:sz w:val="16"/>
          <w:szCs w:val="16"/>
        </w:rPr>
        <w:t xml:space="preserve"> </w:t>
      </w:r>
      <w:r w:rsidRPr="00A61201">
        <w:rPr>
          <w:rFonts w:ascii="Verdana" w:hAnsi="Verdana"/>
          <w:sz w:val="16"/>
          <w:szCs w:val="16"/>
        </w:rPr>
        <w:t>podatku od nieruchomości na 202</w:t>
      </w:r>
      <w:r>
        <w:rPr>
          <w:rFonts w:ascii="Verdana" w:hAnsi="Verdana"/>
          <w:sz w:val="16"/>
          <w:szCs w:val="16"/>
        </w:rPr>
        <w:t>3</w:t>
      </w:r>
      <w:r w:rsidRPr="00A61201">
        <w:rPr>
          <w:rFonts w:ascii="Verdana" w:hAnsi="Verdana"/>
          <w:sz w:val="16"/>
          <w:szCs w:val="16"/>
        </w:rPr>
        <w:t xml:space="preserve"> r. uwzględniono bieżący stan bazy podatkowej (podstawa wymiaru podatku) oraz stopień ściągalności</w:t>
      </w:r>
      <w:r>
        <w:rPr>
          <w:rFonts w:ascii="Verdana" w:hAnsi="Verdana"/>
          <w:sz w:val="16"/>
          <w:szCs w:val="16"/>
        </w:rPr>
        <w:t>.</w:t>
      </w:r>
      <w:r w:rsidRPr="00A61201">
        <w:rPr>
          <w:rFonts w:ascii="Verdana" w:hAnsi="Verdana"/>
          <w:sz w:val="16"/>
          <w:szCs w:val="16"/>
        </w:rPr>
        <w:t xml:space="preserve"> </w:t>
      </w:r>
    </w:p>
    <w:p w:rsidR="008A572A" w:rsidRPr="000A6485" w:rsidRDefault="008A572A" w:rsidP="008A572A">
      <w:pPr>
        <w:spacing w:before="60" w:after="60"/>
        <w:ind w:firstLine="567"/>
        <w:jc w:val="both"/>
        <w:rPr>
          <w:rFonts w:ascii="Verdana" w:hAnsi="Verdana"/>
          <w:sz w:val="16"/>
          <w:szCs w:val="16"/>
        </w:rPr>
      </w:pPr>
      <w:r w:rsidRPr="00A61201">
        <w:rPr>
          <w:rFonts w:ascii="Verdana" w:hAnsi="Verdana"/>
          <w:sz w:val="16"/>
          <w:szCs w:val="16"/>
        </w:rPr>
        <w:t xml:space="preserve">Dynamika wpływów z podatku od nieruchomości w dłuższej perspektywie sięgającej 2050 r. będzie zbliżona z prognozowaną </w:t>
      </w:r>
      <w:r>
        <w:rPr>
          <w:rFonts w:ascii="Verdana" w:hAnsi="Verdana"/>
          <w:sz w:val="16"/>
          <w:szCs w:val="16"/>
        </w:rPr>
        <w:t>–</w:t>
      </w:r>
      <w:r w:rsidRPr="00A61201">
        <w:rPr>
          <w:rFonts w:ascii="Verdana" w:hAnsi="Verdana"/>
          <w:sz w:val="16"/>
          <w:szCs w:val="16"/>
        </w:rPr>
        <w:t xml:space="preserve"> </w:t>
      </w:r>
      <w:r>
        <w:rPr>
          <w:rFonts w:ascii="Verdana" w:hAnsi="Verdana"/>
          <w:sz w:val="16"/>
          <w:szCs w:val="16"/>
        </w:rPr>
        <w:t xml:space="preserve">w opublikowanych przez Ministerstwo Finansów </w:t>
      </w:r>
      <w:r w:rsidRPr="00F17E33">
        <w:rPr>
          <w:rFonts w:ascii="Verdana" w:hAnsi="Verdana"/>
          <w:sz w:val="16"/>
          <w:szCs w:val="16"/>
        </w:rPr>
        <w:t xml:space="preserve">3 października 2022 r. </w:t>
      </w:r>
      <w:r>
        <w:rPr>
          <w:rFonts w:ascii="Verdana" w:hAnsi="Verdana"/>
          <w:i/>
          <w:sz w:val="16"/>
          <w:szCs w:val="16"/>
        </w:rPr>
        <w:t>Wytycznych dotyczących</w:t>
      </w:r>
      <w:r w:rsidRPr="003F7795">
        <w:rPr>
          <w:rFonts w:ascii="Verdana" w:hAnsi="Verdana"/>
          <w:i/>
          <w:sz w:val="16"/>
          <w:szCs w:val="16"/>
        </w:rPr>
        <w:t xml:space="preserve"> stosowania jednolitych wskaźników makroekonomicznych będących podstawą oszacowania skutków finansowych projektowanych ustaw – aktualizacja </w:t>
      </w:r>
      <w:r>
        <w:rPr>
          <w:rFonts w:ascii="Verdana" w:hAnsi="Verdana"/>
          <w:i/>
          <w:sz w:val="16"/>
          <w:szCs w:val="16"/>
        </w:rPr>
        <w:t>październik</w:t>
      </w:r>
      <w:r w:rsidRPr="003F7795">
        <w:rPr>
          <w:rFonts w:ascii="Verdana" w:hAnsi="Verdana"/>
          <w:i/>
          <w:sz w:val="16"/>
          <w:szCs w:val="16"/>
        </w:rPr>
        <w:t xml:space="preserve"> 202</w:t>
      </w:r>
      <w:r>
        <w:rPr>
          <w:rFonts w:ascii="Verdana" w:hAnsi="Verdana"/>
          <w:i/>
          <w:sz w:val="16"/>
          <w:szCs w:val="16"/>
        </w:rPr>
        <w:t>2 r.</w:t>
      </w:r>
      <w:r>
        <w:rPr>
          <w:rFonts w:ascii="Verdana" w:hAnsi="Verdana"/>
          <w:sz w:val="16"/>
          <w:szCs w:val="16"/>
        </w:rPr>
        <w:t xml:space="preserve"> – </w:t>
      </w:r>
      <w:r w:rsidRPr="00A61201">
        <w:rPr>
          <w:rFonts w:ascii="Verdana" w:hAnsi="Verdana"/>
          <w:sz w:val="16"/>
          <w:szCs w:val="16"/>
        </w:rPr>
        <w:t xml:space="preserve">dynamiką cen i towarów </w:t>
      </w:r>
      <w:r>
        <w:rPr>
          <w:rFonts w:ascii="Verdana" w:hAnsi="Verdana"/>
          <w:sz w:val="16"/>
          <w:szCs w:val="16"/>
        </w:rPr>
        <w:t>k</w:t>
      </w:r>
      <w:r w:rsidRPr="00A61201">
        <w:rPr>
          <w:rFonts w:ascii="Verdana" w:hAnsi="Verdana"/>
          <w:sz w:val="16"/>
          <w:szCs w:val="16"/>
        </w:rPr>
        <w:t>onsumpcyjnych.</w:t>
      </w:r>
    </w:p>
    <w:p w:rsidR="008A572A" w:rsidRDefault="008A572A" w:rsidP="008A572A">
      <w:pPr>
        <w:spacing w:before="60" w:after="60"/>
        <w:ind w:firstLine="567"/>
        <w:jc w:val="both"/>
        <w:rPr>
          <w:rFonts w:ascii="Verdana" w:hAnsi="Verdana"/>
          <w:sz w:val="16"/>
          <w:szCs w:val="16"/>
        </w:rPr>
      </w:pPr>
      <w:r w:rsidRPr="002751E6">
        <w:rPr>
          <w:rFonts w:ascii="Verdana" w:hAnsi="Verdana"/>
          <w:sz w:val="16"/>
          <w:szCs w:val="16"/>
        </w:rPr>
        <w:t xml:space="preserve">W ostatnich latach dynamika dochodów z podatku od nieruchomości była wyższa od dynamiki stawek podatkowych, </w:t>
      </w:r>
      <w:r w:rsidRPr="009554E3">
        <w:rPr>
          <w:rFonts w:ascii="Verdana" w:hAnsi="Verdana"/>
          <w:sz w:val="16"/>
          <w:szCs w:val="16"/>
        </w:rPr>
        <w:t xml:space="preserve">które zmieniały się w tempie porównywalnym z dynamiką wskaźnika cen towarów i usług konsumpcyjnych. W 2015 r. stawki podatkowe nie zmieniły się, w latach 2016-2017 część uległo obniżeniu, </w:t>
      </w:r>
      <w:r w:rsidRPr="009554E3">
        <w:rPr>
          <w:rFonts w:ascii="Verdana" w:hAnsi="Verdana"/>
          <w:sz w:val="16"/>
          <w:szCs w:val="16"/>
        </w:rPr>
        <w:br/>
        <w:t>w latach 2018-2022 nastąpił ich wzrost.</w:t>
      </w:r>
    </w:p>
    <w:p w:rsidR="008A572A" w:rsidRDefault="008A572A" w:rsidP="008A572A">
      <w:pPr>
        <w:spacing w:before="60" w:after="60"/>
        <w:ind w:firstLine="567"/>
        <w:jc w:val="both"/>
        <w:rPr>
          <w:rFonts w:ascii="Verdana" w:hAnsi="Verdana"/>
          <w:sz w:val="16"/>
          <w:szCs w:val="16"/>
        </w:rPr>
      </w:pPr>
      <w:r w:rsidRPr="000A6485">
        <w:rPr>
          <w:rFonts w:ascii="Verdana" w:hAnsi="Verdana"/>
          <w:sz w:val="16"/>
          <w:szCs w:val="16"/>
        </w:rPr>
        <w:t xml:space="preserve">Wykres </w:t>
      </w:r>
      <w:r>
        <w:rPr>
          <w:rFonts w:ascii="Verdana" w:hAnsi="Verdana"/>
          <w:sz w:val="16"/>
          <w:szCs w:val="16"/>
        </w:rPr>
        <w:t>nr 28</w:t>
      </w:r>
      <w:r w:rsidRPr="000A6485">
        <w:rPr>
          <w:rFonts w:ascii="Verdana" w:hAnsi="Verdana"/>
          <w:sz w:val="16"/>
          <w:szCs w:val="16"/>
        </w:rPr>
        <w:t xml:space="preserve"> prezentuje procentową zmianę rok do roku wysokości dochodów z podatku od nieruchomości </w:t>
      </w:r>
      <w:r w:rsidRPr="000A6485">
        <w:rPr>
          <w:rFonts w:ascii="Verdana" w:hAnsi="Verdana"/>
          <w:sz w:val="16"/>
          <w:szCs w:val="16"/>
        </w:rPr>
        <w:br/>
        <w:t>w poszczególnych latach objętych Prognozą.</w:t>
      </w:r>
    </w:p>
    <w:p w:rsidR="008A572A" w:rsidRDefault="008A572A" w:rsidP="008A572A">
      <w:pPr>
        <w:spacing w:before="120" w:after="120"/>
        <w:jc w:val="both"/>
        <w:rPr>
          <w:rFonts w:ascii="Verdana" w:hAnsi="Verdana" w:cs="Arial"/>
          <w:b/>
          <w:bCs/>
          <w:sz w:val="14"/>
          <w:szCs w:val="14"/>
        </w:rPr>
      </w:pPr>
      <w:r>
        <w:rPr>
          <w:rFonts w:ascii="Verdana" w:hAnsi="Verdana" w:cs="Arial"/>
          <w:b/>
          <w:bCs/>
          <w:sz w:val="14"/>
          <w:szCs w:val="14"/>
        </w:rPr>
        <w:br w:type="page"/>
      </w:r>
    </w:p>
    <w:p w:rsidR="008A572A" w:rsidRPr="000A6485" w:rsidRDefault="008A572A" w:rsidP="008A572A">
      <w:pPr>
        <w:spacing w:before="120" w:after="120"/>
        <w:jc w:val="both"/>
        <w:rPr>
          <w:rFonts w:ascii="Verdana" w:hAnsi="Verdana"/>
          <w:sz w:val="14"/>
          <w:szCs w:val="14"/>
        </w:rPr>
      </w:pPr>
      <w:r w:rsidRPr="000A6485">
        <w:rPr>
          <w:rFonts w:ascii="Verdana" w:hAnsi="Verdana" w:cs="Arial"/>
          <w:b/>
          <w:bCs/>
          <w:sz w:val="14"/>
          <w:szCs w:val="14"/>
        </w:rPr>
        <w:lastRenderedPageBreak/>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DB2126">
        <w:rPr>
          <w:rFonts w:ascii="Verdana" w:hAnsi="Verdana" w:cs="Arial"/>
          <w:b/>
          <w:bCs/>
          <w:noProof/>
          <w:sz w:val="14"/>
          <w:szCs w:val="14"/>
        </w:rPr>
        <w:t>28</w:t>
      </w:r>
      <w:r w:rsidRPr="000A6485">
        <w:rPr>
          <w:rFonts w:ascii="Verdana" w:hAnsi="Verdana" w:cs="Arial"/>
          <w:b/>
          <w:bCs/>
          <w:sz w:val="14"/>
          <w:szCs w:val="14"/>
        </w:rPr>
        <w:fldChar w:fldCharType="end"/>
      </w:r>
      <w:r w:rsidRPr="000A6485">
        <w:rPr>
          <w:rFonts w:ascii="Verdana" w:hAnsi="Verdana" w:cs="Arial"/>
          <w:b/>
          <w:bCs/>
          <w:sz w:val="14"/>
          <w:szCs w:val="14"/>
        </w:rPr>
        <w:t xml:space="preserve">  PROGNOZOWANA ZMIANA PROCENTOWA ROK DO ROKU DOCHODÓW Z PODATKU OD NIERUCHOMOŚCI </w:t>
      </w:r>
      <w:r w:rsidRPr="000A6485">
        <w:rPr>
          <w:rFonts w:ascii="Verdana" w:hAnsi="Verdana" w:cs="Arial"/>
          <w:b/>
          <w:bCs/>
          <w:sz w:val="14"/>
          <w:szCs w:val="14"/>
        </w:rPr>
        <w:br/>
        <w:t xml:space="preserve">                M.</w:t>
      </w:r>
      <w:r>
        <w:rPr>
          <w:rFonts w:ascii="Verdana" w:hAnsi="Verdana" w:cs="Arial"/>
          <w:b/>
          <w:bCs/>
          <w:sz w:val="14"/>
          <w:szCs w:val="14"/>
        </w:rPr>
        <w:t xml:space="preserve">ST. WARSZAWY NA LATA </w:t>
      </w:r>
      <w:r w:rsidRPr="00932633">
        <w:rPr>
          <w:rFonts w:ascii="Verdana" w:hAnsi="Verdana" w:cs="Arial"/>
          <w:b/>
          <w:bCs/>
          <w:sz w:val="14"/>
          <w:szCs w:val="14"/>
        </w:rPr>
        <w:t>2023</w:t>
      </w:r>
      <w:r w:rsidRPr="000A6485">
        <w:rPr>
          <w:rFonts w:ascii="Verdana" w:hAnsi="Verdana" w:cs="Arial"/>
          <w:b/>
          <w:bCs/>
          <w:sz w:val="14"/>
          <w:szCs w:val="14"/>
        </w:rPr>
        <w:t xml:space="preserve">-2050 </w:t>
      </w:r>
      <w:r w:rsidRPr="000A6485">
        <w:rPr>
          <w:rFonts w:ascii="Verdana" w:hAnsi="Verdana" w:cs="Arial"/>
          <w:bCs/>
          <w:sz w:val="14"/>
          <w:szCs w:val="14"/>
        </w:rPr>
        <w:t>[</w:t>
      </w:r>
      <w:r>
        <w:rPr>
          <w:rFonts w:ascii="Verdana" w:hAnsi="Verdana" w:cs="Arial"/>
          <w:bCs/>
          <w:sz w:val="14"/>
          <w:szCs w:val="14"/>
        </w:rPr>
        <w:t xml:space="preserve">w </w:t>
      </w:r>
      <w:r w:rsidRPr="000A6485">
        <w:rPr>
          <w:rFonts w:ascii="Verdana" w:hAnsi="Verdana" w:cs="Arial"/>
          <w:bCs/>
          <w:sz w:val="14"/>
          <w:szCs w:val="14"/>
        </w:rPr>
        <w:t>%]</w:t>
      </w:r>
    </w:p>
    <w:p w:rsidR="008A572A" w:rsidRPr="000A6485" w:rsidRDefault="008A572A" w:rsidP="008A572A">
      <w:pPr>
        <w:spacing w:before="120" w:after="120"/>
        <w:jc w:val="both"/>
        <w:rPr>
          <w:rFonts w:ascii="Verdana" w:hAnsi="Verdana"/>
          <w:sz w:val="18"/>
          <w:szCs w:val="18"/>
        </w:rPr>
      </w:pPr>
      <w:r>
        <w:rPr>
          <w:rFonts w:ascii="Verdana" w:hAnsi="Verdana"/>
          <w:noProof/>
          <w:sz w:val="18"/>
          <w:szCs w:val="18"/>
        </w:rPr>
        <w:drawing>
          <wp:inline distT="0" distB="0" distL="0" distR="0">
            <wp:extent cx="5759450" cy="2947670"/>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2947670"/>
                    </a:xfrm>
                    <a:prstGeom prst="rect">
                      <a:avLst/>
                    </a:prstGeom>
                    <a:noFill/>
                    <a:ln>
                      <a:noFill/>
                    </a:ln>
                  </pic:spPr>
                </pic:pic>
              </a:graphicData>
            </a:graphic>
          </wp:inline>
        </w:drawing>
      </w:r>
    </w:p>
    <w:p w:rsidR="008A572A" w:rsidRPr="000A6485" w:rsidRDefault="008A572A" w:rsidP="008A572A">
      <w:pPr>
        <w:spacing w:before="240" w:after="240"/>
        <w:ind w:left="1077" w:hanging="1077"/>
        <w:rPr>
          <w:rFonts w:ascii="Verdana" w:hAnsi="Verdana"/>
          <w:b/>
          <w:bCs/>
          <w:sz w:val="18"/>
          <w:szCs w:val="18"/>
        </w:rPr>
      </w:pPr>
      <w:r w:rsidRPr="000A6485">
        <w:rPr>
          <w:rFonts w:ascii="Verdana" w:hAnsi="Verdana"/>
          <w:b/>
          <w:bCs/>
          <w:sz w:val="18"/>
          <w:szCs w:val="18"/>
        </w:rPr>
        <w:t>7.2.3.6 Prognoza dochodów ze sprzedaży majątku</w:t>
      </w:r>
    </w:p>
    <w:p w:rsidR="008A572A" w:rsidRPr="000A6485" w:rsidRDefault="008A572A" w:rsidP="008A572A">
      <w:pPr>
        <w:tabs>
          <w:tab w:val="left" w:pos="0"/>
        </w:tabs>
        <w:spacing w:before="240" w:after="120"/>
        <w:ind w:firstLine="567"/>
        <w:jc w:val="both"/>
        <w:rPr>
          <w:rFonts w:ascii="Verdana" w:hAnsi="Verdana" w:cs="Arial"/>
          <w:b/>
          <w:bCs/>
          <w:sz w:val="16"/>
          <w:szCs w:val="16"/>
        </w:rPr>
      </w:pPr>
      <w:r w:rsidRPr="000A6485">
        <w:rPr>
          <w:rFonts w:ascii="Verdana" w:hAnsi="Verdana"/>
          <w:sz w:val="16"/>
          <w:szCs w:val="16"/>
        </w:rPr>
        <w:t xml:space="preserve">Wykres </w:t>
      </w:r>
      <w:r>
        <w:rPr>
          <w:rFonts w:ascii="Verdana" w:hAnsi="Verdana"/>
          <w:sz w:val="16"/>
          <w:szCs w:val="16"/>
        </w:rPr>
        <w:t>nr 29</w:t>
      </w:r>
      <w:r w:rsidRPr="000A6485">
        <w:rPr>
          <w:rFonts w:ascii="Verdana" w:hAnsi="Verdana"/>
          <w:sz w:val="16"/>
          <w:szCs w:val="16"/>
        </w:rPr>
        <w:t xml:space="preserve"> prezentuje prognozowane dochody ze sprzedaży majątku w poszczególnych latach objętych Prognozą.</w:t>
      </w:r>
    </w:p>
    <w:p w:rsidR="008A572A" w:rsidRPr="000A6485" w:rsidRDefault="008A572A" w:rsidP="008A572A">
      <w:pPr>
        <w:tabs>
          <w:tab w:val="left" w:pos="720"/>
        </w:tabs>
        <w:spacing w:before="120" w:after="60" w:line="240" w:lineRule="auto"/>
        <w:ind w:left="720" w:hanging="720"/>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DB2126">
        <w:rPr>
          <w:rFonts w:ascii="Verdana" w:hAnsi="Verdana" w:cs="Arial"/>
          <w:b/>
          <w:bCs/>
          <w:noProof/>
          <w:sz w:val="14"/>
          <w:szCs w:val="14"/>
        </w:rPr>
        <w:t>29</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ZE SPRZEDAŻY MAJ</w:t>
      </w:r>
      <w:r>
        <w:rPr>
          <w:rFonts w:ascii="Verdana" w:hAnsi="Verdana" w:cs="Arial"/>
          <w:b/>
          <w:bCs/>
          <w:sz w:val="14"/>
          <w:szCs w:val="14"/>
        </w:rPr>
        <w:t xml:space="preserve">ĄTKU M.ST. WARSZAWY NA LATA </w:t>
      </w:r>
      <w:r w:rsidRPr="00932633">
        <w:rPr>
          <w:rFonts w:ascii="Verdana" w:hAnsi="Verdana" w:cs="Arial"/>
          <w:b/>
          <w:bCs/>
          <w:sz w:val="14"/>
          <w:szCs w:val="14"/>
        </w:rPr>
        <w:t>2023</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8A572A" w:rsidRPr="000A6485" w:rsidRDefault="008A572A" w:rsidP="008A572A">
      <w:pPr>
        <w:spacing w:before="120" w:after="120"/>
        <w:jc w:val="both"/>
        <w:rPr>
          <w:rFonts w:ascii="Verdana" w:hAnsi="Verdana"/>
          <w:b/>
          <w:bCs/>
          <w:sz w:val="20"/>
          <w:szCs w:val="20"/>
        </w:rPr>
      </w:pPr>
      <w:r>
        <w:rPr>
          <w:noProof/>
        </w:rPr>
        <w:drawing>
          <wp:inline distT="0" distB="0" distL="0" distR="0">
            <wp:extent cx="5745480" cy="2756535"/>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5480" cy="2756535"/>
                    </a:xfrm>
                    <a:prstGeom prst="rect">
                      <a:avLst/>
                    </a:prstGeom>
                    <a:noFill/>
                    <a:ln>
                      <a:noFill/>
                    </a:ln>
                  </pic:spPr>
                </pic:pic>
              </a:graphicData>
            </a:graphic>
          </wp:inline>
        </w:drawing>
      </w:r>
    </w:p>
    <w:p w:rsidR="008A572A" w:rsidRPr="00CD61A2" w:rsidRDefault="008A572A" w:rsidP="008A572A">
      <w:pPr>
        <w:spacing w:before="60" w:after="60"/>
        <w:jc w:val="both"/>
        <w:rPr>
          <w:rFonts w:ascii="Verdana" w:hAnsi="Verdana"/>
          <w:sz w:val="16"/>
          <w:szCs w:val="16"/>
        </w:rPr>
      </w:pPr>
      <w:r w:rsidRPr="00CD61A2">
        <w:rPr>
          <w:rFonts w:ascii="Verdana" w:hAnsi="Verdana"/>
          <w:sz w:val="16"/>
          <w:szCs w:val="16"/>
        </w:rPr>
        <w:t>Prognozuje się, że wpływy m.st. Warszawy ze sprzedaży majątku w okresie objętym prognozą wyniosą:</w:t>
      </w:r>
    </w:p>
    <w:p w:rsidR="008A572A" w:rsidRPr="00CD61A2" w:rsidRDefault="008A572A" w:rsidP="008A572A">
      <w:pPr>
        <w:numPr>
          <w:ilvl w:val="0"/>
          <w:numId w:val="10"/>
        </w:numPr>
        <w:tabs>
          <w:tab w:val="clear" w:pos="1080"/>
          <w:tab w:val="num" w:pos="540"/>
        </w:tabs>
        <w:spacing w:before="60" w:after="60"/>
        <w:ind w:left="539" w:hanging="255"/>
        <w:jc w:val="both"/>
        <w:rPr>
          <w:rFonts w:ascii="Verdana" w:hAnsi="Verdana"/>
          <w:sz w:val="16"/>
          <w:szCs w:val="16"/>
        </w:rPr>
      </w:pPr>
      <w:r w:rsidRPr="00CD61A2">
        <w:rPr>
          <w:rFonts w:ascii="Verdana" w:hAnsi="Verdana"/>
          <w:sz w:val="16"/>
          <w:szCs w:val="16"/>
        </w:rPr>
        <w:t xml:space="preserve">2023 r.: </w:t>
      </w:r>
      <w:r>
        <w:rPr>
          <w:rFonts w:ascii="Verdana" w:hAnsi="Verdana"/>
          <w:b/>
          <w:sz w:val="16"/>
          <w:szCs w:val="16"/>
        </w:rPr>
        <w:t>178,8</w:t>
      </w:r>
      <w:r w:rsidRPr="00CD61A2">
        <w:rPr>
          <w:rFonts w:ascii="Verdana" w:hAnsi="Verdana"/>
          <w:b/>
          <w:sz w:val="16"/>
          <w:szCs w:val="16"/>
        </w:rPr>
        <w:t xml:space="preserve"> mln zł </w:t>
      </w:r>
    </w:p>
    <w:p w:rsidR="008A572A" w:rsidRPr="007E12E5" w:rsidRDefault="008A572A" w:rsidP="008A572A">
      <w:pPr>
        <w:numPr>
          <w:ilvl w:val="0"/>
          <w:numId w:val="10"/>
        </w:numPr>
        <w:tabs>
          <w:tab w:val="clear" w:pos="1080"/>
          <w:tab w:val="num" w:pos="540"/>
        </w:tabs>
        <w:spacing w:before="60" w:after="60"/>
        <w:ind w:left="539" w:hanging="255"/>
        <w:jc w:val="both"/>
        <w:rPr>
          <w:rFonts w:ascii="Verdana" w:hAnsi="Verdana"/>
          <w:sz w:val="16"/>
          <w:szCs w:val="16"/>
        </w:rPr>
      </w:pPr>
      <w:r>
        <w:rPr>
          <w:rFonts w:ascii="Verdana" w:hAnsi="Verdana"/>
          <w:sz w:val="16"/>
          <w:szCs w:val="16"/>
        </w:rPr>
        <w:t xml:space="preserve">2024 r.: </w:t>
      </w:r>
      <w:r w:rsidRPr="00CD61A2">
        <w:rPr>
          <w:rFonts w:ascii="Verdana" w:hAnsi="Verdana"/>
          <w:b/>
          <w:sz w:val="16"/>
          <w:szCs w:val="16"/>
        </w:rPr>
        <w:t>45,1 mln zł</w:t>
      </w:r>
    </w:p>
    <w:p w:rsidR="008A572A" w:rsidRPr="00CD61A2" w:rsidRDefault="008A572A" w:rsidP="008A572A">
      <w:pPr>
        <w:numPr>
          <w:ilvl w:val="0"/>
          <w:numId w:val="10"/>
        </w:numPr>
        <w:tabs>
          <w:tab w:val="clear" w:pos="1080"/>
          <w:tab w:val="num" w:pos="540"/>
        </w:tabs>
        <w:spacing w:before="60" w:after="60"/>
        <w:ind w:left="539" w:hanging="255"/>
        <w:jc w:val="both"/>
        <w:rPr>
          <w:rFonts w:ascii="Verdana" w:hAnsi="Verdana"/>
          <w:sz w:val="16"/>
          <w:szCs w:val="16"/>
        </w:rPr>
      </w:pPr>
      <w:r>
        <w:rPr>
          <w:rFonts w:ascii="Verdana" w:hAnsi="Verdana"/>
          <w:sz w:val="16"/>
          <w:szCs w:val="16"/>
        </w:rPr>
        <w:t xml:space="preserve">2025 r.: </w:t>
      </w:r>
      <w:r w:rsidRPr="00CD61A2">
        <w:rPr>
          <w:rFonts w:ascii="Verdana" w:hAnsi="Verdana"/>
          <w:b/>
          <w:sz w:val="16"/>
          <w:szCs w:val="16"/>
        </w:rPr>
        <w:t>46,0 mln zł</w:t>
      </w:r>
    </w:p>
    <w:p w:rsidR="008A572A" w:rsidRPr="00CD61A2" w:rsidRDefault="008A572A" w:rsidP="008A572A">
      <w:pPr>
        <w:spacing w:before="60" w:after="60"/>
        <w:jc w:val="both"/>
        <w:rPr>
          <w:rFonts w:ascii="Verdana" w:hAnsi="Verdana"/>
          <w:sz w:val="16"/>
          <w:szCs w:val="16"/>
        </w:rPr>
      </w:pPr>
      <w:r w:rsidRPr="00CD61A2">
        <w:rPr>
          <w:rFonts w:ascii="Verdana" w:hAnsi="Verdana"/>
          <w:sz w:val="16"/>
          <w:szCs w:val="16"/>
        </w:rPr>
        <w:t>Na dochody ze sprzedaży majątku składają się wpływy z następujących źródeł:</w:t>
      </w:r>
    </w:p>
    <w:p w:rsidR="008A572A" w:rsidRPr="00CD61A2" w:rsidRDefault="008A572A" w:rsidP="008A572A">
      <w:pPr>
        <w:numPr>
          <w:ilvl w:val="0"/>
          <w:numId w:val="10"/>
        </w:numPr>
        <w:tabs>
          <w:tab w:val="clear" w:pos="1080"/>
          <w:tab w:val="num" w:pos="540"/>
        </w:tabs>
        <w:spacing w:before="60" w:after="60"/>
        <w:ind w:left="539" w:hanging="255"/>
        <w:jc w:val="both"/>
        <w:rPr>
          <w:rFonts w:ascii="Verdana" w:hAnsi="Verdana"/>
          <w:sz w:val="16"/>
          <w:szCs w:val="16"/>
        </w:rPr>
      </w:pPr>
      <w:r w:rsidRPr="00CD61A2">
        <w:rPr>
          <w:rFonts w:ascii="Verdana" w:hAnsi="Verdana"/>
          <w:sz w:val="16"/>
          <w:szCs w:val="16"/>
        </w:rPr>
        <w:t>sprzedaż lokali i nieruchomości, w tym:</w:t>
      </w:r>
    </w:p>
    <w:p w:rsidR="008A572A" w:rsidRPr="00CD61A2" w:rsidRDefault="008A572A" w:rsidP="008A572A">
      <w:pPr>
        <w:numPr>
          <w:ilvl w:val="1"/>
          <w:numId w:val="24"/>
        </w:numPr>
        <w:tabs>
          <w:tab w:val="clear" w:pos="1440"/>
          <w:tab w:val="num" w:pos="1134"/>
        </w:tabs>
        <w:spacing w:before="60" w:after="60"/>
        <w:ind w:left="1134" w:hanging="283"/>
        <w:jc w:val="both"/>
        <w:rPr>
          <w:rFonts w:ascii="Verdana" w:hAnsi="Verdana"/>
          <w:sz w:val="16"/>
          <w:szCs w:val="16"/>
        </w:rPr>
      </w:pPr>
      <w:r w:rsidRPr="00CD61A2">
        <w:rPr>
          <w:rFonts w:ascii="Verdana" w:hAnsi="Verdana"/>
          <w:sz w:val="16"/>
          <w:szCs w:val="16"/>
        </w:rPr>
        <w:lastRenderedPageBreak/>
        <w:t>nieruchomości gruntowych,</w:t>
      </w:r>
    </w:p>
    <w:p w:rsidR="008A572A" w:rsidRPr="00CD61A2" w:rsidRDefault="008A572A" w:rsidP="008A572A">
      <w:pPr>
        <w:numPr>
          <w:ilvl w:val="1"/>
          <w:numId w:val="24"/>
        </w:numPr>
        <w:tabs>
          <w:tab w:val="clear" w:pos="1440"/>
          <w:tab w:val="num" w:pos="1134"/>
        </w:tabs>
        <w:spacing w:before="60" w:after="60"/>
        <w:ind w:left="1134" w:hanging="283"/>
        <w:jc w:val="both"/>
        <w:rPr>
          <w:rFonts w:ascii="Verdana" w:hAnsi="Verdana"/>
          <w:sz w:val="16"/>
          <w:szCs w:val="16"/>
        </w:rPr>
      </w:pPr>
      <w:r w:rsidRPr="00CD61A2">
        <w:rPr>
          <w:rFonts w:ascii="Verdana" w:hAnsi="Verdana"/>
          <w:sz w:val="16"/>
          <w:szCs w:val="16"/>
        </w:rPr>
        <w:t>nieruchomości pozostałych, tj. zabudowanych,</w:t>
      </w:r>
    </w:p>
    <w:p w:rsidR="008A572A" w:rsidRPr="00CD61A2" w:rsidRDefault="008A572A" w:rsidP="008A572A">
      <w:pPr>
        <w:numPr>
          <w:ilvl w:val="1"/>
          <w:numId w:val="24"/>
        </w:numPr>
        <w:tabs>
          <w:tab w:val="clear" w:pos="1440"/>
          <w:tab w:val="num" w:pos="1134"/>
        </w:tabs>
        <w:spacing w:before="60" w:after="60"/>
        <w:ind w:left="1134" w:hanging="283"/>
        <w:jc w:val="both"/>
        <w:rPr>
          <w:rFonts w:ascii="Verdana" w:hAnsi="Verdana"/>
          <w:sz w:val="16"/>
          <w:szCs w:val="16"/>
        </w:rPr>
      </w:pPr>
      <w:r w:rsidRPr="00CD61A2">
        <w:rPr>
          <w:rFonts w:ascii="Verdana" w:hAnsi="Verdana"/>
          <w:sz w:val="16"/>
          <w:szCs w:val="16"/>
        </w:rPr>
        <w:t>lokali mieszkalnych,</w:t>
      </w:r>
    </w:p>
    <w:p w:rsidR="008A572A" w:rsidRPr="00CD61A2" w:rsidRDefault="008A572A" w:rsidP="008A572A">
      <w:pPr>
        <w:numPr>
          <w:ilvl w:val="1"/>
          <w:numId w:val="24"/>
        </w:numPr>
        <w:tabs>
          <w:tab w:val="clear" w:pos="1440"/>
          <w:tab w:val="num" w:pos="1134"/>
        </w:tabs>
        <w:spacing w:before="60" w:after="60"/>
        <w:ind w:left="1134" w:hanging="283"/>
        <w:jc w:val="both"/>
        <w:rPr>
          <w:rFonts w:ascii="Verdana" w:hAnsi="Verdana"/>
          <w:sz w:val="16"/>
          <w:szCs w:val="16"/>
        </w:rPr>
      </w:pPr>
      <w:r w:rsidRPr="00CD61A2">
        <w:rPr>
          <w:rFonts w:ascii="Verdana" w:hAnsi="Verdana"/>
          <w:sz w:val="16"/>
          <w:szCs w:val="16"/>
        </w:rPr>
        <w:t>lokali użytkowych,</w:t>
      </w:r>
    </w:p>
    <w:p w:rsidR="008A572A" w:rsidRPr="00CD61A2" w:rsidRDefault="008A572A" w:rsidP="008A572A">
      <w:pPr>
        <w:numPr>
          <w:ilvl w:val="0"/>
          <w:numId w:val="10"/>
        </w:numPr>
        <w:tabs>
          <w:tab w:val="clear" w:pos="1080"/>
          <w:tab w:val="num" w:pos="540"/>
        </w:tabs>
        <w:spacing w:before="60" w:after="60"/>
        <w:ind w:left="539" w:hanging="255"/>
        <w:jc w:val="both"/>
        <w:rPr>
          <w:rFonts w:ascii="Verdana" w:hAnsi="Verdana"/>
          <w:sz w:val="16"/>
          <w:szCs w:val="16"/>
        </w:rPr>
      </w:pPr>
      <w:r w:rsidRPr="00CD61A2">
        <w:rPr>
          <w:rFonts w:ascii="Verdana" w:hAnsi="Verdana"/>
          <w:sz w:val="16"/>
          <w:szCs w:val="16"/>
        </w:rPr>
        <w:t>sprzedaż praw i składników majątkowych.</w:t>
      </w:r>
    </w:p>
    <w:p w:rsidR="008A572A" w:rsidRPr="00CD61A2" w:rsidRDefault="008A572A" w:rsidP="008A572A">
      <w:pPr>
        <w:spacing w:before="60" w:after="60"/>
        <w:jc w:val="both"/>
        <w:rPr>
          <w:rFonts w:ascii="Verdana" w:hAnsi="Verdana"/>
          <w:sz w:val="16"/>
          <w:szCs w:val="16"/>
        </w:rPr>
      </w:pPr>
      <w:r w:rsidRPr="00CD61A2">
        <w:rPr>
          <w:rFonts w:ascii="Verdana" w:hAnsi="Verdana"/>
          <w:sz w:val="16"/>
          <w:szCs w:val="16"/>
        </w:rPr>
        <w:t xml:space="preserve">Plan dochodów ze sprzedaży lokali i nieruchomości na 2023 r. zakłada wpływy za kwotę </w:t>
      </w:r>
      <w:r>
        <w:rPr>
          <w:rFonts w:ascii="Verdana" w:hAnsi="Verdana"/>
          <w:b/>
          <w:sz w:val="16"/>
          <w:szCs w:val="16"/>
        </w:rPr>
        <w:t>178,8</w:t>
      </w:r>
      <w:r w:rsidRPr="00CD61A2">
        <w:rPr>
          <w:rFonts w:ascii="Verdana" w:hAnsi="Verdana"/>
          <w:b/>
          <w:sz w:val="16"/>
          <w:szCs w:val="16"/>
        </w:rPr>
        <w:t> mln zł</w:t>
      </w:r>
      <w:r w:rsidRPr="00CD61A2">
        <w:rPr>
          <w:rFonts w:ascii="Verdana" w:hAnsi="Verdana"/>
          <w:sz w:val="16"/>
          <w:szCs w:val="16"/>
        </w:rPr>
        <w:t>,</w:t>
      </w:r>
      <w:r w:rsidRPr="00CD61A2">
        <w:rPr>
          <w:rFonts w:ascii="Verdana" w:hAnsi="Verdana"/>
          <w:b/>
          <w:sz w:val="16"/>
          <w:szCs w:val="16"/>
        </w:rPr>
        <w:t xml:space="preserve"> </w:t>
      </w:r>
      <w:r w:rsidRPr="00CD61A2">
        <w:rPr>
          <w:rFonts w:ascii="Verdana" w:hAnsi="Verdana"/>
          <w:sz w:val="16"/>
          <w:szCs w:val="16"/>
        </w:rPr>
        <w:t xml:space="preserve">w tym głównie ze sprzedaży pozostałych nieruchomości na kwotę </w:t>
      </w:r>
      <w:r>
        <w:rPr>
          <w:rFonts w:ascii="Verdana" w:hAnsi="Verdana"/>
          <w:b/>
          <w:sz w:val="16"/>
          <w:szCs w:val="16"/>
        </w:rPr>
        <w:t>133,8 mln </w:t>
      </w:r>
      <w:r w:rsidRPr="00CD61A2">
        <w:rPr>
          <w:rFonts w:ascii="Verdana" w:hAnsi="Verdana"/>
          <w:b/>
          <w:sz w:val="16"/>
          <w:szCs w:val="16"/>
        </w:rPr>
        <w:t>zł</w:t>
      </w:r>
      <w:r>
        <w:rPr>
          <w:rFonts w:ascii="Verdana" w:hAnsi="Verdana"/>
          <w:sz w:val="16"/>
          <w:szCs w:val="16"/>
        </w:rPr>
        <w:t xml:space="preserve">, </w:t>
      </w:r>
      <w:r w:rsidRPr="00CD61A2">
        <w:rPr>
          <w:rFonts w:ascii="Verdana" w:hAnsi="Verdana"/>
          <w:sz w:val="16"/>
          <w:szCs w:val="16"/>
        </w:rPr>
        <w:t xml:space="preserve">lokali mieszkalnych na kwotę </w:t>
      </w:r>
      <w:r>
        <w:rPr>
          <w:rFonts w:ascii="Verdana" w:hAnsi="Verdana"/>
          <w:sz w:val="16"/>
          <w:szCs w:val="16"/>
        </w:rPr>
        <w:br/>
      </w:r>
      <w:r w:rsidRPr="00CD61A2">
        <w:rPr>
          <w:rFonts w:ascii="Verdana" w:hAnsi="Verdana"/>
          <w:b/>
          <w:sz w:val="16"/>
          <w:szCs w:val="16"/>
        </w:rPr>
        <w:t>12,3 mln zł</w:t>
      </w:r>
      <w:r>
        <w:rPr>
          <w:rFonts w:ascii="Verdana" w:hAnsi="Verdana"/>
          <w:sz w:val="16"/>
          <w:szCs w:val="16"/>
        </w:rPr>
        <w:t xml:space="preserve"> </w:t>
      </w:r>
      <w:r w:rsidRPr="00CD61A2">
        <w:rPr>
          <w:rFonts w:ascii="Verdana" w:hAnsi="Verdana"/>
          <w:sz w:val="16"/>
          <w:szCs w:val="16"/>
        </w:rPr>
        <w:t xml:space="preserve">oraz pochodzące ze sprzedaży nieruchomości gruntowych na kwotę </w:t>
      </w:r>
      <w:r w:rsidRPr="00CD61A2">
        <w:rPr>
          <w:rFonts w:ascii="Verdana" w:hAnsi="Verdana"/>
          <w:b/>
          <w:sz w:val="16"/>
          <w:szCs w:val="16"/>
        </w:rPr>
        <w:t>2,</w:t>
      </w:r>
      <w:r>
        <w:rPr>
          <w:rFonts w:ascii="Verdana" w:hAnsi="Verdana"/>
          <w:b/>
          <w:sz w:val="16"/>
          <w:szCs w:val="16"/>
        </w:rPr>
        <w:t>6</w:t>
      </w:r>
      <w:r w:rsidRPr="00CD61A2">
        <w:rPr>
          <w:rFonts w:ascii="Verdana" w:hAnsi="Verdana"/>
          <w:b/>
          <w:sz w:val="16"/>
          <w:szCs w:val="16"/>
        </w:rPr>
        <w:t xml:space="preserve"> mln zł</w:t>
      </w:r>
      <w:r w:rsidRPr="00CD61A2">
        <w:rPr>
          <w:rFonts w:ascii="Verdana" w:hAnsi="Verdana"/>
          <w:sz w:val="16"/>
          <w:szCs w:val="16"/>
        </w:rPr>
        <w:t xml:space="preserve">. </w:t>
      </w:r>
    </w:p>
    <w:p w:rsidR="008A572A" w:rsidRDefault="008A572A" w:rsidP="008A572A">
      <w:pPr>
        <w:spacing w:before="60" w:after="60"/>
        <w:jc w:val="both"/>
        <w:rPr>
          <w:rFonts w:ascii="Verdana" w:hAnsi="Verdana"/>
          <w:sz w:val="16"/>
          <w:szCs w:val="16"/>
        </w:rPr>
      </w:pPr>
      <w:r>
        <w:rPr>
          <w:rFonts w:ascii="Verdana" w:hAnsi="Verdana"/>
          <w:sz w:val="16"/>
          <w:szCs w:val="16"/>
        </w:rPr>
        <w:t>S</w:t>
      </w:r>
      <w:r w:rsidRPr="000A6485">
        <w:rPr>
          <w:rFonts w:ascii="Verdana" w:hAnsi="Verdana"/>
          <w:sz w:val="16"/>
          <w:szCs w:val="16"/>
        </w:rPr>
        <w:t>przedaż składników majątkowych</w:t>
      </w:r>
      <w:r>
        <w:rPr>
          <w:rFonts w:ascii="Verdana" w:hAnsi="Verdana"/>
          <w:sz w:val="16"/>
          <w:szCs w:val="16"/>
        </w:rPr>
        <w:t xml:space="preserve"> na 2023 r. w kwocie </w:t>
      </w:r>
      <w:r w:rsidRPr="00B74A22">
        <w:rPr>
          <w:rFonts w:ascii="Verdana" w:hAnsi="Verdana"/>
          <w:b/>
          <w:sz w:val="16"/>
          <w:szCs w:val="16"/>
        </w:rPr>
        <w:t>30,</w:t>
      </w:r>
      <w:r>
        <w:rPr>
          <w:rFonts w:ascii="Verdana" w:hAnsi="Verdana"/>
          <w:b/>
          <w:sz w:val="16"/>
          <w:szCs w:val="16"/>
        </w:rPr>
        <w:t>1</w:t>
      </w:r>
      <w:r w:rsidRPr="00B74A22">
        <w:rPr>
          <w:rFonts w:ascii="Verdana" w:hAnsi="Verdana"/>
          <w:b/>
          <w:sz w:val="16"/>
          <w:szCs w:val="16"/>
        </w:rPr>
        <w:t xml:space="preserve"> mln zł</w:t>
      </w:r>
      <w:r>
        <w:rPr>
          <w:rFonts w:ascii="Verdana" w:hAnsi="Verdana"/>
          <w:sz w:val="16"/>
          <w:szCs w:val="16"/>
        </w:rPr>
        <w:t xml:space="preserve"> obejmuje, przede wszystkim, planowaną sprzedaż Miejskiemu Przedsiębiorstwu Wodociągów i Kanalizacji S.A. sieci wodno-kanalizacyjnej w dzielnicach                            m.st. Warszawy w wysokości </w:t>
      </w:r>
      <w:r w:rsidRPr="00B74A22">
        <w:rPr>
          <w:rFonts w:ascii="Verdana" w:hAnsi="Verdana"/>
          <w:b/>
          <w:sz w:val="16"/>
          <w:szCs w:val="16"/>
        </w:rPr>
        <w:t>30 mln zł</w:t>
      </w:r>
      <w:r>
        <w:rPr>
          <w:rFonts w:ascii="Verdana" w:hAnsi="Verdana"/>
          <w:b/>
          <w:sz w:val="16"/>
          <w:szCs w:val="16"/>
        </w:rPr>
        <w:t xml:space="preserve"> </w:t>
      </w:r>
      <w:r>
        <w:rPr>
          <w:rFonts w:ascii="Verdana" w:hAnsi="Verdana"/>
          <w:sz w:val="16"/>
          <w:szCs w:val="16"/>
        </w:rPr>
        <w:t>oraz</w:t>
      </w:r>
      <w:r w:rsidRPr="00B74A22">
        <w:rPr>
          <w:rFonts w:ascii="Verdana" w:hAnsi="Verdana"/>
          <w:sz w:val="16"/>
          <w:szCs w:val="16"/>
        </w:rPr>
        <w:t xml:space="preserve"> wpływy </w:t>
      </w:r>
      <w:r>
        <w:rPr>
          <w:rFonts w:ascii="Verdana" w:hAnsi="Verdana"/>
          <w:sz w:val="16"/>
          <w:szCs w:val="16"/>
        </w:rPr>
        <w:t xml:space="preserve">ze sprzedaży wycofanych z użytku samochodów służbowych czy nadwyżki zwierząt hodowlanych i skór zwierząt w kwocie </w:t>
      </w:r>
      <w:r w:rsidRPr="00170ED6">
        <w:rPr>
          <w:rFonts w:ascii="Verdana" w:hAnsi="Verdana"/>
          <w:b/>
          <w:sz w:val="16"/>
          <w:szCs w:val="16"/>
        </w:rPr>
        <w:t>0,1 mln zł.</w:t>
      </w:r>
    </w:p>
    <w:p w:rsidR="008A572A" w:rsidRPr="000A6485" w:rsidRDefault="008A572A" w:rsidP="008A572A">
      <w:pPr>
        <w:spacing w:before="240" w:after="240"/>
        <w:jc w:val="both"/>
        <w:rPr>
          <w:rFonts w:ascii="Verdana" w:hAnsi="Verdana"/>
          <w:b/>
          <w:bCs/>
          <w:sz w:val="18"/>
          <w:szCs w:val="18"/>
        </w:rPr>
      </w:pPr>
      <w:r w:rsidRPr="002F668E">
        <w:rPr>
          <w:rFonts w:ascii="Verdana" w:hAnsi="Verdana"/>
          <w:sz w:val="16"/>
          <w:szCs w:val="16"/>
        </w:rPr>
        <w:t xml:space="preserve"> </w:t>
      </w:r>
      <w:r w:rsidRPr="000A6485">
        <w:rPr>
          <w:rFonts w:ascii="Verdana" w:hAnsi="Verdana"/>
          <w:b/>
          <w:bCs/>
          <w:sz w:val="18"/>
          <w:szCs w:val="18"/>
        </w:rPr>
        <w:t>7.2.3.7 Prognoza dochodów z dotacji i środków przeznaczonych na inwestycje</w:t>
      </w:r>
    </w:p>
    <w:p w:rsidR="008A572A" w:rsidRPr="000A6485" w:rsidRDefault="008A572A" w:rsidP="008A572A">
      <w:pPr>
        <w:tabs>
          <w:tab w:val="left" w:pos="0"/>
        </w:tabs>
        <w:spacing w:before="120" w:after="120"/>
        <w:ind w:firstLine="567"/>
        <w:jc w:val="both"/>
        <w:rPr>
          <w:rFonts w:ascii="Verdana" w:hAnsi="Verdana" w:cs="Arial"/>
          <w:b/>
          <w:bCs/>
          <w:sz w:val="16"/>
          <w:szCs w:val="16"/>
        </w:rPr>
      </w:pPr>
      <w:r w:rsidRPr="000A6485">
        <w:rPr>
          <w:rFonts w:ascii="Verdana" w:hAnsi="Verdana"/>
          <w:sz w:val="16"/>
          <w:szCs w:val="16"/>
        </w:rPr>
        <w:t xml:space="preserve">Wykres </w:t>
      </w:r>
      <w:r>
        <w:rPr>
          <w:rFonts w:ascii="Verdana" w:hAnsi="Verdana"/>
          <w:sz w:val="16"/>
          <w:szCs w:val="16"/>
        </w:rPr>
        <w:t>nr 30</w:t>
      </w:r>
      <w:r w:rsidRPr="000A6485">
        <w:rPr>
          <w:rFonts w:ascii="Verdana" w:hAnsi="Verdana"/>
          <w:sz w:val="16"/>
          <w:szCs w:val="16"/>
        </w:rPr>
        <w:t xml:space="preserve"> prezentuje prognozowane dochody z dotacji i środków przeznaczonych na inwestycje </w:t>
      </w:r>
      <w:r w:rsidRPr="000A6485">
        <w:rPr>
          <w:rFonts w:ascii="Verdana" w:hAnsi="Verdana"/>
          <w:sz w:val="16"/>
          <w:szCs w:val="16"/>
        </w:rPr>
        <w:br/>
        <w:t>w poszczególnych latach objętych Prognozą.</w:t>
      </w:r>
    </w:p>
    <w:p w:rsidR="008A572A" w:rsidRPr="000A6485" w:rsidRDefault="008A572A" w:rsidP="008A572A">
      <w:pPr>
        <w:tabs>
          <w:tab w:val="left" w:pos="720"/>
        </w:tabs>
        <w:spacing w:before="120" w:after="60" w:line="240" w:lineRule="auto"/>
        <w:ind w:left="720" w:hanging="720"/>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DB2126">
        <w:rPr>
          <w:rFonts w:ascii="Verdana" w:hAnsi="Verdana" w:cs="Arial"/>
          <w:b/>
          <w:bCs/>
          <w:noProof/>
          <w:sz w:val="14"/>
          <w:szCs w:val="14"/>
        </w:rPr>
        <w:t>30</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Z DOTACJI I ŚRODKÓW PRZEZNACZONYCH NA INWESTYCJE M.ST. WARSZAWY </w:t>
      </w:r>
      <w:r w:rsidRPr="000A6485">
        <w:rPr>
          <w:rFonts w:ascii="Verdana" w:hAnsi="Verdana" w:cs="Arial"/>
          <w:b/>
          <w:bCs/>
          <w:sz w:val="14"/>
          <w:szCs w:val="14"/>
        </w:rPr>
        <w:br/>
        <w:t xml:space="preserve"> </w:t>
      </w:r>
      <w:r>
        <w:rPr>
          <w:rFonts w:ascii="Verdana" w:hAnsi="Verdana" w:cs="Arial"/>
          <w:b/>
          <w:bCs/>
          <w:sz w:val="14"/>
          <w:szCs w:val="14"/>
        </w:rPr>
        <w:t xml:space="preserve">NA LATA </w:t>
      </w:r>
      <w:r w:rsidRPr="00932633">
        <w:rPr>
          <w:rFonts w:ascii="Verdana" w:hAnsi="Verdana" w:cs="Arial"/>
          <w:b/>
          <w:bCs/>
          <w:sz w:val="14"/>
          <w:szCs w:val="14"/>
        </w:rPr>
        <w:t>2023</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8A572A" w:rsidRPr="000A6485" w:rsidRDefault="008A572A" w:rsidP="008A572A">
      <w:pPr>
        <w:spacing w:before="120" w:after="120"/>
        <w:jc w:val="both"/>
        <w:rPr>
          <w:rFonts w:ascii="Verdana" w:hAnsi="Verdana"/>
          <w:b/>
          <w:bCs/>
          <w:sz w:val="20"/>
          <w:szCs w:val="20"/>
        </w:rPr>
      </w:pPr>
      <w:r>
        <w:rPr>
          <w:rFonts w:ascii="Verdana" w:hAnsi="Verdana"/>
          <w:b/>
          <w:bCs/>
          <w:noProof/>
          <w:sz w:val="20"/>
          <w:szCs w:val="20"/>
        </w:rPr>
        <w:drawing>
          <wp:inline distT="0" distB="0" distL="0" distR="0">
            <wp:extent cx="5800090" cy="283845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00090" cy="2838450"/>
                    </a:xfrm>
                    <a:prstGeom prst="rect">
                      <a:avLst/>
                    </a:prstGeom>
                    <a:noFill/>
                    <a:ln>
                      <a:noFill/>
                    </a:ln>
                  </pic:spPr>
                </pic:pic>
              </a:graphicData>
            </a:graphic>
          </wp:inline>
        </w:drawing>
      </w:r>
    </w:p>
    <w:p w:rsidR="008A572A" w:rsidRDefault="008A572A" w:rsidP="008A572A">
      <w:pPr>
        <w:spacing w:before="120" w:after="120"/>
        <w:ind w:firstLine="539"/>
        <w:jc w:val="both"/>
        <w:rPr>
          <w:rFonts w:ascii="Verdana" w:hAnsi="Verdana"/>
          <w:sz w:val="16"/>
          <w:szCs w:val="16"/>
        </w:rPr>
      </w:pPr>
      <w:r>
        <w:rPr>
          <w:rFonts w:ascii="Verdana" w:hAnsi="Verdana"/>
          <w:sz w:val="16"/>
          <w:szCs w:val="16"/>
        </w:rPr>
        <w:tab/>
        <w:t>Prognozuje się, że wpływy m.st. Warszawy z dotacji i środków przeznaczonych na inwestycje w okresie objętym prognozą wyniosą:</w:t>
      </w:r>
    </w:p>
    <w:p w:rsidR="008A572A" w:rsidRDefault="008A572A" w:rsidP="008A572A">
      <w:pPr>
        <w:pStyle w:val="Akapitzlist"/>
        <w:numPr>
          <w:ilvl w:val="0"/>
          <w:numId w:val="65"/>
        </w:numPr>
        <w:ind w:left="567" w:hanging="283"/>
        <w:jc w:val="both"/>
        <w:rPr>
          <w:rFonts w:ascii="Verdana" w:hAnsi="Verdana"/>
          <w:sz w:val="16"/>
          <w:szCs w:val="16"/>
        </w:rPr>
      </w:pPr>
      <w:r>
        <w:rPr>
          <w:rFonts w:ascii="Verdana" w:hAnsi="Verdana"/>
          <w:sz w:val="16"/>
          <w:szCs w:val="16"/>
        </w:rPr>
        <w:t xml:space="preserve">2023 r.: </w:t>
      </w:r>
      <w:r>
        <w:rPr>
          <w:rFonts w:ascii="Verdana" w:hAnsi="Verdana"/>
          <w:b/>
          <w:bCs/>
          <w:sz w:val="16"/>
          <w:szCs w:val="16"/>
        </w:rPr>
        <w:t>719,9 mln zł</w:t>
      </w:r>
      <w:r>
        <w:rPr>
          <w:rFonts w:ascii="Verdana" w:hAnsi="Verdana"/>
          <w:sz w:val="16"/>
          <w:szCs w:val="16"/>
        </w:rPr>
        <w:t xml:space="preserve">, w tym: środki unijne </w:t>
      </w:r>
      <w:r>
        <w:rPr>
          <w:rFonts w:ascii="Verdana" w:hAnsi="Verdana"/>
          <w:b/>
          <w:bCs/>
          <w:sz w:val="16"/>
          <w:szCs w:val="16"/>
        </w:rPr>
        <w:t>633,8 mln zł</w:t>
      </w:r>
      <w:r>
        <w:rPr>
          <w:rFonts w:ascii="Verdana" w:hAnsi="Verdana"/>
          <w:sz w:val="16"/>
          <w:szCs w:val="16"/>
        </w:rPr>
        <w:t xml:space="preserve">, środki Marszałka Województwa Mazowieckiego </w:t>
      </w:r>
      <w:r>
        <w:rPr>
          <w:rFonts w:ascii="Verdana" w:hAnsi="Verdana"/>
          <w:b/>
          <w:bCs/>
          <w:sz w:val="16"/>
          <w:szCs w:val="16"/>
        </w:rPr>
        <w:t>53,2 mln zł</w:t>
      </w:r>
      <w:r>
        <w:rPr>
          <w:rFonts w:ascii="Verdana" w:hAnsi="Verdana"/>
          <w:sz w:val="16"/>
          <w:szCs w:val="16"/>
        </w:rPr>
        <w:t xml:space="preserve">, środki od inwestorów na budowę dróg publicznych </w:t>
      </w:r>
      <w:r>
        <w:rPr>
          <w:rFonts w:ascii="Verdana" w:hAnsi="Verdana"/>
          <w:b/>
          <w:bCs/>
          <w:sz w:val="16"/>
          <w:szCs w:val="16"/>
        </w:rPr>
        <w:t>28,6 mln zł</w:t>
      </w:r>
      <w:r>
        <w:rPr>
          <w:rFonts w:ascii="Verdana" w:hAnsi="Verdana"/>
          <w:sz w:val="16"/>
          <w:szCs w:val="16"/>
        </w:rPr>
        <w:t xml:space="preserve"> i dotacje z Narodowego Funduszu Ochrony Środowiska </w:t>
      </w:r>
      <w:r>
        <w:rPr>
          <w:rFonts w:ascii="Verdana" w:hAnsi="Verdana"/>
          <w:b/>
          <w:bCs/>
          <w:sz w:val="16"/>
          <w:szCs w:val="16"/>
        </w:rPr>
        <w:t>2,5 mln zł</w:t>
      </w:r>
      <w:r>
        <w:rPr>
          <w:rFonts w:ascii="Verdana" w:hAnsi="Verdana"/>
          <w:bCs/>
          <w:sz w:val="16"/>
          <w:szCs w:val="16"/>
        </w:rPr>
        <w:t xml:space="preserve"> i z budżetu państwa </w:t>
      </w:r>
      <w:r>
        <w:rPr>
          <w:rFonts w:ascii="Verdana" w:hAnsi="Verdana"/>
          <w:b/>
          <w:bCs/>
          <w:sz w:val="16"/>
          <w:szCs w:val="16"/>
        </w:rPr>
        <w:t>1,8 mln zł</w:t>
      </w:r>
      <w:r>
        <w:rPr>
          <w:rFonts w:ascii="Verdana" w:hAnsi="Verdana"/>
          <w:sz w:val="16"/>
          <w:szCs w:val="16"/>
        </w:rPr>
        <w:t>,</w:t>
      </w:r>
    </w:p>
    <w:p w:rsidR="008A572A" w:rsidRDefault="008A572A" w:rsidP="008A572A">
      <w:pPr>
        <w:pStyle w:val="Akapitzlist"/>
        <w:numPr>
          <w:ilvl w:val="0"/>
          <w:numId w:val="65"/>
        </w:numPr>
        <w:ind w:left="567" w:hanging="283"/>
        <w:jc w:val="both"/>
        <w:rPr>
          <w:rFonts w:ascii="Verdana" w:hAnsi="Verdana"/>
          <w:sz w:val="16"/>
          <w:szCs w:val="16"/>
        </w:rPr>
      </w:pPr>
      <w:r>
        <w:rPr>
          <w:rFonts w:ascii="Verdana" w:hAnsi="Verdana"/>
          <w:sz w:val="16"/>
          <w:szCs w:val="16"/>
        </w:rPr>
        <w:t xml:space="preserve">2024 r.:  </w:t>
      </w:r>
      <w:r>
        <w:rPr>
          <w:rFonts w:ascii="Verdana" w:hAnsi="Verdana"/>
          <w:b/>
          <w:bCs/>
          <w:sz w:val="16"/>
          <w:szCs w:val="16"/>
        </w:rPr>
        <w:t>458,0 mln zł</w:t>
      </w:r>
      <w:r>
        <w:rPr>
          <w:rFonts w:ascii="Verdana" w:hAnsi="Verdana"/>
          <w:sz w:val="16"/>
          <w:szCs w:val="16"/>
        </w:rPr>
        <w:t>, w tym: środki unijne</w:t>
      </w:r>
      <w:r>
        <w:rPr>
          <w:rFonts w:ascii="Verdana" w:hAnsi="Verdana"/>
          <w:b/>
          <w:bCs/>
          <w:sz w:val="16"/>
          <w:szCs w:val="16"/>
        </w:rPr>
        <w:t xml:space="preserve"> 387,1 mln zł</w:t>
      </w:r>
      <w:r>
        <w:rPr>
          <w:rFonts w:ascii="Verdana" w:hAnsi="Verdana"/>
          <w:sz w:val="16"/>
          <w:szCs w:val="16"/>
        </w:rPr>
        <w:t xml:space="preserve">, środki z Programu Inwestycji Strategicznych </w:t>
      </w:r>
      <w:r>
        <w:rPr>
          <w:rFonts w:ascii="Verdana" w:hAnsi="Verdana"/>
          <w:b/>
          <w:bCs/>
          <w:sz w:val="16"/>
          <w:szCs w:val="16"/>
        </w:rPr>
        <w:t>24,0 mln zł</w:t>
      </w:r>
      <w:r>
        <w:rPr>
          <w:rFonts w:ascii="Verdana" w:hAnsi="Verdana"/>
          <w:sz w:val="16"/>
          <w:szCs w:val="16"/>
        </w:rPr>
        <w:t xml:space="preserve">, środki od inwestorów na budowę dróg publicznych </w:t>
      </w:r>
      <w:r>
        <w:rPr>
          <w:rFonts w:ascii="Verdana" w:hAnsi="Verdana"/>
          <w:b/>
          <w:bCs/>
          <w:sz w:val="16"/>
          <w:szCs w:val="16"/>
        </w:rPr>
        <w:t>13,1 mln zł</w:t>
      </w:r>
      <w:r>
        <w:rPr>
          <w:rFonts w:ascii="Verdana" w:hAnsi="Verdana"/>
          <w:sz w:val="16"/>
          <w:szCs w:val="16"/>
        </w:rPr>
        <w:t xml:space="preserve">, dotacje z Narodowego Funduszu Ochrony Środowiska </w:t>
      </w:r>
      <w:r>
        <w:rPr>
          <w:rFonts w:ascii="Verdana" w:hAnsi="Verdana"/>
          <w:b/>
          <w:bCs/>
          <w:sz w:val="16"/>
          <w:szCs w:val="16"/>
        </w:rPr>
        <w:t>8,5 mln zł</w:t>
      </w:r>
      <w:r>
        <w:rPr>
          <w:rFonts w:ascii="Verdana" w:hAnsi="Verdana"/>
          <w:bCs/>
          <w:sz w:val="16"/>
          <w:szCs w:val="16"/>
        </w:rPr>
        <w:t xml:space="preserve"> oraz z budżetu państwa </w:t>
      </w:r>
      <w:r>
        <w:rPr>
          <w:rFonts w:ascii="Verdana" w:hAnsi="Verdana"/>
          <w:b/>
          <w:bCs/>
          <w:sz w:val="16"/>
          <w:szCs w:val="16"/>
        </w:rPr>
        <w:t>11,8 mln zł</w:t>
      </w:r>
      <w:r>
        <w:rPr>
          <w:rFonts w:ascii="Verdana" w:hAnsi="Verdana"/>
          <w:sz w:val="16"/>
          <w:szCs w:val="16"/>
        </w:rPr>
        <w:t xml:space="preserve">, środki Marszałka Województwa Mazowieckiego </w:t>
      </w:r>
      <w:r>
        <w:rPr>
          <w:rFonts w:ascii="Verdana" w:hAnsi="Verdana"/>
          <w:b/>
          <w:bCs/>
          <w:sz w:val="16"/>
          <w:szCs w:val="16"/>
        </w:rPr>
        <w:t>8,3 mln zł</w:t>
      </w:r>
      <w:r>
        <w:rPr>
          <w:rFonts w:ascii="Verdana" w:hAnsi="Verdana"/>
          <w:sz w:val="16"/>
          <w:szCs w:val="16"/>
        </w:rPr>
        <w:t xml:space="preserve"> i środki z innych JST</w:t>
      </w:r>
      <w:r>
        <w:rPr>
          <w:rFonts w:ascii="Verdana" w:hAnsi="Verdana"/>
          <w:b/>
          <w:bCs/>
          <w:sz w:val="16"/>
          <w:szCs w:val="16"/>
        </w:rPr>
        <w:t xml:space="preserve"> 5,2 mln zł</w:t>
      </w:r>
      <w:r>
        <w:rPr>
          <w:rFonts w:ascii="Verdana" w:hAnsi="Verdana"/>
          <w:sz w:val="16"/>
          <w:szCs w:val="16"/>
        </w:rPr>
        <w:t>,</w:t>
      </w:r>
    </w:p>
    <w:p w:rsidR="008A572A" w:rsidRDefault="008A572A" w:rsidP="008A572A">
      <w:pPr>
        <w:pStyle w:val="Akapitzlist"/>
        <w:numPr>
          <w:ilvl w:val="0"/>
          <w:numId w:val="65"/>
        </w:numPr>
        <w:ind w:left="567" w:hanging="283"/>
        <w:jc w:val="both"/>
        <w:rPr>
          <w:rFonts w:ascii="Verdana" w:hAnsi="Verdana"/>
          <w:sz w:val="16"/>
          <w:szCs w:val="16"/>
        </w:rPr>
      </w:pPr>
      <w:r>
        <w:rPr>
          <w:rFonts w:ascii="Verdana" w:hAnsi="Verdana"/>
          <w:sz w:val="16"/>
          <w:szCs w:val="16"/>
        </w:rPr>
        <w:lastRenderedPageBreak/>
        <w:t xml:space="preserve">2025 r.:  </w:t>
      </w:r>
      <w:r>
        <w:rPr>
          <w:rFonts w:ascii="Verdana" w:hAnsi="Verdana"/>
          <w:b/>
          <w:bCs/>
          <w:sz w:val="16"/>
          <w:szCs w:val="16"/>
        </w:rPr>
        <w:t>148,7 mln zł</w:t>
      </w:r>
      <w:r>
        <w:rPr>
          <w:rFonts w:ascii="Verdana" w:hAnsi="Verdana"/>
          <w:sz w:val="16"/>
          <w:szCs w:val="16"/>
        </w:rPr>
        <w:t>, w tym: środki unijne</w:t>
      </w:r>
      <w:r>
        <w:rPr>
          <w:rFonts w:ascii="Verdana" w:hAnsi="Verdana"/>
          <w:b/>
          <w:bCs/>
          <w:sz w:val="16"/>
          <w:szCs w:val="16"/>
        </w:rPr>
        <w:t xml:space="preserve"> 5,8 mln zł</w:t>
      </w:r>
      <w:r>
        <w:rPr>
          <w:rFonts w:ascii="Verdana" w:hAnsi="Verdana"/>
          <w:sz w:val="16"/>
          <w:szCs w:val="16"/>
        </w:rPr>
        <w:t xml:space="preserve">, środki z Programu Inwestycji Strategicznych </w:t>
      </w:r>
      <w:r>
        <w:rPr>
          <w:rFonts w:ascii="Verdana" w:hAnsi="Verdana"/>
          <w:b/>
          <w:bCs/>
          <w:sz w:val="16"/>
          <w:szCs w:val="16"/>
        </w:rPr>
        <w:t>116,0 mln zł</w:t>
      </w:r>
      <w:r>
        <w:rPr>
          <w:rFonts w:ascii="Verdana" w:hAnsi="Verdana"/>
          <w:sz w:val="16"/>
          <w:szCs w:val="16"/>
        </w:rPr>
        <w:t xml:space="preserve">, dotacje z Narodowego Funduszu Ochrony Środowiska </w:t>
      </w:r>
      <w:r>
        <w:rPr>
          <w:rFonts w:ascii="Verdana" w:hAnsi="Verdana"/>
          <w:b/>
          <w:bCs/>
          <w:sz w:val="16"/>
          <w:szCs w:val="16"/>
        </w:rPr>
        <w:t>12,3 mln zł</w:t>
      </w:r>
      <w:r>
        <w:rPr>
          <w:rFonts w:ascii="Verdana" w:hAnsi="Verdana"/>
          <w:bCs/>
          <w:sz w:val="16"/>
          <w:szCs w:val="16"/>
        </w:rPr>
        <w:t xml:space="preserve"> i z budżetu państwa </w:t>
      </w:r>
      <w:r>
        <w:rPr>
          <w:rFonts w:ascii="Verdana" w:hAnsi="Verdana"/>
          <w:b/>
          <w:bCs/>
          <w:sz w:val="16"/>
          <w:szCs w:val="16"/>
        </w:rPr>
        <w:t>12,2 mln zł</w:t>
      </w:r>
      <w:r>
        <w:rPr>
          <w:rFonts w:ascii="Verdana" w:hAnsi="Verdana"/>
          <w:sz w:val="16"/>
          <w:szCs w:val="16"/>
        </w:rPr>
        <w:t xml:space="preserve"> oraz środki od inwestorów na budowę dróg publicznych </w:t>
      </w:r>
      <w:r>
        <w:rPr>
          <w:rFonts w:ascii="Verdana" w:hAnsi="Verdana"/>
          <w:b/>
          <w:bCs/>
          <w:sz w:val="16"/>
          <w:szCs w:val="16"/>
        </w:rPr>
        <w:t>2,4 mln zł</w:t>
      </w:r>
      <w:r>
        <w:rPr>
          <w:rFonts w:ascii="Verdana" w:hAnsi="Verdana"/>
          <w:sz w:val="16"/>
          <w:szCs w:val="16"/>
        </w:rPr>
        <w:t>,</w:t>
      </w:r>
    </w:p>
    <w:p w:rsidR="008A572A" w:rsidRDefault="008A572A" w:rsidP="008A572A">
      <w:pPr>
        <w:pStyle w:val="Akapitzlist"/>
        <w:numPr>
          <w:ilvl w:val="0"/>
          <w:numId w:val="65"/>
        </w:numPr>
        <w:ind w:left="567" w:hanging="283"/>
        <w:jc w:val="both"/>
        <w:rPr>
          <w:rFonts w:ascii="Verdana" w:hAnsi="Verdana"/>
          <w:sz w:val="16"/>
          <w:szCs w:val="16"/>
        </w:rPr>
      </w:pPr>
      <w:r>
        <w:rPr>
          <w:rFonts w:ascii="Verdana" w:hAnsi="Verdana"/>
          <w:sz w:val="16"/>
          <w:szCs w:val="16"/>
        </w:rPr>
        <w:t xml:space="preserve">2026 r.:  </w:t>
      </w:r>
      <w:r>
        <w:rPr>
          <w:rFonts w:ascii="Verdana" w:hAnsi="Verdana"/>
          <w:b/>
          <w:bCs/>
          <w:sz w:val="16"/>
          <w:szCs w:val="16"/>
        </w:rPr>
        <w:t>114,6 mln zł</w:t>
      </w:r>
      <w:r>
        <w:rPr>
          <w:rFonts w:ascii="Verdana" w:hAnsi="Verdana"/>
          <w:sz w:val="16"/>
          <w:szCs w:val="16"/>
        </w:rPr>
        <w:t xml:space="preserve">, w tym: środki z Programu Inwestycji Strategicznych </w:t>
      </w:r>
      <w:r>
        <w:rPr>
          <w:rFonts w:ascii="Verdana" w:hAnsi="Verdana"/>
          <w:b/>
          <w:bCs/>
          <w:sz w:val="16"/>
          <w:szCs w:val="16"/>
        </w:rPr>
        <w:t>107,0 mln zł</w:t>
      </w:r>
      <w:r>
        <w:rPr>
          <w:rFonts w:ascii="Verdana" w:hAnsi="Verdana"/>
          <w:sz w:val="16"/>
          <w:szCs w:val="16"/>
        </w:rPr>
        <w:t xml:space="preserve"> i środki od inwestorów na budowę dróg publicznych </w:t>
      </w:r>
      <w:r>
        <w:rPr>
          <w:rFonts w:ascii="Verdana" w:hAnsi="Verdana"/>
          <w:b/>
          <w:bCs/>
          <w:sz w:val="16"/>
          <w:szCs w:val="16"/>
        </w:rPr>
        <w:t>7,6 mln zł</w:t>
      </w:r>
      <w:r>
        <w:rPr>
          <w:rFonts w:ascii="Verdana" w:hAnsi="Verdana"/>
          <w:sz w:val="16"/>
          <w:szCs w:val="16"/>
        </w:rPr>
        <w:t>.</w:t>
      </w:r>
    </w:p>
    <w:p w:rsidR="008A572A" w:rsidRPr="00EF4CD9" w:rsidRDefault="008A572A" w:rsidP="008A572A">
      <w:pPr>
        <w:spacing w:before="120" w:after="120"/>
        <w:jc w:val="both"/>
        <w:rPr>
          <w:rFonts w:ascii="Verdana" w:hAnsi="Verdana"/>
          <w:sz w:val="16"/>
          <w:szCs w:val="16"/>
        </w:rPr>
      </w:pPr>
      <w:r w:rsidRPr="00EF4CD9">
        <w:rPr>
          <w:rFonts w:ascii="Verdana" w:hAnsi="Verdana"/>
          <w:sz w:val="16"/>
          <w:szCs w:val="16"/>
        </w:rPr>
        <w:t xml:space="preserve">W ramach </w:t>
      </w:r>
      <w:r w:rsidRPr="00EF4CD9">
        <w:rPr>
          <w:rFonts w:ascii="Verdana" w:hAnsi="Verdana"/>
          <w:b/>
          <w:sz w:val="16"/>
          <w:szCs w:val="16"/>
        </w:rPr>
        <w:t>unijnej perspektywy finansowej 2014-2020</w:t>
      </w:r>
      <w:r w:rsidRPr="00EF4CD9">
        <w:rPr>
          <w:rFonts w:ascii="Verdana" w:hAnsi="Verdana"/>
          <w:sz w:val="16"/>
          <w:szCs w:val="16"/>
        </w:rPr>
        <w:t>, w latach objętych WPF 2023-2050, przewiduje się realizację dochodów z tytułu dofinansowania unijnego m.in. w związku z realizacją następujących projektów inwestycyjnych:</w:t>
      </w:r>
    </w:p>
    <w:p w:rsidR="008A572A" w:rsidRDefault="008A572A" w:rsidP="008A572A">
      <w:pPr>
        <w:pStyle w:val="Akapitzlist"/>
        <w:numPr>
          <w:ilvl w:val="0"/>
          <w:numId w:val="28"/>
        </w:numPr>
        <w:spacing w:before="120" w:after="120"/>
        <w:ind w:left="568" w:hanging="284"/>
        <w:jc w:val="both"/>
        <w:rPr>
          <w:rFonts w:ascii="Verdana" w:hAnsi="Verdana"/>
          <w:sz w:val="16"/>
          <w:szCs w:val="16"/>
        </w:rPr>
      </w:pPr>
      <w:r>
        <w:rPr>
          <w:rFonts w:ascii="Verdana" w:hAnsi="Verdana"/>
          <w:sz w:val="16"/>
          <w:szCs w:val="16"/>
        </w:rPr>
        <w:t xml:space="preserve">II linia metra (odcinek 2+3) – łączne dofinansowanie w latach 2023-2024 na kwotę </w:t>
      </w:r>
      <w:r>
        <w:rPr>
          <w:rFonts w:ascii="Verdana" w:hAnsi="Verdana"/>
          <w:b/>
          <w:bCs/>
          <w:sz w:val="16"/>
          <w:szCs w:val="16"/>
        </w:rPr>
        <w:t xml:space="preserve">633,0 mln zł </w:t>
      </w:r>
      <w:r>
        <w:rPr>
          <w:rFonts w:ascii="Verdana" w:hAnsi="Verdana"/>
          <w:sz w:val="16"/>
          <w:szCs w:val="16"/>
        </w:rPr>
        <w:t>(umowa podpisana 3 października 2017 r.),</w:t>
      </w:r>
    </w:p>
    <w:p w:rsidR="008A572A" w:rsidRDefault="008A572A" w:rsidP="008A572A">
      <w:pPr>
        <w:pStyle w:val="Akapitzlist"/>
        <w:numPr>
          <w:ilvl w:val="0"/>
          <w:numId w:val="28"/>
        </w:numPr>
        <w:spacing w:before="120" w:after="120"/>
        <w:ind w:left="568" w:hanging="284"/>
        <w:jc w:val="both"/>
        <w:rPr>
          <w:rFonts w:ascii="Verdana" w:hAnsi="Verdana"/>
          <w:sz w:val="16"/>
          <w:szCs w:val="16"/>
        </w:rPr>
      </w:pPr>
      <w:r>
        <w:rPr>
          <w:rFonts w:ascii="Verdana" w:hAnsi="Verdana"/>
          <w:sz w:val="16"/>
          <w:szCs w:val="16"/>
        </w:rPr>
        <w:t xml:space="preserve">II linia metra (odcinek 3+3) – łączne dofinansowanie w latach 2023-2024 na kwotę </w:t>
      </w:r>
      <w:r>
        <w:rPr>
          <w:rFonts w:ascii="Verdana" w:hAnsi="Verdana"/>
          <w:b/>
          <w:bCs/>
          <w:sz w:val="16"/>
          <w:szCs w:val="16"/>
        </w:rPr>
        <w:t xml:space="preserve">282,9 mln zł </w:t>
      </w:r>
      <w:r>
        <w:rPr>
          <w:rFonts w:ascii="Verdana" w:hAnsi="Verdana"/>
          <w:sz w:val="16"/>
          <w:szCs w:val="16"/>
        </w:rPr>
        <w:t>(umowa podpisana 23 września 2016 r.),</w:t>
      </w:r>
    </w:p>
    <w:p w:rsidR="008A572A" w:rsidRDefault="008A572A" w:rsidP="008A572A">
      <w:pPr>
        <w:pStyle w:val="Akapitzlist"/>
        <w:numPr>
          <w:ilvl w:val="0"/>
          <w:numId w:val="28"/>
        </w:numPr>
        <w:spacing w:before="120" w:after="120"/>
        <w:ind w:left="568" w:hanging="284"/>
        <w:jc w:val="both"/>
        <w:rPr>
          <w:rFonts w:ascii="Verdana" w:hAnsi="Verdana"/>
          <w:sz w:val="16"/>
          <w:szCs w:val="16"/>
        </w:rPr>
      </w:pPr>
      <w:r>
        <w:rPr>
          <w:rFonts w:ascii="Verdana" w:hAnsi="Verdana"/>
          <w:sz w:val="16"/>
          <w:szCs w:val="16"/>
        </w:rPr>
        <w:t xml:space="preserve">Modernizacja ciągu ulic Marsa - Żołnierska odc. węzeł Marsa granica miasta - etap III – łączne dofinansowanie w latach 2023-2024 r. na kwotę </w:t>
      </w:r>
      <w:r>
        <w:rPr>
          <w:rFonts w:ascii="Verdana" w:hAnsi="Verdana"/>
          <w:b/>
          <w:bCs/>
          <w:sz w:val="16"/>
          <w:szCs w:val="16"/>
        </w:rPr>
        <w:t>31,8 mln zł</w:t>
      </w:r>
      <w:r>
        <w:rPr>
          <w:rFonts w:ascii="Verdana" w:hAnsi="Verdana"/>
          <w:sz w:val="16"/>
          <w:szCs w:val="16"/>
        </w:rPr>
        <w:t xml:space="preserve"> (umowa podpisana 5 listopada 2020 r.),</w:t>
      </w:r>
    </w:p>
    <w:p w:rsidR="008A572A" w:rsidRDefault="008A572A" w:rsidP="008A572A">
      <w:pPr>
        <w:pStyle w:val="Akapitzlist"/>
        <w:numPr>
          <w:ilvl w:val="0"/>
          <w:numId w:val="28"/>
        </w:numPr>
        <w:spacing w:before="120" w:after="120"/>
        <w:ind w:left="568" w:hanging="284"/>
        <w:jc w:val="both"/>
        <w:rPr>
          <w:rFonts w:ascii="Verdana" w:hAnsi="Verdana"/>
          <w:sz w:val="16"/>
          <w:szCs w:val="16"/>
        </w:rPr>
      </w:pPr>
      <w:r>
        <w:rPr>
          <w:rFonts w:ascii="Verdana" w:hAnsi="Verdana"/>
          <w:sz w:val="16"/>
          <w:szCs w:val="16"/>
        </w:rPr>
        <w:t xml:space="preserve">Wirtualny Warszawski Obszar Funkcjonalny – łączne dofinansowanie w 2023 r. na kwotę </w:t>
      </w:r>
      <w:r>
        <w:rPr>
          <w:rFonts w:ascii="Verdana" w:hAnsi="Verdana"/>
          <w:b/>
          <w:bCs/>
          <w:sz w:val="16"/>
          <w:szCs w:val="16"/>
        </w:rPr>
        <w:t>16,1 mln zł,</w:t>
      </w:r>
    </w:p>
    <w:p w:rsidR="008A572A" w:rsidRDefault="008A572A" w:rsidP="008A572A">
      <w:pPr>
        <w:pStyle w:val="Akapitzlist"/>
        <w:numPr>
          <w:ilvl w:val="0"/>
          <w:numId w:val="28"/>
        </w:numPr>
        <w:spacing w:before="120" w:after="120"/>
        <w:ind w:left="568" w:hanging="284"/>
        <w:jc w:val="both"/>
        <w:rPr>
          <w:rFonts w:ascii="Verdana" w:hAnsi="Verdana"/>
          <w:sz w:val="16"/>
          <w:szCs w:val="16"/>
        </w:rPr>
      </w:pPr>
      <w:r>
        <w:rPr>
          <w:rFonts w:ascii="Verdana" w:hAnsi="Verdana"/>
          <w:sz w:val="16"/>
          <w:szCs w:val="16"/>
        </w:rPr>
        <w:t xml:space="preserve">Poprawa dostępności infrastruktury sieci TEN-T w ramach węzłów drogowych dróg ekspresowych S8 i S2 w warszawskim węźle sieci bazowej TEN-T - budowa odcinków ul. Gandhi i Lazurowej – łączne dofinansowanie w latach 2023-2024 na kwotę </w:t>
      </w:r>
      <w:r>
        <w:rPr>
          <w:rFonts w:ascii="Verdana" w:hAnsi="Verdana"/>
          <w:b/>
          <w:bCs/>
          <w:sz w:val="16"/>
          <w:szCs w:val="16"/>
        </w:rPr>
        <w:t>12,7 mln zł</w:t>
      </w:r>
      <w:r>
        <w:rPr>
          <w:rFonts w:ascii="Verdana" w:hAnsi="Verdana"/>
          <w:sz w:val="16"/>
          <w:szCs w:val="16"/>
        </w:rPr>
        <w:t>,</w:t>
      </w:r>
    </w:p>
    <w:p w:rsidR="008A572A" w:rsidRDefault="008A572A" w:rsidP="008A572A">
      <w:pPr>
        <w:pStyle w:val="Akapitzlist"/>
        <w:numPr>
          <w:ilvl w:val="0"/>
          <w:numId w:val="28"/>
        </w:numPr>
        <w:spacing w:before="120" w:after="120"/>
        <w:ind w:left="568" w:hanging="284"/>
        <w:jc w:val="both"/>
        <w:rPr>
          <w:rFonts w:ascii="Verdana" w:hAnsi="Verdana"/>
          <w:sz w:val="16"/>
          <w:szCs w:val="16"/>
        </w:rPr>
      </w:pPr>
      <w:r>
        <w:rPr>
          <w:rFonts w:ascii="Verdana" w:hAnsi="Verdana"/>
          <w:sz w:val="16"/>
          <w:szCs w:val="16"/>
        </w:rPr>
        <w:t xml:space="preserve">Utworzenie terenów zieleni o symbolice historycznej na obszarze  m.st. Warszawy – łączne dofinansowanie w latach 2023-2024 na kwotę </w:t>
      </w:r>
      <w:r>
        <w:rPr>
          <w:rFonts w:ascii="Verdana" w:hAnsi="Verdana"/>
          <w:b/>
          <w:bCs/>
          <w:sz w:val="16"/>
          <w:szCs w:val="16"/>
        </w:rPr>
        <w:t>11,4 mln zł</w:t>
      </w:r>
      <w:r>
        <w:rPr>
          <w:rFonts w:ascii="Verdana" w:hAnsi="Verdana"/>
          <w:bCs/>
          <w:sz w:val="16"/>
          <w:szCs w:val="16"/>
        </w:rPr>
        <w:t>,</w:t>
      </w:r>
    </w:p>
    <w:p w:rsidR="008A572A" w:rsidRDefault="008A572A" w:rsidP="008A572A">
      <w:pPr>
        <w:pStyle w:val="Akapitzlist"/>
        <w:numPr>
          <w:ilvl w:val="0"/>
          <w:numId w:val="28"/>
        </w:numPr>
        <w:spacing w:before="120" w:after="120"/>
        <w:ind w:left="568" w:hanging="284"/>
        <w:jc w:val="both"/>
        <w:rPr>
          <w:rFonts w:ascii="Verdana" w:hAnsi="Verdana"/>
          <w:sz w:val="16"/>
          <w:szCs w:val="16"/>
        </w:rPr>
      </w:pPr>
      <w:r>
        <w:rPr>
          <w:rFonts w:ascii="Verdana" w:hAnsi="Verdana"/>
          <w:sz w:val="16"/>
          <w:szCs w:val="16"/>
        </w:rPr>
        <w:t xml:space="preserve">Analiza możliwości rozwoju zintegrowanego transportu w Warszawie w oparciu o metro i multimodalne węzły przesiadkowe - łączne dofinansowanie w 2023 r. na kwotę </w:t>
      </w:r>
      <w:r>
        <w:rPr>
          <w:rFonts w:ascii="Verdana" w:hAnsi="Verdana"/>
          <w:b/>
          <w:bCs/>
          <w:sz w:val="16"/>
          <w:szCs w:val="16"/>
        </w:rPr>
        <w:t>7,9 mln zł</w:t>
      </w:r>
      <w:r>
        <w:rPr>
          <w:rFonts w:ascii="Verdana" w:hAnsi="Verdana"/>
          <w:sz w:val="16"/>
          <w:szCs w:val="16"/>
        </w:rPr>
        <w:t>.</w:t>
      </w:r>
    </w:p>
    <w:p w:rsidR="008A572A" w:rsidRDefault="008A572A" w:rsidP="008A572A">
      <w:pPr>
        <w:spacing w:before="60" w:after="60"/>
        <w:jc w:val="both"/>
        <w:rPr>
          <w:rFonts w:ascii="Verdana" w:hAnsi="Verdana"/>
          <w:sz w:val="16"/>
          <w:szCs w:val="16"/>
        </w:rPr>
      </w:pPr>
      <w:r w:rsidRPr="00B31CD5">
        <w:rPr>
          <w:rFonts w:ascii="Verdana" w:hAnsi="Verdana"/>
          <w:sz w:val="16"/>
          <w:szCs w:val="16"/>
        </w:rPr>
        <w:t>Uchwałą N</w:t>
      </w:r>
      <w:r>
        <w:rPr>
          <w:rFonts w:ascii="Verdana" w:hAnsi="Verdana"/>
          <w:sz w:val="16"/>
          <w:szCs w:val="16"/>
        </w:rPr>
        <w:t>r</w:t>
      </w:r>
      <w:r w:rsidRPr="00B31CD5">
        <w:rPr>
          <w:rFonts w:ascii="Verdana" w:hAnsi="Verdana"/>
          <w:sz w:val="16"/>
          <w:szCs w:val="16"/>
        </w:rPr>
        <w:t xml:space="preserve"> 84/2021 Rady Ministrów z dnia 1 lipca 2021 r. ustanowiono Rządowy Funduszu Polski Ład: Program Inwestycji Strategicznych.</w:t>
      </w:r>
      <w:r>
        <w:rPr>
          <w:rFonts w:ascii="Verdana" w:hAnsi="Verdana"/>
          <w:sz w:val="16"/>
          <w:szCs w:val="16"/>
        </w:rPr>
        <w:t xml:space="preserve"> Program realizowany jest ze środków Funduszu Przeciwdziałania COVID-19 z przeznaczeniem na dofinansowanie realizacji lokalnych inwestycji. Uruchomiono dwie edycje programu, w ramach których, każdy samorząd mógł złożyć maksymalnie 3 wnioski o dofinansowanie.</w:t>
      </w:r>
    </w:p>
    <w:p w:rsidR="008A572A" w:rsidRPr="005D5960" w:rsidRDefault="008A572A" w:rsidP="008A572A">
      <w:pPr>
        <w:spacing w:before="60" w:after="60"/>
        <w:jc w:val="both"/>
        <w:rPr>
          <w:rFonts w:ascii="Verdana" w:hAnsi="Verdana"/>
          <w:sz w:val="16"/>
          <w:szCs w:val="16"/>
        </w:rPr>
      </w:pPr>
      <w:r>
        <w:rPr>
          <w:rFonts w:ascii="Verdana" w:hAnsi="Verdana"/>
          <w:sz w:val="16"/>
          <w:szCs w:val="16"/>
        </w:rPr>
        <w:t>W</w:t>
      </w:r>
      <w:r w:rsidRPr="005D5960">
        <w:rPr>
          <w:rFonts w:ascii="Verdana" w:hAnsi="Verdana"/>
          <w:sz w:val="16"/>
          <w:szCs w:val="16"/>
        </w:rPr>
        <w:t xml:space="preserve"> ramach</w:t>
      </w:r>
      <w:r>
        <w:rPr>
          <w:rFonts w:ascii="Verdana" w:hAnsi="Verdana"/>
          <w:sz w:val="16"/>
          <w:szCs w:val="16"/>
        </w:rPr>
        <w:t xml:space="preserve"> obowiązujących warunków naboru</w:t>
      </w:r>
      <w:r w:rsidRPr="005D5960">
        <w:rPr>
          <w:rFonts w:ascii="Verdana" w:hAnsi="Verdana"/>
          <w:sz w:val="16"/>
          <w:szCs w:val="16"/>
        </w:rPr>
        <w:t xml:space="preserve"> </w:t>
      </w:r>
      <w:r>
        <w:rPr>
          <w:rFonts w:ascii="Verdana" w:hAnsi="Verdana"/>
          <w:sz w:val="16"/>
          <w:szCs w:val="16"/>
        </w:rPr>
        <w:t>dofinansowanie</w:t>
      </w:r>
      <w:r w:rsidRPr="005D5960">
        <w:rPr>
          <w:rFonts w:ascii="Verdana" w:hAnsi="Verdana"/>
          <w:sz w:val="16"/>
          <w:szCs w:val="16"/>
        </w:rPr>
        <w:t xml:space="preserve"> </w:t>
      </w:r>
      <w:r>
        <w:rPr>
          <w:rFonts w:ascii="Verdana" w:hAnsi="Verdana"/>
          <w:sz w:val="16"/>
          <w:szCs w:val="16"/>
        </w:rPr>
        <w:t>otrzymały</w:t>
      </w:r>
      <w:r w:rsidRPr="005D5960">
        <w:rPr>
          <w:rFonts w:ascii="Verdana" w:hAnsi="Verdana"/>
          <w:sz w:val="16"/>
          <w:szCs w:val="16"/>
        </w:rPr>
        <w:t xml:space="preserve"> </w:t>
      </w:r>
      <w:r>
        <w:rPr>
          <w:rFonts w:ascii="Verdana" w:hAnsi="Verdana"/>
          <w:sz w:val="16"/>
          <w:szCs w:val="16"/>
        </w:rPr>
        <w:t>poniższe wnioski zgłoszone przez m.st. </w:t>
      </w:r>
      <w:r w:rsidRPr="005D5960">
        <w:rPr>
          <w:rFonts w:ascii="Verdana" w:hAnsi="Verdana"/>
          <w:sz w:val="16"/>
          <w:szCs w:val="16"/>
        </w:rPr>
        <w:t>Warszawę:</w:t>
      </w:r>
    </w:p>
    <w:p w:rsidR="008A572A" w:rsidRPr="005D5960" w:rsidRDefault="008A572A" w:rsidP="008A572A">
      <w:pPr>
        <w:spacing w:before="60" w:after="60"/>
        <w:jc w:val="both"/>
        <w:rPr>
          <w:rFonts w:ascii="Verdana" w:hAnsi="Verdana"/>
          <w:sz w:val="16"/>
          <w:szCs w:val="16"/>
          <w:u w:val="single"/>
        </w:rPr>
      </w:pPr>
      <w:r w:rsidRPr="005D5960">
        <w:rPr>
          <w:rFonts w:ascii="Verdana" w:hAnsi="Verdana"/>
          <w:sz w:val="16"/>
          <w:szCs w:val="16"/>
          <w:u w:val="single"/>
        </w:rPr>
        <w:t>Edycja 1</w:t>
      </w:r>
    </w:p>
    <w:p w:rsidR="008A572A" w:rsidRDefault="008A572A" w:rsidP="008A572A">
      <w:pPr>
        <w:pStyle w:val="Akapitzlist"/>
        <w:numPr>
          <w:ilvl w:val="0"/>
          <w:numId w:val="28"/>
        </w:numPr>
        <w:spacing w:before="60" w:after="60"/>
        <w:ind w:left="567" w:hanging="283"/>
        <w:contextualSpacing w:val="0"/>
        <w:jc w:val="both"/>
        <w:rPr>
          <w:rFonts w:ascii="Verdana" w:hAnsi="Verdana"/>
          <w:sz w:val="16"/>
          <w:szCs w:val="16"/>
        </w:rPr>
      </w:pPr>
      <w:r w:rsidRPr="005430EE">
        <w:rPr>
          <w:rFonts w:ascii="Verdana" w:hAnsi="Verdana"/>
          <w:sz w:val="16"/>
          <w:szCs w:val="16"/>
        </w:rPr>
        <w:t xml:space="preserve">Modernizacja wiaduktów drogowych nad ul. Paryską w Warszawie: </w:t>
      </w:r>
      <w:r w:rsidRPr="00E3361B">
        <w:rPr>
          <w:rFonts w:ascii="Verdana" w:hAnsi="Verdana"/>
          <w:b/>
          <w:sz w:val="16"/>
          <w:szCs w:val="16"/>
        </w:rPr>
        <w:t>114 mln zł</w:t>
      </w:r>
      <w:r w:rsidRPr="005430EE">
        <w:rPr>
          <w:rFonts w:ascii="Verdana" w:hAnsi="Verdana"/>
          <w:sz w:val="16"/>
          <w:szCs w:val="16"/>
        </w:rPr>
        <w:t xml:space="preserve"> (wartość inwestycji </w:t>
      </w:r>
      <w:r>
        <w:rPr>
          <w:rFonts w:ascii="Verdana" w:hAnsi="Verdana"/>
          <w:sz w:val="16"/>
          <w:szCs w:val="16"/>
        </w:rPr>
        <w:br/>
      </w:r>
      <w:r w:rsidRPr="005430EE">
        <w:rPr>
          <w:rFonts w:ascii="Verdana" w:hAnsi="Verdana"/>
          <w:sz w:val="16"/>
          <w:szCs w:val="16"/>
        </w:rPr>
        <w:t>114 mln zł w latach 202</w:t>
      </w:r>
      <w:r>
        <w:rPr>
          <w:rFonts w:ascii="Verdana" w:hAnsi="Verdana"/>
          <w:sz w:val="16"/>
          <w:szCs w:val="16"/>
        </w:rPr>
        <w:t>5</w:t>
      </w:r>
      <w:r w:rsidRPr="005430EE">
        <w:rPr>
          <w:rFonts w:ascii="Verdana" w:hAnsi="Verdana"/>
          <w:sz w:val="16"/>
          <w:szCs w:val="16"/>
        </w:rPr>
        <w:t>-202</w:t>
      </w:r>
      <w:r>
        <w:rPr>
          <w:rFonts w:ascii="Verdana" w:hAnsi="Verdana"/>
          <w:sz w:val="16"/>
          <w:szCs w:val="16"/>
        </w:rPr>
        <w:t>6</w:t>
      </w:r>
      <w:r w:rsidRPr="005430EE">
        <w:rPr>
          <w:rFonts w:ascii="Verdana" w:hAnsi="Verdana"/>
          <w:sz w:val="16"/>
          <w:szCs w:val="16"/>
        </w:rPr>
        <w:t>),</w:t>
      </w:r>
    </w:p>
    <w:p w:rsidR="008A572A" w:rsidRPr="00E3361B" w:rsidRDefault="008A572A" w:rsidP="008A572A">
      <w:pPr>
        <w:pStyle w:val="Akapitzlist"/>
        <w:numPr>
          <w:ilvl w:val="0"/>
          <w:numId w:val="28"/>
        </w:numPr>
        <w:spacing w:before="60" w:after="60"/>
        <w:ind w:left="567" w:hanging="283"/>
        <w:contextualSpacing w:val="0"/>
        <w:jc w:val="both"/>
        <w:rPr>
          <w:rFonts w:ascii="Verdana" w:hAnsi="Verdana"/>
          <w:sz w:val="16"/>
          <w:szCs w:val="16"/>
        </w:rPr>
      </w:pPr>
      <w:r w:rsidRPr="005430EE">
        <w:rPr>
          <w:rFonts w:ascii="Verdana" w:hAnsi="Verdana"/>
          <w:sz w:val="16"/>
          <w:szCs w:val="16"/>
        </w:rPr>
        <w:t xml:space="preserve">Budowa i wyposażenie 9 - oddziałowego   przedszkola  będącego  częścią zespołu szkolno - przedszkolnego  przy ul. Gilarskiej w W-wie wraz z zagospodarowaniem terenu: </w:t>
      </w:r>
      <w:r>
        <w:rPr>
          <w:rFonts w:ascii="Verdana" w:hAnsi="Verdana"/>
          <w:b/>
          <w:sz w:val="16"/>
          <w:szCs w:val="16"/>
        </w:rPr>
        <w:t>27,9</w:t>
      </w:r>
      <w:r w:rsidRPr="00E3361B">
        <w:rPr>
          <w:rFonts w:ascii="Verdana" w:hAnsi="Verdana"/>
          <w:b/>
          <w:sz w:val="16"/>
          <w:szCs w:val="16"/>
        </w:rPr>
        <w:t xml:space="preserve"> mln zł</w:t>
      </w:r>
      <w:r w:rsidRPr="005430EE">
        <w:rPr>
          <w:rFonts w:ascii="Verdana" w:hAnsi="Verdana"/>
          <w:sz w:val="16"/>
          <w:szCs w:val="16"/>
        </w:rPr>
        <w:t xml:space="preserve"> (wartość inwestycji </w:t>
      </w:r>
      <w:r>
        <w:rPr>
          <w:rFonts w:ascii="Verdana" w:hAnsi="Verdana"/>
          <w:sz w:val="16"/>
          <w:szCs w:val="16"/>
        </w:rPr>
        <w:br/>
        <w:t>27,9</w:t>
      </w:r>
      <w:r w:rsidRPr="005430EE">
        <w:rPr>
          <w:rFonts w:ascii="Verdana" w:hAnsi="Verdana"/>
          <w:sz w:val="16"/>
          <w:szCs w:val="16"/>
        </w:rPr>
        <w:t xml:space="preserve"> mln zł w latach 202</w:t>
      </w:r>
      <w:r>
        <w:rPr>
          <w:rFonts w:ascii="Verdana" w:hAnsi="Verdana"/>
          <w:sz w:val="16"/>
          <w:szCs w:val="16"/>
        </w:rPr>
        <w:t>4</w:t>
      </w:r>
      <w:r w:rsidRPr="005430EE">
        <w:rPr>
          <w:rFonts w:ascii="Verdana" w:hAnsi="Verdana"/>
          <w:sz w:val="16"/>
          <w:szCs w:val="16"/>
        </w:rPr>
        <w:t>-202</w:t>
      </w:r>
      <w:r>
        <w:rPr>
          <w:rFonts w:ascii="Verdana" w:hAnsi="Verdana"/>
          <w:sz w:val="16"/>
          <w:szCs w:val="16"/>
        </w:rPr>
        <w:t>5</w:t>
      </w:r>
      <w:r w:rsidRPr="005430EE">
        <w:rPr>
          <w:rFonts w:ascii="Verdana" w:hAnsi="Verdana"/>
          <w:sz w:val="16"/>
          <w:szCs w:val="16"/>
        </w:rPr>
        <w:t>),</w:t>
      </w:r>
    </w:p>
    <w:p w:rsidR="008A572A" w:rsidRDefault="008A572A" w:rsidP="008A572A">
      <w:pPr>
        <w:pStyle w:val="Akapitzlist"/>
        <w:numPr>
          <w:ilvl w:val="0"/>
          <w:numId w:val="28"/>
        </w:numPr>
        <w:spacing w:before="60" w:after="60"/>
        <w:ind w:left="567" w:hanging="283"/>
        <w:contextualSpacing w:val="0"/>
        <w:jc w:val="both"/>
        <w:rPr>
          <w:rFonts w:ascii="Verdana" w:hAnsi="Verdana"/>
          <w:sz w:val="16"/>
          <w:szCs w:val="16"/>
        </w:rPr>
      </w:pPr>
      <w:r w:rsidRPr="00017484">
        <w:rPr>
          <w:rFonts w:ascii="Verdana" w:hAnsi="Verdana"/>
          <w:sz w:val="16"/>
          <w:szCs w:val="16"/>
        </w:rPr>
        <w:t xml:space="preserve">Poprawa układu drogowego w Dzielnicy Białołęka na rozbudowę drogi powiatowej Kąty Grodziskie </w:t>
      </w:r>
      <w:r w:rsidRPr="00017484">
        <w:rPr>
          <w:rFonts w:ascii="Verdana" w:hAnsi="Verdana"/>
          <w:sz w:val="16"/>
          <w:szCs w:val="16"/>
        </w:rPr>
        <w:br/>
        <w:t xml:space="preserve">na odc. ul. Zdziarska – ul. Berensona: </w:t>
      </w:r>
      <w:r w:rsidRPr="00017484">
        <w:rPr>
          <w:rFonts w:ascii="Verdana" w:hAnsi="Verdana"/>
          <w:b/>
          <w:sz w:val="16"/>
          <w:szCs w:val="16"/>
        </w:rPr>
        <w:t>5 mln zł</w:t>
      </w:r>
      <w:r w:rsidRPr="00017484">
        <w:rPr>
          <w:rFonts w:ascii="Verdana" w:hAnsi="Verdana"/>
          <w:sz w:val="16"/>
          <w:szCs w:val="16"/>
        </w:rPr>
        <w:t xml:space="preserve"> (2024 r.)</w:t>
      </w:r>
      <w:r>
        <w:rPr>
          <w:rFonts w:ascii="Verdana" w:hAnsi="Verdana"/>
          <w:sz w:val="16"/>
          <w:szCs w:val="16"/>
        </w:rPr>
        <w:t>,</w:t>
      </w:r>
    </w:p>
    <w:p w:rsidR="008A572A" w:rsidRPr="005D5960" w:rsidRDefault="008A572A" w:rsidP="008A572A">
      <w:pPr>
        <w:spacing w:before="60" w:after="60"/>
        <w:jc w:val="both"/>
        <w:rPr>
          <w:rFonts w:ascii="Verdana" w:hAnsi="Verdana"/>
          <w:sz w:val="16"/>
          <w:szCs w:val="16"/>
          <w:u w:val="single"/>
        </w:rPr>
      </w:pPr>
      <w:r w:rsidRPr="005D5960">
        <w:rPr>
          <w:rFonts w:ascii="Verdana" w:hAnsi="Verdana"/>
          <w:sz w:val="16"/>
          <w:szCs w:val="16"/>
          <w:u w:val="single"/>
        </w:rPr>
        <w:t>Edycja 2:</w:t>
      </w:r>
    </w:p>
    <w:p w:rsidR="008A572A" w:rsidRPr="00E3361B" w:rsidRDefault="008A572A" w:rsidP="008A572A">
      <w:pPr>
        <w:pStyle w:val="Akapitzlist"/>
        <w:numPr>
          <w:ilvl w:val="0"/>
          <w:numId w:val="28"/>
        </w:numPr>
        <w:spacing w:before="60" w:after="60"/>
        <w:ind w:left="567" w:hanging="283"/>
        <w:contextualSpacing w:val="0"/>
        <w:jc w:val="both"/>
        <w:rPr>
          <w:rFonts w:ascii="Verdana" w:hAnsi="Verdana"/>
          <w:sz w:val="16"/>
          <w:szCs w:val="16"/>
        </w:rPr>
      </w:pPr>
      <w:r w:rsidRPr="008F189A">
        <w:rPr>
          <w:rFonts w:ascii="Verdana" w:hAnsi="Verdana"/>
          <w:sz w:val="16"/>
          <w:szCs w:val="16"/>
        </w:rPr>
        <w:t>Budowa kompleksu oświatowego przy ul. Świderskiej w Warsz</w:t>
      </w:r>
      <w:r>
        <w:rPr>
          <w:rFonts w:ascii="Verdana" w:hAnsi="Verdana"/>
          <w:sz w:val="16"/>
          <w:szCs w:val="16"/>
        </w:rPr>
        <w:t xml:space="preserve">awie: </w:t>
      </w:r>
      <w:r w:rsidRPr="008F189A">
        <w:rPr>
          <w:rFonts w:ascii="Verdana" w:hAnsi="Verdana"/>
          <w:b/>
          <w:sz w:val="16"/>
          <w:szCs w:val="16"/>
        </w:rPr>
        <w:t>65 mln zł</w:t>
      </w:r>
      <w:r>
        <w:rPr>
          <w:rFonts w:ascii="Verdana" w:hAnsi="Verdana"/>
          <w:sz w:val="16"/>
          <w:szCs w:val="16"/>
        </w:rPr>
        <w:t xml:space="preserve"> </w:t>
      </w:r>
      <w:r w:rsidRPr="005430EE">
        <w:rPr>
          <w:rFonts w:ascii="Verdana" w:hAnsi="Verdana"/>
          <w:sz w:val="16"/>
          <w:szCs w:val="16"/>
        </w:rPr>
        <w:t xml:space="preserve">(wartość inwestycji </w:t>
      </w:r>
      <w:r>
        <w:rPr>
          <w:rFonts w:ascii="Verdana" w:hAnsi="Verdana"/>
          <w:sz w:val="16"/>
          <w:szCs w:val="16"/>
        </w:rPr>
        <w:br/>
        <w:t>65</w:t>
      </w:r>
      <w:r w:rsidRPr="005430EE">
        <w:rPr>
          <w:rFonts w:ascii="Verdana" w:hAnsi="Verdana"/>
          <w:sz w:val="16"/>
          <w:szCs w:val="16"/>
        </w:rPr>
        <w:t xml:space="preserve"> mln zł w latach 202</w:t>
      </w:r>
      <w:r>
        <w:rPr>
          <w:rFonts w:ascii="Verdana" w:hAnsi="Verdana"/>
          <w:sz w:val="16"/>
          <w:szCs w:val="16"/>
        </w:rPr>
        <w:t>5</w:t>
      </w:r>
      <w:r w:rsidRPr="005430EE">
        <w:rPr>
          <w:rFonts w:ascii="Verdana" w:hAnsi="Verdana"/>
          <w:sz w:val="16"/>
          <w:szCs w:val="16"/>
        </w:rPr>
        <w:t>-202</w:t>
      </w:r>
      <w:r>
        <w:rPr>
          <w:rFonts w:ascii="Verdana" w:hAnsi="Verdana"/>
          <w:sz w:val="16"/>
          <w:szCs w:val="16"/>
        </w:rPr>
        <w:t>6</w:t>
      </w:r>
      <w:r w:rsidRPr="005430EE">
        <w:rPr>
          <w:rFonts w:ascii="Verdana" w:hAnsi="Verdana"/>
          <w:sz w:val="16"/>
          <w:szCs w:val="16"/>
        </w:rPr>
        <w:t>),</w:t>
      </w:r>
    </w:p>
    <w:p w:rsidR="008A572A" w:rsidRPr="00E3361B" w:rsidRDefault="008A572A" w:rsidP="008A572A">
      <w:pPr>
        <w:pStyle w:val="Akapitzlist"/>
        <w:numPr>
          <w:ilvl w:val="0"/>
          <w:numId w:val="28"/>
        </w:numPr>
        <w:spacing w:before="60" w:after="60"/>
        <w:ind w:left="567" w:hanging="283"/>
        <w:contextualSpacing w:val="0"/>
        <w:jc w:val="both"/>
        <w:rPr>
          <w:rFonts w:ascii="Verdana" w:hAnsi="Verdana"/>
          <w:sz w:val="16"/>
          <w:szCs w:val="16"/>
        </w:rPr>
      </w:pPr>
      <w:r w:rsidRPr="008F189A">
        <w:rPr>
          <w:rFonts w:ascii="Verdana" w:hAnsi="Verdana"/>
          <w:sz w:val="16"/>
          <w:szCs w:val="16"/>
        </w:rPr>
        <w:t>Rozbudowa i modernizacja budynków SOSW dla Dzieci Słabowi</w:t>
      </w:r>
      <w:r>
        <w:rPr>
          <w:rFonts w:ascii="Verdana" w:hAnsi="Verdana"/>
          <w:sz w:val="16"/>
          <w:szCs w:val="16"/>
        </w:rPr>
        <w:t>dzących nr 8 w Warszawie wraz z </w:t>
      </w:r>
      <w:r w:rsidRPr="008F189A">
        <w:rPr>
          <w:rFonts w:ascii="Verdana" w:hAnsi="Verdana"/>
          <w:sz w:val="16"/>
          <w:szCs w:val="16"/>
        </w:rPr>
        <w:t>zagospodarowaniem terenu</w:t>
      </w:r>
      <w:r>
        <w:rPr>
          <w:rFonts w:ascii="Verdana" w:hAnsi="Verdana"/>
          <w:sz w:val="16"/>
          <w:szCs w:val="16"/>
        </w:rPr>
        <w:t xml:space="preserve">: </w:t>
      </w:r>
      <w:r w:rsidRPr="008F189A">
        <w:rPr>
          <w:rFonts w:ascii="Verdana" w:hAnsi="Verdana"/>
          <w:b/>
          <w:sz w:val="16"/>
          <w:szCs w:val="16"/>
        </w:rPr>
        <w:t xml:space="preserve">30 mln zł </w:t>
      </w:r>
      <w:r w:rsidRPr="005430EE">
        <w:rPr>
          <w:rFonts w:ascii="Verdana" w:hAnsi="Verdana"/>
          <w:sz w:val="16"/>
          <w:szCs w:val="16"/>
        </w:rPr>
        <w:t xml:space="preserve">(wartość inwestycji </w:t>
      </w:r>
      <w:r>
        <w:rPr>
          <w:rFonts w:ascii="Verdana" w:hAnsi="Verdana"/>
          <w:sz w:val="16"/>
          <w:szCs w:val="16"/>
        </w:rPr>
        <w:t>30</w:t>
      </w:r>
      <w:r w:rsidRPr="005430EE">
        <w:rPr>
          <w:rFonts w:ascii="Verdana" w:hAnsi="Verdana"/>
          <w:sz w:val="16"/>
          <w:szCs w:val="16"/>
        </w:rPr>
        <w:t xml:space="preserve"> mln zł w latach 202</w:t>
      </w:r>
      <w:r>
        <w:rPr>
          <w:rFonts w:ascii="Verdana" w:hAnsi="Verdana"/>
          <w:sz w:val="16"/>
          <w:szCs w:val="16"/>
        </w:rPr>
        <w:t>5</w:t>
      </w:r>
      <w:r w:rsidRPr="005430EE">
        <w:rPr>
          <w:rFonts w:ascii="Verdana" w:hAnsi="Verdana"/>
          <w:sz w:val="16"/>
          <w:szCs w:val="16"/>
        </w:rPr>
        <w:t>-202</w:t>
      </w:r>
      <w:r>
        <w:rPr>
          <w:rFonts w:ascii="Verdana" w:hAnsi="Verdana"/>
          <w:sz w:val="16"/>
          <w:szCs w:val="16"/>
        </w:rPr>
        <w:t>6</w:t>
      </w:r>
      <w:r w:rsidRPr="005430EE">
        <w:rPr>
          <w:rFonts w:ascii="Verdana" w:hAnsi="Verdana"/>
          <w:sz w:val="16"/>
          <w:szCs w:val="16"/>
        </w:rPr>
        <w:t>),</w:t>
      </w:r>
    </w:p>
    <w:p w:rsidR="008A572A" w:rsidRDefault="008A572A" w:rsidP="008A572A">
      <w:pPr>
        <w:pStyle w:val="Akapitzlist"/>
        <w:tabs>
          <w:tab w:val="left" w:pos="2394"/>
        </w:tabs>
        <w:spacing w:before="60" w:after="60"/>
        <w:ind w:left="567"/>
        <w:contextualSpacing w:val="0"/>
        <w:jc w:val="both"/>
        <w:rPr>
          <w:rFonts w:ascii="Verdana" w:hAnsi="Verdana"/>
          <w:b/>
          <w:bCs/>
          <w:sz w:val="20"/>
          <w:szCs w:val="20"/>
        </w:rPr>
      </w:pPr>
      <w:r w:rsidRPr="008F189A">
        <w:rPr>
          <w:rFonts w:ascii="Verdana" w:hAnsi="Verdana"/>
          <w:sz w:val="16"/>
          <w:szCs w:val="16"/>
        </w:rPr>
        <w:t>Poprawa układu drogowego w Dzielnicy Wesoła w Warszawie: ulice Konwaliowa, Cienista i Malwy</w:t>
      </w:r>
      <w:r>
        <w:rPr>
          <w:rFonts w:ascii="Verdana" w:hAnsi="Verdana"/>
          <w:sz w:val="16"/>
          <w:szCs w:val="16"/>
        </w:rPr>
        <w:t xml:space="preserve">: </w:t>
      </w:r>
      <w:r>
        <w:rPr>
          <w:rFonts w:ascii="Verdana" w:hAnsi="Verdana"/>
          <w:b/>
          <w:sz w:val="16"/>
          <w:szCs w:val="16"/>
        </w:rPr>
        <w:t>5 mln </w:t>
      </w:r>
      <w:r w:rsidRPr="00A4533D">
        <w:rPr>
          <w:rFonts w:ascii="Verdana" w:hAnsi="Verdana"/>
          <w:b/>
          <w:sz w:val="16"/>
          <w:szCs w:val="16"/>
        </w:rPr>
        <w:t>zł</w:t>
      </w:r>
      <w:r>
        <w:rPr>
          <w:rFonts w:ascii="Verdana" w:hAnsi="Verdana"/>
          <w:sz w:val="16"/>
          <w:szCs w:val="16"/>
        </w:rPr>
        <w:t xml:space="preserve"> </w:t>
      </w:r>
      <w:r w:rsidRPr="00017484">
        <w:rPr>
          <w:rFonts w:ascii="Verdana" w:hAnsi="Verdana"/>
          <w:sz w:val="16"/>
          <w:szCs w:val="16"/>
        </w:rPr>
        <w:t>(2024 r.)</w:t>
      </w:r>
      <w:r>
        <w:rPr>
          <w:rFonts w:ascii="Verdana" w:hAnsi="Verdana"/>
          <w:sz w:val="16"/>
          <w:szCs w:val="16"/>
        </w:rPr>
        <w:t>.</w:t>
      </w:r>
      <w:r>
        <w:rPr>
          <w:rFonts w:ascii="Verdana" w:hAnsi="Verdana"/>
          <w:b/>
          <w:bCs/>
          <w:sz w:val="20"/>
          <w:szCs w:val="20"/>
        </w:rPr>
        <w:br w:type="page"/>
      </w:r>
    </w:p>
    <w:p w:rsidR="008A572A" w:rsidRPr="000A6485" w:rsidRDefault="008A572A" w:rsidP="008A572A">
      <w:pPr>
        <w:spacing w:before="240" w:after="240"/>
        <w:rPr>
          <w:rFonts w:ascii="Verdana" w:hAnsi="Verdana"/>
          <w:b/>
          <w:bCs/>
          <w:sz w:val="20"/>
          <w:szCs w:val="20"/>
        </w:rPr>
      </w:pPr>
      <w:r w:rsidRPr="000A6485">
        <w:rPr>
          <w:rFonts w:ascii="Verdana" w:hAnsi="Verdana"/>
          <w:b/>
          <w:bCs/>
          <w:sz w:val="20"/>
          <w:szCs w:val="20"/>
        </w:rPr>
        <w:lastRenderedPageBreak/>
        <w:t>7.3 Wynik zbiorczy prognozy wydatków</w:t>
      </w:r>
    </w:p>
    <w:p w:rsidR="008A572A" w:rsidRPr="000A6485" w:rsidRDefault="008A572A" w:rsidP="008A572A">
      <w:pPr>
        <w:spacing w:before="240" w:after="240"/>
        <w:rPr>
          <w:rFonts w:ascii="Verdana" w:hAnsi="Verdana"/>
          <w:b/>
          <w:bCs/>
          <w:sz w:val="18"/>
          <w:szCs w:val="18"/>
        </w:rPr>
      </w:pPr>
      <w:r w:rsidRPr="000A6485">
        <w:rPr>
          <w:rFonts w:ascii="Verdana" w:hAnsi="Verdana"/>
          <w:b/>
          <w:bCs/>
          <w:sz w:val="18"/>
          <w:szCs w:val="18"/>
        </w:rPr>
        <w:t>7.3.1 Prognoza wydatków ogółem</w:t>
      </w:r>
    </w:p>
    <w:p w:rsidR="008A572A" w:rsidRPr="000A6485" w:rsidRDefault="008A572A" w:rsidP="008A572A">
      <w:pPr>
        <w:spacing w:before="240" w:after="120"/>
        <w:ind w:firstLine="567"/>
        <w:jc w:val="both"/>
        <w:rPr>
          <w:rFonts w:ascii="Verdana" w:hAnsi="Verdana"/>
          <w:sz w:val="16"/>
          <w:szCs w:val="16"/>
        </w:rPr>
      </w:pPr>
      <w:r w:rsidRPr="000A6485">
        <w:rPr>
          <w:rFonts w:ascii="Verdana" w:hAnsi="Verdana"/>
          <w:sz w:val="16"/>
          <w:szCs w:val="16"/>
        </w:rPr>
        <w:t xml:space="preserve">Wykres </w:t>
      </w:r>
      <w:r>
        <w:rPr>
          <w:rFonts w:ascii="Verdana" w:hAnsi="Verdana"/>
          <w:sz w:val="16"/>
          <w:szCs w:val="16"/>
        </w:rPr>
        <w:t>nr 31</w:t>
      </w:r>
      <w:r w:rsidRPr="000A6485">
        <w:rPr>
          <w:rFonts w:ascii="Verdana" w:hAnsi="Verdana"/>
          <w:sz w:val="16"/>
          <w:szCs w:val="16"/>
        </w:rPr>
        <w:t xml:space="preserve"> prezentuje prognozowane wydatki ogółem w poszczególnych latach objętych Prognozą.</w:t>
      </w:r>
    </w:p>
    <w:p w:rsidR="008A572A" w:rsidRPr="000A6485" w:rsidRDefault="008A572A" w:rsidP="008A572A">
      <w:pPr>
        <w:tabs>
          <w:tab w:val="left" w:pos="567"/>
        </w:tabs>
        <w:spacing w:before="120" w:after="60"/>
        <w:ind w:left="567" w:hanging="567"/>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DB2126">
        <w:rPr>
          <w:rFonts w:ascii="Verdana" w:hAnsi="Verdana" w:cs="Arial"/>
          <w:b/>
          <w:bCs/>
          <w:noProof/>
          <w:sz w:val="14"/>
          <w:szCs w:val="14"/>
        </w:rPr>
        <w:t>31</w:t>
      </w:r>
      <w:r w:rsidRPr="000A6485">
        <w:rPr>
          <w:rFonts w:ascii="Verdana" w:hAnsi="Verdana" w:cs="Arial"/>
          <w:b/>
          <w:bCs/>
          <w:sz w:val="14"/>
          <w:szCs w:val="14"/>
        </w:rPr>
        <w:fldChar w:fldCharType="end"/>
      </w:r>
      <w:r w:rsidRPr="000A6485">
        <w:rPr>
          <w:rFonts w:ascii="Verdana" w:hAnsi="Verdana" w:cs="Arial"/>
          <w:b/>
          <w:bCs/>
          <w:sz w:val="14"/>
          <w:szCs w:val="14"/>
        </w:rPr>
        <w:t xml:space="preserve">  PROGNOZA WYDATKÓW OG</w:t>
      </w:r>
      <w:r>
        <w:rPr>
          <w:rFonts w:ascii="Verdana" w:hAnsi="Verdana" w:cs="Arial"/>
          <w:b/>
          <w:bCs/>
          <w:sz w:val="14"/>
          <w:szCs w:val="14"/>
        </w:rPr>
        <w:t xml:space="preserve">ÓŁEM M.ST. WARSZAWY NA LATA </w:t>
      </w:r>
      <w:r w:rsidRPr="00932633">
        <w:rPr>
          <w:rFonts w:ascii="Verdana" w:hAnsi="Verdana" w:cs="Arial"/>
          <w:b/>
          <w:bCs/>
          <w:sz w:val="14"/>
          <w:szCs w:val="14"/>
        </w:rPr>
        <w:t>2023</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8A572A" w:rsidRPr="000A6485" w:rsidRDefault="008A572A" w:rsidP="008A572A">
      <w:pPr>
        <w:spacing w:before="120" w:after="120"/>
        <w:jc w:val="both"/>
        <w:rPr>
          <w:rFonts w:ascii="Verdana" w:hAnsi="Verdana"/>
          <w:b/>
          <w:bCs/>
          <w:sz w:val="22"/>
          <w:szCs w:val="22"/>
        </w:rPr>
      </w:pPr>
      <w:r>
        <w:rPr>
          <w:rFonts w:ascii="Verdana" w:hAnsi="Verdana"/>
          <w:b/>
          <w:bCs/>
          <w:noProof/>
          <w:sz w:val="22"/>
          <w:szCs w:val="22"/>
        </w:rPr>
        <w:drawing>
          <wp:inline distT="0" distB="0" distL="0" distR="0">
            <wp:extent cx="5786755" cy="2907030"/>
            <wp:effectExtent l="0" t="0" r="0"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86755" cy="2907030"/>
                    </a:xfrm>
                    <a:prstGeom prst="rect">
                      <a:avLst/>
                    </a:prstGeom>
                    <a:noFill/>
                    <a:ln>
                      <a:noFill/>
                    </a:ln>
                  </pic:spPr>
                </pic:pic>
              </a:graphicData>
            </a:graphic>
          </wp:inline>
        </w:drawing>
      </w:r>
    </w:p>
    <w:p w:rsidR="008A572A" w:rsidRDefault="008A572A" w:rsidP="008A572A">
      <w:pPr>
        <w:spacing w:before="60" w:after="60"/>
        <w:ind w:firstLine="539"/>
        <w:jc w:val="both"/>
        <w:rPr>
          <w:rFonts w:ascii="Verdana" w:hAnsi="Verdana"/>
          <w:sz w:val="16"/>
          <w:szCs w:val="16"/>
        </w:rPr>
      </w:pPr>
      <w:r w:rsidRPr="000A6485">
        <w:rPr>
          <w:rFonts w:ascii="Verdana" w:hAnsi="Verdana"/>
          <w:sz w:val="16"/>
          <w:szCs w:val="16"/>
        </w:rPr>
        <w:t xml:space="preserve">Założony poziom wydatków zdeterminowany jest prognozowaną wielkością dochodów oraz zakresem realizowanych zadań, w tym kształtem programu inwestycyjnego, </w:t>
      </w:r>
      <w:r>
        <w:rPr>
          <w:rFonts w:ascii="Verdana" w:hAnsi="Verdana"/>
          <w:sz w:val="16"/>
          <w:szCs w:val="16"/>
        </w:rPr>
        <w:t xml:space="preserve">przy maksymalnym możliwym wsparciu środkami dłużnymi do poziomu nieprzekraczającego 55% długu w relacji do dochodów ogółem. </w:t>
      </w:r>
      <w:r w:rsidRPr="000A6485">
        <w:rPr>
          <w:rFonts w:ascii="Verdana" w:hAnsi="Verdana"/>
          <w:sz w:val="16"/>
          <w:szCs w:val="16"/>
        </w:rPr>
        <w:t>Przyjęty pułap wydatków powiązany jest również z realizacją programu ograniczania deficytu budżetu Miasta z perspektywą generowania nadwyżek budżetowych począwszy od 202</w:t>
      </w:r>
      <w:r>
        <w:rPr>
          <w:rFonts w:ascii="Verdana" w:hAnsi="Verdana"/>
          <w:sz w:val="16"/>
          <w:szCs w:val="16"/>
        </w:rPr>
        <w:t>7</w:t>
      </w:r>
      <w:r w:rsidRPr="000A6485">
        <w:rPr>
          <w:rFonts w:ascii="Verdana" w:hAnsi="Verdana"/>
          <w:sz w:val="16"/>
          <w:szCs w:val="16"/>
        </w:rPr>
        <w:t xml:space="preserve"> r. Założony poziom wydatków służyć będzie poprawie jakości życia mieszkańców Warszawy, gwarantując środki na finansow</w:t>
      </w:r>
      <w:r>
        <w:rPr>
          <w:rFonts w:ascii="Verdana" w:hAnsi="Verdana"/>
          <w:sz w:val="16"/>
          <w:szCs w:val="16"/>
        </w:rPr>
        <w:t xml:space="preserve">anie inwestycji prorozwojowych, w ramach możliwości finansowych determinowanych znaczącym ograniczeniem strony dochodowej z uwagi na wprowadzone rozwiązania legislacyjne trwale zmniejszające dochody z podatku dochodowego od osób fizycznych (PIT) </w:t>
      </w:r>
      <w:r>
        <w:rPr>
          <w:rFonts w:ascii="Verdana" w:hAnsi="Verdana"/>
          <w:sz w:val="16"/>
          <w:szCs w:val="16"/>
        </w:rPr>
        <w:br/>
        <w:t xml:space="preserve">i dochody z opłat za użytkowanie wieczyste nieruchomości, w warunkach utrzymujących się w niektórych obszarach negatywnych następstw pandemii </w:t>
      </w:r>
      <w:proofErr w:type="spellStart"/>
      <w:r>
        <w:rPr>
          <w:rFonts w:ascii="Verdana" w:hAnsi="Verdana"/>
          <w:sz w:val="16"/>
          <w:szCs w:val="16"/>
        </w:rPr>
        <w:t>koronawirusa</w:t>
      </w:r>
      <w:proofErr w:type="spellEnd"/>
      <w:r>
        <w:rPr>
          <w:rFonts w:ascii="Verdana" w:hAnsi="Verdana"/>
          <w:sz w:val="16"/>
          <w:szCs w:val="16"/>
        </w:rPr>
        <w:t xml:space="preserve"> SARS-CoV-2</w:t>
      </w:r>
      <w:r w:rsidRPr="003F230E">
        <w:rPr>
          <w:rFonts w:ascii="Verdana" w:hAnsi="Verdana"/>
          <w:sz w:val="16"/>
          <w:szCs w:val="16"/>
        </w:rPr>
        <w:t xml:space="preserve"> </w:t>
      </w:r>
      <w:r>
        <w:rPr>
          <w:rFonts w:ascii="Verdana" w:hAnsi="Verdana"/>
          <w:sz w:val="16"/>
          <w:szCs w:val="16"/>
        </w:rPr>
        <w:t>dla dochodów m.st. Warszawy oraz wyzwań wydatkowych związanych z pakietem pomocowym dla obywateli Ukrainy w związku z konfliktem zbrojnym toczonym na terytorium tego kraju.</w:t>
      </w:r>
    </w:p>
    <w:p w:rsidR="008A572A" w:rsidRDefault="008A572A" w:rsidP="008A572A">
      <w:pPr>
        <w:spacing w:before="60" w:after="60"/>
        <w:ind w:firstLine="539"/>
        <w:jc w:val="both"/>
        <w:rPr>
          <w:rFonts w:ascii="Verdana" w:hAnsi="Verdana"/>
          <w:sz w:val="16"/>
          <w:szCs w:val="16"/>
        </w:rPr>
      </w:pPr>
      <w:r w:rsidRPr="000A6485">
        <w:rPr>
          <w:rFonts w:ascii="Verdana" w:hAnsi="Verdana"/>
          <w:sz w:val="16"/>
          <w:szCs w:val="16"/>
        </w:rPr>
        <w:t xml:space="preserve">W ramach wydatków </w:t>
      </w:r>
      <w:r>
        <w:rPr>
          <w:rFonts w:ascii="Verdana" w:hAnsi="Verdana"/>
          <w:sz w:val="16"/>
          <w:szCs w:val="16"/>
        </w:rPr>
        <w:t>założono realizację projektów współfinansowanych</w:t>
      </w:r>
      <w:r w:rsidRPr="000A6485">
        <w:rPr>
          <w:rFonts w:ascii="Verdana" w:hAnsi="Verdana"/>
          <w:sz w:val="16"/>
          <w:szCs w:val="16"/>
        </w:rPr>
        <w:t xml:space="preserve"> ze środków Unii Europejskiej</w:t>
      </w:r>
      <w:r>
        <w:rPr>
          <w:rFonts w:ascii="Verdana" w:hAnsi="Verdana"/>
          <w:sz w:val="16"/>
          <w:szCs w:val="16"/>
        </w:rPr>
        <w:t xml:space="preserve"> wyłącznie z perspektywy finansowej 2014-2020</w:t>
      </w:r>
      <w:r w:rsidRPr="000A6485">
        <w:rPr>
          <w:rFonts w:ascii="Verdana" w:hAnsi="Verdana"/>
          <w:sz w:val="16"/>
          <w:szCs w:val="16"/>
        </w:rPr>
        <w:t xml:space="preserve">. Wartość tych projektów </w:t>
      </w:r>
      <w:r>
        <w:rPr>
          <w:rFonts w:ascii="Verdana" w:hAnsi="Verdana"/>
          <w:sz w:val="16"/>
          <w:szCs w:val="16"/>
        </w:rPr>
        <w:t>wygasających w 2024 r. ujmowanych</w:t>
      </w:r>
      <w:r w:rsidRPr="000A6485">
        <w:rPr>
          <w:rFonts w:ascii="Verdana" w:hAnsi="Verdana"/>
          <w:sz w:val="16"/>
          <w:szCs w:val="16"/>
        </w:rPr>
        <w:t xml:space="preserve"> </w:t>
      </w:r>
      <w:r>
        <w:rPr>
          <w:rFonts w:ascii="Verdana" w:hAnsi="Verdana"/>
          <w:sz w:val="16"/>
          <w:szCs w:val="16"/>
        </w:rPr>
        <w:br/>
      </w:r>
      <w:r w:rsidRPr="000A6485">
        <w:rPr>
          <w:rFonts w:ascii="Verdana" w:hAnsi="Verdana"/>
          <w:sz w:val="16"/>
          <w:szCs w:val="16"/>
        </w:rPr>
        <w:t xml:space="preserve">w ramach wydatków bieżących wyniesie łącznie </w:t>
      </w:r>
      <w:r>
        <w:rPr>
          <w:rFonts w:ascii="Verdana" w:hAnsi="Verdana"/>
          <w:b/>
          <w:sz w:val="16"/>
          <w:szCs w:val="16"/>
        </w:rPr>
        <w:t>36,8</w:t>
      </w:r>
      <w:r w:rsidRPr="000A6485">
        <w:rPr>
          <w:rFonts w:ascii="Verdana" w:hAnsi="Verdana"/>
          <w:b/>
          <w:sz w:val="16"/>
          <w:szCs w:val="16"/>
        </w:rPr>
        <w:t xml:space="preserve"> mln zł</w:t>
      </w:r>
      <w:r w:rsidRPr="000A6485">
        <w:rPr>
          <w:rFonts w:ascii="Verdana" w:hAnsi="Verdana"/>
          <w:sz w:val="16"/>
          <w:szCs w:val="16"/>
        </w:rPr>
        <w:t xml:space="preserve">, natomiast </w:t>
      </w:r>
      <w:r>
        <w:rPr>
          <w:rFonts w:ascii="Verdana" w:hAnsi="Verdana"/>
          <w:sz w:val="16"/>
          <w:szCs w:val="16"/>
        </w:rPr>
        <w:t>projekty inwestycyjne</w:t>
      </w:r>
      <w:r w:rsidRPr="000A6485">
        <w:rPr>
          <w:rFonts w:ascii="Verdana" w:hAnsi="Verdana"/>
          <w:sz w:val="16"/>
          <w:szCs w:val="16"/>
        </w:rPr>
        <w:t xml:space="preserve"> z udz</w:t>
      </w:r>
      <w:r>
        <w:rPr>
          <w:rFonts w:ascii="Verdana" w:hAnsi="Verdana"/>
          <w:sz w:val="16"/>
          <w:szCs w:val="16"/>
        </w:rPr>
        <w:t>iałem środków unijnych pociągną</w:t>
      </w:r>
      <w:r w:rsidRPr="000A6485">
        <w:rPr>
          <w:rFonts w:ascii="Verdana" w:hAnsi="Verdana"/>
          <w:sz w:val="16"/>
          <w:szCs w:val="16"/>
        </w:rPr>
        <w:t xml:space="preserve"> za sobą wydatki w łącznej wysokości </w:t>
      </w:r>
      <w:r>
        <w:rPr>
          <w:rFonts w:ascii="Verdana" w:hAnsi="Verdana"/>
          <w:b/>
          <w:sz w:val="16"/>
          <w:szCs w:val="16"/>
        </w:rPr>
        <w:t>786,3 mln</w:t>
      </w:r>
      <w:r w:rsidRPr="000A6485">
        <w:rPr>
          <w:rFonts w:ascii="Verdana" w:hAnsi="Verdana"/>
          <w:b/>
          <w:sz w:val="16"/>
          <w:szCs w:val="16"/>
        </w:rPr>
        <w:t xml:space="preserve"> zł</w:t>
      </w:r>
      <w:r w:rsidRPr="000A6485">
        <w:rPr>
          <w:rFonts w:ascii="Verdana" w:hAnsi="Verdana"/>
          <w:sz w:val="16"/>
          <w:szCs w:val="16"/>
        </w:rPr>
        <w:t>. Prognozuje się, iż dofinansowanie z budżetu Unii Europejskiej do projektów realizowanych przez m.st. Warszawa łącznie w latach 202</w:t>
      </w:r>
      <w:r>
        <w:rPr>
          <w:rFonts w:ascii="Verdana" w:hAnsi="Verdana"/>
          <w:sz w:val="16"/>
          <w:szCs w:val="16"/>
        </w:rPr>
        <w:t>3</w:t>
      </w:r>
      <w:r w:rsidRPr="000A6485">
        <w:rPr>
          <w:rFonts w:ascii="Verdana" w:hAnsi="Verdana"/>
          <w:sz w:val="16"/>
          <w:szCs w:val="16"/>
        </w:rPr>
        <w:t>-202</w:t>
      </w:r>
      <w:r>
        <w:rPr>
          <w:rFonts w:ascii="Verdana" w:hAnsi="Verdana"/>
          <w:sz w:val="16"/>
          <w:szCs w:val="16"/>
        </w:rPr>
        <w:t>5</w:t>
      </w:r>
      <w:r w:rsidRPr="000A6485">
        <w:rPr>
          <w:rFonts w:ascii="Verdana" w:hAnsi="Verdana"/>
          <w:sz w:val="16"/>
          <w:szCs w:val="16"/>
        </w:rPr>
        <w:t xml:space="preserve"> wyniesie </w:t>
      </w:r>
      <w:r>
        <w:rPr>
          <w:rFonts w:ascii="Verdana" w:hAnsi="Verdana"/>
          <w:b/>
          <w:sz w:val="16"/>
          <w:szCs w:val="16"/>
        </w:rPr>
        <w:t>1,054</w:t>
      </w:r>
      <w:r w:rsidRPr="000A6485">
        <w:rPr>
          <w:rFonts w:ascii="Verdana" w:hAnsi="Verdana"/>
          <w:b/>
          <w:sz w:val="16"/>
          <w:szCs w:val="16"/>
        </w:rPr>
        <w:t xml:space="preserve"> mld zł</w:t>
      </w:r>
      <w:r w:rsidRPr="000A6485">
        <w:rPr>
          <w:rFonts w:ascii="Verdana" w:hAnsi="Verdana"/>
          <w:sz w:val="16"/>
          <w:szCs w:val="16"/>
        </w:rPr>
        <w:t xml:space="preserve">, z czego </w:t>
      </w:r>
      <w:r>
        <w:rPr>
          <w:rFonts w:ascii="Verdana" w:hAnsi="Verdana"/>
          <w:b/>
          <w:sz w:val="16"/>
          <w:szCs w:val="16"/>
        </w:rPr>
        <w:t>27,6</w:t>
      </w:r>
      <w:r w:rsidRPr="000A6485">
        <w:rPr>
          <w:rFonts w:ascii="Verdana" w:hAnsi="Verdana"/>
          <w:b/>
          <w:sz w:val="16"/>
          <w:szCs w:val="16"/>
        </w:rPr>
        <w:t xml:space="preserve"> mln zł </w:t>
      </w:r>
      <w:r w:rsidRPr="000A6485">
        <w:rPr>
          <w:rFonts w:ascii="Verdana" w:hAnsi="Verdana"/>
          <w:sz w:val="16"/>
          <w:szCs w:val="16"/>
        </w:rPr>
        <w:t>będzie</w:t>
      </w:r>
      <w:r>
        <w:rPr>
          <w:rFonts w:ascii="Verdana" w:hAnsi="Verdana"/>
          <w:sz w:val="16"/>
          <w:szCs w:val="16"/>
        </w:rPr>
        <w:t xml:space="preserve"> dotyczyło projektów bieżących oraz</w:t>
      </w:r>
      <w:r w:rsidRPr="000A6485">
        <w:rPr>
          <w:rFonts w:ascii="Verdana" w:hAnsi="Verdana"/>
          <w:sz w:val="16"/>
          <w:szCs w:val="16"/>
        </w:rPr>
        <w:t xml:space="preserve"> </w:t>
      </w:r>
      <w:r>
        <w:rPr>
          <w:rFonts w:ascii="Verdana" w:hAnsi="Verdana"/>
          <w:b/>
          <w:sz w:val="16"/>
          <w:szCs w:val="16"/>
        </w:rPr>
        <w:t>1,027</w:t>
      </w:r>
      <w:r w:rsidRPr="000A6485">
        <w:rPr>
          <w:rFonts w:ascii="Verdana" w:hAnsi="Verdana"/>
          <w:b/>
          <w:sz w:val="16"/>
          <w:szCs w:val="16"/>
        </w:rPr>
        <w:t xml:space="preserve"> mld zł</w:t>
      </w:r>
      <w:r w:rsidRPr="000A6485">
        <w:rPr>
          <w:rFonts w:ascii="Verdana" w:hAnsi="Verdana"/>
          <w:sz w:val="16"/>
          <w:szCs w:val="16"/>
        </w:rPr>
        <w:t xml:space="preserve"> projektów inwestycyjnych.</w:t>
      </w:r>
      <w:r>
        <w:rPr>
          <w:rFonts w:ascii="Verdana" w:hAnsi="Verdana"/>
          <w:sz w:val="16"/>
          <w:szCs w:val="16"/>
        </w:rPr>
        <w:br w:type="page"/>
      </w:r>
    </w:p>
    <w:p w:rsidR="008A572A" w:rsidRPr="000A6485" w:rsidRDefault="008A572A" w:rsidP="008A572A">
      <w:pPr>
        <w:spacing w:before="60" w:after="60"/>
        <w:ind w:firstLine="539"/>
        <w:jc w:val="both"/>
        <w:rPr>
          <w:rFonts w:ascii="Verdana" w:hAnsi="Verdana"/>
          <w:sz w:val="16"/>
          <w:szCs w:val="16"/>
        </w:rPr>
      </w:pPr>
      <w:r w:rsidRPr="000A6485">
        <w:rPr>
          <w:rFonts w:ascii="Verdana" w:hAnsi="Verdana"/>
          <w:sz w:val="16"/>
          <w:szCs w:val="16"/>
        </w:rPr>
        <w:lastRenderedPageBreak/>
        <w:t xml:space="preserve">Wykres </w:t>
      </w:r>
      <w:r>
        <w:rPr>
          <w:rFonts w:ascii="Verdana" w:hAnsi="Verdana"/>
          <w:sz w:val="16"/>
          <w:szCs w:val="16"/>
        </w:rPr>
        <w:t>nr 32</w:t>
      </w:r>
      <w:r w:rsidRPr="000A6485">
        <w:rPr>
          <w:rFonts w:ascii="Verdana" w:hAnsi="Verdana"/>
          <w:sz w:val="16"/>
          <w:szCs w:val="16"/>
        </w:rPr>
        <w:t xml:space="preserve"> prezentuje procentową zmianę rok do roku wysokości wydatków ogółem w poszczególnych latach objętych Prognozą.</w:t>
      </w:r>
    </w:p>
    <w:p w:rsidR="008A572A" w:rsidRPr="000A6485" w:rsidRDefault="008A572A" w:rsidP="008A572A">
      <w:pPr>
        <w:spacing w:before="120" w:after="120" w:line="240" w:lineRule="auto"/>
        <w:rPr>
          <w:rFonts w:ascii="Verdana" w:hAnsi="Verdana"/>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DB2126">
        <w:rPr>
          <w:rFonts w:ascii="Verdana" w:hAnsi="Verdana" w:cs="Arial"/>
          <w:b/>
          <w:bCs/>
          <w:noProof/>
          <w:sz w:val="14"/>
          <w:szCs w:val="14"/>
        </w:rPr>
        <w:t>32</w:t>
      </w:r>
      <w:r w:rsidRPr="000A6485">
        <w:rPr>
          <w:rFonts w:ascii="Verdana" w:hAnsi="Verdana" w:cs="Arial"/>
          <w:b/>
          <w:bCs/>
          <w:sz w:val="14"/>
          <w:szCs w:val="14"/>
        </w:rPr>
        <w:fldChar w:fldCharType="end"/>
      </w:r>
      <w:r w:rsidRPr="000A6485">
        <w:rPr>
          <w:rFonts w:ascii="Verdana" w:hAnsi="Verdana" w:cs="Arial"/>
          <w:b/>
          <w:bCs/>
          <w:sz w:val="14"/>
          <w:szCs w:val="14"/>
        </w:rPr>
        <w:t xml:space="preserve">  PROGNOZOWANA ZMIANA PROCENTOWA ROK DO ROKU WYDATKÓW OGÓŁEM M.ST. WARSZAWY </w:t>
      </w:r>
      <w:r w:rsidRPr="000A6485">
        <w:rPr>
          <w:rFonts w:ascii="Verdana" w:hAnsi="Verdana" w:cs="Arial"/>
          <w:b/>
          <w:bCs/>
          <w:sz w:val="14"/>
          <w:szCs w:val="14"/>
        </w:rPr>
        <w:br/>
        <w:t xml:space="preserve">                </w:t>
      </w:r>
      <w:r>
        <w:rPr>
          <w:rFonts w:ascii="Verdana" w:hAnsi="Verdana" w:cs="Arial"/>
          <w:b/>
          <w:bCs/>
          <w:sz w:val="14"/>
          <w:szCs w:val="14"/>
        </w:rPr>
        <w:t xml:space="preserve">NA LATA </w:t>
      </w:r>
      <w:r w:rsidRPr="00932633">
        <w:rPr>
          <w:rFonts w:ascii="Verdana" w:hAnsi="Verdana" w:cs="Arial"/>
          <w:b/>
          <w:bCs/>
          <w:sz w:val="14"/>
          <w:szCs w:val="14"/>
        </w:rPr>
        <w:t>2023</w:t>
      </w:r>
      <w:r w:rsidRPr="000A6485">
        <w:rPr>
          <w:rFonts w:ascii="Verdana" w:hAnsi="Verdana" w:cs="Arial"/>
          <w:b/>
          <w:bCs/>
          <w:sz w:val="14"/>
          <w:szCs w:val="14"/>
        </w:rPr>
        <w:t xml:space="preserve">-2050 </w:t>
      </w:r>
      <w:r w:rsidRPr="000A6485">
        <w:rPr>
          <w:rFonts w:ascii="Verdana" w:hAnsi="Verdana" w:cs="Arial"/>
          <w:bCs/>
          <w:sz w:val="14"/>
          <w:szCs w:val="14"/>
        </w:rPr>
        <w:t>[</w:t>
      </w:r>
      <w:r>
        <w:rPr>
          <w:rFonts w:ascii="Verdana" w:hAnsi="Verdana" w:cs="Arial"/>
          <w:bCs/>
          <w:sz w:val="14"/>
          <w:szCs w:val="14"/>
        </w:rPr>
        <w:t xml:space="preserve">w </w:t>
      </w:r>
      <w:r w:rsidRPr="000A6485">
        <w:rPr>
          <w:rFonts w:ascii="Verdana" w:hAnsi="Verdana" w:cs="Arial"/>
          <w:bCs/>
          <w:sz w:val="14"/>
          <w:szCs w:val="14"/>
        </w:rPr>
        <w:t>%]</w:t>
      </w:r>
    </w:p>
    <w:p w:rsidR="008A572A" w:rsidRPr="000A6485" w:rsidRDefault="008A572A" w:rsidP="008A572A">
      <w:pPr>
        <w:spacing w:before="120" w:after="120"/>
        <w:jc w:val="both"/>
        <w:rPr>
          <w:rFonts w:ascii="Verdana" w:hAnsi="Verdana"/>
          <w:sz w:val="18"/>
          <w:szCs w:val="18"/>
        </w:rPr>
      </w:pPr>
      <w:r>
        <w:rPr>
          <w:rFonts w:ascii="Verdana" w:hAnsi="Verdana"/>
          <w:noProof/>
          <w:sz w:val="18"/>
          <w:szCs w:val="18"/>
        </w:rPr>
        <w:drawing>
          <wp:inline distT="0" distB="0" distL="0" distR="0">
            <wp:extent cx="5718175" cy="2825115"/>
            <wp:effectExtent l="0" t="0" r="0"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8175" cy="2825115"/>
                    </a:xfrm>
                    <a:prstGeom prst="rect">
                      <a:avLst/>
                    </a:prstGeom>
                    <a:noFill/>
                    <a:ln>
                      <a:noFill/>
                    </a:ln>
                  </pic:spPr>
                </pic:pic>
              </a:graphicData>
            </a:graphic>
          </wp:inline>
        </w:drawing>
      </w:r>
    </w:p>
    <w:p w:rsidR="008A572A" w:rsidRPr="000A6485" w:rsidRDefault="008A572A" w:rsidP="008A572A">
      <w:pPr>
        <w:spacing w:before="240" w:after="240"/>
        <w:jc w:val="both"/>
        <w:rPr>
          <w:rFonts w:ascii="Verdana" w:hAnsi="Verdana"/>
          <w:b/>
          <w:bCs/>
          <w:sz w:val="18"/>
          <w:szCs w:val="18"/>
        </w:rPr>
      </w:pPr>
      <w:r w:rsidRPr="000A6485">
        <w:rPr>
          <w:rFonts w:ascii="Verdana" w:hAnsi="Verdana"/>
          <w:b/>
          <w:bCs/>
          <w:sz w:val="18"/>
          <w:szCs w:val="18"/>
        </w:rPr>
        <w:t>7.3.2 Wynik zbiorczy prognozy wydatków bieżących</w:t>
      </w:r>
    </w:p>
    <w:p w:rsidR="008A572A" w:rsidRPr="000A6485" w:rsidRDefault="008A572A" w:rsidP="008A572A">
      <w:pPr>
        <w:spacing w:before="60" w:after="60"/>
        <w:ind w:firstLine="567"/>
        <w:jc w:val="both"/>
        <w:rPr>
          <w:rFonts w:ascii="Verdana" w:hAnsi="Verdana"/>
          <w:b/>
          <w:bCs/>
          <w:sz w:val="16"/>
          <w:szCs w:val="16"/>
        </w:rPr>
      </w:pPr>
      <w:r w:rsidRPr="000A6485">
        <w:rPr>
          <w:rFonts w:ascii="Verdana" w:hAnsi="Verdana"/>
          <w:sz w:val="16"/>
          <w:szCs w:val="16"/>
        </w:rPr>
        <w:t xml:space="preserve">Wykres </w:t>
      </w:r>
      <w:r>
        <w:rPr>
          <w:rFonts w:ascii="Verdana" w:hAnsi="Verdana"/>
          <w:sz w:val="16"/>
          <w:szCs w:val="16"/>
        </w:rPr>
        <w:t>nr 33</w:t>
      </w:r>
      <w:r w:rsidRPr="000A6485">
        <w:rPr>
          <w:rFonts w:ascii="Verdana" w:hAnsi="Verdana"/>
          <w:sz w:val="16"/>
          <w:szCs w:val="16"/>
        </w:rPr>
        <w:t xml:space="preserve"> prezentuje prognozowane wydatki bieżące w poszczególnych latach objętych Prognozą.</w:t>
      </w:r>
    </w:p>
    <w:p w:rsidR="008A572A" w:rsidRPr="000A6485" w:rsidRDefault="008A572A" w:rsidP="008A572A">
      <w:pPr>
        <w:tabs>
          <w:tab w:val="left" w:pos="567"/>
        </w:tabs>
        <w:spacing w:before="120" w:after="60"/>
        <w:ind w:left="567" w:hanging="567"/>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DB2126">
        <w:rPr>
          <w:rFonts w:ascii="Verdana" w:hAnsi="Verdana" w:cs="Arial"/>
          <w:b/>
          <w:bCs/>
          <w:noProof/>
          <w:sz w:val="14"/>
          <w:szCs w:val="14"/>
        </w:rPr>
        <w:t>33</w:t>
      </w:r>
      <w:r w:rsidRPr="000A6485">
        <w:rPr>
          <w:rFonts w:ascii="Verdana" w:hAnsi="Verdana" w:cs="Arial"/>
          <w:b/>
          <w:bCs/>
          <w:sz w:val="14"/>
          <w:szCs w:val="14"/>
        </w:rPr>
        <w:fldChar w:fldCharType="end"/>
      </w:r>
      <w:r w:rsidRPr="000A6485">
        <w:rPr>
          <w:rFonts w:ascii="Verdana" w:hAnsi="Verdana" w:cs="Arial"/>
          <w:b/>
          <w:bCs/>
          <w:sz w:val="14"/>
          <w:szCs w:val="14"/>
        </w:rPr>
        <w:t xml:space="preserve">  PROGNOZA WYDATKÓW BIEŻĄCYCH M.ST. WARSZAWY NA LATA </w:t>
      </w:r>
      <w:r w:rsidRPr="00932633">
        <w:rPr>
          <w:rFonts w:ascii="Verdana" w:hAnsi="Verdana" w:cs="Arial"/>
          <w:b/>
          <w:bCs/>
          <w:sz w:val="14"/>
          <w:szCs w:val="14"/>
        </w:rPr>
        <w:t>2023</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8A572A" w:rsidRPr="000A6485" w:rsidRDefault="008A572A" w:rsidP="008A572A">
      <w:pPr>
        <w:spacing w:before="120" w:after="120"/>
        <w:jc w:val="both"/>
        <w:rPr>
          <w:rFonts w:ascii="Verdana" w:hAnsi="Verdana"/>
          <w:b/>
          <w:bCs/>
          <w:sz w:val="20"/>
          <w:szCs w:val="20"/>
        </w:rPr>
      </w:pPr>
      <w:r>
        <w:rPr>
          <w:rFonts w:ascii="Verdana" w:hAnsi="Verdana"/>
          <w:b/>
          <w:bCs/>
          <w:noProof/>
          <w:sz w:val="20"/>
          <w:szCs w:val="20"/>
        </w:rPr>
        <w:drawing>
          <wp:inline distT="0" distB="0" distL="0" distR="0">
            <wp:extent cx="5800090" cy="2825115"/>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00090" cy="2825115"/>
                    </a:xfrm>
                    <a:prstGeom prst="rect">
                      <a:avLst/>
                    </a:prstGeom>
                    <a:noFill/>
                    <a:ln>
                      <a:noFill/>
                    </a:ln>
                  </pic:spPr>
                </pic:pic>
              </a:graphicData>
            </a:graphic>
          </wp:inline>
        </w:drawing>
      </w:r>
    </w:p>
    <w:p w:rsidR="008A572A" w:rsidRDefault="008A572A" w:rsidP="008A572A">
      <w:pPr>
        <w:spacing w:before="60" w:after="60"/>
        <w:ind w:firstLine="539"/>
        <w:jc w:val="both"/>
        <w:rPr>
          <w:rFonts w:ascii="Verdana" w:hAnsi="Verdana"/>
          <w:sz w:val="16"/>
          <w:szCs w:val="16"/>
        </w:rPr>
      </w:pPr>
      <w:r w:rsidRPr="000A6485">
        <w:rPr>
          <w:rFonts w:ascii="Verdana" w:hAnsi="Verdana"/>
          <w:sz w:val="16"/>
          <w:szCs w:val="16"/>
        </w:rPr>
        <w:t>Prognozuje się, że łączne wydatki bieżące Miasta w okresie pierwszych pięciu lat prognozy</w:t>
      </w:r>
      <w:r>
        <w:rPr>
          <w:rFonts w:ascii="Verdana" w:hAnsi="Verdana"/>
          <w:sz w:val="16"/>
          <w:szCs w:val="16"/>
        </w:rPr>
        <w:t xml:space="preserve"> (2023</w:t>
      </w:r>
      <w:r w:rsidRPr="000A6485">
        <w:rPr>
          <w:rFonts w:ascii="Verdana" w:hAnsi="Verdana"/>
          <w:sz w:val="16"/>
          <w:szCs w:val="16"/>
        </w:rPr>
        <w:t>-202</w:t>
      </w:r>
      <w:r>
        <w:rPr>
          <w:rFonts w:ascii="Verdana" w:hAnsi="Verdana"/>
          <w:sz w:val="16"/>
          <w:szCs w:val="16"/>
        </w:rPr>
        <w:t>7</w:t>
      </w:r>
      <w:r w:rsidRPr="000A6485">
        <w:rPr>
          <w:rFonts w:ascii="Verdana" w:hAnsi="Verdana"/>
          <w:sz w:val="16"/>
          <w:szCs w:val="16"/>
        </w:rPr>
        <w:t xml:space="preserve">) wyniosą </w:t>
      </w:r>
      <w:r>
        <w:rPr>
          <w:rFonts w:ascii="Verdana" w:hAnsi="Verdana"/>
          <w:b/>
          <w:sz w:val="16"/>
          <w:szCs w:val="16"/>
        </w:rPr>
        <w:t>99,3</w:t>
      </w:r>
      <w:r w:rsidRPr="000A6485">
        <w:rPr>
          <w:rFonts w:ascii="Verdana" w:hAnsi="Verdana"/>
          <w:b/>
          <w:sz w:val="16"/>
          <w:szCs w:val="16"/>
        </w:rPr>
        <w:t xml:space="preserve"> mld zł</w:t>
      </w:r>
      <w:r w:rsidRPr="000A6485">
        <w:rPr>
          <w:rFonts w:ascii="Verdana" w:hAnsi="Verdana"/>
          <w:sz w:val="16"/>
          <w:szCs w:val="16"/>
        </w:rPr>
        <w:t xml:space="preserve">, co będzie stanowiło </w:t>
      </w:r>
      <w:r>
        <w:rPr>
          <w:rFonts w:ascii="Verdana" w:hAnsi="Verdana"/>
          <w:b/>
          <w:sz w:val="16"/>
          <w:szCs w:val="16"/>
        </w:rPr>
        <w:t>88,2</w:t>
      </w:r>
      <w:r w:rsidRPr="000A6485">
        <w:rPr>
          <w:rFonts w:ascii="Verdana" w:hAnsi="Verdana"/>
          <w:b/>
          <w:sz w:val="16"/>
          <w:szCs w:val="16"/>
        </w:rPr>
        <w:t>%</w:t>
      </w:r>
      <w:r w:rsidRPr="000A6485">
        <w:rPr>
          <w:rFonts w:ascii="Verdana" w:hAnsi="Verdana"/>
          <w:sz w:val="16"/>
          <w:szCs w:val="16"/>
        </w:rPr>
        <w:t xml:space="preserve"> prognozowanych na ten okres wydatków ogółem.</w:t>
      </w:r>
      <w:r>
        <w:rPr>
          <w:rFonts w:ascii="Verdana" w:hAnsi="Verdana"/>
          <w:sz w:val="16"/>
          <w:szCs w:val="16"/>
        </w:rPr>
        <w:br w:type="page"/>
      </w:r>
    </w:p>
    <w:p w:rsidR="008A572A" w:rsidRPr="000A6485" w:rsidRDefault="008A572A" w:rsidP="008A572A">
      <w:pPr>
        <w:spacing w:before="60" w:after="60"/>
        <w:ind w:firstLine="539"/>
        <w:jc w:val="both"/>
        <w:rPr>
          <w:rFonts w:ascii="Verdana" w:hAnsi="Verdana"/>
          <w:sz w:val="16"/>
          <w:szCs w:val="16"/>
        </w:rPr>
      </w:pPr>
      <w:r w:rsidRPr="000A6485">
        <w:rPr>
          <w:rFonts w:ascii="Verdana" w:hAnsi="Verdana"/>
          <w:sz w:val="16"/>
          <w:szCs w:val="16"/>
        </w:rPr>
        <w:lastRenderedPageBreak/>
        <w:t xml:space="preserve">Wykres </w:t>
      </w:r>
      <w:r>
        <w:rPr>
          <w:rFonts w:ascii="Verdana" w:hAnsi="Verdana"/>
          <w:sz w:val="16"/>
          <w:szCs w:val="16"/>
        </w:rPr>
        <w:t>nr 34</w:t>
      </w:r>
      <w:r w:rsidRPr="000A6485">
        <w:rPr>
          <w:rFonts w:ascii="Verdana" w:hAnsi="Verdana"/>
          <w:sz w:val="16"/>
          <w:szCs w:val="16"/>
        </w:rPr>
        <w:t xml:space="preserve"> prezentuje procentową zmianę rok do roku wysokości wydatków bieżących w poszczególnych latach objętych Prognozą.</w:t>
      </w:r>
    </w:p>
    <w:p w:rsidR="008A572A" w:rsidRPr="000A6485" w:rsidRDefault="008A572A" w:rsidP="008A572A">
      <w:pPr>
        <w:spacing w:before="120" w:after="120" w:line="240" w:lineRule="auto"/>
        <w:rPr>
          <w:rFonts w:ascii="Verdana" w:hAnsi="Verdana"/>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DB2126">
        <w:rPr>
          <w:rFonts w:ascii="Verdana" w:hAnsi="Verdana" w:cs="Arial"/>
          <w:b/>
          <w:bCs/>
          <w:noProof/>
          <w:sz w:val="14"/>
          <w:szCs w:val="14"/>
        </w:rPr>
        <w:t>34</w:t>
      </w:r>
      <w:r w:rsidRPr="000A6485">
        <w:rPr>
          <w:rFonts w:ascii="Verdana" w:hAnsi="Verdana" w:cs="Arial"/>
          <w:b/>
          <w:bCs/>
          <w:sz w:val="14"/>
          <w:szCs w:val="14"/>
        </w:rPr>
        <w:fldChar w:fldCharType="end"/>
      </w:r>
      <w:r w:rsidRPr="000A6485">
        <w:rPr>
          <w:rFonts w:ascii="Verdana" w:hAnsi="Verdana" w:cs="Arial"/>
          <w:b/>
          <w:bCs/>
          <w:sz w:val="14"/>
          <w:szCs w:val="14"/>
        </w:rPr>
        <w:t xml:space="preserve">  PROGNOZOWANA ZMIANA PROCENTOWA ROK DO ROKU WYDATKÓW BIEŻĄCYCH M.ST. WARSZAWY </w:t>
      </w:r>
      <w:r w:rsidRPr="000A6485">
        <w:rPr>
          <w:rFonts w:ascii="Verdana" w:hAnsi="Verdana" w:cs="Arial"/>
          <w:b/>
          <w:bCs/>
          <w:sz w:val="14"/>
          <w:szCs w:val="14"/>
        </w:rPr>
        <w:br/>
        <w:t xml:space="preserve">                </w:t>
      </w:r>
      <w:r>
        <w:rPr>
          <w:rFonts w:ascii="Verdana" w:hAnsi="Verdana" w:cs="Arial"/>
          <w:b/>
          <w:bCs/>
          <w:sz w:val="14"/>
          <w:szCs w:val="14"/>
        </w:rPr>
        <w:t xml:space="preserve">NA LATA </w:t>
      </w:r>
      <w:r w:rsidRPr="00932633">
        <w:rPr>
          <w:rFonts w:ascii="Verdana" w:hAnsi="Verdana" w:cs="Arial"/>
          <w:b/>
          <w:bCs/>
          <w:sz w:val="14"/>
          <w:szCs w:val="14"/>
        </w:rPr>
        <w:t>2023</w:t>
      </w:r>
      <w:r w:rsidRPr="000A6485">
        <w:rPr>
          <w:rFonts w:ascii="Verdana" w:hAnsi="Verdana" w:cs="Arial"/>
          <w:b/>
          <w:bCs/>
          <w:sz w:val="14"/>
          <w:szCs w:val="14"/>
        </w:rPr>
        <w:t xml:space="preserve">-2050 </w:t>
      </w:r>
      <w:r w:rsidRPr="000A6485">
        <w:rPr>
          <w:rFonts w:ascii="Verdana" w:hAnsi="Verdana" w:cs="Arial"/>
          <w:bCs/>
          <w:sz w:val="14"/>
          <w:szCs w:val="14"/>
        </w:rPr>
        <w:t>[</w:t>
      </w:r>
      <w:r>
        <w:rPr>
          <w:rFonts w:ascii="Verdana" w:hAnsi="Verdana" w:cs="Arial"/>
          <w:bCs/>
          <w:sz w:val="14"/>
          <w:szCs w:val="14"/>
        </w:rPr>
        <w:t xml:space="preserve">w </w:t>
      </w:r>
      <w:r w:rsidRPr="000A6485">
        <w:rPr>
          <w:rFonts w:ascii="Verdana" w:hAnsi="Verdana" w:cs="Arial"/>
          <w:bCs/>
          <w:sz w:val="14"/>
          <w:szCs w:val="14"/>
        </w:rPr>
        <w:t>%]</w:t>
      </w:r>
    </w:p>
    <w:p w:rsidR="008A572A" w:rsidRPr="000A6485" w:rsidRDefault="008A572A" w:rsidP="008A572A">
      <w:pPr>
        <w:autoSpaceDE w:val="0"/>
        <w:autoSpaceDN w:val="0"/>
        <w:adjustRightInd w:val="0"/>
        <w:spacing w:before="120" w:after="120"/>
        <w:jc w:val="both"/>
        <w:rPr>
          <w:rFonts w:ascii="Verdana" w:hAnsi="Verdana" w:cs="Verdana"/>
          <w:sz w:val="18"/>
          <w:szCs w:val="18"/>
          <w:lang w:eastAsia="ko-KR"/>
        </w:rPr>
      </w:pPr>
      <w:r>
        <w:rPr>
          <w:rFonts w:ascii="Verdana" w:hAnsi="Verdana" w:cs="Verdana"/>
          <w:noProof/>
          <w:sz w:val="18"/>
          <w:szCs w:val="18"/>
        </w:rPr>
        <w:drawing>
          <wp:inline distT="0" distB="0" distL="0" distR="0">
            <wp:extent cx="5772785" cy="2770505"/>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72785" cy="2770505"/>
                    </a:xfrm>
                    <a:prstGeom prst="rect">
                      <a:avLst/>
                    </a:prstGeom>
                    <a:noFill/>
                    <a:ln>
                      <a:noFill/>
                    </a:ln>
                  </pic:spPr>
                </pic:pic>
              </a:graphicData>
            </a:graphic>
          </wp:inline>
        </w:drawing>
      </w:r>
    </w:p>
    <w:p w:rsidR="008A572A" w:rsidRDefault="008A572A" w:rsidP="008A572A">
      <w:pPr>
        <w:tabs>
          <w:tab w:val="left" w:pos="360"/>
        </w:tabs>
        <w:spacing w:before="60" w:after="60"/>
        <w:ind w:firstLine="567"/>
        <w:jc w:val="both"/>
        <w:rPr>
          <w:rFonts w:ascii="Verdana" w:hAnsi="Verdana"/>
          <w:bCs/>
          <w:sz w:val="16"/>
          <w:szCs w:val="16"/>
        </w:rPr>
      </w:pPr>
      <w:r>
        <w:rPr>
          <w:rFonts w:ascii="Verdana" w:hAnsi="Verdana"/>
          <w:bCs/>
          <w:sz w:val="16"/>
          <w:szCs w:val="16"/>
        </w:rPr>
        <w:t xml:space="preserve">Z uwagi na trwały ubytek dochodów w wyniku zmian legislacyjnych </w:t>
      </w:r>
      <w:r w:rsidRPr="000A6485">
        <w:rPr>
          <w:rFonts w:ascii="Verdana" w:hAnsi="Verdana"/>
          <w:bCs/>
          <w:sz w:val="16"/>
          <w:szCs w:val="16"/>
        </w:rPr>
        <w:t>(</w:t>
      </w:r>
      <w:r>
        <w:rPr>
          <w:rFonts w:ascii="Verdana" w:hAnsi="Verdana"/>
          <w:bCs/>
          <w:sz w:val="16"/>
          <w:szCs w:val="16"/>
        </w:rPr>
        <w:t xml:space="preserve">poruszane kwestie dochodów z opłat za użytkowanie wieczyste nieruchomości w pkt 5.1.1 oraz z udziału w PIT w pkt 5.1.2 i 5.1.3), a także w związku z koniecznością respektowania ustawowych reguł </w:t>
      </w:r>
      <w:r w:rsidRPr="000A6485">
        <w:rPr>
          <w:rFonts w:ascii="Verdana" w:hAnsi="Verdana"/>
          <w:bCs/>
          <w:sz w:val="16"/>
          <w:szCs w:val="16"/>
        </w:rPr>
        <w:t>s</w:t>
      </w:r>
      <w:r>
        <w:rPr>
          <w:rFonts w:ascii="Verdana" w:hAnsi="Verdana"/>
          <w:bCs/>
          <w:sz w:val="16"/>
          <w:szCs w:val="16"/>
        </w:rPr>
        <w:t>ystemowych limitujących</w:t>
      </w:r>
      <w:r w:rsidRPr="000A6485">
        <w:rPr>
          <w:rFonts w:ascii="Verdana" w:hAnsi="Verdana"/>
          <w:bCs/>
          <w:sz w:val="16"/>
          <w:szCs w:val="16"/>
        </w:rPr>
        <w:t xml:space="preserve"> bezpośrednio (art. 242</w:t>
      </w:r>
      <w:r>
        <w:rPr>
          <w:rFonts w:ascii="Verdana" w:hAnsi="Verdana"/>
          <w:bCs/>
          <w:sz w:val="16"/>
          <w:szCs w:val="16"/>
        </w:rPr>
        <w:t xml:space="preserve"> ustawy </w:t>
      </w:r>
      <w:r>
        <w:rPr>
          <w:rFonts w:ascii="Verdana" w:hAnsi="Verdana"/>
          <w:bCs/>
          <w:sz w:val="16"/>
          <w:szCs w:val="16"/>
        </w:rPr>
        <w:br/>
        <w:t>o finansach publicznych</w:t>
      </w:r>
      <w:r w:rsidRPr="000A6485">
        <w:rPr>
          <w:rFonts w:ascii="Verdana" w:hAnsi="Verdana"/>
          <w:bCs/>
          <w:sz w:val="16"/>
          <w:szCs w:val="16"/>
        </w:rPr>
        <w:t>) lub pośrednio (art. 243</w:t>
      </w:r>
      <w:r>
        <w:rPr>
          <w:rFonts w:ascii="Verdana" w:hAnsi="Verdana"/>
          <w:bCs/>
          <w:sz w:val="16"/>
          <w:szCs w:val="16"/>
        </w:rPr>
        <w:t xml:space="preserve"> ustawy o finansach publicznych</w:t>
      </w:r>
      <w:r w:rsidRPr="000A6485">
        <w:rPr>
          <w:rFonts w:ascii="Verdana" w:hAnsi="Verdana"/>
          <w:bCs/>
          <w:sz w:val="16"/>
          <w:szCs w:val="16"/>
        </w:rPr>
        <w:t>) dopuszczalny poziom wydatków bieżących w jednostkach sektora samorządowego (pkt 4.1 niniejszego opracowania), planowany poziom wydatków bieżących w najbliższej perspektywie finansowe</w:t>
      </w:r>
      <w:r>
        <w:rPr>
          <w:rFonts w:ascii="Verdana" w:hAnsi="Verdana"/>
          <w:bCs/>
          <w:sz w:val="16"/>
          <w:szCs w:val="16"/>
        </w:rPr>
        <w:t>j</w:t>
      </w:r>
      <w:r w:rsidRPr="000A6485">
        <w:rPr>
          <w:rFonts w:ascii="Verdana" w:hAnsi="Verdana"/>
          <w:bCs/>
          <w:sz w:val="16"/>
          <w:szCs w:val="16"/>
        </w:rPr>
        <w:t xml:space="preserve"> dostosowany został do poziomu </w:t>
      </w:r>
      <w:r>
        <w:rPr>
          <w:rFonts w:ascii="Verdana" w:hAnsi="Verdana"/>
          <w:bCs/>
          <w:sz w:val="16"/>
          <w:szCs w:val="16"/>
        </w:rPr>
        <w:t>prognozowanych</w:t>
      </w:r>
      <w:r w:rsidRPr="000A6485">
        <w:rPr>
          <w:rFonts w:ascii="Verdana" w:hAnsi="Verdana"/>
          <w:bCs/>
          <w:sz w:val="16"/>
          <w:szCs w:val="16"/>
        </w:rPr>
        <w:t xml:space="preserve"> do osiągnięcia dochodów bieżących z uwzględnieniem adekwatnej do obsługi zadłużenia wysokości nadwyżki operacyjnej (nadwyżka dochodów bie</w:t>
      </w:r>
      <w:r>
        <w:rPr>
          <w:rFonts w:ascii="Verdana" w:hAnsi="Verdana"/>
          <w:bCs/>
          <w:sz w:val="16"/>
          <w:szCs w:val="16"/>
        </w:rPr>
        <w:t xml:space="preserve">żących nad wydatkami bieżącymi), z czasowym wystąpieniem deficytu operacyjnego w latach 2023-2024, przy wsparciu potencjału wydatkowego Miasta poprzez maksymalne podwyższenie programu kredytowego limitowanego wewnętrzną regułą ostrożnościową zakładającą nieprzekraczanie przez dług poziomu 55% dochodów ogółem. </w:t>
      </w:r>
      <w:r w:rsidRPr="00474DCE">
        <w:rPr>
          <w:rFonts w:ascii="Verdana" w:hAnsi="Verdana" w:cs="Verdana"/>
          <w:b/>
          <w:sz w:val="16"/>
          <w:szCs w:val="16"/>
        </w:rPr>
        <w:t>W celu minimalizacji negatywnych następstw</w:t>
      </w:r>
      <w:r>
        <w:rPr>
          <w:rFonts w:ascii="Verdana" w:hAnsi="Verdana" w:cs="Verdana"/>
          <w:b/>
          <w:sz w:val="16"/>
          <w:szCs w:val="16"/>
        </w:rPr>
        <w:t xml:space="preserve"> rządowego Programu Polski Ład, polegających na</w:t>
      </w:r>
      <w:r w:rsidRPr="00474DCE">
        <w:rPr>
          <w:rFonts w:ascii="Verdana" w:hAnsi="Verdana" w:cs="Verdana"/>
          <w:b/>
          <w:sz w:val="16"/>
          <w:szCs w:val="16"/>
        </w:rPr>
        <w:t xml:space="preserve"> </w:t>
      </w:r>
      <w:r>
        <w:rPr>
          <w:rFonts w:ascii="Verdana" w:hAnsi="Verdana" w:cs="Verdana"/>
          <w:b/>
          <w:sz w:val="16"/>
          <w:szCs w:val="16"/>
        </w:rPr>
        <w:t xml:space="preserve">znaczącej skali trwałego obniżenia od 2022 r. dochodów </w:t>
      </w:r>
      <w:r w:rsidRPr="00474DCE">
        <w:rPr>
          <w:rFonts w:ascii="Verdana" w:hAnsi="Verdana" w:cs="Verdana"/>
          <w:b/>
          <w:sz w:val="16"/>
          <w:szCs w:val="16"/>
        </w:rPr>
        <w:t>m.st. Warszawy</w:t>
      </w:r>
      <w:r>
        <w:rPr>
          <w:rFonts w:ascii="Verdana" w:hAnsi="Verdana" w:cs="Verdana"/>
          <w:b/>
          <w:sz w:val="16"/>
          <w:szCs w:val="16"/>
        </w:rPr>
        <w:t xml:space="preserve"> z udziału w PIT</w:t>
      </w:r>
      <w:r w:rsidRPr="00474DCE">
        <w:rPr>
          <w:rFonts w:ascii="Verdana" w:hAnsi="Verdana" w:cs="Verdana"/>
          <w:b/>
          <w:sz w:val="16"/>
          <w:szCs w:val="16"/>
        </w:rPr>
        <w:t xml:space="preserve">, założono </w:t>
      </w:r>
      <w:r>
        <w:rPr>
          <w:rFonts w:ascii="Verdana" w:hAnsi="Verdana" w:cs="Verdana"/>
          <w:b/>
          <w:sz w:val="16"/>
          <w:szCs w:val="16"/>
        </w:rPr>
        <w:t>że</w:t>
      </w:r>
      <w:r w:rsidRPr="00474DCE">
        <w:rPr>
          <w:rFonts w:ascii="Verdana" w:hAnsi="Verdana" w:cs="Verdana"/>
          <w:b/>
          <w:sz w:val="16"/>
          <w:szCs w:val="16"/>
        </w:rPr>
        <w:t xml:space="preserve"> dostosowania </w:t>
      </w:r>
      <w:r>
        <w:rPr>
          <w:rFonts w:ascii="Verdana" w:hAnsi="Verdana" w:cs="Verdana"/>
          <w:b/>
          <w:sz w:val="16"/>
          <w:szCs w:val="16"/>
        </w:rPr>
        <w:t>wydatków bieżących</w:t>
      </w:r>
      <w:r w:rsidRPr="00474DCE">
        <w:rPr>
          <w:rFonts w:ascii="Verdana" w:hAnsi="Verdana" w:cs="Verdana"/>
          <w:b/>
          <w:sz w:val="16"/>
          <w:szCs w:val="16"/>
        </w:rPr>
        <w:t xml:space="preserve"> do trwale ograniczonych dochodów b</w:t>
      </w:r>
      <w:r>
        <w:rPr>
          <w:rFonts w:ascii="Verdana" w:hAnsi="Verdana" w:cs="Verdana"/>
          <w:b/>
          <w:sz w:val="16"/>
          <w:szCs w:val="16"/>
        </w:rPr>
        <w:t>ędą miały charakter ewolucyjny, tzn.</w:t>
      </w:r>
      <w:r w:rsidRPr="00474DCE">
        <w:rPr>
          <w:rFonts w:ascii="Verdana" w:hAnsi="Verdana" w:cs="Verdana"/>
          <w:b/>
          <w:sz w:val="16"/>
          <w:szCs w:val="16"/>
        </w:rPr>
        <w:t xml:space="preserve"> zostaną rozłożone w czasie.</w:t>
      </w:r>
      <w:r w:rsidRPr="003E130B">
        <w:rPr>
          <w:rFonts w:ascii="Verdana" w:hAnsi="Verdana" w:cs="Verdana"/>
          <w:sz w:val="16"/>
          <w:szCs w:val="16"/>
        </w:rPr>
        <w:t xml:space="preserve"> </w:t>
      </w:r>
      <w:r w:rsidRPr="003E130B">
        <w:rPr>
          <w:rFonts w:ascii="Verdana" w:hAnsi="Verdana" w:cs="Verdana"/>
          <w:b/>
          <w:sz w:val="16"/>
          <w:szCs w:val="16"/>
        </w:rPr>
        <w:t>Z uwagi na założone stopniowe dostosowania budżeto</w:t>
      </w:r>
      <w:r>
        <w:rPr>
          <w:rFonts w:ascii="Verdana" w:hAnsi="Verdana" w:cs="Verdana"/>
          <w:b/>
          <w:sz w:val="16"/>
          <w:szCs w:val="16"/>
        </w:rPr>
        <w:t>we do ograniczonych dochodów, na lata 2023-2024</w:t>
      </w:r>
      <w:r w:rsidRPr="003E130B">
        <w:rPr>
          <w:rFonts w:ascii="Verdana" w:hAnsi="Verdana" w:cs="Verdana"/>
          <w:b/>
          <w:sz w:val="16"/>
          <w:szCs w:val="16"/>
        </w:rPr>
        <w:t xml:space="preserve"> zaplanowano wystąpienie</w:t>
      </w:r>
      <w:r>
        <w:rPr>
          <w:rFonts w:ascii="Verdana" w:hAnsi="Verdana" w:cs="Verdana"/>
          <w:sz w:val="16"/>
          <w:szCs w:val="16"/>
        </w:rPr>
        <w:t xml:space="preserve"> </w:t>
      </w:r>
      <w:r w:rsidRPr="00474DCE">
        <w:rPr>
          <w:rFonts w:ascii="Verdana" w:hAnsi="Verdana" w:cs="Verdana"/>
          <w:b/>
          <w:sz w:val="16"/>
          <w:szCs w:val="16"/>
        </w:rPr>
        <w:t>deficytu operacyjnego</w:t>
      </w:r>
      <w:r>
        <w:rPr>
          <w:rFonts w:ascii="Verdana" w:hAnsi="Verdana" w:cs="Verdana"/>
          <w:sz w:val="16"/>
          <w:szCs w:val="16"/>
        </w:rPr>
        <w:t xml:space="preserve">, </w:t>
      </w:r>
      <w:r w:rsidRPr="003E130B">
        <w:rPr>
          <w:rFonts w:ascii="Verdana" w:hAnsi="Verdana" w:cs="Verdana"/>
          <w:b/>
          <w:sz w:val="16"/>
          <w:szCs w:val="16"/>
        </w:rPr>
        <w:t>oznaczającego nierównowagę dochodów bieżących i wydatków bieżących</w:t>
      </w:r>
      <w:r>
        <w:rPr>
          <w:rFonts w:ascii="Verdana" w:hAnsi="Verdana" w:cs="Verdana"/>
          <w:b/>
          <w:sz w:val="16"/>
          <w:szCs w:val="16"/>
        </w:rPr>
        <w:t xml:space="preserve">. </w:t>
      </w:r>
      <w:r w:rsidRPr="003E130B">
        <w:rPr>
          <w:rFonts w:ascii="Verdana" w:hAnsi="Verdana" w:cs="Verdana"/>
          <w:b/>
          <w:sz w:val="16"/>
          <w:szCs w:val="16"/>
        </w:rPr>
        <w:t xml:space="preserve">Założona ścieżka adaptacji parametrów budżetowych do trwale obniżonych dochodów z udziału w PIT </w:t>
      </w:r>
      <w:r>
        <w:rPr>
          <w:rFonts w:ascii="Verdana" w:hAnsi="Verdana" w:cs="Verdana"/>
          <w:b/>
          <w:sz w:val="16"/>
          <w:szCs w:val="16"/>
        </w:rPr>
        <w:t xml:space="preserve">przewiduje w latach 2026-2029 zawężoną </w:t>
      </w:r>
      <w:r w:rsidRPr="005A3BE4">
        <w:rPr>
          <w:rFonts w:ascii="Verdana" w:hAnsi="Verdana" w:cs="Verdana"/>
          <w:b/>
          <w:sz w:val="16"/>
          <w:szCs w:val="16"/>
        </w:rPr>
        <w:t xml:space="preserve">przestrzeń między ustawowym limitem a wskaźnikiem obsługi długu </w:t>
      </w:r>
      <w:r>
        <w:rPr>
          <w:rFonts w:ascii="Verdana" w:hAnsi="Verdana" w:cs="Verdana"/>
          <w:b/>
          <w:sz w:val="16"/>
          <w:szCs w:val="16"/>
        </w:rPr>
        <w:t xml:space="preserve">z minimalnym poziomem </w:t>
      </w:r>
      <w:r w:rsidRPr="005A3BE4">
        <w:rPr>
          <w:rFonts w:ascii="Verdana" w:hAnsi="Verdana" w:cs="Verdana"/>
          <w:b/>
          <w:sz w:val="16"/>
          <w:szCs w:val="16"/>
        </w:rPr>
        <w:t>0,</w:t>
      </w:r>
      <w:r>
        <w:rPr>
          <w:rFonts w:ascii="Verdana" w:hAnsi="Verdana" w:cs="Verdana"/>
          <w:b/>
          <w:sz w:val="16"/>
          <w:szCs w:val="16"/>
        </w:rPr>
        <w:t>36</w:t>
      </w:r>
      <w:r w:rsidRPr="005A3BE4">
        <w:rPr>
          <w:rFonts w:ascii="Verdana" w:hAnsi="Verdana" w:cs="Verdana"/>
          <w:b/>
          <w:sz w:val="16"/>
          <w:szCs w:val="16"/>
        </w:rPr>
        <w:t xml:space="preserve"> pkt proc. wyst</w:t>
      </w:r>
      <w:r>
        <w:rPr>
          <w:rFonts w:ascii="Verdana" w:hAnsi="Verdana" w:cs="Verdana"/>
          <w:b/>
          <w:sz w:val="16"/>
          <w:szCs w:val="16"/>
        </w:rPr>
        <w:t xml:space="preserve">ępującym </w:t>
      </w:r>
      <w:r>
        <w:rPr>
          <w:rFonts w:ascii="Verdana" w:hAnsi="Verdana" w:cs="Verdana"/>
          <w:b/>
          <w:sz w:val="16"/>
          <w:szCs w:val="16"/>
        </w:rPr>
        <w:br/>
        <w:t>w 2027 r. (wskaźnik 3,40</w:t>
      </w:r>
      <w:r w:rsidRPr="005A3BE4">
        <w:rPr>
          <w:rFonts w:ascii="Verdana" w:hAnsi="Verdana" w:cs="Verdana"/>
          <w:b/>
          <w:sz w:val="16"/>
          <w:szCs w:val="16"/>
        </w:rPr>
        <w:t xml:space="preserve">% wobec limitu </w:t>
      </w:r>
      <w:r>
        <w:rPr>
          <w:rFonts w:ascii="Verdana" w:hAnsi="Verdana" w:cs="Verdana"/>
          <w:b/>
          <w:sz w:val="16"/>
          <w:szCs w:val="16"/>
        </w:rPr>
        <w:t>3,76</w:t>
      </w:r>
      <w:r w:rsidRPr="005A3BE4">
        <w:rPr>
          <w:rFonts w:ascii="Verdana" w:hAnsi="Verdana" w:cs="Verdana"/>
          <w:b/>
          <w:sz w:val="16"/>
          <w:szCs w:val="16"/>
        </w:rPr>
        <w:t>%)</w:t>
      </w:r>
      <w:r>
        <w:rPr>
          <w:rFonts w:ascii="Verdana" w:hAnsi="Verdana" w:cs="Verdana"/>
          <w:b/>
          <w:sz w:val="16"/>
          <w:szCs w:val="16"/>
        </w:rPr>
        <w:t>.</w:t>
      </w:r>
    </w:p>
    <w:p w:rsidR="008A572A" w:rsidRDefault="008A572A" w:rsidP="008A572A">
      <w:pPr>
        <w:tabs>
          <w:tab w:val="left" w:pos="360"/>
        </w:tabs>
        <w:spacing w:before="60" w:after="60"/>
        <w:ind w:firstLine="567"/>
        <w:jc w:val="both"/>
        <w:rPr>
          <w:rFonts w:ascii="Verdana" w:hAnsi="Verdana" w:cs="Verdana"/>
          <w:sz w:val="16"/>
          <w:szCs w:val="16"/>
        </w:rPr>
      </w:pPr>
      <w:r>
        <w:rPr>
          <w:rFonts w:ascii="Verdana" w:hAnsi="Verdana" w:cs="Verdana"/>
          <w:sz w:val="16"/>
          <w:szCs w:val="16"/>
        </w:rPr>
        <w:t>Ze względu na skalę ubytku dochodów z udziału w PIT, pomimo założonej w Wieloletniej Prognozie Finansowej na lata 2023-2050 minimalnej przestrzeni między ustawowymi limitem a wskaźnikiem obsługi długu, możliwy poziom wydatków bieżących jest ograniczony, w szczególności w kontekście zachodzących tendencji inflacyjnych</w:t>
      </w:r>
      <w:r w:rsidRPr="001266D0">
        <w:rPr>
          <w:rFonts w:ascii="Verdana" w:hAnsi="Verdana" w:cs="Verdana"/>
          <w:sz w:val="16"/>
          <w:szCs w:val="16"/>
        </w:rPr>
        <w:t xml:space="preserve">. </w:t>
      </w:r>
      <w:r w:rsidRPr="000A6485">
        <w:rPr>
          <w:rFonts w:ascii="Verdana" w:hAnsi="Verdana" w:cs="Arial"/>
          <w:iCs/>
          <w:sz w:val="16"/>
          <w:szCs w:val="16"/>
        </w:rPr>
        <w:t xml:space="preserve">Z uwagi na </w:t>
      </w:r>
      <w:r>
        <w:rPr>
          <w:rFonts w:ascii="Verdana" w:hAnsi="Verdana" w:cs="Arial"/>
          <w:iCs/>
          <w:sz w:val="16"/>
          <w:szCs w:val="16"/>
        </w:rPr>
        <w:t>dynamicznie zmieniającą się sytuację makroekonomiczną obarczającą dużym ryzykiem formułowanie prognoz gospodarczych szczególnie w dłuższym okresie oraz ze względu na niepewność oszacowań skutków Programu Polski Ład</w:t>
      </w:r>
      <w:r w:rsidRPr="000A6485">
        <w:rPr>
          <w:rFonts w:ascii="Verdana" w:hAnsi="Verdana" w:cs="Arial"/>
          <w:iCs/>
          <w:sz w:val="16"/>
          <w:szCs w:val="16"/>
        </w:rPr>
        <w:t xml:space="preserve">, dla zachowania bezpieczeństwa finansowego m.st. Warszawy, </w:t>
      </w:r>
      <w:r>
        <w:rPr>
          <w:rFonts w:ascii="Verdana" w:hAnsi="Verdana" w:cs="Arial"/>
          <w:iCs/>
          <w:sz w:val="16"/>
          <w:szCs w:val="16"/>
        </w:rPr>
        <w:t>zakłada się utrzymanie wydatków bieżących w perspektywie 2027 r. na obniżonym względem 2023 r. poziomie.</w:t>
      </w:r>
      <w:r w:rsidRPr="00135D48">
        <w:rPr>
          <w:rFonts w:ascii="Verdana" w:hAnsi="Verdana" w:cs="Verdana"/>
          <w:color w:val="FF0000"/>
          <w:sz w:val="16"/>
          <w:szCs w:val="16"/>
        </w:rPr>
        <w:t xml:space="preserve"> </w:t>
      </w:r>
      <w:r>
        <w:rPr>
          <w:rFonts w:ascii="Verdana" w:hAnsi="Verdana" w:cs="Verdana"/>
          <w:sz w:val="16"/>
          <w:szCs w:val="16"/>
        </w:rPr>
        <w:t xml:space="preserve">Dla kolejnych lat WPF </w:t>
      </w:r>
      <w:r w:rsidRPr="00932633">
        <w:rPr>
          <w:rFonts w:ascii="Verdana" w:eastAsiaTheme="minorEastAsia" w:hAnsi="Verdana" w:cs="Verdana"/>
          <w:color w:val="000000"/>
          <w:sz w:val="16"/>
          <w:szCs w:val="16"/>
        </w:rPr>
        <w:t>2023</w:t>
      </w:r>
      <w:r>
        <w:rPr>
          <w:rFonts w:ascii="Verdana" w:hAnsi="Verdana" w:cs="Verdana"/>
          <w:sz w:val="16"/>
          <w:szCs w:val="16"/>
        </w:rPr>
        <w:t xml:space="preserve">-2050 przewiduje rokroczny wzrost wydatków bieżących uzależniony od prognozowanego potencjału </w:t>
      </w:r>
      <w:r>
        <w:rPr>
          <w:rFonts w:ascii="Verdana" w:hAnsi="Verdana" w:cs="Verdana"/>
          <w:sz w:val="16"/>
          <w:szCs w:val="16"/>
        </w:rPr>
        <w:lastRenderedPageBreak/>
        <w:t>wzrostu dochodów i zakładanego rozkładu spłaty już zaciągniętych i planowanych do pozyskania zwrotnych środków dłużnych.</w:t>
      </w:r>
    </w:p>
    <w:p w:rsidR="008A572A" w:rsidRDefault="008A572A" w:rsidP="008A572A">
      <w:pPr>
        <w:autoSpaceDE w:val="0"/>
        <w:autoSpaceDN w:val="0"/>
        <w:adjustRightInd w:val="0"/>
        <w:spacing w:before="60" w:after="60"/>
        <w:jc w:val="both"/>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 xml:space="preserve">Ewolucyjny proces dostosowań budżetowych do znacząco ograniczonego potencjału dochodowego </w:t>
      </w:r>
      <w:r>
        <w:rPr>
          <w:rFonts w:ascii="Verdana" w:eastAsiaTheme="minorHAnsi" w:hAnsi="Verdana" w:cs="Verdana"/>
          <w:color w:val="000000"/>
          <w:sz w:val="16"/>
          <w:szCs w:val="16"/>
          <w:lang w:eastAsia="en-US"/>
        </w:rPr>
        <w:br/>
        <w:t xml:space="preserve">m.st. Warszawy będącego konsekwencją rozwiązań programu Polski Ład, przewiduje utrzymanie w 2023 r. zbliżonego do realnego poziomu wydatków bieżących z lat 2021-2022. Plan wydatków bieżących </w:t>
      </w:r>
      <w:r>
        <w:rPr>
          <w:rFonts w:ascii="Verdana" w:eastAsiaTheme="minorHAnsi" w:hAnsi="Verdana" w:cs="Verdana"/>
          <w:color w:val="000000"/>
          <w:sz w:val="16"/>
          <w:szCs w:val="16"/>
          <w:lang w:eastAsia="en-US"/>
        </w:rPr>
        <w:br/>
        <w:t xml:space="preserve">m.st. Warszawy na 2023 r. wynoszący 20,785 mld zł jest wyższy o 2,487 mld zł, tj. o 13,6%, w porównaniu </w:t>
      </w:r>
      <w:r>
        <w:rPr>
          <w:rFonts w:ascii="Verdana" w:eastAsiaTheme="minorHAnsi" w:hAnsi="Verdana" w:cs="Verdana"/>
          <w:color w:val="000000"/>
          <w:sz w:val="16"/>
          <w:szCs w:val="16"/>
          <w:lang w:eastAsia="en-US"/>
        </w:rPr>
        <w:br/>
        <w:t xml:space="preserve">z wydatkami bieżącymi poniesionymi w 2021 r. oraz wyższy o 1,117 mld zł, tj. o 5,7%, w stosunku do planowanych wydatków bieżących na 2022 r. (wg. stanu na 15 grudnia 2022 r.). Natomiast w celu zachowania porównywalności 2023 r. z latami 2021-2022 wyłączeniu podlegają wydatki związane z realizacją programu „Rodzina 500 plus”, którego obsługę od czerwca 2022 r. prowadzi Zakład Ubezpieczeń Społecznych, </w:t>
      </w:r>
      <w:r>
        <w:rPr>
          <w:rFonts w:ascii="Verdana" w:eastAsiaTheme="minorHAnsi" w:hAnsi="Verdana" w:cs="Verdana"/>
          <w:color w:val="000000"/>
          <w:sz w:val="16"/>
          <w:szCs w:val="16"/>
          <w:lang w:eastAsia="en-US"/>
        </w:rPr>
        <w:br/>
        <w:t xml:space="preserve">a także pomija się wydatki związane z pomocą obywatelom Ukrainy w związku z konfliktem zbrojnym toczonym na terytorium tego kraju. </w:t>
      </w:r>
      <w:r>
        <w:rPr>
          <w:rFonts w:ascii="Verdana" w:hAnsi="Verdana"/>
          <w:sz w:val="16"/>
          <w:szCs w:val="16"/>
        </w:rPr>
        <w:t xml:space="preserve">W warunkach porównywalnych, tj. po wyłączeniu wydatków bieżących związanych </w:t>
      </w:r>
      <w:r>
        <w:rPr>
          <w:rFonts w:ascii="Verdana" w:hAnsi="Verdana"/>
          <w:sz w:val="16"/>
          <w:szCs w:val="16"/>
        </w:rPr>
        <w:br/>
        <w:t>z realizacją programu „Rodzina 500 plus”</w:t>
      </w:r>
      <w:r w:rsidRPr="00543D26">
        <w:rPr>
          <w:rStyle w:val="Odwoanieprzypisudolnego"/>
          <w:rFonts w:ascii="Verdana" w:hAnsi="Verdana"/>
          <w:sz w:val="16"/>
          <w:szCs w:val="16"/>
        </w:rPr>
        <w:footnoteReference w:id="22"/>
      </w:r>
      <w:r>
        <w:rPr>
          <w:rFonts w:ascii="Verdana" w:hAnsi="Verdana"/>
          <w:sz w:val="16"/>
          <w:szCs w:val="16"/>
        </w:rPr>
        <w:t xml:space="preserve"> i wydatków bieżących związanych z pomocą obywatelom Ukrainy</w:t>
      </w:r>
      <w:r w:rsidRPr="00543D26">
        <w:rPr>
          <w:rStyle w:val="Odwoanieprzypisudolnego"/>
          <w:rFonts w:ascii="Verdana" w:hAnsi="Verdana"/>
          <w:sz w:val="16"/>
          <w:szCs w:val="16"/>
        </w:rPr>
        <w:footnoteReference w:id="23"/>
      </w:r>
      <w:r>
        <w:rPr>
          <w:rFonts w:ascii="Verdana" w:hAnsi="Verdana"/>
          <w:sz w:val="16"/>
          <w:szCs w:val="16"/>
        </w:rPr>
        <w:t xml:space="preserve"> </w:t>
      </w:r>
      <w:r>
        <w:rPr>
          <w:rFonts w:ascii="Verdana" w:hAnsi="Verdana"/>
          <w:sz w:val="16"/>
          <w:szCs w:val="16"/>
        </w:rPr>
        <w:br/>
        <w:t>w związku z konfliktem zbrojnym mającym miejsce na terytorium tego kraju, planowane na 2023 r. wydatki bieżące (20,610 mld zł</w:t>
      </w:r>
      <w:r w:rsidRPr="00543D26">
        <w:rPr>
          <w:rStyle w:val="Odwoanieprzypisudolnego"/>
          <w:rFonts w:ascii="Verdana" w:hAnsi="Verdana"/>
          <w:sz w:val="16"/>
          <w:szCs w:val="16"/>
        </w:rPr>
        <w:footnoteReference w:id="24"/>
      </w:r>
      <w:r>
        <w:rPr>
          <w:rFonts w:ascii="Verdana" w:hAnsi="Verdana"/>
          <w:sz w:val="16"/>
          <w:szCs w:val="16"/>
        </w:rPr>
        <w:t xml:space="preserve">) są wyższe o </w:t>
      </w:r>
      <w:r>
        <w:rPr>
          <w:rFonts w:ascii="Verdana" w:hAnsi="Verdana"/>
          <w:b/>
          <w:sz w:val="16"/>
          <w:szCs w:val="16"/>
        </w:rPr>
        <w:t>12,9</w:t>
      </w:r>
      <w:r w:rsidRPr="006C5070">
        <w:rPr>
          <w:rFonts w:ascii="Verdana" w:hAnsi="Verdana"/>
          <w:b/>
          <w:sz w:val="16"/>
          <w:szCs w:val="16"/>
        </w:rPr>
        <w:t>%</w:t>
      </w:r>
      <w:r>
        <w:rPr>
          <w:rFonts w:ascii="Verdana" w:hAnsi="Verdana"/>
          <w:sz w:val="16"/>
          <w:szCs w:val="16"/>
        </w:rPr>
        <w:t xml:space="preserve"> w stosunku do planu na 2022 r. (18,258 mld zł</w:t>
      </w:r>
      <w:r w:rsidRPr="00543D26">
        <w:rPr>
          <w:rStyle w:val="Odwoanieprzypisudolnego"/>
          <w:rFonts w:ascii="Verdana" w:hAnsi="Verdana"/>
          <w:sz w:val="16"/>
          <w:szCs w:val="16"/>
        </w:rPr>
        <w:footnoteReference w:id="25"/>
      </w:r>
      <w:r>
        <w:rPr>
          <w:rFonts w:ascii="Verdana" w:hAnsi="Verdana"/>
          <w:sz w:val="16"/>
          <w:szCs w:val="16"/>
        </w:rPr>
        <w:t xml:space="preserve">) wobec </w:t>
      </w:r>
      <w:r w:rsidRPr="006C5070">
        <w:rPr>
          <w:rFonts w:ascii="Verdana" w:hAnsi="Verdana"/>
          <w:b/>
          <w:sz w:val="16"/>
          <w:szCs w:val="16"/>
        </w:rPr>
        <w:t>9,8%</w:t>
      </w:r>
      <w:r>
        <w:rPr>
          <w:rFonts w:ascii="Verdana" w:hAnsi="Verdana"/>
          <w:sz w:val="16"/>
          <w:szCs w:val="16"/>
        </w:rPr>
        <w:t xml:space="preserve"> średniorocznej inflacji prognozowanej przez Ministerstwo Finansów na 2023 r. oraz są wyższe o </w:t>
      </w:r>
      <w:r w:rsidRPr="006C5070">
        <w:rPr>
          <w:rFonts w:ascii="Verdana" w:hAnsi="Verdana"/>
          <w:b/>
          <w:sz w:val="16"/>
          <w:szCs w:val="16"/>
        </w:rPr>
        <w:t>2</w:t>
      </w:r>
      <w:r>
        <w:rPr>
          <w:rFonts w:ascii="Verdana" w:hAnsi="Verdana"/>
          <w:b/>
          <w:sz w:val="16"/>
          <w:szCs w:val="16"/>
        </w:rPr>
        <w:t>6</w:t>
      </w:r>
      <w:r w:rsidRPr="006C5070">
        <w:rPr>
          <w:rFonts w:ascii="Verdana" w:hAnsi="Verdana"/>
          <w:b/>
          <w:sz w:val="16"/>
          <w:szCs w:val="16"/>
        </w:rPr>
        <w:t>,7%</w:t>
      </w:r>
      <w:r>
        <w:rPr>
          <w:rFonts w:ascii="Verdana" w:hAnsi="Verdana"/>
          <w:sz w:val="16"/>
          <w:szCs w:val="16"/>
        </w:rPr>
        <w:t xml:space="preserve"> </w:t>
      </w:r>
      <w:r>
        <w:rPr>
          <w:rFonts w:ascii="Verdana" w:hAnsi="Verdana"/>
          <w:sz w:val="16"/>
          <w:szCs w:val="16"/>
        </w:rPr>
        <w:br/>
        <w:t>w stosunku do wykonania w 2021 r. (16,271 mld zł</w:t>
      </w:r>
      <w:r w:rsidRPr="00543D26">
        <w:rPr>
          <w:rStyle w:val="Odwoanieprzypisudolnego"/>
          <w:rFonts w:ascii="Verdana" w:hAnsi="Verdana"/>
          <w:sz w:val="16"/>
          <w:szCs w:val="16"/>
        </w:rPr>
        <w:footnoteReference w:id="26"/>
      </w:r>
      <w:r>
        <w:rPr>
          <w:rFonts w:ascii="Verdana" w:hAnsi="Verdana"/>
          <w:sz w:val="16"/>
          <w:szCs w:val="16"/>
        </w:rPr>
        <w:t xml:space="preserve">) wobec </w:t>
      </w:r>
      <w:r w:rsidRPr="006C5070">
        <w:rPr>
          <w:rFonts w:ascii="Verdana" w:hAnsi="Verdana"/>
          <w:b/>
          <w:sz w:val="16"/>
          <w:szCs w:val="16"/>
        </w:rPr>
        <w:t>24,6%</w:t>
      </w:r>
      <w:r>
        <w:rPr>
          <w:rFonts w:ascii="Verdana" w:hAnsi="Verdana"/>
          <w:sz w:val="16"/>
          <w:szCs w:val="16"/>
        </w:rPr>
        <w:t xml:space="preserve"> skumulowanej w latach 2022-2023 średniorocznej inflacji prognozowanej przez Ministerstwo Finansów. W średnim terminie Wieloletnia Prognoza Finansowa edycji 2023-2050 przewiduje obniżenie limitów wydatków bieżących w stosunku do 2023 r. (lata 2024-2027), przy utrzymaniu poziomu wyższego w odniesieniu do lat 2021-2022, co obrazuje poniższy wykres nr 35.</w:t>
      </w:r>
      <w:r w:rsidRPr="00AA5770">
        <w:rPr>
          <w:rFonts w:ascii="Verdana" w:hAnsi="Verdana"/>
          <w:b/>
          <w:noProof/>
          <w:sz w:val="16"/>
          <w:szCs w:val="16"/>
        </w:rPr>
        <w:t xml:space="preserve"> </w:t>
      </w:r>
      <w:r>
        <w:rPr>
          <w:rFonts w:ascii="Verdana" w:hAnsi="Verdana"/>
          <w:noProof/>
          <w:sz w:val="16"/>
          <w:szCs w:val="16"/>
        </w:rPr>
        <w:t>Ustalony w budżecie</w:t>
      </w:r>
      <w:r w:rsidRPr="007D44FD">
        <w:rPr>
          <w:rFonts w:ascii="Verdana" w:hAnsi="Verdana"/>
          <w:noProof/>
          <w:sz w:val="16"/>
          <w:szCs w:val="16"/>
        </w:rPr>
        <w:t xml:space="preserve"> na </w:t>
      </w:r>
      <w:r>
        <w:rPr>
          <w:rFonts w:ascii="Verdana" w:hAnsi="Verdana"/>
          <w:noProof/>
          <w:sz w:val="16"/>
          <w:szCs w:val="16"/>
        </w:rPr>
        <w:t xml:space="preserve">2023 r. limit wydatków bieżących obejmuje już środki w wysokości </w:t>
      </w:r>
      <w:r>
        <w:rPr>
          <w:rFonts w:ascii="Verdana" w:hAnsi="Verdana"/>
          <w:b/>
          <w:noProof/>
          <w:sz w:val="16"/>
          <w:szCs w:val="16"/>
        </w:rPr>
        <w:t>430</w:t>
      </w:r>
      <w:r w:rsidRPr="00FF4034">
        <w:rPr>
          <w:rFonts w:ascii="Verdana" w:hAnsi="Verdana"/>
          <w:b/>
          <w:noProof/>
          <w:sz w:val="16"/>
          <w:szCs w:val="16"/>
        </w:rPr>
        <w:t xml:space="preserve"> mln zł</w:t>
      </w:r>
      <w:r>
        <w:rPr>
          <w:rFonts w:ascii="Verdana" w:hAnsi="Verdana"/>
          <w:noProof/>
          <w:sz w:val="16"/>
          <w:szCs w:val="16"/>
        </w:rPr>
        <w:t xml:space="preserve"> pochodzące z przewidywanych oszczędności planu wydatków bieżących w 2022 r. (kwota ta została ujętą </w:t>
      </w:r>
      <w:r>
        <w:rPr>
          <w:rFonts w:ascii="Verdana" w:hAnsi="Verdana"/>
          <w:noProof/>
          <w:sz w:val="16"/>
          <w:szCs w:val="16"/>
        </w:rPr>
        <w:br/>
        <w:t xml:space="preserve">w przychodach z tzw. wolnych środków). Ewentualne środki pochodzące z wyższych oszczędności w zakresie wydatków bieżących w 2022 r. posłużą finansowaniu wydatków bieżących w 2024 r. i latach kolejnych, </w:t>
      </w:r>
      <w:r>
        <w:rPr>
          <w:rFonts w:ascii="Verdana" w:hAnsi="Verdana"/>
          <w:noProof/>
          <w:sz w:val="16"/>
          <w:szCs w:val="16"/>
        </w:rPr>
        <w:br/>
        <w:t>w szczególności w obszarze edukacji.</w:t>
      </w:r>
    </w:p>
    <w:p w:rsidR="008A572A" w:rsidRDefault="008A572A" w:rsidP="008A572A">
      <w:pPr>
        <w:autoSpaceDE w:val="0"/>
        <w:autoSpaceDN w:val="0"/>
        <w:adjustRightInd w:val="0"/>
        <w:spacing w:before="60" w:after="60"/>
        <w:jc w:val="both"/>
        <w:rPr>
          <w:rFonts w:ascii="Verdana" w:hAnsi="Verdana"/>
          <w:noProof/>
          <w:sz w:val="16"/>
          <w:szCs w:val="16"/>
        </w:rPr>
      </w:pPr>
      <w:r>
        <w:rPr>
          <w:rFonts w:ascii="Verdana" w:hAnsi="Verdana"/>
          <w:noProof/>
          <w:sz w:val="16"/>
          <w:szCs w:val="16"/>
        </w:rPr>
        <w:br w:type="page"/>
      </w:r>
    </w:p>
    <w:p w:rsidR="008A572A" w:rsidRDefault="008A572A" w:rsidP="008A572A">
      <w:pPr>
        <w:tabs>
          <w:tab w:val="left" w:pos="567"/>
        </w:tabs>
        <w:spacing w:before="120" w:after="60" w:line="240" w:lineRule="auto"/>
        <w:ind w:left="567" w:hanging="567"/>
        <w:rPr>
          <w:rFonts w:ascii="Verdana" w:hAnsi="Verdana" w:cs="Verdana"/>
          <w:sz w:val="16"/>
          <w:szCs w:val="16"/>
        </w:rPr>
      </w:pPr>
      <w:r w:rsidRPr="00011AAA">
        <w:rPr>
          <w:rFonts w:ascii="Verdana" w:hAnsi="Verdana"/>
          <w:b/>
          <w:bCs/>
          <w:iCs/>
          <w:sz w:val="14"/>
          <w:szCs w:val="14"/>
        </w:rPr>
        <w:lastRenderedPageBreak/>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sidR="00DB2126">
        <w:rPr>
          <w:rFonts w:ascii="Verdana" w:hAnsi="Verdana"/>
          <w:b/>
          <w:bCs/>
          <w:iCs/>
          <w:noProof/>
          <w:sz w:val="14"/>
          <w:szCs w:val="14"/>
        </w:rPr>
        <w:t>35</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 xml:space="preserve">LIMITY WYDATKÓW BIEŻĄCYCH NA LATA 2023-2031 NA TLE LAT 2021-2022 W M.ST. WARSZAWA </w:t>
      </w:r>
      <w:r>
        <w:rPr>
          <w:rFonts w:ascii="Verdana" w:hAnsi="Verdana" w:cs="Arial"/>
          <w:b/>
          <w:bCs/>
          <w:iCs/>
          <w:sz w:val="14"/>
          <w:szCs w:val="14"/>
        </w:rPr>
        <w:br/>
        <w:t xml:space="preserve">   W WARUNKACH PORÓWNYWALNYCH, TJ. PO WYŁĄCZENIU WYDATKÓW ZWIĄZANYCH Z PROGRAMEM </w:t>
      </w:r>
      <w:r>
        <w:rPr>
          <w:rFonts w:ascii="Verdana" w:hAnsi="Verdana" w:cs="Arial"/>
          <w:b/>
          <w:bCs/>
          <w:iCs/>
          <w:sz w:val="14"/>
          <w:szCs w:val="14"/>
        </w:rPr>
        <w:br/>
        <w:t xml:space="preserve">  „RODZINA 500 PLUS” I WYDATKÓW ZWIĄZANYCH Z POMOCĄ OBYWATELOM UKRAINY </w:t>
      </w:r>
      <w:r>
        <w:rPr>
          <w:rFonts w:ascii="Verdana" w:hAnsi="Verdana" w:cs="Arial"/>
          <w:bCs/>
          <w:iCs/>
          <w:sz w:val="14"/>
          <w:szCs w:val="14"/>
        </w:rPr>
        <w:t>[w mln zł]</w:t>
      </w:r>
    </w:p>
    <w:p w:rsidR="008A572A" w:rsidRDefault="008A572A" w:rsidP="008A572A">
      <w:pPr>
        <w:spacing w:before="60" w:after="60"/>
        <w:jc w:val="both"/>
        <w:rPr>
          <w:rFonts w:ascii="Verdana" w:hAnsi="Verdana" w:cs="Verdana"/>
          <w:sz w:val="16"/>
          <w:szCs w:val="16"/>
        </w:rPr>
      </w:pPr>
      <w:r>
        <w:rPr>
          <w:rFonts w:ascii="Verdana" w:hAnsi="Verdana" w:cs="Verdana"/>
          <w:noProof/>
          <w:sz w:val="16"/>
          <w:szCs w:val="16"/>
        </w:rPr>
        <w:drawing>
          <wp:inline distT="0" distB="0" distL="0" distR="0" wp14:anchorId="4985EA00" wp14:editId="316EE3EF">
            <wp:extent cx="4650691" cy="2407577"/>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0795" cy="2417984"/>
                    </a:xfrm>
                    <a:prstGeom prst="rect">
                      <a:avLst/>
                    </a:prstGeom>
                    <a:noFill/>
                  </pic:spPr>
                </pic:pic>
              </a:graphicData>
            </a:graphic>
          </wp:inline>
        </w:drawing>
      </w:r>
    </w:p>
    <w:p w:rsidR="008A572A" w:rsidRPr="000A6485" w:rsidRDefault="008A572A" w:rsidP="008A572A">
      <w:pPr>
        <w:autoSpaceDE w:val="0"/>
        <w:autoSpaceDN w:val="0"/>
        <w:adjustRightInd w:val="0"/>
        <w:spacing w:before="60" w:after="60"/>
        <w:ind w:firstLine="600"/>
        <w:jc w:val="both"/>
        <w:rPr>
          <w:rFonts w:ascii="Verdana" w:hAnsi="Verdana" w:cs="Verdana"/>
          <w:sz w:val="16"/>
          <w:szCs w:val="16"/>
          <w:lang w:eastAsia="ko-KR"/>
        </w:rPr>
      </w:pPr>
      <w:r w:rsidRPr="000A6485">
        <w:rPr>
          <w:rFonts w:ascii="Verdana" w:hAnsi="Verdana" w:cs="Verdana"/>
          <w:sz w:val="16"/>
          <w:szCs w:val="16"/>
          <w:lang w:eastAsia="ko-KR"/>
        </w:rPr>
        <w:t xml:space="preserve">Priorytetem w zakresie planowania wydatków bieżących będzie zapewnienie prawidłowego funkcjonowania obiektów i urządzeń miejskiej infrastruktury społecznej i technicznej oraz zaspokojenie bieżących potrzeb w związku z realizacją zadań Miasta jako gminy i powiatu, w tym zadań powierzonych </w:t>
      </w:r>
      <w:r w:rsidRPr="000A6485">
        <w:rPr>
          <w:rFonts w:ascii="Verdana" w:hAnsi="Verdana" w:cs="Verdana"/>
          <w:sz w:val="16"/>
          <w:szCs w:val="16"/>
          <w:lang w:eastAsia="ko-KR"/>
        </w:rPr>
        <w:br/>
        <w:t>do realizacji dzielnicom. Jednocześnie w prognozie ujęto konieczność finansowania:</w:t>
      </w:r>
    </w:p>
    <w:p w:rsidR="008A572A" w:rsidRPr="000A6485" w:rsidRDefault="008A572A" w:rsidP="008A572A">
      <w:pPr>
        <w:numPr>
          <w:ilvl w:val="0"/>
          <w:numId w:val="36"/>
        </w:numPr>
        <w:tabs>
          <w:tab w:val="clear" w:pos="720"/>
          <w:tab w:val="num" w:pos="567"/>
        </w:tabs>
        <w:autoSpaceDE w:val="0"/>
        <w:autoSpaceDN w:val="0"/>
        <w:adjustRightInd w:val="0"/>
        <w:spacing w:before="60" w:after="60"/>
        <w:ind w:left="567" w:hanging="207"/>
        <w:jc w:val="both"/>
        <w:rPr>
          <w:rFonts w:ascii="Verdana" w:hAnsi="Verdana" w:cs="Verdana"/>
          <w:sz w:val="16"/>
          <w:szCs w:val="16"/>
          <w:lang w:eastAsia="ko-KR"/>
        </w:rPr>
      </w:pPr>
      <w:r w:rsidRPr="000A6485">
        <w:rPr>
          <w:rFonts w:ascii="Verdana" w:hAnsi="Verdana" w:cs="Verdana"/>
          <w:sz w:val="16"/>
          <w:szCs w:val="16"/>
          <w:lang w:eastAsia="ko-KR"/>
        </w:rPr>
        <w:t xml:space="preserve">obligatoryjnych wpłat do budżetu państwa z przeznaczeniem na część równoważącą subwencji ogólnej </w:t>
      </w:r>
      <w:r w:rsidRPr="000A6485">
        <w:rPr>
          <w:rFonts w:ascii="Verdana" w:hAnsi="Verdana" w:cs="Verdana"/>
          <w:sz w:val="16"/>
          <w:szCs w:val="16"/>
          <w:lang w:eastAsia="ko-KR"/>
        </w:rPr>
        <w:br/>
        <w:t>dla gmin i powiatów (</w:t>
      </w:r>
      <w:r>
        <w:rPr>
          <w:rFonts w:ascii="Verdana" w:hAnsi="Verdana" w:cs="Verdana"/>
          <w:sz w:val="16"/>
          <w:szCs w:val="16"/>
          <w:lang w:eastAsia="ko-KR"/>
        </w:rPr>
        <w:t>tzw. J</w:t>
      </w:r>
      <w:r w:rsidRPr="000A6485">
        <w:rPr>
          <w:rFonts w:ascii="Verdana" w:hAnsi="Verdana" w:cs="Verdana"/>
          <w:sz w:val="16"/>
          <w:szCs w:val="16"/>
          <w:lang w:eastAsia="ko-KR"/>
        </w:rPr>
        <w:t>anosikowe),</w:t>
      </w:r>
    </w:p>
    <w:p w:rsidR="008A572A" w:rsidRPr="000A6485" w:rsidRDefault="008A572A" w:rsidP="008A572A">
      <w:pPr>
        <w:numPr>
          <w:ilvl w:val="0"/>
          <w:numId w:val="36"/>
        </w:numPr>
        <w:tabs>
          <w:tab w:val="clear" w:pos="720"/>
          <w:tab w:val="num" w:pos="567"/>
        </w:tabs>
        <w:autoSpaceDE w:val="0"/>
        <w:autoSpaceDN w:val="0"/>
        <w:adjustRightInd w:val="0"/>
        <w:spacing w:before="60" w:after="60"/>
        <w:ind w:left="567" w:hanging="207"/>
        <w:jc w:val="both"/>
        <w:rPr>
          <w:rFonts w:ascii="Verdana" w:hAnsi="Verdana" w:cs="Verdana"/>
          <w:sz w:val="16"/>
          <w:szCs w:val="16"/>
          <w:lang w:eastAsia="ko-KR"/>
        </w:rPr>
      </w:pPr>
      <w:r>
        <w:rPr>
          <w:rFonts w:ascii="Verdana" w:hAnsi="Verdana" w:cs="Verdana"/>
          <w:sz w:val="16"/>
          <w:szCs w:val="16"/>
          <w:lang w:eastAsia="ko-KR"/>
        </w:rPr>
        <w:t xml:space="preserve">podwyższonych ze względu na sytuację rynkową </w:t>
      </w:r>
      <w:r w:rsidRPr="000A6485">
        <w:rPr>
          <w:rFonts w:ascii="Verdana" w:hAnsi="Verdana" w:cs="Verdana"/>
          <w:sz w:val="16"/>
          <w:szCs w:val="16"/>
          <w:lang w:eastAsia="ko-KR"/>
        </w:rPr>
        <w:t xml:space="preserve">kosztów obsługi długu w związku z zaciągniętymi </w:t>
      </w:r>
      <w:r>
        <w:rPr>
          <w:rFonts w:ascii="Verdana" w:hAnsi="Verdana" w:cs="Verdana"/>
          <w:sz w:val="16"/>
          <w:szCs w:val="16"/>
          <w:lang w:eastAsia="ko-KR"/>
        </w:rPr>
        <w:br/>
      </w:r>
      <w:r w:rsidRPr="000A6485">
        <w:rPr>
          <w:rFonts w:ascii="Verdana" w:hAnsi="Verdana" w:cs="Verdana"/>
          <w:sz w:val="16"/>
          <w:szCs w:val="16"/>
          <w:lang w:eastAsia="ko-KR"/>
        </w:rPr>
        <w:t xml:space="preserve">w poprzednich latach i planowanymi do podjęcia w latach </w:t>
      </w:r>
      <w:r>
        <w:rPr>
          <w:rFonts w:ascii="Verdana" w:hAnsi="Verdana" w:cs="Verdana"/>
          <w:sz w:val="16"/>
          <w:szCs w:val="16"/>
          <w:lang w:eastAsia="ko-KR"/>
        </w:rPr>
        <w:t>2023</w:t>
      </w:r>
      <w:r w:rsidRPr="000A6485">
        <w:rPr>
          <w:rFonts w:ascii="Verdana" w:hAnsi="Verdana" w:cs="Verdana"/>
          <w:sz w:val="16"/>
          <w:szCs w:val="16"/>
          <w:lang w:eastAsia="ko-KR"/>
        </w:rPr>
        <w:t>-20</w:t>
      </w:r>
      <w:r>
        <w:rPr>
          <w:rFonts w:ascii="Verdana" w:hAnsi="Verdana" w:cs="Verdana"/>
          <w:sz w:val="16"/>
          <w:szCs w:val="16"/>
          <w:lang w:eastAsia="ko-KR"/>
        </w:rPr>
        <w:t>27</w:t>
      </w:r>
      <w:r w:rsidRPr="000A6485">
        <w:rPr>
          <w:rFonts w:ascii="Verdana" w:hAnsi="Verdana" w:cs="Verdana"/>
          <w:sz w:val="16"/>
          <w:szCs w:val="16"/>
          <w:lang w:eastAsia="ko-KR"/>
        </w:rPr>
        <w:t xml:space="preserve"> długoterminowymi zobowiązaniami z tytułu kredytów i pożyczek oraz wyemitowanych papierów wartościowych, jak też potencjalnych spłat </w:t>
      </w:r>
      <w:r>
        <w:rPr>
          <w:rFonts w:ascii="Verdana" w:hAnsi="Verdana" w:cs="Verdana"/>
          <w:sz w:val="16"/>
          <w:szCs w:val="16"/>
          <w:lang w:eastAsia="ko-KR"/>
        </w:rPr>
        <w:br/>
      </w:r>
      <w:r w:rsidRPr="000A6485">
        <w:rPr>
          <w:rFonts w:ascii="Verdana" w:hAnsi="Verdana" w:cs="Verdana"/>
          <w:sz w:val="16"/>
          <w:szCs w:val="16"/>
          <w:lang w:eastAsia="ko-KR"/>
        </w:rPr>
        <w:t>z tytułu udzielonych przez Miasto poręczeń i gwarancji,</w:t>
      </w:r>
    </w:p>
    <w:p w:rsidR="008A572A" w:rsidRPr="000A6485" w:rsidRDefault="008A572A" w:rsidP="008A572A">
      <w:pPr>
        <w:numPr>
          <w:ilvl w:val="0"/>
          <w:numId w:val="36"/>
        </w:numPr>
        <w:tabs>
          <w:tab w:val="clear" w:pos="720"/>
          <w:tab w:val="num" w:pos="567"/>
        </w:tabs>
        <w:autoSpaceDE w:val="0"/>
        <w:autoSpaceDN w:val="0"/>
        <w:adjustRightInd w:val="0"/>
        <w:spacing w:before="60" w:after="60"/>
        <w:ind w:left="567" w:hanging="207"/>
        <w:jc w:val="both"/>
        <w:rPr>
          <w:rFonts w:ascii="Verdana" w:hAnsi="Verdana" w:cs="Verdana"/>
          <w:sz w:val="16"/>
          <w:szCs w:val="16"/>
          <w:lang w:eastAsia="ko-KR"/>
        </w:rPr>
      </w:pPr>
      <w:r w:rsidRPr="000A6485">
        <w:rPr>
          <w:rFonts w:ascii="Verdana" w:hAnsi="Verdana" w:cs="Verdana"/>
          <w:sz w:val="16"/>
          <w:szCs w:val="16"/>
          <w:lang w:eastAsia="ko-KR"/>
        </w:rPr>
        <w:t>zobowiązań stanowiących przedsięwzięcia wieloletnie,</w:t>
      </w:r>
    </w:p>
    <w:p w:rsidR="008A572A" w:rsidRPr="000A6485" w:rsidRDefault="008A572A" w:rsidP="008A572A">
      <w:pPr>
        <w:numPr>
          <w:ilvl w:val="0"/>
          <w:numId w:val="36"/>
        </w:numPr>
        <w:tabs>
          <w:tab w:val="clear" w:pos="720"/>
          <w:tab w:val="num" w:pos="567"/>
        </w:tabs>
        <w:autoSpaceDE w:val="0"/>
        <w:autoSpaceDN w:val="0"/>
        <w:adjustRightInd w:val="0"/>
        <w:spacing w:before="60" w:after="60"/>
        <w:ind w:left="567" w:hanging="207"/>
        <w:jc w:val="both"/>
        <w:rPr>
          <w:rFonts w:ascii="Verdana" w:hAnsi="Verdana" w:cs="Verdana"/>
          <w:sz w:val="16"/>
          <w:szCs w:val="16"/>
          <w:lang w:eastAsia="ko-KR"/>
        </w:rPr>
      </w:pPr>
      <w:r w:rsidRPr="000A6485">
        <w:rPr>
          <w:rFonts w:ascii="Verdana" w:hAnsi="Verdana" w:cs="Arial"/>
          <w:iCs/>
          <w:sz w:val="16"/>
          <w:szCs w:val="16"/>
        </w:rPr>
        <w:t xml:space="preserve">programów prospołecznych, m.in. Warszawski Bon Żłobkowy, bezpłatny pobyt i zajęcia </w:t>
      </w:r>
      <w:r w:rsidRPr="000A6485">
        <w:rPr>
          <w:rFonts w:ascii="Verdana" w:hAnsi="Verdana" w:cs="Arial"/>
          <w:iCs/>
          <w:sz w:val="16"/>
          <w:szCs w:val="16"/>
        </w:rPr>
        <w:br/>
        <w:t>dla dzieci w żłobkach i przedszkolach, bezpłatne przejazdy komunikacją miejską na podstawie Karty Młodego Warszawiaka,</w:t>
      </w:r>
    </w:p>
    <w:p w:rsidR="008A572A" w:rsidRPr="000A6485" w:rsidRDefault="008A572A" w:rsidP="008A572A">
      <w:pPr>
        <w:numPr>
          <w:ilvl w:val="0"/>
          <w:numId w:val="36"/>
        </w:numPr>
        <w:tabs>
          <w:tab w:val="clear" w:pos="720"/>
          <w:tab w:val="num" w:pos="567"/>
        </w:tabs>
        <w:autoSpaceDE w:val="0"/>
        <w:autoSpaceDN w:val="0"/>
        <w:adjustRightInd w:val="0"/>
        <w:spacing w:before="60" w:after="60"/>
        <w:ind w:left="567" w:hanging="207"/>
        <w:jc w:val="both"/>
        <w:rPr>
          <w:rFonts w:ascii="Verdana" w:hAnsi="Verdana" w:cs="Verdana"/>
          <w:sz w:val="16"/>
          <w:szCs w:val="16"/>
          <w:lang w:eastAsia="ko-KR"/>
        </w:rPr>
      </w:pPr>
      <w:r w:rsidRPr="000A6485">
        <w:rPr>
          <w:rFonts w:ascii="Verdana" w:hAnsi="Verdana" w:cs="Verdana"/>
          <w:sz w:val="16"/>
          <w:szCs w:val="16"/>
          <w:lang w:eastAsia="ko-KR"/>
        </w:rPr>
        <w:t xml:space="preserve">wydatków w związku z przekazanymi w </w:t>
      </w:r>
      <w:r>
        <w:rPr>
          <w:rFonts w:ascii="Verdana" w:hAnsi="Verdana" w:cs="Verdana"/>
          <w:sz w:val="16"/>
          <w:szCs w:val="16"/>
          <w:lang w:eastAsia="ko-KR"/>
        </w:rPr>
        <w:t>2022</w:t>
      </w:r>
      <w:r w:rsidRPr="000A6485">
        <w:rPr>
          <w:rFonts w:ascii="Verdana" w:hAnsi="Verdana" w:cs="Verdana"/>
          <w:sz w:val="16"/>
          <w:szCs w:val="16"/>
          <w:lang w:eastAsia="ko-KR"/>
        </w:rPr>
        <w:t xml:space="preserve"> r. i p</w:t>
      </w:r>
      <w:r>
        <w:rPr>
          <w:rFonts w:ascii="Verdana" w:hAnsi="Verdana" w:cs="Verdana"/>
          <w:sz w:val="16"/>
          <w:szCs w:val="16"/>
          <w:lang w:eastAsia="ko-KR"/>
        </w:rPr>
        <w:t>lanowanymi do przekazania w 2023</w:t>
      </w:r>
      <w:r w:rsidRPr="000A6485">
        <w:rPr>
          <w:rFonts w:ascii="Verdana" w:hAnsi="Verdana" w:cs="Verdana"/>
          <w:sz w:val="16"/>
          <w:szCs w:val="16"/>
          <w:lang w:eastAsia="ko-KR"/>
        </w:rPr>
        <w:t xml:space="preserve"> r. i latach następnych do użytkowania i do bieżącego utrzymania inwestycjami, w tym w szczególności w zakresie infrastruktury transportowej oraz w obszarze oświaty i kultury,</w:t>
      </w:r>
    </w:p>
    <w:p w:rsidR="008A572A" w:rsidRPr="000A6485" w:rsidRDefault="008A572A" w:rsidP="008A572A">
      <w:pPr>
        <w:numPr>
          <w:ilvl w:val="0"/>
          <w:numId w:val="36"/>
        </w:numPr>
        <w:tabs>
          <w:tab w:val="clear" w:pos="720"/>
          <w:tab w:val="num" w:pos="567"/>
        </w:tabs>
        <w:autoSpaceDE w:val="0"/>
        <w:autoSpaceDN w:val="0"/>
        <w:adjustRightInd w:val="0"/>
        <w:spacing w:before="60" w:after="60"/>
        <w:ind w:left="567" w:hanging="207"/>
        <w:jc w:val="both"/>
        <w:rPr>
          <w:rFonts w:ascii="Verdana" w:hAnsi="Verdana" w:cs="Verdana"/>
          <w:sz w:val="16"/>
          <w:szCs w:val="16"/>
          <w:lang w:eastAsia="ko-KR"/>
        </w:rPr>
      </w:pPr>
      <w:r w:rsidRPr="000A6485">
        <w:rPr>
          <w:rFonts w:ascii="Verdana" w:hAnsi="Verdana" w:cs="Arial"/>
          <w:iCs/>
          <w:sz w:val="16"/>
          <w:szCs w:val="16"/>
        </w:rPr>
        <w:t xml:space="preserve">wydatków </w:t>
      </w:r>
      <w:r>
        <w:rPr>
          <w:rFonts w:ascii="Verdana" w:hAnsi="Verdana" w:cs="Arial"/>
          <w:iCs/>
          <w:sz w:val="16"/>
          <w:szCs w:val="16"/>
        </w:rPr>
        <w:t>związanych z funkcjonowaniem systemu gospodarowania odpadami komunalnymi</w:t>
      </w:r>
      <w:r w:rsidRPr="000A6485">
        <w:rPr>
          <w:rFonts w:ascii="Verdana" w:hAnsi="Verdana"/>
          <w:color w:val="000000"/>
          <w:sz w:val="16"/>
          <w:szCs w:val="16"/>
        </w:rPr>
        <w:t>,</w:t>
      </w:r>
    </w:p>
    <w:p w:rsidR="008A572A" w:rsidRPr="000A6485" w:rsidRDefault="008A572A" w:rsidP="008A572A">
      <w:pPr>
        <w:numPr>
          <w:ilvl w:val="0"/>
          <w:numId w:val="36"/>
        </w:numPr>
        <w:tabs>
          <w:tab w:val="clear" w:pos="720"/>
          <w:tab w:val="num" w:pos="567"/>
        </w:tabs>
        <w:autoSpaceDE w:val="0"/>
        <w:autoSpaceDN w:val="0"/>
        <w:adjustRightInd w:val="0"/>
        <w:spacing w:before="60" w:after="60"/>
        <w:ind w:left="567" w:hanging="207"/>
        <w:jc w:val="both"/>
        <w:rPr>
          <w:rFonts w:ascii="Verdana" w:hAnsi="Verdana" w:cs="Verdana"/>
          <w:sz w:val="16"/>
          <w:szCs w:val="16"/>
          <w:lang w:eastAsia="ko-KR"/>
        </w:rPr>
      </w:pPr>
      <w:r w:rsidRPr="000A6485">
        <w:rPr>
          <w:rFonts w:ascii="Verdana" w:hAnsi="Verdana"/>
          <w:sz w:val="16"/>
          <w:szCs w:val="16"/>
        </w:rPr>
        <w:t>odszkodowań za nieruchomości przejęte w latach poprzednich, w tym m.in. za nieruchomości przejęte pod drogi publiczne przed 1999 r. oraz wynikające z Dekretu z 26 października 1945 r. (tzw. Dekret Bieruta)</w:t>
      </w:r>
      <w:r w:rsidRPr="000A6485">
        <w:rPr>
          <w:rFonts w:ascii="Verdana" w:hAnsi="Verdana" w:cs="Verdana"/>
          <w:sz w:val="16"/>
          <w:szCs w:val="16"/>
          <w:lang w:eastAsia="ko-KR"/>
        </w:rPr>
        <w:t>.</w:t>
      </w:r>
    </w:p>
    <w:p w:rsidR="008A572A" w:rsidRDefault="008A572A" w:rsidP="008A572A">
      <w:pPr>
        <w:spacing w:before="60" w:after="60"/>
        <w:jc w:val="both"/>
        <w:rPr>
          <w:rFonts w:ascii="Verdana" w:hAnsi="Verdana"/>
          <w:sz w:val="16"/>
          <w:szCs w:val="16"/>
        </w:rPr>
      </w:pPr>
      <w:r>
        <w:rPr>
          <w:rFonts w:ascii="Verdana" w:hAnsi="Verdana"/>
          <w:sz w:val="16"/>
          <w:szCs w:val="16"/>
        </w:rPr>
        <w:br w:type="page"/>
      </w:r>
    </w:p>
    <w:p w:rsidR="008A572A" w:rsidRPr="000A6485" w:rsidRDefault="008A572A" w:rsidP="008A572A">
      <w:pPr>
        <w:spacing w:before="240" w:after="240"/>
        <w:rPr>
          <w:rFonts w:ascii="Verdana" w:hAnsi="Verdana"/>
          <w:b/>
          <w:bCs/>
          <w:sz w:val="18"/>
          <w:szCs w:val="18"/>
        </w:rPr>
      </w:pPr>
      <w:r w:rsidRPr="000A6485">
        <w:rPr>
          <w:rFonts w:ascii="Verdana" w:hAnsi="Verdana"/>
          <w:b/>
          <w:bCs/>
          <w:sz w:val="18"/>
          <w:szCs w:val="18"/>
        </w:rPr>
        <w:lastRenderedPageBreak/>
        <w:t>7.3.3 Wynik zbiorczy prognozy wydatków majątkowych</w:t>
      </w:r>
    </w:p>
    <w:p w:rsidR="008A572A" w:rsidRPr="000A6485" w:rsidRDefault="008A572A" w:rsidP="008A572A">
      <w:pPr>
        <w:tabs>
          <w:tab w:val="left" w:pos="0"/>
        </w:tabs>
        <w:spacing w:before="60" w:after="60"/>
        <w:ind w:firstLine="567"/>
        <w:jc w:val="both"/>
        <w:rPr>
          <w:rFonts w:ascii="Verdana" w:hAnsi="Verdana"/>
          <w:sz w:val="16"/>
          <w:szCs w:val="16"/>
        </w:rPr>
      </w:pPr>
      <w:r w:rsidRPr="000A6485">
        <w:rPr>
          <w:rFonts w:ascii="Verdana" w:hAnsi="Verdana"/>
          <w:sz w:val="16"/>
          <w:szCs w:val="16"/>
        </w:rPr>
        <w:t xml:space="preserve">Wykres </w:t>
      </w:r>
      <w:r>
        <w:rPr>
          <w:rFonts w:ascii="Verdana" w:hAnsi="Verdana"/>
          <w:sz w:val="16"/>
          <w:szCs w:val="16"/>
        </w:rPr>
        <w:t>nr 36</w:t>
      </w:r>
      <w:r w:rsidRPr="000A6485">
        <w:rPr>
          <w:rFonts w:ascii="Verdana" w:hAnsi="Verdana"/>
          <w:sz w:val="16"/>
          <w:szCs w:val="16"/>
        </w:rPr>
        <w:t xml:space="preserve"> prezentuje prognozowane wydatki majątkowe w poszczególnych latach objętych Prognozą.</w:t>
      </w:r>
    </w:p>
    <w:p w:rsidR="008A572A" w:rsidRPr="000A6485" w:rsidRDefault="008A572A" w:rsidP="008A572A">
      <w:pPr>
        <w:tabs>
          <w:tab w:val="left" w:pos="567"/>
        </w:tabs>
        <w:spacing w:before="120" w:after="60"/>
        <w:ind w:left="567" w:hanging="567"/>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DB2126">
        <w:rPr>
          <w:rFonts w:ascii="Verdana" w:hAnsi="Verdana" w:cs="Arial"/>
          <w:b/>
          <w:bCs/>
          <w:noProof/>
          <w:sz w:val="14"/>
          <w:szCs w:val="14"/>
        </w:rPr>
        <w:t>36</w:t>
      </w:r>
      <w:r w:rsidRPr="000A6485">
        <w:rPr>
          <w:rFonts w:ascii="Verdana" w:hAnsi="Verdana" w:cs="Arial"/>
          <w:b/>
          <w:bCs/>
          <w:sz w:val="14"/>
          <w:szCs w:val="14"/>
        </w:rPr>
        <w:fldChar w:fldCharType="end"/>
      </w:r>
      <w:r w:rsidRPr="000A6485">
        <w:rPr>
          <w:rFonts w:ascii="Verdana" w:hAnsi="Verdana" w:cs="Arial"/>
          <w:b/>
          <w:bCs/>
          <w:sz w:val="14"/>
          <w:szCs w:val="14"/>
        </w:rPr>
        <w:t xml:space="preserve">  PROGNOZA WYDATKÓW MAJĄTKO</w:t>
      </w:r>
      <w:r>
        <w:rPr>
          <w:rFonts w:ascii="Verdana" w:hAnsi="Verdana" w:cs="Arial"/>
          <w:b/>
          <w:bCs/>
          <w:sz w:val="14"/>
          <w:szCs w:val="14"/>
        </w:rPr>
        <w:t xml:space="preserve">WYCH M.ST. WARSZAWY NA LATA </w:t>
      </w:r>
      <w:r w:rsidRPr="00932633">
        <w:rPr>
          <w:rFonts w:ascii="Verdana" w:hAnsi="Verdana" w:cs="Arial"/>
          <w:b/>
          <w:bCs/>
          <w:sz w:val="14"/>
          <w:szCs w:val="14"/>
        </w:rPr>
        <w:t>2023</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8A572A" w:rsidRPr="000A6485" w:rsidRDefault="008A572A" w:rsidP="008A572A">
      <w:pPr>
        <w:spacing w:before="120" w:after="120" w:line="240" w:lineRule="auto"/>
        <w:jc w:val="both"/>
        <w:rPr>
          <w:rFonts w:ascii="Verdana" w:hAnsi="Verdana"/>
          <w:noProof/>
          <w:sz w:val="16"/>
          <w:szCs w:val="16"/>
        </w:rPr>
      </w:pPr>
      <w:r>
        <w:rPr>
          <w:rFonts w:ascii="Verdana" w:hAnsi="Verdana"/>
          <w:noProof/>
          <w:sz w:val="16"/>
          <w:szCs w:val="16"/>
        </w:rPr>
        <w:drawing>
          <wp:inline distT="0" distB="0" distL="0" distR="0">
            <wp:extent cx="5800090" cy="2838450"/>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00090" cy="2838450"/>
                    </a:xfrm>
                    <a:prstGeom prst="rect">
                      <a:avLst/>
                    </a:prstGeom>
                    <a:noFill/>
                    <a:ln>
                      <a:noFill/>
                    </a:ln>
                  </pic:spPr>
                </pic:pic>
              </a:graphicData>
            </a:graphic>
          </wp:inline>
        </w:drawing>
      </w:r>
    </w:p>
    <w:p w:rsidR="008A572A" w:rsidRDefault="008A572A" w:rsidP="008A572A">
      <w:pPr>
        <w:spacing w:before="60" w:after="60"/>
        <w:ind w:firstLine="567"/>
        <w:jc w:val="both"/>
        <w:rPr>
          <w:rFonts w:ascii="Verdana" w:hAnsi="Verdana"/>
          <w:sz w:val="16"/>
          <w:szCs w:val="16"/>
        </w:rPr>
      </w:pPr>
      <w:r w:rsidRPr="000A6485">
        <w:rPr>
          <w:rFonts w:ascii="Verdana" w:hAnsi="Verdana"/>
          <w:sz w:val="16"/>
          <w:szCs w:val="16"/>
        </w:rPr>
        <w:t xml:space="preserve">Łącznie w całym okresie objętym </w:t>
      </w:r>
      <w:r>
        <w:rPr>
          <w:rFonts w:ascii="Verdana" w:hAnsi="Verdana"/>
          <w:sz w:val="16"/>
          <w:szCs w:val="16"/>
        </w:rPr>
        <w:t xml:space="preserve">WPF </w:t>
      </w:r>
      <w:r w:rsidRPr="00932633">
        <w:rPr>
          <w:rFonts w:ascii="Verdana" w:eastAsiaTheme="minorEastAsia" w:hAnsi="Verdana" w:cs="Verdana"/>
          <w:color w:val="000000"/>
          <w:sz w:val="16"/>
          <w:szCs w:val="16"/>
        </w:rPr>
        <w:t>2023</w:t>
      </w:r>
      <w:r w:rsidRPr="000A6485">
        <w:rPr>
          <w:rFonts w:ascii="Verdana" w:hAnsi="Verdana"/>
          <w:sz w:val="16"/>
          <w:szCs w:val="16"/>
        </w:rPr>
        <w:t xml:space="preserve">-2050 na wydatki </w:t>
      </w:r>
      <w:r>
        <w:rPr>
          <w:rFonts w:ascii="Verdana" w:hAnsi="Verdana"/>
          <w:sz w:val="16"/>
          <w:szCs w:val="16"/>
        </w:rPr>
        <w:t>majątkowe (inwestycje)</w:t>
      </w:r>
      <w:r w:rsidRPr="000A6485">
        <w:rPr>
          <w:rFonts w:ascii="Verdana" w:hAnsi="Verdana"/>
          <w:sz w:val="16"/>
          <w:szCs w:val="16"/>
        </w:rPr>
        <w:t xml:space="preserve"> przeznaczono </w:t>
      </w:r>
      <w:r>
        <w:rPr>
          <w:rFonts w:ascii="Verdana" w:hAnsi="Verdana"/>
          <w:sz w:val="16"/>
          <w:szCs w:val="16"/>
        </w:rPr>
        <w:br/>
      </w:r>
      <w:r>
        <w:rPr>
          <w:rFonts w:ascii="Verdana" w:hAnsi="Verdana"/>
          <w:b/>
          <w:sz w:val="16"/>
          <w:szCs w:val="16"/>
        </w:rPr>
        <w:t>82,8</w:t>
      </w:r>
      <w:r w:rsidRPr="000A6485">
        <w:rPr>
          <w:rFonts w:ascii="Verdana" w:hAnsi="Verdana"/>
          <w:b/>
          <w:sz w:val="16"/>
          <w:szCs w:val="16"/>
        </w:rPr>
        <w:t xml:space="preserve"> mld zł</w:t>
      </w:r>
      <w:r w:rsidRPr="000A6485">
        <w:rPr>
          <w:rFonts w:ascii="Verdana" w:hAnsi="Verdana"/>
          <w:sz w:val="16"/>
          <w:szCs w:val="16"/>
        </w:rPr>
        <w:t>.</w:t>
      </w:r>
    </w:p>
    <w:p w:rsidR="008A572A" w:rsidRPr="000A6485" w:rsidRDefault="008A572A" w:rsidP="008A572A">
      <w:pPr>
        <w:spacing w:before="60" w:after="60"/>
        <w:ind w:firstLine="567"/>
        <w:jc w:val="both"/>
        <w:rPr>
          <w:rFonts w:ascii="Verdana" w:hAnsi="Verdana"/>
          <w:sz w:val="16"/>
          <w:szCs w:val="16"/>
        </w:rPr>
      </w:pPr>
      <w:r w:rsidRPr="001925BC">
        <w:rPr>
          <w:rFonts w:ascii="Verdana" w:eastAsiaTheme="minorHAnsi" w:hAnsi="Verdana" w:cs="Verdana"/>
          <w:b/>
          <w:bCs/>
          <w:sz w:val="16"/>
          <w:szCs w:val="16"/>
          <w:lang w:eastAsia="en-US"/>
        </w:rPr>
        <w:t>Ogólny</w:t>
      </w:r>
      <w:r w:rsidRPr="005D38F6">
        <w:rPr>
          <w:rFonts w:ascii="Verdana" w:eastAsiaTheme="minorHAnsi" w:hAnsi="Verdana" w:cs="Verdana"/>
          <w:b/>
          <w:bCs/>
          <w:sz w:val="16"/>
          <w:szCs w:val="16"/>
          <w:lang w:eastAsia="en-US"/>
        </w:rPr>
        <w:t xml:space="preserve"> poziom programu inwestycyjnego </w:t>
      </w:r>
      <w:r>
        <w:rPr>
          <w:rFonts w:ascii="Verdana" w:eastAsiaTheme="minorHAnsi" w:hAnsi="Verdana" w:cs="Verdana"/>
          <w:b/>
          <w:bCs/>
          <w:sz w:val="16"/>
          <w:szCs w:val="16"/>
          <w:lang w:eastAsia="en-US"/>
        </w:rPr>
        <w:t xml:space="preserve">zawarty w Wieloletniej Prognozie Finansowej edycji 2023-2050 do 2032 r. </w:t>
      </w:r>
      <w:r w:rsidRPr="005D38F6">
        <w:rPr>
          <w:rFonts w:ascii="Verdana" w:eastAsiaTheme="minorHAnsi" w:hAnsi="Verdana" w:cs="Verdana"/>
          <w:b/>
          <w:bCs/>
          <w:sz w:val="16"/>
          <w:szCs w:val="16"/>
          <w:lang w:eastAsia="en-US"/>
        </w:rPr>
        <w:t>nie ulega zmianie</w:t>
      </w:r>
      <w:r>
        <w:rPr>
          <w:rFonts w:ascii="Verdana" w:eastAsiaTheme="minorHAnsi" w:hAnsi="Verdana" w:cs="Verdana"/>
          <w:b/>
          <w:bCs/>
          <w:sz w:val="16"/>
          <w:szCs w:val="16"/>
          <w:lang w:eastAsia="en-US"/>
        </w:rPr>
        <w:t xml:space="preserve"> </w:t>
      </w:r>
      <w:r w:rsidRPr="005D38F6">
        <w:rPr>
          <w:rFonts w:ascii="Verdana" w:eastAsiaTheme="minorHAnsi" w:hAnsi="Verdana" w:cs="Verdana"/>
          <w:b/>
          <w:bCs/>
          <w:sz w:val="16"/>
          <w:szCs w:val="16"/>
          <w:lang w:eastAsia="en-US"/>
        </w:rPr>
        <w:t xml:space="preserve">w stosunku do Wieloletniej Prognozy Finansowej edycji </w:t>
      </w:r>
      <w:r>
        <w:rPr>
          <w:rFonts w:ascii="Verdana" w:eastAsiaTheme="minorHAnsi" w:hAnsi="Verdana" w:cs="Verdana"/>
          <w:b/>
          <w:bCs/>
          <w:sz w:val="16"/>
          <w:szCs w:val="16"/>
          <w:lang w:eastAsia="en-US"/>
        </w:rPr>
        <w:t>2022</w:t>
      </w:r>
      <w:r w:rsidRPr="005D38F6">
        <w:rPr>
          <w:rFonts w:ascii="Verdana" w:eastAsiaTheme="minorHAnsi" w:hAnsi="Verdana" w:cs="Verdana"/>
          <w:b/>
          <w:bCs/>
          <w:sz w:val="16"/>
          <w:szCs w:val="16"/>
          <w:lang w:eastAsia="en-US"/>
        </w:rPr>
        <w:t>-2050</w:t>
      </w:r>
      <w:r>
        <w:rPr>
          <w:rFonts w:ascii="Verdana" w:eastAsiaTheme="minorHAnsi" w:hAnsi="Verdana" w:cs="Verdana"/>
          <w:b/>
          <w:bCs/>
          <w:sz w:val="16"/>
          <w:szCs w:val="16"/>
          <w:lang w:eastAsia="en-US"/>
        </w:rPr>
        <w:t>,</w:t>
      </w:r>
      <w:r w:rsidRPr="00ED4BB6">
        <w:rPr>
          <w:rFonts w:ascii="Verdana" w:eastAsiaTheme="minorHAnsi" w:hAnsi="Verdana" w:cs="Verdana"/>
          <w:b/>
          <w:bCs/>
          <w:sz w:val="16"/>
          <w:szCs w:val="16"/>
          <w:lang w:eastAsia="en-US"/>
        </w:rPr>
        <w:t xml:space="preserve"> </w:t>
      </w:r>
      <w:r>
        <w:rPr>
          <w:rFonts w:ascii="Verdana" w:eastAsiaTheme="minorHAnsi" w:hAnsi="Verdana" w:cs="Verdana"/>
          <w:b/>
          <w:bCs/>
          <w:sz w:val="16"/>
          <w:szCs w:val="16"/>
          <w:lang w:eastAsia="en-US"/>
        </w:rPr>
        <w:t>poza zwiększeniem o 100 mln zł środków na inwestycje energooszczędnościowe</w:t>
      </w:r>
      <w:r w:rsidRPr="005D38F6">
        <w:rPr>
          <w:rFonts w:ascii="Verdana" w:eastAsiaTheme="minorHAnsi" w:hAnsi="Verdana" w:cs="Verdana"/>
          <w:b/>
          <w:bCs/>
          <w:sz w:val="16"/>
          <w:szCs w:val="16"/>
          <w:lang w:eastAsia="en-US"/>
        </w:rPr>
        <w:t xml:space="preserve">, z tym że modyfikacji podlega rozkład nakładów w latach zdeterminowany zmianami w harmonogramach realizacji inwestycji. </w:t>
      </w:r>
      <w:r>
        <w:rPr>
          <w:rFonts w:ascii="Verdana" w:eastAsiaTheme="minorHAnsi" w:hAnsi="Verdana" w:cs="Verdana"/>
          <w:b/>
          <w:bCs/>
          <w:sz w:val="16"/>
          <w:szCs w:val="16"/>
          <w:lang w:eastAsia="en-US"/>
        </w:rPr>
        <w:t xml:space="preserve">W konsekwencji ograniczeń dochodowych możliwe jest przeznaczenie w latach 2028-2030 na nakłady inwestycyjne od 3,8% do 6% wydatków. W kolejnych latach planowane jest sukcesywne zwiększanie poziomu finansowania inwestycji do poziomu 10% ogółu wydatków </w:t>
      </w:r>
      <w:r>
        <w:rPr>
          <w:rFonts w:ascii="Verdana" w:eastAsiaTheme="minorHAnsi" w:hAnsi="Verdana" w:cs="Verdana"/>
          <w:b/>
          <w:bCs/>
          <w:sz w:val="16"/>
          <w:szCs w:val="16"/>
          <w:lang w:eastAsia="en-US"/>
        </w:rPr>
        <w:br/>
        <w:t>w perspektywie 2035 r.</w:t>
      </w:r>
    </w:p>
    <w:p w:rsidR="008A572A" w:rsidRPr="000A6485" w:rsidRDefault="008A572A" w:rsidP="008A572A">
      <w:pPr>
        <w:spacing w:before="60" w:after="60"/>
        <w:ind w:firstLine="567"/>
        <w:jc w:val="both"/>
        <w:rPr>
          <w:rFonts w:ascii="Verdana" w:hAnsi="Verdana"/>
          <w:sz w:val="16"/>
          <w:szCs w:val="16"/>
        </w:rPr>
      </w:pPr>
      <w:r w:rsidRPr="000A6485">
        <w:rPr>
          <w:rFonts w:ascii="Verdana" w:hAnsi="Verdana"/>
          <w:sz w:val="16"/>
          <w:szCs w:val="16"/>
        </w:rPr>
        <w:t xml:space="preserve">Prognozuje się, iż </w:t>
      </w:r>
      <w:r>
        <w:rPr>
          <w:rFonts w:ascii="Verdana" w:hAnsi="Verdana"/>
          <w:sz w:val="16"/>
          <w:szCs w:val="16"/>
        </w:rPr>
        <w:t xml:space="preserve">w okresie WPF </w:t>
      </w:r>
      <w:r w:rsidRPr="00932633">
        <w:rPr>
          <w:rFonts w:ascii="Verdana" w:eastAsiaTheme="minorEastAsia" w:hAnsi="Verdana" w:cs="Verdana"/>
          <w:color w:val="000000"/>
          <w:sz w:val="16"/>
          <w:szCs w:val="16"/>
        </w:rPr>
        <w:t>2023</w:t>
      </w:r>
      <w:r w:rsidRPr="000A6485">
        <w:rPr>
          <w:rFonts w:ascii="Verdana" w:hAnsi="Verdana"/>
          <w:sz w:val="16"/>
          <w:szCs w:val="16"/>
        </w:rPr>
        <w:t>-2050</w:t>
      </w:r>
      <w:r>
        <w:rPr>
          <w:rFonts w:ascii="Verdana" w:hAnsi="Verdana"/>
          <w:sz w:val="16"/>
          <w:szCs w:val="16"/>
        </w:rPr>
        <w:t xml:space="preserve"> </w:t>
      </w:r>
      <w:r w:rsidRPr="000A6485">
        <w:rPr>
          <w:rFonts w:ascii="Verdana" w:hAnsi="Verdana"/>
          <w:sz w:val="16"/>
          <w:szCs w:val="16"/>
        </w:rPr>
        <w:t>dofinansowanie z budżetu Unii Europejskiej z perspektywy finanso</w:t>
      </w:r>
      <w:r>
        <w:rPr>
          <w:rFonts w:ascii="Verdana" w:hAnsi="Verdana"/>
          <w:sz w:val="16"/>
          <w:szCs w:val="16"/>
        </w:rPr>
        <w:t>wej obejmującej lata 2014-2020</w:t>
      </w:r>
      <w:r w:rsidRPr="000A6485">
        <w:rPr>
          <w:rFonts w:ascii="Verdana" w:hAnsi="Verdana"/>
          <w:sz w:val="16"/>
          <w:szCs w:val="16"/>
        </w:rPr>
        <w:t xml:space="preserve"> do inwestycji realizowanych przez m.st. Warszawa wyniesie </w:t>
      </w:r>
      <w:r>
        <w:rPr>
          <w:rFonts w:ascii="Verdana" w:hAnsi="Verdana"/>
          <w:sz w:val="16"/>
          <w:szCs w:val="16"/>
        </w:rPr>
        <w:br/>
      </w:r>
      <w:r>
        <w:rPr>
          <w:rFonts w:ascii="Verdana" w:hAnsi="Verdana"/>
          <w:b/>
          <w:sz w:val="16"/>
          <w:szCs w:val="16"/>
        </w:rPr>
        <w:t>1,027</w:t>
      </w:r>
      <w:r w:rsidRPr="000A6485">
        <w:rPr>
          <w:rFonts w:ascii="Verdana" w:hAnsi="Verdana"/>
          <w:b/>
          <w:sz w:val="16"/>
          <w:szCs w:val="16"/>
        </w:rPr>
        <w:t xml:space="preserve"> mld zł</w:t>
      </w:r>
      <w:r>
        <w:rPr>
          <w:rFonts w:ascii="Verdana" w:hAnsi="Verdana"/>
          <w:sz w:val="16"/>
          <w:szCs w:val="16"/>
        </w:rPr>
        <w:t xml:space="preserve"> (w tym refundacja wydatków poniesionych przed 2023 r.)</w:t>
      </w:r>
      <w:r w:rsidRPr="000A6485">
        <w:rPr>
          <w:rFonts w:ascii="Verdana" w:hAnsi="Verdana"/>
          <w:sz w:val="16"/>
          <w:szCs w:val="16"/>
        </w:rPr>
        <w:t xml:space="preserve">. Całkowita wartość projektów </w:t>
      </w:r>
      <w:r>
        <w:rPr>
          <w:rFonts w:ascii="Verdana" w:hAnsi="Verdana"/>
          <w:sz w:val="16"/>
          <w:szCs w:val="16"/>
        </w:rPr>
        <w:t xml:space="preserve">inwestycyjnych </w:t>
      </w:r>
      <w:r w:rsidRPr="000A6485">
        <w:rPr>
          <w:rFonts w:ascii="Verdana" w:hAnsi="Verdana"/>
          <w:sz w:val="16"/>
          <w:szCs w:val="16"/>
        </w:rPr>
        <w:t>dofinansowywanych ze środków unijnych (wkład własny i unijny)</w:t>
      </w:r>
      <w:r>
        <w:rPr>
          <w:rFonts w:ascii="Verdana" w:hAnsi="Verdana"/>
          <w:sz w:val="16"/>
          <w:szCs w:val="16"/>
        </w:rPr>
        <w:t xml:space="preserve">, w latach objętych WPF </w:t>
      </w:r>
      <w:r w:rsidRPr="00932633">
        <w:rPr>
          <w:rFonts w:ascii="Verdana" w:eastAsiaTheme="minorEastAsia" w:hAnsi="Verdana" w:cs="Verdana"/>
          <w:color w:val="000000"/>
          <w:sz w:val="16"/>
          <w:szCs w:val="16"/>
        </w:rPr>
        <w:t>2023</w:t>
      </w:r>
      <w:r w:rsidRPr="000A6485">
        <w:rPr>
          <w:rFonts w:ascii="Verdana" w:hAnsi="Verdana"/>
          <w:sz w:val="16"/>
          <w:szCs w:val="16"/>
        </w:rPr>
        <w:t>-2050</w:t>
      </w:r>
      <w:r>
        <w:rPr>
          <w:rFonts w:ascii="Verdana" w:hAnsi="Verdana"/>
          <w:sz w:val="16"/>
          <w:szCs w:val="16"/>
        </w:rPr>
        <w:t>,</w:t>
      </w:r>
      <w:r w:rsidRPr="000A6485">
        <w:rPr>
          <w:rFonts w:ascii="Verdana" w:hAnsi="Verdana"/>
          <w:sz w:val="16"/>
          <w:szCs w:val="16"/>
        </w:rPr>
        <w:t xml:space="preserve"> wyniesie </w:t>
      </w:r>
      <w:r>
        <w:rPr>
          <w:rFonts w:ascii="Verdana" w:hAnsi="Verdana"/>
          <w:b/>
          <w:sz w:val="16"/>
          <w:szCs w:val="16"/>
        </w:rPr>
        <w:t>786,3 mln</w:t>
      </w:r>
      <w:r w:rsidRPr="000A6485">
        <w:rPr>
          <w:rFonts w:ascii="Verdana" w:hAnsi="Verdana"/>
          <w:b/>
          <w:sz w:val="16"/>
          <w:szCs w:val="16"/>
        </w:rPr>
        <w:t xml:space="preserve"> zł</w:t>
      </w:r>
      <w:r w:rsidRPr="000A6485">
        <w:rPr>
          <w:rFonts w:ascii="Verdana" w:hAnsi="Verdana"/>
          <w:sz w:val="16"/>
          <w:szCs w:val="16"/>
        </w:rPr>
        <w:t>.</w:t>
      </w:r>
    </w:p>
    <w:p w:rsidR="008A572A" w:rsidRPr="000A6485" w:rsidRDefault="008A572A" w:rsidP="008A572A">
      <w:pPr>
        <w:spacing w:before="60" w:after="60"/>
        <w:ind w:firstLine="567"/>
        <w:jc w:val="both"/>
        <w:rPr>
          <w:rFonts w:ascii="Verdana" w:hAnsi="Verdana"/>
          <w:sz w:val="16"/>
          <w:szCs w:val="16"/>
        </w:rPr>
      </w:pPr>
      <w:r w:rsidRPr="000A6485">
        <w:rPr>
          <w:rFonts w:ascii="Verdana" w:hAnsi="Verdana"/>
          <w:sz w:val="16"/>
          <w:szCs w:val="16"/>
        </w:rPr>
        <w:t xml:space="preserve">Koncentracja nakładów inwestycyjnych zakładana jest na lata </w:t>
      </w:r>
      <w:r>
        <w:rPr>
          <w:rFonts w:ascii="Verdana" w:hAnsi="Verdana"/>
          <w:sz w:val="16"/>
          <w:szCs w:val="16"/>
        </w:rPr>
        <w:t>2023-2027</w:t>
      </w:r>
      <w:r w:rsidRPr="000A6485">
        <w:rPr>
          <w:rFonts w:ascii="Verdana" w:hAnsi="Verdana"/>
          <w:sz w:val="16"/>
          <w:szCs w:val="16"/>
        </w:rPr>
        <w:t>. W okresie tym planuje się realizację szeregu kluczowych programów i inwestycji, tj.:</w:t>
      </w:r>
    </w:p>
    <w:p w:rsidR="008A572A" w:rsidRPr="000A6485" w:rsidRDefault="008A572A" w:rsidP="008A572A">
      <w:pPr>
        <w:spacing w:before="60" w:after="60"/>
        <w:jc w:val="both"/>
        <w:rPr>
          <w:rFonts w:ascii="Verdana" w:hAnsi="Verdana"/>
          <w:i/>
          <w:sz w:val="16"/>
          <w:szCs w:val="16"/>
        </w:rPr>
      </w:pPr>
      <w:r w:rsidRPr="000A6485">
        <w:rPr>
          <w:rFonts w:ascii="Verdana" w:hAnsi="Verdana"/>
          <w:i/>
          <w:sz w:val="16"/>
          <w:szCs w:val="16"/>
        </w:rPr>
        <w:t>programy</w:t>
      </w:r>
    </w:p>
    <w:p w:rsidR="008A572A" w:rsidRPr="000A6485" w:rsidRDefault="008A572A" w:rsidP="008A572A">
      <w:pPr>
        <w:pStyle w:val="Akapitzlist"/>
        <w:numPr>
          <w:ilvl w:val="0"/>
          <w:numId w:val="26"/>
        </w:numPr>
        <w:spacing w:before="60" w:after="60"/>
        <w:ind w:left="567" w:hanging="207"/>
        <w:contextualSpacing w:val="0"/>
        <w:jc w:val="both"/>
        <w:rPr>
          <w:rFonts w:ascii="Verdana" w:hAnsi="Verdana" w:cs="Arial"/>
          <w:iCs/>
          <w:sz w:val="16"/>
          <w:szCs w:val="16"/>
        </w:rPr>
      </w:pPr>
      <w:r w:rsidRPr="000A6485">
        <w:rPr>
          <w:rFonts w:ascii="Verdana" w:hAnsi="Verdana" w:cs="Arial"/>
          <w:iCs/>
          <w:sz w:val="16"/>
          <w:szCs w:val="16"/>
        </w:rPr>
        <w:t>„Walka ze smogiem”,</w:t>
      </w:r>
    </w:p>
    <w:p w:rsidR="008A572A" w:rsidRPr="000A6485" w:rsidRDefault="008A572A" w:rsidP="008A572A">
      <w:pPr>
        <w:pStyle w:val="Akapitzlist"/>
        <w:numPr>
          <w:ilvl w:val="0"/>
          <w:numId w:val="26"/>
        </w:numPr>
        <w:spacing w:before="60" w:after="60"/>
        <w:ind w:left="567" w:hanging="207"/>
        <w:contextualSpacing w:val="0"/>
        <w:jc w:val="both"/>
        <w:rPr>
          <w:rFonts w:ascii="Verdana" w:hAnsi="Verdana" w:cs="Arial"/>
          <w:iCs/>
          <w:sz w:val="16"/>
          <w:szCs w:val="16"/>
        </w:rPr>
      </w:pPr>
      <w:r w:rsidRPr="000A6485">
        <w:rPr>
          <w:rFonts w:ascii="Verdana" w:hAnsi="Verdana" w:cs="Arial"/>
          <w:iCs/>
          <w:sz w:val="16"/>
          <w:szCs w:val="16"/>
        </w:rPr>
        <w:t>przebudowa, rozbudowa lub modernizacja ulic,</w:t>
      </w:r>
      <w:r w:rsidRPr="00BF0631">
        <w:rPr>
          <w:rFonts w:ascii="Verdana" w:hAnsi="Verdana"/>
          <w:b/>
          <w:noProof/>
          <w:sz w:val="16"/>
          <w:szCs w:val="16"/>
        </w:rPr>
        <w:t xml:space="preserve"> </w:t>
      </w:r>
    </w:p>
    <w:p w:rsidR="008A572A" w:rsidRPr="000A6485" w:rsidRDefault="008A572A" w:rsidP="008A572A">
      <w:pPr>
        <w:pStyle w:val="Akapitzlist"/>
        <w:numPr>
          <w:ilvl w:val="0"/>
          <w:numId w:val="26"/>
        </w:numPr>
        <w:spacing w:before="60" w:after="60"/>
        <w:ind w:left="567" w:hanging="207"/>
        <w:contextualSpacing w:val="0"/>
        <w:jc w:val="both"/>
        <w:rPr>
          <w:rFonts w:ascii="Verdana" w:hAnsi="Verdana" w:cs="Arial"/>
          <w:iCs/>
          <w:sz w:val="16"/>
          <w:szCs w:val="16"/>
        </w:rPr>
      </w:pPr>
      <w:r w:rsidRPr="000A6485">
        <w:rPr>
          <w:rFonts w:ascii="Verdana" w:hAnsi="Verdana" w:cs="Arial"/>
          <w:iCs/>
          <w:sz w:val="16"/>
          <w:szCs w:val="16"/>
        </w:rPr>
        <w:t>program poprawy bezpieczeństwa ruchu drogowego,</w:t>
      </w:r>
    </w:p>
    <w:p w:rsidR="008A572A" w:rsidRPr="000A6485" w:rsidRDefault="008A572A" w:rsidP="008A572A">
      <w:pPr>
        <w:pStyle w:val="Akapitzlist"/>
        <w:numPr>
          <w:ilvl w:val="0"/>
          <w:numId w:val="26"/>
        </w:numPr>
        <w:spacing w:before="60" w:after="60"/>
        <w:ind w:left="567" w:hanging="207"/>
        <w:contextualSpacing w:val="0"/>
        <w:jc w:val="both"/>
        <w:rPr>
          <w:rFonts w:ascii="Verdana" w:hAnsi="Verdana" w:cs="Arial"/>
          <w:iCs/>
          <w:sz w:val="16"/>
          <w:szCs w:val="16"/>
        </w:rPr>
      </w:pPr>
      <w:r w:rsidRPr="000A6485">
        <w:rPr>
          <w:rFonts w:ascii="Verdana" w:hAnsi="Verdana" w:cs="Arial"/>
          <w:iCs/>
          <w:sz w:val="16"/>
          <w:szCs w:val="16"/>
        </w:rPr>
        <w:t>budowa i modernizacja zasobu komunalnego (nowe budynki komunalne, doposażenie w ciepło sieciowe, windy, rewitalizacja i modernizacja istniejącego zasobu),</w:t>
      </w:r>
    </w:p>
    <w:p w:rsidR="008A572A" w:rsidRPr="000A6485" w:rsidRDefault="008A572A" w:rsidP="008A572A">
      <w:pPr>
        <w:pStyle w:val="Akapitzlist"/>
        <w:numPr>
          <w:ilvl w:val="0"/>
          <w:numId w:val="26"/>
        </w:numPr>
        <w:spacing w:before="60" w:after="60"/>
        <w:ind w:left="567" w:hanging="207"/>
        <w:contextualSpacing w:val="0"/>
        <w:jc w:val="both"/>
        <w:rPr>
          <w:rFonts w:ascii="Verdana" w:hAnsi="Verdana" w:cs="Arial"/>
          <w:iCs/>
          <w:sz w:val="16"/>
          <w:szCs w:val="16"/>
        </w:rPr>
      </w:pPr>
      <w:r w:rsidRPr="000A6485">
        <w:rPr>
          <w:rFonts w:ascii="Verdana" w:hAnsi="Verdana" w:cs="Arial"/>
          <w:iCs/>
          <w:sz w:val="16"/>
          <w:szCs w:val="16"/>
        </w:rPr>
        <w:t>budowa, przebudowa lub modernizacja żłobków, przedszkoli i szkół,</w:t>
      </w:r>
    </w:p>
    <w:p w:rsidR="008A572A" w:rsidRPr="000A6485" w:rsidRDefault="008A572A" w:rsidP="008A572A">
      <w:pPr>
        <w:pStyle w:val="Akapitzlist"/>
        <w:numPr>
          <w:ilvl w:val="0"/>
          <w:numId w:val="26"/>
        </w:numPr>
        <w:spacing w:before="60" w:after="60"/>
        <w:ind w:left="567" w:hanging="207"/>
        <w:contextualSpacing w:val="0"/>
        <w:jc w:val="both"/>
        <w:rPr>
          <w:rFonts w:ascii="Verdana" w:hAnsi="Verdana" w:cs="Arial"/>
          <w:iCs/>
          <w:sz w:val="16"/>
          <w:szCs w:val="16"/>
        </w:rPr>
      </w:pPr>
      <w:r w:rsidRPr="000A6485">
        <w:rPr>
          <w:rFonts w:ascii="Verdana" w:hAnsi="Verdana" w:cs="Arial"/>
          <w:iCs/>
          <w:sz w:val="16"/>
          <w:szCs w:val="16"/>
        </w:rPr>
        <w:t>rozwój infrastruktury w zakresie opieki społecznej,</w:t>
      </w:r>
    </w:p>
    <w:p w:rsidR="008A572A" w:rsidRPr="000A6485" w:rsidRDefault="008A572A" w:rsidP="008A572A">
      <w:pPr>
        <w:pStyle w:val="Akapitzlist"/>
        <w:numPr>
          <w:ilvl w:val="0"/>
          <w:numId w:val="26"/>
        </w:numPr>
        <w:spacing w:before="60" w:after="60"/>
        <w:ind w:left="567" w:hanging="207"/>
        <w:contextualSpacing w:val="0"/>
        <w:jc w:val="both"/>
        <w:rPr>
          <w:rFonts w:ascii="Verdana" w:hAnsi="Verdana" w:cs="Arial"/>
          <w:iCs/>
          <w:sz w:val="16"/>
          <w:szCs w:val="16"/>
        </w:rPr>
      </w:pPr>
      <w:r w:rsidRPr="000A6485">
        <w:rPr>
          <w:rFonts w:ascii="Verdana" w:hAnsi="Verdana" w:cs="Arial"/>
          <w:iCs/>
          <w:sz w:val="16"/>
          <w:szCs w:val="16"/>
        </w:rPr>
        <w:lastRenderedPageBreak/>
        <w:t>przebudowa, rozbudowa lub modernizacja szpitali i przychodni,</w:t>
      </w:r>
    </w:p>
    <w:p w:rsidR="008A572A" w:rsidRPr="000A6485" w:rsidRDefault="008A572A" w:rsidP="008A572A">
      <w:pPr>
        <w:pStyle w:val="Akapitzlist"/>
        <w:numPr>
          <w:ilvl w:val="0"/>
          <w:numId w:val="26"/>
        </w:numPr>
        <w:spacing w:before="60" w:after="60"/>
        <w:ind w:left="567" w:hanging="207"/>
        <w:contextualSpacing w:val="0"/>
        <w:jc w:val="both"/>
        <w:rPr>
          <w:rFonts w:ascii="Verdana" w:hAnsi="Verdana" w:cs="Arial"/>
          <w:iCs/>
          <w:sz w:val="16"/>
          <w:szCs w:val="16"/>
        </w:rPr>
      </w:pPr>
      <w:r w:rsidRPr="000A6485">
        <w:rPr>
          <w:rFonts w:ascii="Verdana" w:hAnsi="Verdana" w:cs="Arial"/>
          <w:iCs/>
          <w:sz w:val="16"/>
          <w:szCs w:val="16"/>
        </w:rPr>
        <w:t>budowa centrów lokalnych – bazary, skwery, centra kulturalne,</w:t>
      </w:r>
    </w:p>
    <w:p w:rsidR="008A572A" w:rsidRPr="000A6485" w:rsidRDefault="008A572A" w:rsidP="008A572A">
      <w:pPr>
        <w:pStyle w:val="Akapitzlist"/>
        <w:numPr>
          <w:ilvl w:val="0"/>
          <w:numId w:val="26"/>
        </w:numPr>
        <w:spacing w:before="60" w:after="60"/>
        <w:ind w:left="567" w:hanging="207"/>
        <w:contextualSpacing w:val="0"/>
        <w:jc w:val="both"/>
        <w:rPr>
          <w:rFonts w:ascii="Verdana" w:hAnsi="Verdana" w:cs="Arial"/>
          <w:iCs/>
          <w:sz w:val="16"/>
          <w:szCs w:val="16"/>
        </w:rPr>
      </w:pPr>
      <w:r w:rsidRPr="000A6485">
        <w:rPr>
          <w:rFonts w:ascii="Verdana" w:hAnsi="Verdana" w:cs="Arial"/>
          <w:iCs/>
          <w:sz w:val="16"/>
          <w:szCs w:val="16"/>
        </w:rPr>
        <w:t xml:space="preserve">tworzenie i rewitalizacja terenów zieleni oraz miejsc sportu i rekreacji, </w:t>
      </w:r>
    </w:p>
    <w:p w:rsidR="008A572A" w:rsidRPr="000A6485" w:rsidRDefault="008A572A" w:rsidP="008A572A">
      <w:pPr>
        <w:pStyle w:val="Akapitzlist"/>
        <w:spacing w:before="60" w:after="60"/>
        <w:ind w:left="0"/>
        <w:contextualSpacing w:val="0"/>
        <w:jc w:val="both"/>
        <w:rPr>
          <w:rFonts w:ascii="Verdana" w:hAnsi="Verdana" w:cs="Arial"/>
          <w:i/>
          <w:iCs/>
          <w:sz w:val="16"/>
          <w:szCs w:val="16"/>
        </w:rPr>
      </w:pPr>
      <w:r w:rsidRPr="000A6485">
        <w:rPr>
          <w:rFonts w:ascii="Verdana" w:hAnsi="Verdana" w:cs="Arial"/>
          <w:i/>
          <w:iCs/>
          <w:sz w:val="16"/>
          <w:szCs w:val="16"/>
        </w:rPr>
        <w:t>inwestycje</w:t>
      </w:r>
    </w:p>
    <w:p w:rsidR="008A572A" w:rsidRPr="000A6485" w:rsidRDefault="008A572A" w:rsidP="008A572A">
      <w:pPr>
        <w:pStyle w:val="Akapitzlist"/>
        <w:numPr>
          <w:ilvl w:val="0"/>
          <w:numId w:val="26"/>
        </w:numPr>
        <w:spacing w:before="60" w:after="60"/>
        <w:ind w:left="567" w:hanging="207"/>
        <w:contextualSpacing w:val="0"/>
        <w:jc w:val="both"/>
        <w:rPr>
          <w:rFonts w:ascii="Verdana" w:hAnsi="Verdana" w:cs="Arial"/>
          <w:iCs/>
          <w:sz w:val="16"/>
          <w:szCs w:val="16"/>
        </w:rPr>
      </w:pPr>
      <w:r w:rsidRPr="000A6485">
        <w:rPr>
          <w:rFonts w:ascii="Verdana" w:hAnsi="Verdana" w:cs="Arial"/>
          <w:iCs/>
          <w:sz w:val="16"/>
          <w:szCs w:val="16"/>
        </w:rPr>
        <w:t>rozbudowa II linii metra,</w:t>
      </w:r>
    </w:p>
    <w:p w:rsidR="008A572A" w:rsidRPr="000A6485" w:rsidRDefault="008A572A" w:rsidP="008A572A">
      <w:pPr>
        <w:pStyle w:val="Akapitzlist"/>
        <w:numPr>
          <w:ilvl w:val="0"/>
          <w:numId w:val="26"/>
        </w:numPr>
        <w:spacing w:before="60" w:after="60"/>
        <w:ind w:left="567" w:hanging="207"/>
        <w:contextualSpacing w:val="0"/>
        <w:jc w:val="both"/>
        <w:rPr>
          <w:rFonts w:ascii="Verdana" w:hAnsi="Verdana" w:cs="Arial"/>
          <w:iCs/>
          <w:sz w:val="16"/>
          <w:szCs w:val="16"/>
        </w:rPr>
      </w:pPr>
      <w:r w:rsidRPr="000A6485">
        <w:rPr>
          <w:rFonts w:ascii="Verdana" w:hAnsi="Verdana" w:cs="Arial"/>
          <w:iCs/>
          <w:sz w:val="16"/>
          <w:szCs w:val="16"/>
        </w:rPr>
        <w:t>budowa Muzeum Sztuki Nowoczesnej,</w:t>
      </w:r>
    </w:p>
    <w:p w:rsidR="008A572A" w:rsidRPr="000A6485" w:rsidRDefault="008A572A" w:rsidP="008A572A">
      <w:pPr>
        <w:pStyle w:val="Akapitzlist"/>
        <w:numPr>
          <w:ilvl w:val="0"/>
          <w:numId w:val="26"/>
        </w:numPr>
        <w:spacing w:before="60" w:after="60"/>
        <w:ind w:left="567" w:hanging="207"/>
        <w:contextualSpacing w:val="0"/>
        <w:jc w:val="both"/>
        <w:rPr>
          <w:rFonts w:ascii="Verdana" w:hAnsi="Verdana" w:cs="Arial"/>
          <w:iCs/>
          <w:sz w:val="16"/>
          <w:szCs w:val="16"/>
        </w:rPr>
      </w:pPr>
      <w:r w:rsidRPr="000A6485">
        <w:rPr>
          <w:rFonts w:ascii="Verdana" w:hAnsi="Verdana" w:cs="Arial"/>
          <w:iCs/>
          <w:sz w:val="16"/>
          <w:szCs w:val="16"/>
        </w:rPr>
        <w:t xml:space="preserve">budowa Teatru Rozmaitości, </w:t>
      </w:r>
    </w:p>
    <w:p w:rsidR="008A572A" w:rsidRPr="00BF0631" w:rsidRDefault="008A572A" w:rsidP="008A572A">
      <w:pPr>
        <w:pStyle w:val="Akapitzlist"/>
        <w:numPr>
          <w:ilvl w:val="0"/>
          <w:numId w:val="26"/>
        </w:numPr>
        <w:spacing w:before="60" w:after="60"/>
        <w:ind w:left="567" w:hanging="207"/>
        <w:contextualSpacing w:val="0"/>
        <w:jc w:val="both"/>
        <w:rPr>
          <w:rFonts w:ascii="Verdana" w:hAnsi="Verdana" w:cs="Arial"/>
          <w:iCs/>
          <w:sz w:val="16"/>
          <w:szCs w:val="16"/>
        </w:rPr>
      </w:pPr>
      <w:r w:rsidRPr="000A6485">
        <w:rPr>
          <w:rFonts w:ascii="Verdana" w:hAnsi="Verdana" w:cs="Arial"/>
          <w:iCs/>
          <w:sz w:val="16"/>
          <w:szCs w:val="16"/>
        </w:rPr>
        <w:t xml:space="preserve">Europejskie Centrum Muzyki </w:t>
      </w:r>
      <w:proofErr w:type="spellStart"/>
      <w:r w:rsidRPr="000A6485">
        <w:rPr>
          <w:rFonts w:ascii="Verdana" w:hAnsi="Verdana" w:cs="Arial"/>
          <w:iCs/>
          <w:sz w:val="16"/>
          <w:szCs w:val="16"/>
        </w:rPr>
        <w:t>Sinfonia</w:t>
      </w:r>
      <w:proofErr w:type="spellEnd"/>
      <w:r w:rsidRPr="000A6485">
        <w:rPr>
          <w:rFonts w:ascii="Verdana" w:hAnsi="Verdana" w:cs="Arial"/>
          <w:iCs/>
          <w:sz w:val="16"/>
          <w:szCs w:val="16"/>
        </w:rPr>
        <w:t xml:space="preserve"> </w:t>
      </w:r>
      <w:proofErr w:type="spellStart"/>
      <w:r w:rsidRPr="000A6485">
        <w:rPr>
          <w:rFonts w:ascii="Verdana" w:hAnsi="Verdana" w:cs="Arial"/>
          <w:iCs/>
          <w:sz w:val="16"/>
          <w:szCs w:val="16"/>
        </w:rPr>
        <w:t>Varsovia</w:t>
      </w:r>
      <w:proofErr w:type="spellEnd"/>
      <w:r w:rsidRPr="000A6485">
        <w:rPr>
          <w:rFonts w:ascii="Verdana" w:hAnsi="Verdana" w:cs="Arial"/>
          <w:iCs/>
          <w:sz w:val="16"/>
          <w:szCs w:val="16"/>
        </w:rPr>
        <w:t xml:space="preserve"> - modernizacja zabytkowych obiekt</w:t>
      </w:r>
      <w:r>
        <w:rPr>
          <w:rFonts w:ascii="Verdana" w:hAnsi="Verdana" w:cs="Arial"/>
          <w:iCs/>
          <w:sz w:val="16"/>
          <w:szCs w:val="16"/>
        </w:rPr>
        <w:t>ów oraz budowa sali koncertowej.</w:t>
      </w:r>
    </w:p>
    <w:p w:rsidR="008A572A" w:rsidRPr="000A6485" w:rsidRDefault="008A572A" w:rsidP="008A572A">
      <w:pPr>
        <w:spacing w:before="60" w:after="60"/>
        <w:ind w:firstLine="540"/>
        <w:jc w:val="both"/>
        <w:rPr>
          <w:rFonts w:ascii="Verdana" w:hAnsi="Verdana" w:cs="Arial"/>
          <w:sz w:val="16"/>
          <w:szCs w:val="16"/>
        </w:rPr>
      </w:pPr>
      <w:r w:rsidRPr="000A6485">
        <w:rPr>
          <w:rFonts w:ascii="Verdana" w:hAnsi="Verdana" w:cs="Arial"/>
          <w:sz w:val="16"/>
          <w:szCs w:val="16"/>
        </w:rPr>
        <w:t>Przedsięwzięcia inwestycyjne zostały zaprezentowane w układzie programów obejmujących przedsięwzięcia ogólnomiejskie realizowane przez jednostki miejskie i biura Urzędu m.st. Warszawy oraz przedsięwzięcia dzielnicowe, zaplanowane i rekomendowane do realizacji (w ramach przyznanych limitów finansowych) przez zarządy i rady poszczególnych dzielnic.</w:t>
      </w:r>
    </w:p>
    <w:p w:rsidR="008A572A" w:rsidRPr="000A6485" w:rsidRDefault="008A572A" w:rsidP="008A572A">
      <w:pPr>
        <w:spacing w:before="60" w:after="60"/>
        <w:ind w:firstLine="540"/>
        <w:jc w:val="both"/>
        <w:rPr>
          <w:rFonts w:ascii="Verdana" w:hAnsi="Verdana" w:cs="Arial"/>
          <w:sz w:val="18"/>
          <w:szCs w:val="18"/>
        </w:rPr>
      </w:pPr>
      <w:r w:rsidRPr="000A6485">
        <w:rPr>
          <w:rFonts w:ascii="Verdana" w:hAnsi="Verdana" w:cs="Arial"/>
          <w:sz w:val="16"/>
          <w:szCs w:val="16"/>
        </w:rPr>
        <w:t>W dokumencie ujęto przedsięwzięcia realizowane i planowane do realizacji przy współfinansowaniu środkami Unii Europejskiej oraz innych źródeł pomocowych.</w:t>
      </w:r>
      <w:r w:rsidRPr="000A6485">
        <w:rPr>
          <w:rFonts w:ascii="Verdana" w:hAnsi="Verdana" w:cs="Arial"/>
          <w:sz w:val="18"/>
          <w:szCs w:val="18"/>
        </w:rPr>
        <w:t xml:space="preserve">  </w:t>
      </w:r>
    </w:p>
    <w:p w:rsidR="008A572A" w:rsidRDefault="008A572A" w:rsidP="008A572A">
      <w:pPr>
        <w:spacing w:before="120" w:after="120"/>
        <w:ind w:firstLine="540"/>
        <w:jc w:val="both"/>
        <w:rPr>
          <w:rFonts w:ascii="Verdana" w:hAnsi="Verdana" w:cs="Arial"/>
          <w:sz w:val="18"/>
          <w:szCs w:val="18"/>
        </w:rPr>
      </w:pPr>
    </w:p>
    <w:p w:rsidR="008A572A" w:rsidRPr="000A6485" w:rsidRDefault="008A572A" w:rsidP="008A572A">
      <w:pPr>
        <w:spacing w:before="240" w:after="240" w:line="240" w:lineRule="auto"/>
        <w:ind w:left="425" w:hanging="425"/>
        <w:rPr>
          <w:rFonts w:ascii="Verdana" w:hAnsi="Verdana"/>
          <w:b/>
          <w:bCs/>
          <w:sz w:val="22"/>
          <w:szCs w:val="22"/>
        </w:rPr>
      </w:pPr>
      <w:r w:rsidRPr="000A6485">
        <w:rPr>
          <w:rFonts w:ascii="Verdana" w:hAnsi="Verdana"/>
          <w:b/>
          <w:bCs/>
          <w:sz w:val="22"/>
          <w:szCs w:val="22"/>
        </w:rPr>
        <w:t xml:space="preserve">8.  Wypełnienie ustawowych norm ostrożnościowych </w:t>
      </w:r>
      <w:r w:rsidRPr="000A6485">
        <w:rPr>
          <w:rFonts w:ascii="Verdana" w:hAnsi="Verdana"/>
          <w:b/>
          <w:bCs/>
          <w:sz w:val="22"/>
          <w:szCs w:val="22"/>
        </w:rPr>
        <w:br/>
        <w:t>w Wieloletniej Prognoz</w:t>
      </w:r>
      <w:r>
        <w:rPr>
          <w:rFonts w:ascii="Verdana" w:hAnsi="Verdana"/>
          <w:b/>
          <w:bCs/>
          <w:sz w:val="22"/>
          <w:szCs w:val="22"/>
        </w:rPr>
        <w:t>ie</w:t>
      </w:r>
      <w:r w:rsidRPr="000A6485">
        <w:rPr>
          <w:rFonts w:ascii="Verdana" w:hAnsi="Verdana"/>
          <w:b/>
          <w:bCs/>
          <w:sz w:val="22"/>
          <w:szCs w:val="22"/>
        </w:rPr>
        <w:t xml:space="preserve"> Finansowej m.st. Warszawy </w:t>
      </w:r>
      <w:r w:rsidRPr="000A6485">
        <w:rPr>
          <w:rFonts w:ascii="Verdana" w:hAnsi="Verdana"/>
          <w:b/>
          <w:bCs/>
          <w:sz w:val="22"/>
          <w:szCs w:val="22"/>
        </w:rPr>
        <w:br/>
      </w:r>
      <w:r>
        <w:rPr>
          <w:rFonts w:ascii="Verdana" w:hAnsi="Verdana"/>
          <w:b/>
          <w:bCs/>
          <w:sz w:val="22"/>
          <w:szCs w:val="22"/>
        </w:rPr>
        <w:t xml:space="preserve">na lata </w:t>
      </w:r>
      <w:r w:rsidRPr="00932633">
        <w:rPr>
          <w:rFonts w:ascii="Verdana" w:hAnsi="Verdana"/>
          <w:b/>
          <w:bCs/>
          <w:sz w:val="22"/>
          <w:szCs w:val="22"/>
        </w:rPr>
        <w:t>2023</w:t>
      </w:r>
      <w:r w:rsidRPr="000A6485">
        <w:rPr>
          <w:rFonts w:ascii="Verdana" w:hAnsi="Verdana"/>
          <w:b/>
          <w:bCs/>
          <w:sz w:val="22"/>
          <w:szCs w:val="22"/>
        </w:rPr>
        <w:t>-2050</w:t>
      </w:r>
    </w:p>
    <w:p w:rsidR="008A572A" w:rsidRPr="000A6485" w:rsidRDefault="008A572A" w:rsidP="008A572A">
      <w:pPr>
        <w:spacing w:before="120" w:after="120"/>
        <w:rPr>
          <w:rFonts w:ascii="Verdana" w:hAnsi="Verdana"/>
          <w:b/>
          <w:bCs/>
          <w:sz w:val="20"/>
          <w:szCs w:val="20"/>
        </w:rPr>
      </w:pPr>
      <w:r w:rsidRPr="000A6485">
        <w:rPr>
          <w:rFonts w:ascii="Verdana" w:hAnsi="Verdana"/>
          <w:b/>
          <w:bCs/>
          <w:sz w:val="20"/>
          <w:szCs w:val="20"/>
        </w:rPr>
        <w:t>8.1 Reguła wydatkowa w zakresie wydatków bieżących</w:t>
      </w:r>
    </w:p>
    <w:p w:rsidR="008A572A" w:rsidRPr="000A6485" w:rsidRDefault="008A572A" w:rsidP="008A572A">
      <w:pPr>
        <w:spacing w:before="60" w:after="60"/>
        <w:ind w:firstLine="567"/>
        <w:jc w:val="both"/>
        <w:rPr>
          <w:rFonts w:ascii="Verdana" w:hAnsi="Verdana"/>
          <w:sz w:val="16"/>
          <w:szCs w:val="16"/>
        </w:rPr>
      </w:pPr>
      <w:r w:rsidRPr="000A6485">
        <w:rPr>
          <w:rFonts w:ascii="Verdana" w:hAnsi="Verdana" w:cs="Arial"/>
          <w:bCs/>
          <w:sz w:val="16"/>
          <w:szCs w:val="16"/>
        </w:rPr>
        <w:t>Szczegółowo reguła została omówiona w pkt 4.1.1.</w:t>
      </w:r>
    </w:p>
    <w:p w:rsidR="008A572A" w:rsidRDefault="008A572A" w:rsidP="008A572A">
      <w:pPr>
        <w:spacing w:before="60" w:after="60"/>
        <w:ind w:firstLine="540"/>
        <w:jc w:val="both"/>
        <w:rPr>
          <w:rFonts w:ascii="Verdana" w:hAnsi="Verdana"/>
          <w:sz w:val="16"/>
          <w:szCs w:val="16"/>
        </w:rPr>
      </w:pPr>
      <w:r w:rsidRPr="000A6485">
        <w:rPr>
          <w:rFonts w:ascii="Verdana" w:hAnsi="Verdana" w:cs="Arial"/>
          <w:sz w:val="16"/>
          <w:szCs w:val="16"/>
        </w:rPr>
        <w:t>U</w:t>
      </w:r>
      <w:r w:rsidRPr="000A6485">
        <w:rPr>
          <w:rFonts w:ascii="Verdana" w:hAnsi="Verdana"/>
          <w:sz w:val="16"/>
          <w:szCs w:val="16"/>
        </w:rPr>
        <w:t xml:space="preserve">stawa o finansach publicznych w art. 242 ustanawia rygor finansowy polegający na tym, że </w:t>
      </w:r>
      <w:r w:rsidRPr="000A6485">
        <w:rPr>
          <w:rFonts w:ascii="Verdana" w:hAnsi="Verdana"/>
          <w:b/>
          <w:sz w:val="16"/>
          <w:szCs w:val="16"/>
        </w:rPr>
        <w:t>w danym roku budżetowym jednostka samorządu terytorialnego nie może planować większych wydatków bieżących niż dochody bieżące</w:t>
      </w:r>
      <w:r w:rsidRPr="000A6485">
        <w:rPr>
          <w:rFonts w:ascii="Verdana" w:hAnsi="Verdana"/>
          <w:sz w:val="16"/>
          <w:szCs w:val="16"/>
        </w:rPr>
        <w:t xml:space="preserve"> powiększone o</w:t>
      </w:r>
      <w:r>
        <w:rPr>
          <w:rFonts w:ascii="Verdana" w:hAnsi="Verdana"/>
          <w:sz w:val="16"/>
          <w:szCs w:val="16"/>
        </w:rPr>
        <w:t xml:space="preserve"> </w:t>
      </w:r>
      <w:r w:rsidRPr="000A6485">
        <w:rPr>
          <w:rFonts w:ascii="Verdana" w:hAnsi="Verdana"/>
          <w:b/>
          <w:sz w:val="16"/>
          <w:szCs w:val="16"/>
        </w:rPr>
        <w:t>nadwyżki budżetu z lat ubiegłych</w:t>
      </w:r>
      <w:r w:rsidRPr="000A6485">
        <w:rPr>
          <w:rFonts w:ascii="Verdana" w:hAnsi="Verdana"/>
          <w:sz w:val="16"/>
          <w:szCs w:val="16"/>
        </w:rPr>
        <w:t xml:space="preserve">, w tym niewykorzystane środki pieniężne na rachunku bieżącym budżetu, wynikające z rozliczenia dochodów i wydatków nimi finansowanych związanych ze szczególnymi zasadami wykonywania budżetu określonymi w odrębnych ustawach </w:t>
      </w:r>
      <w:r w:rsidRPr="000A6485">
        <w:rPr>
          <w:rFonts w:ascii="Verdana" w:hAnsi="Verdana"/>
          <w:sz w:val="16"/>
          <w:szCs w:val="16"/>
        </w:rPr>
        <w:br/>
        <w:t xml:space="preserve">i wynikające z rozliczenia środków unijnych oraz </w:t>
      </w:r>
      <w:r w:rsidRPr="000A6485">
        <w:rPr>
          <w:rFonts w:ascii="Verdana" w:hAnsi="Verdana"/>
          <w:b/>
          <w:sz w:val="16"/>
          <w:szCs w:val="16"/>
        </w:rPr>
        <w:t>spłaty udzielonych pożyczek w latach ubiegłych</w:t>
      </w:r>
      <w:r>
        <w:rPr>
          <w:rFonts w:ascii="Verdana" w:hAnsi="Verdana"/>
          <w:b/>
          <w:sz w:val="16"/>
          <w:szCs w:val="16"/>
        </w:rPr>
        <w:t xml:space="preserve"> </w:t>
      </w:r>
      <w:r>
        <w:rPr>
          <w:rFonts w:ascii="Verdana" w:hAnsi="Verdana"/>
          <w:sz w:val="16"/>
          <w:szCs w:val="16"/>
        </w:rPr>
        <w:t>i</w:t>
      </w:r>
      <w:r>
        <w:rPr>
          <w:rFonts w:ascii="Verdana" w:hAnsi="Verdana"/>
          <w:b/>
          <w:sz w:val="16"/>
          <w:szCs w:val="16"/>
        </w:rPr>
        <w:t xml:space="preserve"> </w:t>
      </w:r>
      <w:r w:rsidRPr="00777B22">
        <w:rPr>
          <w:rFonts w:ascii="Verdana" w:hAnsi="Verdana"/>
          <w:b/>
          <w:sz w:val="16"/>
          <w:szCs w:val="16"/>
        </w:rPr>
        <w:t>środki pochodzące z lokat</w:t>
      </w:r>
      <w:r>
        <w:rPr>
          <w:rFonts w:ascii="Verdana" w:hAnsi="Verdana"/>
          <w:b/>
          <w:sz w:val="16"/>
          <w:szCs w:val="16"/>
        </w:rPr>
        <w:t xml:space="preserve"> dokonanych w latach ubiegłych</w:t>
      </w:r>
      <w:r w:rsidRPr="000A6485">
        <w:rPr>
          <w:rFonts w:ascii="Verdana" w:hAnsi="Verdana"/>
          <w:sz w:val="16"/>
          <w:szCs w:val="16"/>
        </w:rPr>
        <w:t>.</w:t>
      </w:r>
    </w:p>
    <w:p w:rsidR="008A572A" w:rsidRDefault="008A572A" w:rsidP="008A572A">
      <w:pPr>
        <w:spacing w:before="60" w:after="60"/>
        <w:jc w:val="both"/>
        <w:rPr>
          <w:rFonts w:ascii="Verdana" w:hAnsi="Verdana"/>
          <w:iCs/>
          <w:sz w:val="16"/>
          <w:szCs w:val="16"/>
        </w:rPr>
      </w:pPr>
      <w:r>
        <w:rPr>
          <w:rFonts w:ascii="Verdana" w:hAnsi="Verdana" w:cs="Arial"/>
          <w:sz w:val="16"/>
          <w:szCs w:val="16"/>
        </w:rPr>
        <w:t>Dodatkowo w myśl art. 9 ustawy</w:t>
      </w:r>
      <w:r w:rsidRPr="00006222">
        <w:rPr>
          <w:rFonts w:ascii="Verdana" w:hAnsi="Verdana" w:cs="Arial"/>
          <w:sz w:val="16"/>
          <w:szCs w:val="16"/>
        </w:rPr>
        <w:t xml:space="preserve"> z </w:t>
      </w:r>
      <w:r>
        <w:rPr>
          <w:rFonts w:ascii="Verdana" w:hAnsi="Verdana" w:cs="Arial"/>
          <w:sz w:val="16"/>
          <w:szCs w:val="16"/>
        </w:rPr>
        <w:t>14 października</w:t>
      </w:r>
      <w:r w:rsidRPr="00006222">
        <w:rPr>
          <w:rFonts w:ascii="Verdana" w:hAnsi="Verdana" w:cs="Arial"/>
          <w:sz w:val="16"/>
          <w:szCs w:val="16"/>
        </w:rPr>
        <w:t xml:space="preserve"> 2021 r. </w:t>
      </w:r>
      <w:r w:rsidRPr="00006222">
        <w:rPr>
          <w:rFonts w:ascii="Verdana" w:hAnsi="Verdana" w:cs="Arial"/>
          <w:i/>
          <w:sz w:val="16"/>
          <w:szCs w:val="16"/>
        </w:rPr>
        <w:t xml:space="preserve">o zmianie ustawy o dochodach jednostek samorządu terytorialnego oraz niektórych innych </w:t>
      </w:r>
      <w:r w:rsidRPr="00E7313D">
        <w:rPr>
          <w:rFonts w:ascii="Verdana" w:hAnsi="Verdana" w:cs="Arial"/>
          <w:i/>
          <w:sz w:val="16"/>
          <w:szCs w:val="16"/>
        </w:rPr>
        <w:t>ustaw</w:t>
      </w:r>
      <w:r w:rsidRPr="00E7313D">
        <w:rPr>
          <w:rFonts w:ascii="Verdana" w:hAnsi="Verdana" w:cs="Arial"/>
          <w:sz w:val="16"/>
          <w:szCs w:val="16"/>
        </w:rPr>
        <w:t xml:space="preserve"> </w:t>
      </w:r>
      <w:r>
        <w:rPr>
          <w:rFonts w:ascii="Verdana" w:hAnsi="Verdana" w:cs="Arial"/>
          <w:sz w:val="16"/>
          <w:szCs w:val="16"/>
        </w:rPr>
        <w:t xml:space="preserve">(Dz. U. </w:t>
      </w:r>
      <w:r w:rsidRPr="00E7313D">
        <w:rPr>
          <w:rFonts w:ascii="Verdana" w:hAnsi="Verdana" w:cs="Arial"/>
          <w:sz w:val="16"/>
          <w:szCs w:val="16"/>
        </w:rPr>
        <w:t>poz. 1927)</w:t>
      </w:r>
      <w:r>
        <w:rPr>
          <w:rFonts w:ascii="Verdana" w:hAnsi="Verdana" w:cs="Arial"/>
          <w:sz w:val="16"/>
          <w:szCs w:val="16"/>
        </w:rPr>
        <w:t xml:space="preserve"> </w:t>
      </w:r>
      <w:r w:rsidRPr="00016858">
        <w:rPr>
          <w:rFonts w:ascii="Verdana" w:hAnsi="Verdana" w:cs="Arial"/>
          <w:b/>
          <w:sz w:val="16"/>
          <w:szCs w:val="16"/>
        </w:rPr>
        <w:t>l</w:t>
      </w:r>
      <w:r w:rsidRPr="00016858">
        <w:rPr>
          <w:rFonts w:ascii="Verdana" w:hAnsi="Verdana"/>
          <w:b/>
          <w:iCs/>
          <w:sz w:val="16"/>
          <w:szCs w:val="16"/>
        </w:rPr>
        <w:t>imit wydatk</w:t>
      </w:r>
      <w:r>
        <w:rPr>
          <w:rFonts w:ascii="Verdana" w:hAnsi="Verdana"/>
          <w:b/>
          <w:iCs/>
          <w:sz w:val="16"/>
          <w:szCs w:val="16"/>
        </w:rPr>
        <w:t>ów bieżących w 2022 r. został</w:t>
      </w:r>
      <w:r w:rsidRPr="00016858">
        <w:rPr>
          <w:rFonts w:ascii="Verdana" w:hAnsi="Verdana"/>
          <w:b/>
          <w:iCs/>
          <w:sz w:val="16"/>
          <w:szCs w:val="16"/>
        </w:rPr>
        <w:t xml:space="preserve"> podwyższony o kwotę tzw. wolnych środków</w:t>
      </w:r>
      <w:r>
        <w:rPr>
          <w:rFonts w:ascii="Verdana" w:hAnsi="Verdana"/>
          <w:iCs/>
          <w:sz w:val="16"/>
          <w:szCs w:val="16"/>
        </w:rPr>
        <w:t xml:space="preserve"> stanowiących nadwyżki środków pieniężnych budżetu JST, wynikających z rozliczeń wyemitowanych papierów wartościowych, kredytów i pożyczek z lat ubiegłych. Ponadto </w:t>
      </w:r>
      <w:r w:rsidRPr="00016858">
        <w:rPr>
          <w:rFonts w:ascii="Verdana" w:hAnsi="Verdana"/>
          <w:b/>
          <w:iCs/>
          <w:sz w:val="16"/>
          <w:szCs w:val="16"/>
        </w:rPr>
        <w:t xml:space="preserve">badanie spełnienia reguły </w:t>
      </w:r>
      <w:r>
        <w:rPr>
          <w:rFonts w:ascii="Verdana" w:hAnsi="Verdana"/>
          <w:b/>
          <w:iCs/>
          <w:sz w:val="16"/>
          <w:szCs w:val="16"/>
        </w:rPr>
        <w:t>jest</w:t>
      </w:r>
      <w:r w:rsidRPr="00016858">
        <w:rPr>
          <w:rFonts w:ascii="Verdana" w:hAnsi="Verdana"/>
          <w:b/>
          <w:iCs/>
          <w:sz w:val="16"/>
          <w:szCs w:val="16"/>
        </w:rPr>
        <w:t xml:space="preserve"> prowadzone łącznie dla lat 2022-2025</w:t>
      </w:r>
      <w:r>
        <w:rPr>
          <w:rFonts w:ascii="Verdana" w:hAnsi="Verdana"/>
          <w:iCs/>
          <w:sz w:val="16"/>
          <w:szCs w:val="16"/>
        </w:rPr>
        <w:t xml:space="preserve">, co oznacza że niespełnienie reguły w danym roku lub latach musi zostać co najmniej skompensowane nadwyżkami wygenerowanymi </w:t>
      </w:r>
      <w:r>
        <w:rPr>
          <w:rFonts w:ascii="Verdana" w:hAnsi="Verdana"/>
          <w:iCs/>
          <w:sz w:val="16"/>
          <w:szCs w:val="16"/>
        </w:rPr>
        <w:br/>
        <w:t xml:space="preserve">w pozostałym okresie rozliczeniowym obejmującym lata 2022-2025. </w:t>
      </w:r>
    </w:p>
    <w:p w:rsidR="008A572A" w:rsidRPr="008F0E66" w:rsidRDefault="008A572A" w:rsidP="008A572A">
      <w:pPr>
        <w:spacing w:before="60" w:after="60"/>
        <w:jc w:val="both"/>
        <w:rPr>
          <w:rFonts w:ascii="Verdana" w:hAnsi="Verdana"/>
          <w:sz w:val="16"/>
          <w:szCs w:val="16"/>
        </w:rPr>
      </w:pPr>
      <w:r>
        <w:rPr>
          <w:rFonts w:ascii="Verdana" w:hAnsi="Verdana"/>
          <w:iCs/>
          <w:sz w:val="16"/>
          <w:szCs w:val="16"/>
        </w:rPr>
        <w:t>Natomiast w</w:t>
      </w:r>
      <w:r>
        <w:rPr>
          <w:rFonts w:ascii="Verdana" w:hAnsi="Verdana" w:cs="Arial"/>
          <w:sz w:val="16"/>
          <w:szCs w:val="16"/>
        </w:rPr>
        <w:t xml:space="preserve"> myśl art. 6 ustawy</w:t>
      </w:r>
      <w:r w:rsidRPr="00006222">
        <w:rPr>
          <w:rFonts w:ascii="Verdana" w:hAnsi="Verdana" w:cs="Arial"/>
          <w:sz w:val="16"/>
          <w:szCs w:val="16"/>
        </w:rPr>
        <w:t xml:space="preserve"> z </w:t>
      </w:r>
      <w:r>
        <w:rPr>
          <w:rFonts w:ascii="Verdana" w:hAnsi="Verdana" w:cs="Arial"/>
          <w:sz w:val="16"/>
          <w:szCs w:val="16"/>
        </w:rPr>
        <w:t>15 września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dochodach jednostek samorządu terytorialnego oraz niektórych innych ustaw</w:t>
      </w:r>
      <w:r w:rsidRPr="00E7313D">
        <w:rPr>
          <w:rFonts w:ascii="Verdana" w:hAnsi="Verdana" w:cs="Arial"/>
          <w:sz w:val="16"/>
          <w:szCs w:val="16"/>
        </w:rPr>
        <w:t xml:space="preserve"> </w:t>
      </w:r>
      <w:r>
        <w:rPr>
          <w:rFonts w:ascii="Verdana" w:hAnsi="Verdana" w:cs="Arial"/>
          <w:sz w:val="16"/>
          <w:szCs w:val="16"/>
        </w:rPr>
        <w:t>(Dz. U. poz. 1964</w:t>
      </w:r>
      <w:r w:rsidRPr="00E7313D">
        <w:rPr>
          <w:rFonts w:ascii="Verdana" w:hAnsi="Verdana" w:cs="Arial"/>
          <w:sz w:val="16"/>
          <w:szCs w:val="16"/>
        </w:rPr>
        <w:t>)</w:t>
      </w:r>
      <w:r>
        <w:rPr>
          <w:rFonts w:ascii="Verdana" w:hAnsi="Verdana" w:cs="Arial"/>
          <w:sz w:val="16"/>
          <w:szCs w:val="16"/>
        </w:rPr>
        <w:t xml:space="preserve"> </w:t>
      </w:r>
      <w:r w:rsidRPr="00891B2D">
        <w:rPr>
          <w:rFonts w:ascii="Verdana" w:hAnsi="Verdana" w:cs="Arial"/>
          <w:sz w:val="16"/>
          <w:szCs w:val="16"/>
        </w:rPr>
        <w:t>ustalając relację, o której mowa w art. 242 ustawy o finansach publicznych</w:t>
      </w:r>
      <w:r>
        <w:rPr>
          <w:rFonts w:ascii="Verdana" w:hAnsi="Verdana" w:cs="Arial"/>
          <w:sz w:val="16"/>
          <w:szCs w:val="16"/>
        </w:rPr>
        <w:t>,</w:t>
      </w:r>
      <w:r>
        <w:rPr>
          <w:rFonts w:ascii="Verdana" w:hAnsi="Verdana" w:cs="Arial"/>
          <w:b/>
          <w:sz w:val="16"/>
          <w:szCs w:val="16"/>
        </w:rPr>
        <w:t xml:space="preserve"> </w:t>
      </w:r>
      <w:r w:rsidRPr="00016858">
        <w:rPr>
          <w:rFonts w:ascii="Verdana" w:hAnsi="Verdana" w:cs="Arial"/>
          <w:b/>
          <w:sz w:val="16"/>
          <w:szCs w:val="16"/>
        </w:rPr>
        <w:t>l</w:t>
      </w:r>
      <w:r w:rsidRPr="00016858">
        <w:rPr>
          <w:rFonts w:ascii="Verdana" w:hAnsi="Verdana"/>
          <w:b/>
          <w:iCs/>
          <w:sz w:val="16"/>
          <w:szCs w:val="16"/>
        </w:rPr>
        <w:t xml:space="preserve">imit wydatków bieżących w </w:t>
      </w:r>
      <w:r>
        <w:rPr>
          <w:rFonts w:ascii="Verdana" w:hAnsi="Verdana"/>
          <w:b/>
          <w:iCs/>
          <w:sz w:val="16"/>
          <w:szCs w:val="16"/>
        </w:rPr>
        <w:t>latach 2023-2025</w:t>
      </w:r>
      <w:r w:rsidRPr="00016858">
        <w:rPr>
          <w:rFonts w:ascii="Verdana" w:hAnsi="Verdana"/>
          <w:b/>
          <w:iCs/>
          <w:sz w:val="16"/>
          <w:szCs w:val="16"/>
        </w:rPr>
        <w:t xml:space="preserve">, co do zasady wyznaczany poziomem dochodów bieżących, zostaje </w:t>
      </w:r>
      <w:r>
        <w:rPr>
          <w:rFonts w:ascii="Verdana" w:hAnsi="Verdana"/>
          <w:b/>
          <w:iCs/>
          <w:sz w:val="16"/>
          <w:szCs w:val="16"/>
        </w:rPr>
        <w:t xml:space="preserve">także </w:t>
      </w:r>
      <w:r w:rsidRPr="00016858">
        <w:rPr>
          <w:rFonts w:ascii="Verdana" w:hAnsi="Verdana"/>
          <w:b/>
          <w:iCs/>
          <w:sz w:val="16"/>
          <w:szCs w:val="16"/>
        </w:rPr>
        <w:t>podwyższony o kwotę tzw. wolnych środków</w:t>
      </w:r>
      <w:r>
        <w:rPr>
          <w:rFonts w:ascii="Verdana" w:hAnsi="Verdana"/>
          <w:iCs/>
          <w:sz w:val="16"/>
          <w:szCs w:val="16"/>
        </w:rPr>
        <w:t xml:space="preserve"> stanowiących nadwyżki środków pieniężnych budżetu JST, wynikających z rozliczeń wyemitowanych papierów wartościowych, kredytów i pożyczek z lat ubiegłych.</w:t>
      </w:r>
    </w:p>
    <w:p w:rsidR="008A572A" w:rsidRPr="000A6485" w:rsidRDefault="008A572A" w:rsidP="008A572A">
      <w:pPr>
        <w:spacing w:before="60" w:after="60"/>
        <w:jc w:val="both"/>
        <w:rPr>
          <w:rFonts w:ascii="Verdana" w:hAnsi="Verdana"/>
          <w:sz w:val="16"/>
          <w:szCs w:val="16"/>
        </w:rPr>
      </w:pPr>
      <w:r>
        <w:rPr>
          <w:rFonts w:ascii="Verdana" w:hAnsi="Verdana" w:cs="Verdana"/>
          <w:sz w:val="16"/>
          <w:szCs w:val="16"/>
        </w:rPr>
        <w:t xml:space="preserve">Z uwagi na założone stopniowe dostosowania budżetowe do ograniczonych w konsekwencji zmian prawnych dochodów, w latach 2023-2024 przewidziano wystąpienie </w:t>
      </w:r>
      <w:r w:rsidRPr="00474DCE">
        <w:rPr>
          <w:rFonts w:ascii="Verdana" w:hAnsi="Verdana" w:cs="Verdana"/>
          <w:b/>
          <w:sz w:val="16"/>
          <w:szCs w:val="16"/>
        </w:rPr>
        <w:t>deficytu operacyjnego</w:t>
      </w:r>
      <w:r>
        <w:rPr>
          <w:rFonts w:ascii="Verdana" w:hAnsi="Verdana" w:cs="Verdana"/>
          <w:b/>
          <w:sz w:val="16"/>
          <w:szCs w:val="16"/>
        </w:rPr>
        <w:t xml:space="preserve"> odpowiednio w kwotach</w:t>
      </w:r>
      <w:r>
        <w:rPr>
          <w:rFonts w:ascii="Verdana" w:hAnsi="Verdana" w:cs="Verdana"/>
          <w:sz w:val="16"/>
          <w:szCs w:val="16"/>
        </w:rPr>
        <w:t xml:space="preserve"> </w:t>
      </w:r>
      <w:r>
        <w:rPr>
          <w:rFonts w:ascii="Verdana" w:hAnsi="Verdana" w:cs="Verdana"/>
          <w:b/>
          <w:sz w:val="16"/>
          <w:szCs w:val="16"/>
        </w:rPr>
        <w:lastRenderedPageBreak/>
        <w:t>1,496 mld</w:t>
      </w:r>
      <w:r w:rsidRPr="00474DCE">
        <w:rPr>
          <w:rFonts w:ascii="Verdana" w:hAnsi="Verdana" w:cs="Verdana"/>
          <w:b/>
          <w:sz w:val="16"/>
          <w:szCs w:val="16"/>
        </w:rPr>
        <w:t xml:space="preserve"> zł</w:t>
      </w:r>
      <w:r>
        <w:rPr>
          <w:rFonts w:ascii="Verdana" w:hAnsi="Verdana" w:cs="Verdana"/>
          <w:b/>
          <w:sz w:val="16"/>
          <w:szCs w:val="16"/>
        </w:rPr>
        <w:t xml:space="preserve"> i 164,5 mln zł</w:t>
      </w:r>
      <w:r>
        <w:rPr>
          <w:rFonts w:ascii="Verdana" w:hAnsi="Verdana" w:cs="Verdana"/>
          <w:sz w:val="16"/>
          <w:szCs w:val="16"/>
        </w:rPr>
        <w:t>, oznaczającego nierównowagę dochodów bieżących i wydatków bieżących. W kwestii formalnej zmienione przepisy ustawowe pozwalają na pokrycie deficytu operacyjnego w 2023 r. zaplanowanymi na ten rok przychodami pochodzącymi z tzw. wolnych środków, z nadwyżki budżetowej z lat ubiegłych (</w:t>
      </w:r>
      <w:r>
        <w:rPr>
          <w:rFonts w:ascii="Verdana" w:hAnsi="Verdana"/>
          <w:sz w:val="16"/>
          <w:szCs w:val="16"/>
        </w:rPr>
        <w:t>stanowiącej</w:t>
      </w:r>
      <w:r w:rsidRPr="000A6485">
        <w:rPr>
          <w:rFonts w:ascii="Verdana" w:hAnsi="Verdana"/>
          <w:sz w:val="16"/>
          <w:szCs w:val="16"/>
        </w:rPr>
        <w:t xml:space="preserve"> środki pieniężne na rachunku bieżącym budżetu, wynikające z rozliczenia dochodów i wydatków nimi finansowanych związanych ze szczególnymi zasadami wykonywania budżetu określonymi w odrębnych us</w:t>
      </w:r>
      <w:r>
        <w:rPr>
          <w:rFonts w:ascii="Verdana" w:hAnsi="Verdana"/>
          <w:sz w:val="16"/>
          <w:szCs w:val="16"/>
        </w:rPr>
        <w:t>tawach)</w:t>
      </w:r>
      <w:r>
        <w:rPr>
          <w:rFonts w:ascii="Verdana" w:hAnsi="Verdana" w:cs="Verdana"/>
          <w:sz w:val="16"/>
          <w:szCs w:val="16"/>
        </w:rPr>
        <w:t xml:space="preserve"> i z lokat przewidzianych na rok 2022. Ponadto badanie spełnienia reguły dotyczącej limitu wydatków bieżących prowadzone jest łącznie dla lat 2022-2025, co zapewnia spełnienie reguły także w 2024 r. Łączne planowane dochody bieżące na lata 2022-2025 (dla 2022 r. wg planu na 15.12.2022) wynoszą 79,793 mld zł </w:t>
      </w:r>
      <w:r>
        <w:rPr>
          <w:rFonts w:ascii="Verdana" w:hAnsi="Verdana" w:cs="Verdana"/>
          <w:sz w:val="16"/>
          <w:szCs w:val="16"/>
        </w:rPr>
        <w:br/>
        <w:t xml:space="preserve">i wraz z planowanymi na lata 2022-2023 tzw. wolnymi środkami w łącznej kwocie 2,173 mld zł (po skorygowaniu o kwotę wolnych środków w 2022 r. stanowiącą pokrycie w budżecie na 2022 r. rozchodów z tytułu przelewów na rachunki lokat) oraz nadwyżką budżetową z lat ubiegłych ujętą w latach 2022-2023 w łącznej kwocie </w:t>
      </w:r>
      <w:r>
        <w:rPr>
          <w:rFonts w:ascii="Verdana" w:hAnsi="Verdana" w:cs="Verdana"/>
          <w:sz w:val="16"/>
          <w:szCs w:val="16"/>
        </w:rPr>
        <w:br/>
        <w:t>44,2 mln zł i zaplanowanymi na 2023 r. środkami pochodzącymi z lokat z 2022 r. w kwocie 2,200 mld zł, wyznaczają łączny limit wydatków bieżących na lata 2022-2025 wynoszący 84,211 mld zł. WPF 2023-2050 przewiduje na lata 2023-2025 wraz z planem na 2022 rok poniesienie wydatków bieżących w łącznej kwocie 79,278 mld zł, a więc w kwocie niższej od limitu o 4,933 mld zł</w:t>
      </w:r>
      <w:r w:rsidRPr="00054258">
        <w:rPr>
          <w:rFonts w:ascii="Verdana" w:hAnsi="Verdana" w:cs="Verdana"/>
          <w:b/>
          <w:sz w:val="16"/>
          <w:szCs w:val="16"/>
        </w:rPr>
        <w:t xml:space="preserve">, co oznacza spełnienie ustawowej reguły </w:t>
      </w:r>
      <w:r>
        <w:rPr>
          <w:rFonts w:ascii="Verdana" w:hAnsi="Verdana" w:cs="Verdana"/>
          <w:b/>
          <w:sz w:val="16"/>
          <w:szCs w:val="16"/>
        </w:rPr>
        <w:br/>
      </w:r>
      <w:r w:rsidRPr="00054258">
        <w:rPr>
          <w:rFonts w:ascii="Verdana" w:hAnsi="Verdana" w:cs="Verdana"/>
          <w:b/>
          <w:sz w:val="16"/>
          <w:szCs w:val="16"/>
        </w:rPr>
        <w:t>w zakresie wydatków bieżących.</w:t>
      </w:r>
      <w:r>
        <w:rPr>
          <w:rFonts w:ascii="Verdana" w:hAnsi="Verdana" w:cs="Verdana"/>
          <w:sz w:val="16"/>
          <w:szCs w:val="16"/>
        </w:rPr>
        <w:t xml:space="preserve"> W kolejnych latach zgodnie z WPF 2023-2050 przewiduje się powrót do generowania nadwyżek operacyjnych. </w:t>
      </w:r>
      <w:r w:rsidRPr="000A6485">
        <w:rPr>
          <w:rFonts w:ascii="Verdana" w:hAnsi="Verdana"/>
          <w:sz w:val="16"/>
          <w:szCs w:val="16"/>
        </w:rPr>
        <w:t xml:space="preserve">W miarę upływu czasu zakłada się sukcesywny wzrost dodatniego wyniku operacyjnego brutto (dochody bieżące przewyższające wydatki bieżące), zarówno w ujęciu nominalnym, jak </w:t>
      </w:r>
      <w:r>
        <w:rPr>
          <w:rFonts w:ascii="Verdana" w:hAnsi="Verdana"/>
          <w:sz w:val="16"/>
          <w:szCs w:val="16"/>
        </w:rPr>
        <w:br/>
      </w:r>
      <w:r w:rsidRPr="000A6485">
        <w:rPr>
          <w:rFonts w:ascii="Verdana" w:hAnsi="Verdana"/>
          <w:sz w:val="16"/>
          <w:szCs w:val="16"/>
        </w:rPr>
        <w:t>i względnym w relacji do dochodów bieżących. Systematyczny wzrost nadwyżki budżetowej wiąże się m.in. ze spadkiem kosztów obsługi zadłużenia w miarę spłaty długu.</w:t>
      </w:r>
    </w:p>
    <w:p w:rsidR="008A572A" w:rsidRPr="000A6485" w:rsidRDefault="008A572A" w:rsidP="008A572A">
      <w:pPr>
        <w:tabs>
          <w:tab w:val="left" w:pos="0"/>
        </w:tabs>
        <w:spacing w:before="60" w:after="60"/>
        <w:ind w:firstLine="567"/>
        <w:jc w:val="both"/>
        <w:rPr>
          <w:rFonts w:ascii="Verdana" w:hAnsi="Verdana" w:cs="Arial"/>
          <w:sz w:val="18"/>
          <w:szCs w:val="18"/>
        </w:rPr>
      </w:pPr>
      <w:r w:rsidRPr="000A6485">
        <w:rPr>
          <w:rFonts w:ascii="Verdana" w:hAnsi="Verdana" w:cs="Arial"/>
          <w:sz w:val="16"/>
          <w:szCs w:val="16"/>
        </w:rPr>
        <w:t xml:space="preserve">Wykres </w:t>
      </w:r>
      <w:r>
        <w:rPr>
          <w:rFonts w:ascii="Verdana" w:hAnsi="Verdana" w:cs="Arial"/>
          <w:sz w:val="16"/>
          <w:szCs w:val="16"/>
        </w:rPr>
        <w:t>nr 37</w:t>
      </w:r>
      <w:r w:rsidRPr="000A6485">
        <w:rPr>
          <w:rFonts w:ascii="Verdana" w:hAnsi="Verdana" w:cs="Arial"/>
          <w:sz w:val="16"/>
          <w:szCs w:val="16"/>
        </w:rPr>
        <w:t xml:space="preserve"> prezentuje prognozę kształtowania się </w:t>
      </w:r>
      <w:r>
        <w:rPr>
          <w:rFonts w:ascii="Verdana" w:hAnsi="Verdana" w:cs="Arial"/>
          <w:sz w:val="16"/>
          <w:szCs w:val="16"/>
        </w:rPr>
        <w:t>relacji miedzy dochodami bieżącymi a wydatkami bieżącymi</w:t>
      </w:r>
      <w:r w:rsidRPr="000A6485">
        <w:rPr>
          <w:rFonts w:ascii="Verdana" w:hAnsi="Verdana" w:cs="Arial"/>
          <w:sz w:val="16"/>
          <w:szCs w:val="16"/>
        </w:rPr>
        <w:t xml:space="preserve"> w perspektywie objętej W</w:t>
      </w:r>
      <w:r>
        <w:rPr>
          <w:rFonts w:ascii="Verdana" w:hAnsi="Verdana" w:cs="Arial"/>
          <w:sz w:val="16"/>
          <w:szCs w:val="16"/>
        </w:rPr>
        <w:t xml:space="preserve">PF </w:t>
      </w:r>
      <w:r w:rsidRPr="00932633">
        <w:rPr>
          <w:rFonts w:ascii="Verdana" w:eastAsiaTheme="minorEastAsia" w:hAnsi="Verdana" w:cs="Verdana"/>
          <w:color w:val="000000"/>
          <w:sz w:val="16"/>
          <w:szCs w:val="16"/>
        </w:rPr>
        <w:t>2023</w:t>
      </w:r>
      <w:r w:rsidRPr="000A6485">
        <w:rPr>
          <w:rFonts w:ascii="Verdana" w:hAnsi="Verdana" w:cs="Arial"/>
          <w:sz w:val="16"/>
          <w:szCs w:val="16"/>
        </w:rPr>
        <w:t>-2050.</w:t>
      </w:r>
    </w:p>
    <w:p w:rsidR="008A572A" w:rsidRPr="000A6485" w:rsidRDefault="008A572A" w:rsidP="008A572A">
      <w:pPr>
        <w:tabs>
          <w:tab w:val="left" w:pos="0"/>
        </w:tabs>
        <w:spacing w:before="120" w:after="60" w:line="240" w:lineRule="auto"/>
        <w:rPr>
          <w:noProof/>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DB2126">
        <w:rPr>
          <w:rFonts w:ascii="Verdana" w:hAnsi="Verdana" w:cs="Arial"/>
          <w:b/>
          <w:bCs/>
          <w:noProof/>
          <w:sz w:val="14"/>
          <w:szCs w:val="14"/>
        </w:rPr>
        <w:t>37</w:t>
      </w:r>
      <w:r w:rsidRPr="000A6485">
        <w:rPr>
          <w:rFonts w:ascii="Verdana" w:hAnsi="Verdana" w:cs="Arial"/>
          <w:b/>
          <w:bCs/>
          <w:sz w:val="14"/>
          <w:szCs w:val="14"/>
        </w:rPr>
        <w:fldChar w:fldCharType="end"/>
      </w:r>
      <w:r w:rsidRPr="000A6485">
        <w:rPr>
          <w:rFonts w:ascii="Verdana" w:hAnsi="Verdana" w:cs="Arial"/>
          <w:b/>
          <w:bCs/>
          <w:sz w:val="14"/>
          <w:szCs w:val="14"/>
        </w:rPr>
        <w:t xml:space="preserve">  PROGNOZA </w:t>
      </w:r>
      <w:r>
        <w:rPr>
          <w:rFonts w:ascii="Verdana" w:hAnsi="Verdana" w:cs="Arial"/>
          <w:b/>
          <w:bCs/>
          <w:sz w:val="14"/>
          <w:szCs w:val="14"/>
        </w:rPr>
        <w:t xml:space="preserve">WYNIKU OPERACYJNEGO (RÓŻNICA MIĘDZY DOCHODAMI BIEŻĄCYMI A WYDATKAMI </w:t>
      </w:r>
      <w:r>
        <w:rPr>
          <w:rFonts w:ascii="Verdana" w:hAnsi="Verdana" w:cs="Arial"/>
          <w:b/>
          <w:bCs/>
          <w:sz w:val="14"/>
          <w:szCs w:val="14"/>
        </w:rPr>
        <w:br/>
        <w:t xml:space="preserve">                BIEŻĄCYMI)</w:t>
      </w:r>
      <w:r w:rsidRPr="000A6485">
        <w:rPr>
          <w:rFonts w:ascii="Verdana" w:hAnsi="Verdana" w:cs="Arial"/>
          <w:b/>
          <w:bCs/>
          <w:sz w:val="14"/>
          <w:szCs w:val="14"/>
        </w:rPr>
        <w:t xml:space="preserve"> W M.ST. WARSZAWA </w:t>
      </w:r>
      <w:r>
        <w:rPr>
          <w:rFonts w:ascii="Verdana" w:hAnsi="Verdana" w:cs="Arial"/>
          <w:b/>
          <w:bCs/>
          <w:sz w:val="14"/>
          <w:szCs w:val="14"/>
        </w:rPr>
        <w:t xml:space="preserve">NA LATA </w:t>
      </w:r>
      <w:r w:rsidRPr="00932633">
        <w:rPr>
          <w:rFonts w:ascii="Verdana" w:hAnsi="Verdana" w:cs="Arial"/>
          <w:b/>
          <w:bCs/>
          <w:sz w:val="14"/>
          <w:szCs w:val="14"/>
        </w:rPr>
        <w:t>2023</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r w:rsidRPr="000A6485">
        <w:rPr>
          <w:rFonts w:ascii="Verdana" w:hAnsi="Verdana" w:cs="Arial"/>
          <w:b/>
          <w:bCs/>
          <w:sz w:val="14"/>
          <w:szCs w:val="14"/>
        </w:rPr>
        <w:br/>
      </w:r>
      <w:r>
        <w:rPr>
          <w:noProof/>
        </w:rPr>
        <w:drawing>
          <wp:inline distT="0" distB="0" distL="0" distR="0">
            <wp:extent cx="6018530" cy="354838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18530" cy="3548380"/>
                    </a:xfrm>
                    <a:prstGeom prst="rect">
                      <a:avLst/>
                    </a:prstGeom>
                    <a:noFill/>
                    <a:ln>
                      <a:noFill/>
                    </a:ln>
                  </pic:spPr>
                </pic:pic>
              </a:graphicData>
            </a:graphic>
          </wp:inline>
        </w:drawing>
      </w:r>
    </w:p>
    <w:p w:rsidR="008A572A" w:rsidRDefault="008A572A" w:rsidP="008A572A">
      <w:pPr>
        <w:tabs>
          <w:tab w:val="left" w:pos="0"/>
        </w:tabs>
        <w:spacing w:before="120" w:after="60"/>
        <w:jc w:val="both"/>
        <w:rPr>
          <w:rFonts w:ascii="Verdana" w:hAnsi="Verdana" w:cs="Arial"/>
          <w:b/>
          <w:sz w:val="16"/>
          <w:szCs w:val="16"/>
        </w:rPr>
      </w:pPr>
    </w:p>
    <w:p w:rsidR="008A572A" w:rsidRDefault="008A572A" w:rsidP="008A572A">
      <w:pPr>
        <w:spacing w:before="240" w:after="240"/>
        <w:rPr>
          <w:rFonts w:ascii="Verdana" w:hAnsi="Verdana"/>
          <w:b/>
          <w:bCs/>
          <w:sz w:val="20"/>
          <w:szCs w:val="20"/>
        </w:rPr>
      </w:pPr>
      <w:r>
        <w:rPr>
          <w:rFonts w:ascii="Verdana" w:hAnsi="Verdana"/>
          <w:b/>
          <w:bCs/>
          <w:sz w:val="20"/>
          <w:szCs w:val="20"/>
        </w:rPr>
        <w:br w:type="page"/>
      </w:r>
    </w:p>
    <w:p w:rsidR="008A572A" w:rsidRPr="000A6485" w:rsidRDefault="008A572A" w:rsidP="008A572A">
      <w:pPr>
        <w:spacing w:before="240" w:after="240"/>
        <w:rPr>
          <w:rFonts w:ascii="Verdana" w:hAnsi="Verdana"/>
          <w:b/>
          <w:bCs/>
          <w:sz w:val="20"/>
          <w:szCs w:val="20"/>
        </w:rPr>
      </w:pPr>
      <w:r w:rsidRPr="000A6485">
        <w:rPr>
          <w:rFonts w:ascii="Verdana" w:hAnsi="Verdana"/>
          <w:b/>
          <w:bCs/>
          <w:sz w:val="20"/>
          <w:szCs w:val="20"/>
        </w:rPr>
        <w:lastRenderedPageBreak/>
        <w:t>8.2 Reguła indywidualnego limitu obsługi długu</w:t>
      </w:r>
    </w:p>
    <w:p w:rsidR="008A572A" w:rsidRPr="000A6485" w:rsidRDefault="008A572A" w:rsidP="008A572A">
      <w:pPr>
        <w:spacing w:before="60" w:after="60"/>
        <w:ind w:firstLine="567"/>
        <w:jc w:val="both"/>
        <w:rPr>
          <w:rFonts w:ascii="Verdana" w:hAnsi="Verdana"/>
          <w:iCs/>
          <w:sz w:val="16"/>
          <w:szCs w:val="16"/>
        </w:rPr>
      </w:pPr>
      <w:r w:rsidRPr="000A6485">
        <w:rPr>
          <w:rFonts w:ascii="Verdana" w:hAnsi="Verdana" w:cs="Arial"/>
          <w:bCs/>
          <w:sz w:val="16"/>
          <w:szCs w:val="16"/>
        </w:rPr>
        <w:t>Szczegółowo reguła została omówiona w pkt 4.1.2.</w:t>
      </w:r>
    </w:p>
    <w:p w:rsidR="008A572A" w:rsidRPr="000A66C4" w:rsidRDefault="008A572A" w:rsidP="008A572A">
      <w:pPr>
        <w:spacing w:before="60" w:after="60"/>
        <w:jc w:val="both"/>
        <w:rPr>
          <w:rFonts w:ascii="Verdana" w:hAnsi="Verdana"/>
          <w:b/>
          <w:iCs/>
          <w:sz w:val="16"/>
          <w:szCs w:val="16"/>
        </w:rPr>
      </w:pPr>
      <w:r w:rsidRPr="000A6485">
        <w:rPr>
          <w:rFonts w:ascii="Verdana" w:hAnsi="Verdana"/>
          <w:iCs/>
          <w:sz w:val="16"/>
          <w:szCs w:val="16"/>
        </w:rPr>
        <w:t xml:space="preserve">Zgodnie z art. 243 </w:t>
      </w:r>
      <w:r w:rsidRPr="000A6485">
        <w:rPr>
          <w:rFonts w:ascii="Verdana" w:hAnsi="Verdana"/>
          <w:bCs/>
          <w:sz w:val="16"/>
          <w:szCs w:val="16"/>
        </w:rPr>
        <w:t>ustawy o finansach publicznych organ stanowiący jednostki samorządu terytorialnego nie może uchwalić budżetu, którego realizacja spowoduje, że w roku budżetowym oraz w każdym roku następującym po roku budżetowym,</w:t>
      </w:r>
      <w:r w:rsidRPr="000A6485">
        <w:rPr>
          <w:rFonts w:ascii="Verdana" w:hAnsi="Verdana"/>
          <w:iCs/>
          <w:sz w:val="16"/>
          <w:szCs w:val="16"/>
        </w:rPr>
        <w:t xml:space="preserve"> co do </w:t>
      </w:r>
      <w:r w:rsidRPr="000A66C4">
        <w:rPr>
          <w:rFonts w:ascii="Verdana" w:hAnsi="Verdana"/>
          <w:b/>
          <w:iCs/>
          <w:sz w:val="16"/>
          <w:szCs w:val="16"/>
        </w:rPr>
        <w:t>zasady wysokość obciążeń budżetu związanych z obsługą zadłużenia (kapitał i odsetki) i udzielonymi poręczeniami i gwarancjami w relacji do dochodów bieżących przekroczy historycznie ukształtowany średni poziom relacji nadwyżki dochodów bieżących nad wydatkami bieżącymi do dochodów bieżących.</w:t>
      </w:r>
    </w:p>
    <w:p w:rsidR="008A572A" w:rsidRPr="000A6485" w:rsidRDefault="008A572A" w:rsidP="008A572A">
      <w:pPr>
        <w:spacing w:before="60" w:after="60"/>
        <w:jc w:val="both"/>
        <w:rPr>
          <w:rFonts w:ascii="Verdana" w:hAnsi="Verdana"/>
          <w:iCs/>
          <w:sz w:val="16"/>
          <w:szCs w:val="16"/>
        </w:rPr>
      </w:pPr>
      <w:r w:rsidRPr="000A6485">
        <w:rPr>
          <w:rFonts w:ascii="Verdana" w:hAnsi="Verdana"/>
          <w:iCs/>
          <w:sz w:val="16"/>
          <w:szCs w:val="16"/>
        </w:rPr>
        <w:t xml:space="preserve">Dla </w:t>
      </w:r>
      <w:r>
        <w:rPr>
          <w:rFonts w:ascii="Verdana" w:hAnsi="Verdana"/>
          <w:b/>
          <w:iCs/>
          <w:sz w:val="16"/>
          <w:szCs w:val="16"/>
        </w:rPr>
        <w:t>lat 2022</w:t>
      </w:r>
      <w:r w:rsidRPr="000A6485">
        <w:rPr>
          <w:rFonts w:ascii="Verdana" w:hAnsi="Verdana"/>
          <w:b/>
          <w:iCs/>
          <w:sz w:val="16"/>
          <w:szCs w:val="16"/>
        </w:rPr>
        <w:t>-2025</w:t>
      </w:r>
      <w:r w:rsidRPr="000A6485">
        <w:rPr>
          <w:rFonts w:ascii="Verdana" w:hAnsi="Verdana"/>
          <w:iCs/>
          <w:sz w:val="16"/>
          <w:szCs w:val="16"/>
        </w:rPr>
        <w:t xml:space="preserve"> okres, na podstawie którego obliczany jest przeciętny poziom relacji nadwyżki dochodów bieżących nad wydatkami bieżącymi do dochodów bieżących, obejmuje </w:t>
      </w:r>
      <w:r w:rsidRPr="000A6485">
        <w:rPr>
          <w:rFonts w:ascii="Verdana" w:hAnsi="Verdana"/>
          <w:b/>
          <w:iCs/>
          <w:sz w:val="16"/>
          <w:szCs w:val="16"/>
        </w:rPr>
        <w:t>trzy lata</w:t>
      </w:r>
      <w:r w:rsidRPr="000A6485">
        <w:rPr>
          <w:rFonts w:ascii="Verdana" w:hAnsi="Verdana"/>
          <w:iCs/>
          <w:sz w:val="16"/>
          <w:szCs w:val="16"/>
        </w:rPr>
        <w:t xml:space="preserve"> poprzedzające rok, dla którego badany jest dopuszczalny poziom obciążeń budżetu związanych z obsługą długu w relacji do dochodów bieżących. Natomiast począwszy od </w:t>
      </w:r>
      <w:r w:rsidRPr="000A6485">
        <w:rPr>
          <w:rFonts w:ascii="Verdana" w:hAnsi="Verdana"/>
          <w:b/>
          <w:iCs/>
          <w:sz w:val="16"/>
          <w:szCs w:val="16"/>
        </w:rPr>
        <w:t>2026 r.</w:t>
      </w:r>
      <w:r w:rsidRPr="000A6485">
        <w:rPr>
          <w:rFonts w:ascii="Verdana" w:hAnsi="Verdana"/>
          <w:iCs/>
          <w:sz w:val="16"/>
          <w:szCs w:val="16"/>
        </w:rPr>
        <w:t xml:space="preserve"> okres ten obejmuje </w:t>
      </w:r>
      <w:r w:rsidRPr="000A6485">
        <w:rPr>
          <w:rFonts w:ascii="Verdana" w:hAnsi="Verdana"/>
          <w:b/>
          <w:iCs/>
          <w:sz w:val="16"/>
          <w:szCs w:val="16"/>
        </w:rPr>
        <w:t>siedem lat</w:t>
      </w:r>
      <w:r w:rsidRPr="000A6485">
        <w:rPr>
          <w:rFonts w:ascii="Verdana" w:hAnsi="Verdana"/>
          <w:iCs/>
          <w:sz w:val="16"/>
          <w:szCs w:val="16"/>
        </w:rPr>
        <w:t xml:space="preserve"> poprzedzających rok, dla którego ustalany jest limit obciążeń budżetu związanych z obsługą długu.</w:t>
      </w:r>
    </w:p>
    <w:p w:rsidR="008A572A" w:rsidRDefault="008A572A" w:rsidP="008A572A">
      <w:pPr>
        <w:spacing w:before="60" w:after="60"/>
        <w:jc w:val="both"/>
        <w:rPr>
          <w:rFonts w:ascii="Verdana" w:hAnsi="Verdana"/>
          <w:iCs/>
          <w:sz w:val="16"/>
          <w:szCs w:val="16"/>
        </w:rPr>
      </w:pPr>
      <w:r w:rsidRPr="000A6485">
        <w:rPr>
          <w:rFonts w:ascii="Verdana" w:hAnsi="Verdana"/>
          <w:iCs/>
          <w:sz w:val="16"/>
          <w:szCs w:val="16"/>
        </w:rPr>
        <w:t xml:space="preserve">Przy kalkulacji limitu obciążeń budżetu związanych z obsługą długu dla </w:t>
      </w:r>
      <w:r>
        <w:rPr>
          <w:rFonts w:ascii="Verdana" w:hAnsi="Verdana"/>
          <w:b/>
          <w:iCs/>
          <w:sz w:val="16"/>
          <w:szCs w:val="16"/>
        </w:rPr>
        <w:t>lat 2022</w:t>
      </w:r>
      <w:r w:rsidRPr="000A6485">
        <w:rPr>
          <w:rFonts w:ascii="Verdana" w:hAnsi="Verdana"/>
          <w:b/>
          <w:iCs/>
          <w:sz w:val="16"/>
          <w:szCs w:val="16"/>
        </w:rPr>
        <w:t>-2025</w:t>
      </w:r>
      <w:r w:rsidRPr="000A6485">
        <w:rPr>
          <w:rFonts w:ascii="Verdana" w:hAnsi="Verdana"/>
          <w:iCs/>
          <w:sz w:val="16"/>
          <w:szCs w:val="16"/>
        </w:rPr>
        <w:t xml:space="preserve">, poziom nadwyżki dochodów bieżących nad wydatkami bieżącymi </w:t>
      </w:r>
      <w:r w:rsidRPr="000A6485">
        <w:rPr>
          <w:rFonts w:ascii="Verdana" w:hAnsi="Verdana"/>
          <w:b/>
          <w:iCs/>
          <w:sz w:val="16"/>
          <w:szCs w:val="16"/>
        </w:rPr>
        <w:t>powiększany jest o dochody ze sprzedaży majątku</w:t>
      </w:r>
      <w:r w:rsidRPr="000A6485">
        <w:rPr>
          <w:rFonts w:ascii="Verdana" w:hAnsi="Verdana"/>
          <w:iCs/>
          <w:sz w:val="16"/>
          <w:szCs w:val="16"/>
        </w:rPr>
        <w:t xml:space="preserve">. </w:t>
      </w:r>
    </w:p>
    <w:p w:rsidR="008A572A" w:rsidRDefault="008A572A" w:rsidP="008A572A">
      <w:pPr>
        <w:spacing w:before="60" w:after="60"/>
        <w:jc w:val="both"/>
        <w:rPr>
          <w:rFonts w:ascii="Verdana" w:hAnsi="Verdana"/>
          <w:iCs/>
          <w:sz w:val="16"/>
          <w:szCs w:val="16"/>
        </w:rPr>
      </w:pPr>
      <w:r>
        <w:rPr>
          <w:rFonts w:ascii="Verdana" w:hAnsi="Verdana" w:cs="Arial"/>
          <w:sz w:val="16"/>
          <w:szCs w:val="16"/>
        </w:rPr>
        <w:t>Przepis art. 7 ustawy</w:t>
      </w:r>
      <w:r w:rsidRPr="00006222">
        <w:rPr>
          <w:rFonts w:ascii="Verdana" w:hAnsi="Verdana" w:cs="Arial"/>
          <w:sz w:val="16"/>
          <w:szCs w:val="16"/>
        </w:rPr>
        <w:t xml:space="preserve"> z </w:t>
      </w:r>
      <w:r>
        <w:rPr>
          <w:rFonts w:ascii="Verdana" w:hAnsi="Verdana" w:cs="Arial"/>
          <w:sz w:val="16"/>
          <w:szCs w:val="16"/>
        </w:rPr>
        <w:t>14 października</w:t>
      </w:r>
      <w:r w:rsidRPr="00006222">
        <w:rPr>
          <w:rFonts w:ascii="Verdana" w:hAnsi="Verdana" w:cs="Arial"/>
          <w:sz w:val="16"/>
          <w:szCs w:val="16"/>
        </w:rPr>
        <w:t xml:space="preserve"> 2021 r. </w:t>
      </w:r>
      <w:r w:rsidRPr="00006222">
        <w:rPr>
          <w:rFonts w:ascii="Verdana" w:hAnsi="Verdana" w:cs="Arial"/>
          <w:i/>
          <w:sz w:val="16"/>
          <w:szCs w:val="16"/>
        </w:rPr>
        <w:t xml:space="preserve">o zmianie ustawy o dochodach jednostek samorządu terytorialnego oraz niektórych innych </w:t>
      </w:r>
      <w:r w:rsidRPr="00E7313D">
        <w:rPr>
          <w:rFonts w:ascii="Verdana" w:hAnsi="Verdana" w:cs="Arial"/>
          <w:i/>
          <w:sz w:val="16"/>
          <w:szCs w:val="16"/>
        </w:rPr>
        <w:t>ustaw</w:t>
      </w:r>
      <w:r w:rsidRPr="00E7313D">
        <w:rPr>
          <w:rFonts w:ascii="Verdana" w:hAnsi="Verdana" w:cs="Arial"/>
          <w:sz w:val="16"/>
          <w:szCs w:val="16"/>
        </w:rPr>
        <w:t xml:space="preserve"> </w:t>
      </w:r>
      <w:r>
        <w:rPr>
          <w:rFonts w:ascii="Verdana" w:hAnsi="Verdana" w:cs="Arial"/>
          <w:sz w:val="16"/>
          <w:szCs w:val="16"/>
        </w:rPr>
        <w:t xml:space="preserve">(Dz.U. </w:t>
      </w:r>
      <w:r w:rsidRPr="00E7313D">
        <w:rPr>
          <w:rFonts w:ascii="Verdana" w:hAnsi="Verdana" w:cs="Arial"/>
          <w:sz w:val="16"/>
          <w:szCs w:val="16"/>
        </w:rPr>
        <w:t>poz. 1927)</w:t>
      </w:r>
      <w:r>
        <w:rPr>
          <w:rFonts w:ascii="Verdana" w:hAnsi="Verdana" w:cs="Arial"/>
          <w:sz w:val="16"/>
          <w:szCs w:val="16"/>
        </w:rPr>
        <w:t xml:space="preserve"> dopuszcza</w:t>
      </w:r>
      <w:r w:rsidRPr="00006222">
        <w:rPr>
          <w:rFonts w:ascii="Verdana" w:hAnsi="Verdana" w:cs="Arial"/>
          <w:sz w:val="16"/>
          <w:szCs w:val="16"/>
        </w:rPr>
        <w:t xml:space="preserve"> </w:t>
      </w:r>
      <w:r>
        <w:rPr>
          <w:rFonts w:ascii="Verdana" w:hAnsi="Verdana" w:cs="Arial"/>
          <w:sz w:val="16"/>
          <w:szCs w:val="16"/>
        </w:rPr>
        <w:t xml:space="preserve">możliwość </w:t>
      </w:r>
      <w:r w:rsidRPr="00D75B39">
        <w:rPr>
          <w:rFonts w:ascii="Verdana" w:hAnsi="Verdana" w:cs="Arial"/>
          <w:b/>
          <w:sz w:val="16"/>
          <w:szCs w:val="16"/>
        </w:rPr>
        <w:t xml:space="preserve">wyznaczania indywidualnego limitu obsługi długu na lata 2022-2025 na podstawie </w:t>
      </w:r>
      <w:r w:rsidRPr="00F8491E">
        <w:rPr>
          <w:rFonts w:ascii="Verdana" w:hAnsi="Verdana" w:cs="Arial"/>
          <w:b/>
          <w:sz w:val="16"/>
          <w:szCs w:val="16"/>
        </w:rPr>
        <w:t>siedmiu</w:t>
      </w:r>
      <w:r>
        <w:rPr>
          <w:rFonts w:ascii="Verdana" w:hAnsi="Verdana" w:cs="Arial"/>
          <w:sz w:val="16"/>
          <w:szCs w:val="16"/>
        </w:rPr>
        <w:t xml:space="preserve"> </w:t>
      </w:r>
      <w:r w:rsidRPr="00D75B39">
        <w:rPr>
          <w:rFonts w:ascii="Verdana" w:hAnsi="Verdana" w:cs="Arial"/>
          <w:b/>
          <w:sz w:val="16"/>
          <w:szCs w:val="16"/>
        </w:rPr>
        <w:t>poprzednich lat</w:t>
      </w:r>
      <w:r>
        <w:rPr>
          <w:rFonts w:ascii="Verdana" w:hAnsi="Verdana" w:cs="Arial"/>
          <w:sz w:val="16"/>
          <w:szCs w:val="16"/>
        </w:rPr>
        <w:t xml:space="preserve"> (</w:t>
      </w:r>
      <w:r>
        <w:rPr>
          <w:rFonts w:ascii="Verdana" w:hAnsi="Verdana"/>
          <w:iCs/>
          <w:sz w:val="16"/>
          <w:szCs w:val="16"/>
        </w:rPr>
        <w:t xml:space="preserve">dla roku </w:t>
      </w:r>
      <w:r w:rsidRPr="00932633">
        <w:rPr>
          <w:rFonts w:ascii="Verdana" w:eastAsiaTheme="minorEastAsia" w:hAnsi="Verdana" w:cs="Verdana"/>
          <w:color w:val="000000"/>
          <w:sz w:val="16"/>
          <w:szCs w:val="16"/>
        </w:rPr>
        <w:t>2023</w:t>
      </w:r>
      <w:r w:rsidRPr="00011AAA">
        <w:rPr>
          <w:rFonts w:ascii="Verdana" w:hAnsi="Verdana"/>
          <w:iCs/>
          <w:sz w:val="16"/>
          <w:szCs w:val="16"/>
        </w:rPr>
        <w:t xml:space="preserve"> br</w:t>
      </w:r>
      <w:r>
        <w:rPr>
          <w:rFonts w:ascii="Verdana" w:hAnsi="Verdana"/>
          <w:iCs/>
          <w:sz w:val="16"/>
          <w:szCs w:val="16"/>
        </w:rPr>
        <w:t>ane są pod uwagę dane z lat 2015-2021)</w:t>
      </w:r>
      <w:r>
        <w:rPr>
          <w:rFonts w:ascii="Verdana" w:hAnsi="Verdana" w:cs="Arial"/>
          <w:sz w:val="16"/>
          <w:szCs w:val="16"/>
        </w:rPr>
        <w:t xml:space="preserve"> </w:t>
      </w:r>
      <w:r w:rsidRPr="00D75B39">
        <w:rPr>
          <w:rFonts w:ascii="Verdana" w:hAnsi="Verdana" w:cs="Arial"/>
          <w:b/>
          <w:sz w:val="16"/>
          <w:szCs w:val="16"/>
        </w:rPr>
        <w:t>w miejsce poprzednio obowiązującego okresu trzyletniego</w:t>
      </w:r>
      <w:r>
        <w:rPr>
          <w:rFonts w:ascii="Verdana" w:hAnsi="Verdana" w:cs="Arial"/>
          <w:sz w:val="16"/>
          <w:szCs w:val="16"/>
        </w:rPr>
        <w:t xml:space="preserve">. </w:t>
      </w:r>
      <w:r w:rsidRPr="00006222">
        <w:rPr>
          <w:rFonts w:ascii="Verdana" w:hAnsi="Verdana" w:cs="Arial"/>
          <w:sz w:val="16"/>
          <w:szCs w:val="16"/>
        </w:rPr>
        <w:t xml:space="preserve">Zgodnie </w:t>
      </w:r>
      <w:r>
        <w:rPr>
          <w:rFonts w:ascii="Verdana" w:hAnsi="Verdana" w:cs="Arial"/>
          <w:sz w:val="16"/>
          <w:szCs w:val="16"/>
        </w:rPr>
        <w:br/>
      </w:r>
      <w:r w:rsidRPr="00006222">
        <w:rPr>
          <w:rFonts w:ascii="Verdana" w:hAnsi="Verdana" w:cs="Arial"/>
          <w:sz w:val="16"/>
          <w:szCs w:val="16"/>
        </w:rPr>
        <w:t xml:space="preserve">z </w:t>
      </w:r>
      <w:r>
        <w:rPr>
          <w:rFonts w:ascii="Verdana" w:hAnsi="Verdana" w:cs="Arial"/>
          <w:sz w:val="16"/>
          <w:szCs w:val="16"/>
        </w:rPr>
        <w:t xml:space="preserve">uchwalonym </w:t>
      </w:r>
      <w:r w:rsidRPr="00006222">
        <w:rPr>
          <w:rFonts w:ascii="Verdana" w:hAnsi="Verdana" w:cs="Arial"/>
          <w:sz w:val="16"/>
          <w:szCs w:val="16"/>
        </w:rPr>
        <w:t xml:space="preserve">przepisem okres, na podstawie którego wyznaczany jest indywidualny limit obsługi długu dla danego roku, dla lat 2022-2025 może obejmować tak jak </w:t>
      </w:r>
      <w:r>
        <w:rPr>
          <w:rFonts w:ascii="Verdana" w:hAnsi="Verdana" w:cs="Arial"/>
          <w:sz w:val="16"/>
          <w:szCs w:val="16"/>
        </w:rPr>
        <w:t>przed zmianą przepisów</w:t>
      </w:r>
      <w:r w:rsidRPr="00006222">
        <w:rPr>
          <w:rFonts w:ascii="Verdana" w:hAnsi="Verdana" w:cs="Arial"/>
          <w:sz w:val="16"/>
          <w:szCs w:val="16"/>
        </w:rPr>
        <w:t xml:space="preserve"> </w:t>
      </w:r>
      <w:r w:rsidRPr="00F8491E">
        <w:rPr>
          <w:rFonts w:ascii="Verdana" w:hAnsi="Verdana" w:cs="Arial"/>
          <w:b/>
          <w:sz w:val="16"/>
          <w:szCs w:val="16"/>
        </w:rPr>
        <w:t xml:space="preserve">trzy wcześniejsze lata lub </w:t>
      </w:r>
      <w:r>
        <w:rPr>
          <w:rFonts w:ascii="Verdana" w:hAnsi="Verdana" w:cs="Arial"/>
          <w:b/>
          <w:sz w:val="16"/>
          <w:szCs w:val="16"/>
        </w:rPr>
        <w:t>mógł</w:t>
      </w:r>
      <w:r w:rsidRPr="00F8491E">
        <w:rPr>
          <w:rFonts w:ascii="Verdana" w:hAnsi="Verdana" w:cs="Arial"/>
          <w:b/>
          <w:sz w:val="16"/>
          <w:szCs w:val="16"/>
        </w:rPr>
        <w:t xml:space="preserve"> zostać </w:t>
      </w:r>
      <w:r>
        <w:rPr>
          <w:rFonts w:ascii="Verdana" w:hAnsi="Verdana" w:cs="Arial"/>
          <w:b/>
          <w:sz w:val="16"/>
          <w:szCs w:val="16"/>
        </w:rPr>
        <w:t>wydłużony</w:t>
      </w:r>
      <w:r w:rsidRPr="00F8491E">
        <w:rPr>
          <w:rFonts w:ascii="Verdana" w:hAnsi="Verdana" w:cs="Arial"/>
          <w:b/>
          <w:sz w:val="16"/>
          <w:szCs w:val="16"/>
        </w:rPr>
        <w:t xml:space="preserve"> na siedem poprzedzających lat</w:t>
      </w:r>
      <w:r>
        <w:rPr>
          <w:rFonts w:ascii="Verdana" w:hAnsi="Verdana" w:cs="Arial"/>
          <w:sz w:val="16"/>
          <w:szCs w:val="16"/>
        </w:rPr>
        <w:t xml:space="preserve">. Powyższy przepis </w:t>
      </w:r>
      <w:r>
        <w:rPr>
          <w:rFonts w:ascii="Verdana" w:hAnsi="Verdana" w:cs="Arial"/>
          <w:b/>
          <w:sz w:val="16"/>
          <w:szCs w:val="16"/>
        </w:rPr>
        <w:t>zobowiązał</w:t>
      </w:r>
      <w:r w:rsidRPr="00AC1B12">
        <w:rPr>
          <w:rFonts w:ascii="Verdana" w:hAnsi="Verdana" w:cs="Arial"/>
          <w:b/>
          <w:sz w:val="16"/>
          <w:szCs w:val="16"/>
        </w:rPr>
        <w:t xml:space="preserve"> organ wykonawczy jednostki samorządu terytorialnego do dokonania </w:t>
      </w:r>
      <w:r>
        <w:rPr>
          <w:rFonts w:ascii="Verdana" w:hAnsi="Verdana" w:cs="Arial"/>
          <w:b/>
          <w:sz w:val="16"/>
          <w:szCs w:val="16"/>
        </w:rPr>
        <w:t xml:space="preserve">w terminie do 31 grudnia 2021 r. </w:t>
      </w:r>
      <w:r w:rsidRPr="00AC1B12">
        <w:rPr>
          <w:rFonts w:ascii="Verdana" w:hAnsi="Verdana" w:cs="Arial"/>
          <w:b/>
          <w:sz w:val="16"/>
          <w:szCs w:val="16"/>
        </w:rPr>
        <w:t>wyboru dla lat 2022-2025 długości okresu stosowanego w badaniu spełnienia reguły indywidualnego limitu obsługi długu JST</w:t>
      </w:r>
      <w:r w:rsidRPr="00006222">
        <w:rPr>
          <w:rFonts w:ascii="Verdana" w:hAnsi="Verdana" w:cs="Arial"/>
          <w:sz w:val="16"/>
          <w:szCs w:val="16"/>
        </w:rPr>
        <w:t xml:space="preserve"> </w:t>
      </w:r>
      <w:r>
        <w:rPr>
          <w:rFonts w:ascii="Verdana" w:hAnsi="Verdana" w:cs="Arial"/>
          <w:sz w:val="16"/>
          <w:szCs w:val="16"/>
        </w:rPr>
        <w:t>i następnie przekazania informacji</w:t>
      </w:r>
      <w:r w:rsidRPr="00006222">
        <w:rPr>
          <w:rFonts w:ascii="Verdana" w:hAnsi="Verdana" w:cs="Arial"/>
          <w:sz w:val="16"/>
          <w:szCs w:val="16"/>
        </w:rPr>
        <w:t xml:space="preserve"> w tym </w:t>
      </w:r>
      <w:r>
        <w:rPr>
          <w:rFonts w:ascii="Verdana" w:hAnsi="Verdana" w:cs="Arial"/>
          <w:sz w:val="16"/>
          <w:szCs w:val="16"/>
        </w:rPr>
        <w:t>względzie</w:t>
      </w:r>
      <w:r w:rsidRPr="00006222">
        <w:rPr>
          <w:rFonts w:ascii="Verdana" w:hAnsi="Verdana" w:cs="Arial"/>
          <w:sz w:val="16"/>
          <w:szCs w:val="16"/>
        </w:rPr>
        <w:t xml:space="preserve"> właściwej regionalnej izbie obrachunkowej oraz organowi stanowiącemu. </w:t>
      </w:r>
      <w:r w:rsidRPr="00E339B7">
        <w:rPr>
          <w:rFonts w:ascii="Verdana" w:hAnsi="Verdana" w:cs="Arial"/>
          <w:b/>
          <w:sz w:val="16"/>
          <w:szCs w:val="16"/>
        </w:rPr>
        <w:t xml:space="preserve">Prezydent m.st. Warszawy jako organ wykonawczy dokonał dla lat 2022-2025 wyboru 7-letniego okresu stosowanego do wyliczenia relacji, o której mowa </w:t>
      </w:r>
      <w:r>
        <w:rPr>
          <w:rFonts w:ascii="Verdana" w:hAnsi="Verdana" w:cs="Arial"/>
          <w:b/>
          <w:sz w:val="16"/>
          <w:szCs w:val="16"/>
        </w:rPr>
        <w:br/>
      </w:r>
      <w:r w:rsidRPr="00E339B7">
        <w:rPr>
          <w:rFonts w:ascii="Verdana" w:hAnsi="Verdana" w:cs="Arial"/>
          <w:b/>
          <w:sz w:val="16"/>
          <w:szCs w:val="16"/>
        </w:rPr>
        <w:t>w art. 243 ustawy o finansach publicznych</w:t>
      </w:r>
      <w:r w:rsidRPr="00011AAA">
        <w:rPr>
          <w:rStyle w:val="Odwoanieprzypisudolnego"/>
          <w:rFonts w:ascii="Verdana" w:hAnsi="Verdana"/>
          <w:bCs/>
          <w:iCs/>
          <w:color w:val="000000"/>
          <w:sz w:val="16"/>
          <w:szCs w:val="16"/>
        </w:rPr>
        <w:footnoteReference w:id="27"/>
      </w:r>
      <w:r>
        <w:rPr>
          <w:rFonts w:ascii="Verdana" w:hAnsi="Verdana" w:cs="Arial"/>
          <w:b/>
          <w:sz w:val="16"/>
          <w:szCs w:val="16"/>
        </w:rPr>
        <w:t xml:space="preserve"> oraz poinformował o wyborze Regionalną Izbę Obrachunkową w Warszawie w piśmie z 26 listopada 2021 r. nr GP-OR.0050.1795.2021 i Radę </w:t>
      </w:r>
      <w:r>
        <w:rPr>
          <w:rFonts w:ascii="Verdana" w:hAnsi="Verdana" w:cs="Arial"/>
          <w:b/>
          <w:sz w:val="16"/>
          <w:szCs w:val="16"/>
        </w:rPr>
        <w:br/>
        <w:t>m.st. Warszawy w piśmie z 26 listopada 2021 r. nr DR-7-OW.3150.6.2021.KPI</w:t>
      </w:r>
      <w:r w:rsidRPr="00E339B7">
        <w:rPr>
          <w:rFonts w:ascii="Verdana" w:hAnsi="Verdana" w:cs="Arial"/>
          <w:b/>
          <w:sz w:val="16"/>
          <w:szCs w:val="16"/>
        </w:rPr>
        <w:t>.</w:t>
      </w:r>
    </w:p>
    <w:p w:rsidR="008A572A" w:rsidRPr="000A6485" w:rsidRDefault="008A572A" w:rsidP="008A572A">
      <w:pPr>
        <w:spacing w:before="60" w:after="60"/>
        <w:jc w:val="both"/>
        <w:rPr>
          <w:rFonts w:ascii="Verdana" w:hAnsi="Verdana"/>
          <w:iCs/>
          <w:sz w:val="16"/>
          <w:szCs w:val="16"/>
        </w:rPr>
      </w:pPr>
      <w:r>
        <w:rPr>
          <w:rFonts w:ascii="Verdana" w:hAnsi="Verdana"/>
          <w:iCs/>
          <w:sz w:val="16"/>
          <w:szCs w:val="16"/>
        </w:rPr>
        <w:t>N</w:t>
      </w:r>
      <w:r w:rsidRPr="000A6485">
        <w:rPr>
          <w:rFonts w:ascii="Verdana" w:hAnsi="Verdana"/>
          <w:iCs/>
          <w:sz w:val="16"/>
          <w:szCs w:val="16"/>
        </w:rPr>
        <w:t>adwyżka dochodów bieżących nad</w:t>
      </w:r>
      <w:r>
        <w:rPr>
          <w:rFonts w:ascii="Verdana" w:hAnsi="Verdana"/>
          <w:iCs/>
          <w:sz w:val="16"/>
          <w:szCs w:val="16"/>
        </w:rPr>
        <w:t xml:space="preserve"> wydatkami</w:t>
      </w:r>
      <w:r w:rsidRPr="000A6485">
        <w:rPr>
          <w:rFonts w:ascii="Verdana" w:hAnsi="Verdana"/>
          <w:iCs/>
          <w:sz w:val="16"/>
          <w:szCs w:val="16"/>
        </w:rPr>
        <w:t xml:space="preserve"> </w:t>
      </w:r>
      <w:r w:rsidRPr="000A6485">
        <w:rPr>
          <w:rFonts w:ascii="Verdana" w:hAnsi="Verdana"/>
          <w:b/>
          <w:iCs/>
          <w:sz w:val="16"/>
          <w:szCs w:val="16"/>
        </w:rPr>
        <w:t xml:space="preserve">korygowana jest o wydatki związane ze spłatą </w:t>
      </w:r>
      <w:r>
        <w:rPr>
          <w:rFonts w:ascii="Verdana" w:hAnsi="Verdana"/>
          <w:b/>
          <w:iCs/>
          <w:sz w:val="16"/>
          <w:szCs w:val="16"/>
        </w:rPr>
        <w:br/>
      </w:r>
      <w:r w:rsidRPr="000A6485">
        <w:rPr>
          <w:rFonts w:ascii="Verdana" w:hAnsi="Verdana"/>
          <w:b/>
          <w:iCs/>
          <w:sz w:val="16"/>
          <w:szCs w:val="16"/>
        </w:rPr>
        <w:t>i obsługą długu</w:t>
      </w:r>
      <w:r w:rsidRPr="000A6485">
        <w:rPr>
          <w:rFonts w:ascii="Verdana" w:hAnsi="Verdana"/>
          <w:iCs/>
          <w:sz w:val="16"/>
          <w:szCs w:val="16"/>
        </w:rPr>
        <w:t>.</w:t>
      </w:r>
    </w:p>
    <w:p w:rsidR="008A572A" w:rsidRDefault="008A572A" w:rsidP="008A572A">
      <w:pPr>
        <w:spacing w:before="60" w:after="60"/>
        <w:jc w:val="both"/>
        <w:rPr>
          <w:rFonts w:ascii="Verdana" w:hAnsi="Verdana" w:cs="Verdana"/>
          <w:color w:val="000000"/>
          <w:sz w:val="16"/>
          <w:szCs w:val="16"/>
        </w:rPr>
      </w:pPr>
      <w:r w:rsidRPr="000A6485">
        <w:rPr>
          <w:rFonts w:ascii="Verdana" w:hAnsi="Verdana" w:cs="Verdana"/>
          <w:color w:val="000000"/>
          <w:sz w:val="16"/>
          <w:szCs w:val="16"/>
        </w:rPr>
        <w:t>Do ograniczeń poziomu obsługi długu mają zastosowanie wyłączenia, które zasadniczo dotyczą zobowiązań dłużnych zaciąganych na realizację inwestycji współfinansowanych ze środków unijnych oraz wcześniejszej spłaty długu</w:t>
      </w:r>
      <w:r>
        <w:rPr>
          <w:rFonts w:ascii="Verdana" w:hAnsi="Verdana" w:cs="Verdana"/>
          <w:color w:val="000000"/>
          <w:sz w:val="16"/>
          <w:szCs w:val="16"/>
        </w:rPr>
        <w:t xml:space="preserve">, a także wyłącza się dług wraz z odsetkami pochodzący z lat 2020-2021 zaciągany z przeznaczeniem na pokrycie ubytku dochodów podatkowych </w:t>
      </w:r>
      <w:r w:rsidRPr="00001F1B">
        <w:rPr>
          <w:rFonts w:ascii="Verdana" w:hAnsi="Verdana" w:cs="Arial"/>
          <w:sz w:val="16"/>
          <w:szCs w:val="16"/>
        </w:rPr>
        <w:t>będącego skutkiem wystąpienia COVID-19</w:t>
      </w:r>
      <w:r>
        <w:rPr>
          <w:rFonts w:ascii="Verdana" w:hAnsi="Verdana" w:cs="Arial"/>
          <w:sz w:val="16"/>
          <w:szCs w:val="16"/>
        </w:rPr>
        <w:t xml:space="preserve"> oraz wyłącza się zobowiązania dłużne zaciągnięte na prefinansowanie inwestycji współfinansowanych z </w:t>
      </w:r>
      <w:r w:rsidRPr="00883367">
        <w:rPr>
          <w:rFonts w:ascii="Verdana" w:hAnsi="Verdana" w:cs="Arial"/>
          <w:sz w:val="16"/>
          <w:szCs w:val="16"/>
        </w:rPr>
        <w:t xml:space="preserve">Rządowego Funduszu Polski Ład: Program Inwestycji Strategicznych, w terminie nie dłuższym niż 90 dni po zakończeniu zadania </w:t>
      </w:r>
      <w:r>
        <w:rPr>
          <w:rFonts w:ascii="Verdana" w:hAnsi="Verdana" w:cs="Arial"/>
          <w:sz w:val="16"/>
          <w:szCs w:val="16"/>
        </w:rPr>
        <w:br/>
      </w:r>
      <w:r w:rsidRPr="00883367">
        <w:rPr>
          <w:rFonts w:ascii="Verdana" w:hAnsi="Verdana" w:cs="Arial"/>
          <w:sz w:val="16"/>
          <w:szCs w:val="16"/>
        </w:rPr>
        <w:t>i otrzymaniu dofinansowania ze środków pochodzących z tego Funduszu</w:t>
      </w:r>
      <w:r>
        <w:rPr>
          <w:rFonts w:ascii="Verdana" w:hAnsi="Verdana" w:cs="Arial"/>
          <w:sz w:val="16"/>
          <w:szCs w:val="16"/>
        </w:rPr>
        <w:t>.</w:t>
      </w:r>
    </w:p>
    <w:p w:rsidR="008A572A" w:rsidRDefault="008A572A" w:rsidP="008A572A">
      <w:pPr>
        <w:tabs>
          <w:tab w:val="left" w:pos="0"/>
        </w:tabs>
        <w:spacing w:before="60" w:after="60"/>
        <w:ind w:firstLine="567"/>
        <w:jc w:val="both"/>
        <w:rPr>
          <w:rFonts w:ascii="Verdana" w:hAnsi="Verdana" w:cs="Arial"/>
          <w:sz w:val="16"/>
          <w:szCs w:val="16"/>
        </w:rPr>
      </w:pPr>
      <w:r w:rsidRPr="000A6485">
        <w:rPr>
          <w:rFonts w:ascii="Verdana" w:hAnsi="Verdana" w:cs="Arial"/>
          <w:sz w:val="16"/>
          <w:szCs w:val="16"/>
        </w:rPr>
        <w:t xml:space="preserve">Wykres </w:t>
      </w:r>
      <w:r>
        <w:rPr>
          <w:rFonts w:ascii="Verdana" w:hAnsi="Verdana" w:cs="Arial"/>
          <w:sz w:val="16"/>
          <w:szCs w:val="16"/>
        </w:rPr>
        <w:t>nr 38</w:t>
      </w:r>
      <w:r w:rsidRPr="000A6485">
        <w:rPr>
          <w:rFonts w:ascii="Verdana" w:hAnsi="Verdana" w:cs="Arial"/>
          <w:sz w:val="16"/>
          <w:szCs w:val="16"/>
        </w:rPr>
        <w:t xml:space="preserve"> prezentuje kształtowanie się </w:t>
      </w:r>
      <w:r>
        <w:rPr>
          <w:rFonts w:ascii="Verdana" w:hAnsi="Verdana" w:cs="Arial"/>
          <w:sz w:val="16"/>
          <w:szCs w:val="16"/>
        </w:rPr>
        <w:t>ustawowej reguły obsługi długu</w:t>
      </w:r>
      <w:r w:rsidRPr="000A6485">
        <w:rPr>
          <w:rFonts w:ascii="Verdana" w:hAnsi="Verdana" w:cs="Arial"/>
          <w:sz w:val="16"/>
          <w:szCs w:val="16"/>
        </w:rPr>
        <w:t xml:space="preserve"> w perspektywie objętej </w:t>
      </w:r>
      <w:r>
        <w:rPr>
          <w:rFonts w:ascii="Verdana" w:hAnsi="Verdana" w:cs="Arial"/>
          <w:sz w:val="16"/>
          <w:szCs w:val="16"/>
        </w:rPr>
        <w:br/>
      </w:r>
      <w:r>
        <w:rPr>
          <w:rFonts w:ascii="Verdana" w:hAnsi="Verdana" w:cs="Verdana"/>
          <w:sz w:val="16"/>
          <w:szCs w:val="16"/>
        </w:rPr>
        <w:t>WPF 2023-2050</w:t>
      </w:r>
      <w:r w:rsidRPr="000A6485">
        <w:rPr>
          <w:rFonts w:ascii="Verdana" w:hAnsi="Verdana" w:cs="Arial"/>
          <w:sz w:val="16"/>
          <w:szCs w:val="16"/>
        </w:rPr>
        <w:t xml:space="preserve">, </w:t>
      </w:r>
      <w:r>
        <w:rPr>
          <w:rFonts w:ascii="Verdana" w:hAnsi="Verdana" w:cs="Arial"/>
          <w:sz w:val="16"/>
          <w:szCs w:val="16"/>
        </w:rPr>
        <w:t>przy limicie obsługi długu obliczonym</w:t>
      </w:r>
      <w:r w:rsidRPr="000A6485">
        <w:rPr>
          <w:rFonts w:ascii="Verdana" w:hAnsi="Verdana" w:cs="Arial"/>
          <w:sz w:val="16"/>
          <w:szCs w:val="16"/>
        </w:rPr>
        <w:t xml:space="preserve"> w oparciu o plan </w:t>
      </w:r>
      <w:r>
        <w:rPr>
          <w:rFonts w:ascii="Verdana" w:hAnsi="Verdana" w:cs="Arial"/>
          <w:sz w:val="16"/>
          <w:szCs w:val="16"/>
        </w:rPr>
        <w:t>na 2022 r. wg stanu na koniec trzeciego</w:t>
      </w:r>
      <w:r>
        <w:rPr>
          <w:rFonts w:ascii="Verdana" w:hAnsi="Verdana"/>
          <w:sz w:val="16"/>
          <w:szCs w:val="16"/>
        </w:rPr>
        <w:t xml:space="preserve"> kwartału</w:t>
      </w:r>
      <w:r w:rsidRPr="000A6485">
        <w:rPr>
          <w:rFonts w:ascii="Verdana" w:hAnsi="Verdana"/>
          <w:sz w:val="16"/>
          <w:szCs w:val="16"/>
        </w:rPr>
        <w:t>, z uwzględnieniem ustawowych wyłączeń</w:t>
      </w:r>
      <w:r w:rsidRPr="000A6485">
        <w:rPr>
          <w:rFonts w:ascii="Verdana" w:hAnsi="Verdana" w:cs="Arial"/>
          <w:sz w:val="16"/>
          <w:szCs w:val="16"/>
        </w:rPr>
        <w:t>.</w:t>
      </w:r>
      <w:r>
        <w:rPr>
          <w:rFonts w:ascii="Verdana" w:hAnsi="Verdana" w:cs="Arial"/>
          <w:sz w:val="16"/>
          <w:szCs w:val="16"/>
        </w:rPr>
        <w:br w:type="page"/>
      </w:r>
    </w:p>
    <w:p w:rsidR="008A572A" w:rsidRDefault="008A572A" w:rsidP="008A572A">
      <w:pPr>
        <w:tabs>
          <w:tab w:val="left" w:pos="851"/>
        </w:tabs>
        <w:spacing w:before="120" w:after="120" w:line="240" w:lineRule="auto"/>
        <w:rPr>
          <w:rFonts w:ascii="Verdana" w:hAnsi="Verdana" w:cs="Arial"/>
          <w:bCs/>
          <w:sz w:val="14"/>
          <w:szCs w:val="14"/>
        </w:rPr>
      </w:pPr>
      <w:r w:rsidRPr="000A6485">
        <w:rPr>
          <w:rFonts w:ascii="Verdana" w:hAnsi="Verdana" w:cs="Arial"/>
          <w:b/>
          <w:bCs/>
          <w:sz w:val="14"/>
          <w:szCs w:val="14"/>
        </w:rPr>
        <w:lastRenderedPageBreak/>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DB2126">
        <w:rPr>
          <w:rFonts w:ascii="Verdana" w:hAnsi="Verdana" w:cs="Arial"/>
          <w:b/>
          <w:bCs/>
          <w:noProof/>
          <w:sz w:val="14"/>
          <w:szCs w:val="14"/>
        </w:rPr>
        <w:t>38</w:t>
      </w:r>
      <w:r w:rsidRPr="000A6485">
        <w:rPr>
          <w:rFonts w:ascii="Verdana" w:hAnsi="Verdana" w:cs="Arial"/>
          <w:b/>
          <w:bCs/>
          <w:sz w:val="14"/>
          <w:szCs w:val="14"/>
        </w:rPr>
        <w:fldChar w:fldCharType="end"/>
      </w:r>
      <w:r w:rsidRPr="000A6485">
        <w:rPr>
          <w:rFonts w:ascii="Verdana" w:hAnsi="Verdana" w:cs="Arial"/>
          <w:b/>
          <w:bCs/>
          <w:sz w:val="14"/>
          <w:szCs w:val="14"/>
        </w:rPr>
        <w:t xml:space="preserve">  PROGNOZA DOPUSZCZALNEGO USTAWOWO I RZECZYWISTEGO POZIOMU WYDATKÓW I ROZCHODÓW </w:t>
      </w:r>
      <w:r w:rsidRPr="000A6485">
        <w:rPr>
          <w:rFonts w:ascii="Verdana" w:hAnsi="Verdana" w:cs="Arial"/>
          <w:b/>
          <w:bCs/>
          <w:sz w:val="14"/>
          <w:szCs w:val="14"/>
        </w:rPr>
        <w:br/>
        <w:t xml:space="preserve">                ZWIĄZANYCH Z OBSŁUGĄ ZADŁUŻENIA I PORĘCZENIAMI I GWARANCJAMI W RELACJI DO DOCHODÓW </w:t>
      </w:r>
      <w:r w:rsidRPr="000A6485">
        <w:rPr>
          <w:rFonts w:ascii="Verdana" w:hAnsi="Verdana" w:cs="Arial"/>
          <w:b/>
          <w:bCs/>
          <w:sz w:val="14"/>
          <w:szCs w:val="14"/>
        </w:rPr>
        <w:br/>
        <w:t xml:space="preserve">                BIEŻACYCH POMNIEJSZONYCH O DOTACJE I ŚRODKI PRZEZNACZONE NA CELE BIEŻĄCE </w:t>
      </w:r>
      <w:r>
        <w:rPr>
          <w:rFonts w:ascii="Verdana" w:hAnsi="Verdana" w:cs="Arial"/>
          <w:b/>
          <w:bCs/>
          <w:sz w:val="14"/>
          <w:szCs w:val="14"/>
        </w:rPr>
        <w:br/>
        <w:t xml:space="preserve">                W M.ST. WARSZAWA NA LATA </w:t>
      </w:r>
      <w:r w:rsidRPr="00932633">
        <w:rPr>
          <w:rFonts w:ascii="Verdana" w:hAnsi="Verdana" w:cs="Arial"/>
          <w:b/>
          <w:bCs/>
          <w:sz w:val="14"/>
          <w:szCs w:val="14"/>
        </w:rPr>
        <w:t>2023</w:t>
      </w:r>
      <w:r w:rsidRPr="000A6485">
        <w:rPr>
          <w:rFonts w:ascii="Verdana" w:hAnsi="Verdana" w:cs="Arial"/>
          <w:b/>
          <w:bCs/>
          <w:sz w:val="14"/>
          <w:szCs w:val="14"/>
        </w:rPr>
        <w:t xml:space="preserve">-2050 – Z UWZGLĘDNIENIEM USTAWOWYCH WYŁĄCZEŃ </w:t>
      </w:r>
      <w:r>
        <w:rPr>
          <w:rFonts w:ascii="Verdana" w:hAnsi="Verdana" w:cs="Arial"/>
          <w:bCs/>
          <w:sz w:val="14"/>
          <w:szCs w:val="14"/>
        </w:rPr>
        <w:t xml:space="preserve">[w </w:t>
      </w:r>
      <w:r w:rsidRPr="000A6485">
        <w:rPr>
          <w:rFonts w:ascii="Verdana" w:hAnsi="Verdana" w:cs="Arial"/>
          <w:bCs/>
          <w:sz w:val="14"/>
          <w:szCs w:val="14"/>
        </w:rPr>
        <w:t>%]</w:t>
      </w:r>
    </w:p>
    <w:p w:rsidR="008A572A" w:rsidRPr="000A6485" w:rsidRDefault="008A572A" w:rsidP="008A572A">
      <w:pPr>
        <w:tabs>
          <w:tab w:val="left" w:pos="851"/>
        </w:tabs>
        <w:spacing w:before="120" w:after="120" w:line="240" w:lineRule="auto"/>
        <w:rPr>
          <w:rFonts w:ascii="Verdana" w:hAnsi="Verdana"/>
          <w:b/>
          <w:bCs/>
          <w:sz w:val="22"/>
          <w:szCs w:val="22"/>
        </w:rPr>
      </w:pPr>
      <w:r>
        <w:rPr>
          <w:rFonts w:ascii="Verdana" w:hAnsi="Verdana"/>
          <w:b/>
          <w:bCs/>
          <w:noProof/>
          <w:sz w:val="22"/>
          <w:szCs w:val="22"/>
        </w:rPr>
        <w:drawing>
          <wp:inline distT="0" distB="0" distL="0" distR="0">
            <wp:extent cx="5718175" cy="294767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8175" cy="2947670"/>
                    </a:xfrm>
                    <a:prstGeom prst="rect">
                      <a:avLst/>
                    </a:prstGeom>
                    <a:noFill/>
                    <a:ln>
                      <a:noFill/>
                    </a:ln>
                  </pic:spPr>
                </pic:pic>
              </a:graphicData>
            </a:graphic>
          </wp:inline>
        </w:drawing>
      </w:r>
    </w:p>
    <w:p w:rsidR="008A572A" w:rsidRDefault="008A572A" w:rsidP="008A572A">
      <w:pPr>
        <w:tabs>
          <w:tab w:val="left" w:pos="0"/>
        </w:tabs>
        <w:spacing w:before="60" w:after="60"/>
        <w:jc w:val="both"/>
        <w:rPr>
          <w:rFonts w:ascii="Verdana" w:hAnsi="Verdana" w:cs="Arial"/>
          <w:sz w:val="16"/>
          <w:szCs w:val="16"/>
        </w:rPr>
      </w:pPr>
      <w:r w:rsidRPr="000A6485">
        <w:rPr>
          <w:rFonts w:ascii="Verdana" w:hAnsi="Verdana" w:cs="Arial"/>
          <w:sz w:val="16"/>
          <w:szCs w:val="16"/>
        </w:rPr>
        <w:t xml:space="preserve">W każdym z lat objętych prognozą występuje dodatnia różnica między limitem obciążeń budżetu związanych </w:t>
      </w:r>
      <w:r w:rsidRPr="000A6485">
        <w:rPr>
          <w:rFonts w:ascii="Verdana" w:hAnsi="Verdana" w:cs="Arial"/>
          <w:sz w:val="16"/>
          <w:szCs w:val="16"/>
        </w:rPr>
        <w:br/>
        <w:t xml:space="preserve">z obsługą zadłużenia a wskaźnikiem obsługi zadłużenia z uwzględnieniem wyłączeń ustawowych - której najniższa wartość wynosi </w:t>
      </w:r>
      <w:r>
        <w:rPr>
          <w:rFonts w:ascii="Verdana" w:hAnsi="Verdana" w:cs="Arial"/>
          <w:b/>
          <w:sz w:val="16"/>
          <w:szCs w:val="16"/>
        </w:rPr>
        <w:t>+0,52 pkt</w:t>
      </w:r>
      <w:r w:rsidRPr="000A6485">
        <w:rPr>
          <w:rFonts w:ascii="Verdana" w:hAnsi="Verdana" w:cs="Arial"/>
          <w:b/>
          <w:sz w:val="16"/>
          <w:szCs w:val="16"/>
        </w:rPr>
        <w:t xml:space="preserve"> proc.</w:t>
      </w:r>
      <w:r w:rsidRPr="000A6485">
        <w:rPr>
          <w:rFonts w:ascii="Verdana" w:hAnsi="Verdana" w:cs="Arial"/>
          <w:sz w:val="16"/>
          <w:szCs w:val="16"/>
        </w:rPr>
        <w:t xml:space="preserve"> w 202</w:t>
      </w:r>
      <w:r>
        <w:rPr>
          <w:rFonts w:ascii="Verdana" w:hAnsi="Verdana" w:cs="Arial"/>
          <w:sz w:val="16"/>
          <w:szCs w:val="16"/>
        </w:rPr>
        <w:t>6</w:t>
      </w:r>
      <w:r w:rsidRPr="000A6485">
        <w:rPr>
          <w:rFonts w:ascii="Verdana" w:hAnsi="Verdana" w:cs="Arial"/>
          <w:sz w:val="16"/>
          <w:szCs w:val="16"/>
        </w:rPr>
        <w:t xml:space="preserve"> r.</w:t>
      </w:r>
      <w:r>
        <w:rPr>
          <w:rFonts w:ascii="Verdana" w:hAnsi="Verdana" w:cs="Arial"/>
          <w:sz w:val="16"/>
          <w:szCs w:val="16"/>
        </w:rPr>
        <w:t xml:space="preserve">, </w:t>
      </w:r>
      <w:r w:rsidRPr="000A6485">
        <w:rPr>
          <w:rFonts w:ascii="Verdana" w:hAnsi="Verdana" w:cs="Arial"/>
          <w:b/>
          <w:sz w:val="16"/>
          <w:szCs w:val="16"/>
        </w:rPr>
        <w:t>+0,</w:t>
      </w:r>
      <w:r>
        <w:rPr>
          <w:rFonts w:ascii="Verdana" w:hAnsi="Verdana" w:cs="Arial"/>
          <w:b/>
          <w:sz w:val="16"/>
          <w:szCs w:val="16"/>
        </w:rPr>
        <w:t>36 pkt</w:t>
      </w:r>
      <w:r w:rsidRPr="000A6485">
        <w:rPr>
          <w:rFonts w:ascii="Verdana" w:hAnsi="Verdana" w:cs="Arial"/>
          <w:b/>
          <w:sz w:val="16"/>
          <w:szCs w:val="16"/>
        </w:rPr>
        <w:t xml:space="preserve"> proc.</w:t>
      </w:r>
      <w:r w:rsidRPr="000A6485">
        <w:rPr>
          <w:rFonts w:ascii="Verdana" w:hAnsi="Verdana" w:cs="Arial"/>
          <w:sz w:val="16"/>
          <w:szCs w:val="16"/>
        </w:rPr>
        <w:t xml:space="preserve"> w 202</w:t>
      </w:r>
      <w:r>
        <w:rPr>
          <w:rFonts w:ascii="Verdana" w:hAnsi="Verdana" w:cs="Arial"/>
          <w:sz w:val="16"/>
          <w:szCs w:val="16"/>
        </w:rPr>
        <w:t xml:space="preserve">7 r., </w:t>
      </w:r>
      <w:r>
        <w:rPr>
          <w:rFonts w:ascii="Verdana" w:hAnsi="Verdana" w:cs="Arial"/>
          <w:b/>
          <w:sz w:val="16"/>
          <w:szCs w:val="16"/>
        </w:rPr>
        <w:t>+0,72 pkt</w:t>
      </w:r>
      <w:r w:rsidRPr="000A6485">
        <w:rPr>
          <w:rFonts w:ascii="Verdana" w:hAnsi="Verdana" w:cs="Arial"/>
          <w:b/>
          <w:sz w:val="16"/>
          <w:szCs w:val="16"/>
        </w:rPr>
        <w:t xml:space="preserve"> proc.</w:t>
      </w:r>
      <w:r w:rsidRPr="000A6485">
        <w:rPr>
          <w:rFonts w:ascii="Verdana" w:hAnsi="Verdana" w:cs="Arial"/>
          <w:sz w:val="16"/>
          <w:szCs w:val="16"/>
        </w:rPr>
        <w:t xml:space="preserve"> w 202</w:t>
      </w:r>
      <w:r>
        <w:rPr>
          <w:rFonts w:ascii="Verdana" w:hAnsi="Verdana" w:cs="Arial"/>
          <w:sz w:val="16"/>
          <w:szCs w:val="16"/>
        </w:rPr>
        <w:t>9</w:t>
      </w:r>
      <w:r w:rsidRPr="000A6485">
        <w:rPr>
          <w:rFonts w:ascii="Verdana" w:hAnsi="Verdana" w:cs="Arial"/>
          <w:sz w:val="16"/>
          <w:szCs w:val="16"/>
        </w:rPr>
        <w:t xml:space="preserve"> r.</w:t>
      </w:r>
      <w:r>
        <w:rPr>
          <w:rFonts w:ascii="Verdana" w:hAnsi="Verdana" w:cs="Arial"/>
          <w:sz w:val="16"/>
          <w:szCs w:val="16"/>
        </w:rPr>
        <w:t xml:space="preserve"> </w:t>
      </w:r>
      <w:r>
        <w:rPr>
          <w:rFonts w:ascii="Verdana" w:hAnsi="Verdana" w:cs="Arial"/>
          <w:sz w:val="16"/>
          <w:szCs w:val="16"/>
        </w:rPr>
        <w:br/>
      </w:r>
      <w:r w:rsidRPr="000A6485">
        <w:rPr>
          <w:rFonts w:ascii="Verdana" w:hAnsi="Verdana" w:cs="Arial"/>
          <w:sz w:val="16"/>
          <w:szCs w:val="16"/>
        </w:rPr>
        <w:t xml:space="preserve">- co oznacza </w:t>
      </w:r>
      <w:r w:rsidRPr="000A6485">
        <w:rPr>
          <w:rFonts w:ascii="Verdana" w:hAnsi="Verdana" w:cs="Arial"/>
          <w:b/>
          <w:sz w:val="16"/>
          <w:szCs w:val="16"/>
        </w:rPr>
        <w:t xml:space="preserve">spełnienie reguły ustawowej odnoszącej się do indywidualnego limitu obsługi długu </w:t>
      </w:r>
      <w:r>
        <w:rPr>
          <w:rFonts w:ascii="Verdana" w:hAnsi="Verdana" w:cs="Arial"/>
          <w:b/>
          <w:sz w:val="16"/>
          <w:szCs w:val="16"/>
        </w:rPr>
        <w:br/>
      </w:r>
      <w:r w:rsidRPr="000A6485">
        <w:rPr>
          <w:rFonts w:ascii="Verdana" w:hAnsi="Verdana" w:cs="Arial"/>
          <w:b/>
          <w:sz w:val="16"/>
          <w:szCs w:val="16"/>
        </w:rPr>
        <w:t xml:space="preserve">w całym okresie </w:t>
      </w:r>
      <w:r>
        <w:rPr>
          <w:rFonts w:ascii="Verdana" w:hAnsi="Verdana" w:cs="Arial"/>
          <w:b/>
          <w:sz w:val="16"/>
          <w:szCs w:val="16"/>
        </w:rPr>
        <w:t xml:space="preserve">WPF </w:t>
      </w:r>
      <w:r w:rsidRPr="00932633">
        <w:rPr>
          <w:rFonts w:ascii="Verdana" w:hAnsi="Verdana" w:cs="Arial"/>
          <w:b/>
          <w:sz w:val="16"/>
          <w:szCs w:val="16"/>
        </w:rPr>
        <w:t>2023</w:t>
      </w:r>
      <w:r w:rsidRPr="000A6485">
        <w:rPr>
          <w:rFonts w:ascii="Verdana" w:hAnsi="Verdana" w:cs="Arial"/>
          <w:b/>
          <w:sz w:val="16"/>
          <w:szCs w:val="16"/>
        </w:rPr>
        <w:t>-2050</w:t>
      </w:r>
    </w:p>
    <w:p w:rsidR="008A572A" w:rsidRPr="000A6485" w:rsidRDefault="008A572A" w:rsidP="008A572A">
      <w:pPr>
        <w:tabs>
          <w:tab w:val="left" w:pos="0"/>
        </w:tabs>
        <w:spacing w:before="60" w:after="60"/>
        <w:ind w:firstLine="567"/>
        <w:jc w:val="both"/>
        <w:rPr>
          <w:rFonts w:ascii="Verdana" w:hAnsi="Verdana" w:cs="Arial"/>
          <w:sz w:val="18"/>
          <w:szCs w:val="18"/>
        </w:rPr>
      </w:pPr>
      <w:r>
        <w:rPr>
          <w:rFonts w:ascii="Verdana" w:hAnsi="Verdana" w:cs="Arial"/>
          <w:sz w:val="16"/>
          <w:szCs w:val="16"/>
        </w:rPr>
        <w:t>Tabela nr 3</w:t>
      </w:r>
      <w:r w:rsidRPr="000A6485">
        <w:rPr>
          <w:rFonts w:ascii="Verdana" w:hAnsi="Verdana" w:cs="Arial"/>
          <w:sz w:val="16"/>
          <w:szCs w:val="16"/>
        </w:rPr>
        <w:t xml:space="preserve"> prezentuje prognozowane kształtowanie </w:t>
      </w:r>
      <w:r>
        <w:rPr>
          <w:rFonts w:ascii="Verdana" w:hAnsi="Verdana" w:cs="Arial"/>
          <w:sz w:val="16"/>
          <w:szCs w:val="16"/>
        </w:rPr>
        <w:t xml:space="preserve">się w latach </w:t>
      </w:r>
      <w:r w:rsidRPr="00932633">
        <w:rPr>
          <w:rFonts w:ascii="Verdana" w:hAnsi="Verdana" w:cs="Arial"/>
          <w:sz w:val="16"/>
          <w:szCs w:val="16"/>
        </w:rPr>
        <w:t>2023</w:t>
      </w:r>
      <w:r w:rsidRPr="000A6485">
        <w:rPr>
          <w:rFonts w:ascii="Verdana" w:hAnsi="Verdana" w:cs="Arial"/>
          <w:sz w:val="16"/>
          <w:szCs w:val="16"/>
        </w:rPr>
        <w:t xml:space="preserve">-2050 wskaźnika i limitu wydatków i rozchodów związanych z obsługą długu </w:t>
      </w:r>
      <w:r w:rsidRPr="000A6485">
        <w:rPr>
          <w:rFonts w:ascii="Verdana" w:hAnsi="Verdana" w:cs="Arial"/>
          <w:b/>
          <w:sz w:val="16"/>
          <w:szCs w:val="16"/>
        </w:rPr>
        <w:t>bez uwzględnienia ustawowych wyłączeń</w:t>
      </w:r>
      <w:r w:rsidRPr="000A6485">
        <w:rPr>
          <w:rFonts w:ascii="Verdana" w:hAnsi="Verdana" w:cs="Arial"/>
          <w:sz w:val="16"/>
          <w:szCs w:val="16"/>
        </w:rPr>
        <w:t>.</w:t>
      </w:r>
    </w:p>
    <w:p w:rsidR="008A572A" w:rsidRPr="000A6485" w:rsidRDefault="008A572A" w:rsidP="008A572A">
      <w:pPr>
        <w:tabs>
          <w:tab w:val="left" w:pos="0"/>
        </w:tabs>
        <w:spacing w:before="120" w:after="120" w:line="240" w:lineRule="auto"/>
        <w:rPr>
          <w:rFonts w:ascii="Verdana" w:hAnsi="Verdana" w:cs="Arial"/>
          <w:b/>
          <w:bCs/>
          <w:sz w:val="14"/>
          <w:szCs w:val="14"/>
        </w:rPr>
      </w:pPr>
      <w:r w:rsidRPr="000A6485">
        <w:rPr>
          <w:rFonts w:ascii="Verdana" w:hAnsi="Verdana" w:cs="Arial"/>
          <w:b/>
          <w:bCs/>
          <w:sz w:val="14"/>
          <w:szCs w:val="14"/>
        </w:rPr>
        <w:t xml:space="preserve">TAB.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Tab. \* ARABIC </w:instrText>
      </w:r>
      <w:r w:rsidRPr="000A6485">
        <w:rPr>
          <w:rFonts w:ascii="Verdana" w:hAnsi="Verdana" w:cs="Arial"/>
          <w:b/>
          <w:bCs/>
          <w:sz w:val="14"/>
          <w:szCs w:val="14"/>
        </w:rPr>
        <w:fldChar w:fldCharType="separate"/>
      </w:r>
      <w:r w:rsidR="00DB2126">
        <w:rPr>
          <w:rFonts w:ascii="Verdana" w:hAnsi="Verdana" w:cs="Arial"/>
          <w:b/>
          <w:bCs/>
          <w:noProof/>
          <w:sz w:val="14"/>
          <w:szCs w:val="14"/>
        </w:rPr>
        <w:t>3</w:t>
      </w:r>
      <w:r w:rsidRPr="000A6485">
        <w:rPr>
          <w:rFonts w:ascii="Verdana" w:hAnsi="Verdana" w:cs="Arial"/>
          <w:b/>
          <w:bCs/>
          <w:sz w:val="14"/>
          <w:szCs w:val="14"/>
        </w:rPr>
        <w:fldChar w:fldCharType="end"/>
      </w:r>
      <w:r w:rsidRPr="000A6485">
        <w:rPr>
          <w:rFonts w:ascii="Verdana" w:hAnsi="Verdana" w:cs="Arial"/>
          <w:b/>
          <w:bCs/>
          <w:sz w:val="14"/>
          <w:szCs w:val="14"/>
        </w:rPr>
        <w:t xml:space="preserve">. PROGNOZA DOPUSZCZALNEGO USTAWOWO I RZECZYWISTEGO POZIOMU WYDATKÓW I ROZCHODÓW </w:t>
      </w:r>
      <w:r w:rsidRPr="000A6485">
        <w:rPr>
          <w:rFonts w:ascii="Verdana" w:hAnsi="Verdana" w:cs="Arial"/>
          <w:b/>
          <w:bCs/>
          <w:sz w:val="14"/>
          <w:szCs w:val="14"/>
        </w:rPr>
        <w:br/>
        <w:t xml:space="preserve">             ZWIĄZANYCH Z OBSŁUGĄ ZADŁUŻENIA I PORĘCZENIAMI I GWARANCJAMI W RELACJI DO DOCHODÓW  </w:t>
      </w:r>
      <w:r w:rsidRPr="000A6485">
        <w:rPr>
          <w:rFonts w:ascii="Verdana" w:hAnsi="Verdana" w:cs="Arial"/>
          <w:b/>
          <w:bCs/>
          <w:sz w:val="14"/>
          <w:szCs w:val="14"/>
        </w:rPr>
        <w:br/>
        <w:t xml:space="preserve">          </w:t>
      </w:r>
      <w:r>
        <w:rPr>
          <w:rFonts w:ascii="Verdana" w:hAnsi="Verdana" w:cs="Arial"/>
          <w:b/>
          <w:bCs/>
          <w:sz w:val="14"/>
          <w:szCs w:val="14"/>
        </w:rPr>
        <w:t xml:space="preserve">   W M.ST. WARSZAWA NA LATA </w:t>
      </w:r>
      <w:r w:rsidRPr="00932633">
        <w:rPr>
          <w:rFonts w:ascii="Verdana" w:hAnsi="Verdana" w:cs="Arial"/>
          <w:b/>
          <w:bCs/>
          <w:sz w:val="14"/>
          <w:szCs w:val="14"/>
        </w:rPr>
        <w:t>2023</w:t>
      </w:r>
      <w:r w:rsidRPr="000A6485">
        <w:rPr>
          <w:rFonts w:ascii="Verdana" w:hAnsi="Verdana" w:cs="Arial"/>
          <w:b/>
          <w:bCs/>
          <w:sz w:val="14"/>
          <w:szCs w:val="14"/>
        </w:rPr>
        <w:t xml:space="preserve">-2050 – BEZ UWZGLĘDNIENIA USTAWOWYCH WYŁĄCZEŃ </w:t>
      </w:r>
      <w:r>
        <w:rPr>
          <w:rFonts w:ascii="Verdana" w:hAnsi="Verdana" w:cs="Arial"/>
          <w:bCs/>
          <w:sz w:val="14"/>
          <w:szCs w:val="14"/>
        </w:rPr>
        <w:t xml:space="preserve">[w </w:t>
      </w:r>
      <w:r w:rsidRPr="000A6485">
        <w:rPr>
          <w:rFonts w:ascii="Verdana" w:hAnsi="Verdana" w:cs="Arial"/>
          <w:bCs/>
          <w:sz w:val="14"/>
          <w:szCs w:val="14"/>
        </w:rPr>
        <w:t>%]</w:t>
      </w:r>
    </w:p>
    <w:p w:rsidR="008A572A" w:rsidRPr="000A6485" w:rsidRDefault="008A572A" w:rsidP="008A572A">
      <w:pPr>
        <w:tabs>
          <w:tab w:val="left" w:pos="0"/>
        </w:tabs>
        <w:spacing w:before="120" w:after="120"/>
        <w:rPr>
          <w:rFonts w:ascii="Verdana" w:hAnsi="Verdana"/>
          <w:b/>
          <w:bCs/>
          <w:noProof/>
          <w:sz w:val="22"/>
          <w:szCs w:val="22"/>
        </w:rPr>
      </w:pPr>
      <w:r>
        <w:rPr>
          <w:rFonts w:ascii="Verdana" w:hAnsi="Verdana"/>
          <w:b/>
          <w:bCs/>
          <w:noProof/>
          <w:sz w:val="22"/>
          <w:szCs w:val="22"/>
        </w:rPr>
        <w:drawing>
          <wp:inline distT="0" distB="0" distL="0" distR="0">
            <wp:extent cx="6196330" cy="1446530"/>
            <wp:effectExtent l="0" t="0" r="0" b="127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96330" cy="1446530"/>
                    </a:xfrm>
                    <a:prstGeom prst="rect">
                      <a:avLst/>
                    </a:prstGeom>
                    <a:noFill/>
                    <a:ln>
                      <a:noFill/>
                    </a:ln>
                  </pic:spPr>
                </pic:pic>
              </a:graphicData>
            </a:graphic>
          </wp:inline>
        </w:drawing>
      </w:r>
    </w:p>
    <w:p w:rsidR="008A572A" w:rsidRDefault="008A572A" w:rsidP="008A572A">
      <w:pPr>
        <w:tabs>
          <w:tab w:val="left" w:pos="0"/>
        </w:tabs>
        <w:spacing w:before="360" w:after="120"/>
        <w:ind w:firstLine="567"/>
        <w:jc w:val="both"/>
        <w:rPr>
          <w:rFonts w:ascii="Verdana" w:hAnsi="Verdana" w:cs="Arial"/>
          <w:sz w:val="16"/>
          <w:szCs w:val="16"/>
        </w:rPr>
      </w:pPr>
      <w:r>
        <w:rPr>
          <w:rFonts w:ascii="Verdana" w:hAnsi="Verdana" w:cs="Arial"/>
          <w:sz w:val="16"/>
          <w:szCs w:val="16"/>
        </w:rPr>
        <w:t>Tabela nr 4</w:t>
      </w:r>
      <w:r w:rsidRPr="000A6485">
        <w:rPr>
          <w:rFonts w:ascii="Verdana" w:hAnsi="Verdana" w:cs="Arial"/>
          <w:sz w:val="16"/>
          <w:szCs w:val="16"/>
        </w:rPr>
        <w:t xml:space="preserve"> prezentuje prognozowane</w:t>
      </w:r>
      <w:r>
        <w:rPr>
          <w:rFonts w:ascii="Verdana" w:hAnsi="Verdana" w:cs="Arial"/>
          <w:sz w:val="16"/>
          <w:szCs w:val="16"/>
        </w:rPr>
        <w:t xml:space="preserve"> kształtowanie się w latach </w:t>
      </w:r>
      <w:r w:rsidRPr="00932633">
        <w:rPr>
          <w:rFonts w:ascii="Verdana" w:hAnsi="Verdana" w:cs="Arial"/>
          <w:sz w:val="16"/>
          <w:szCs w:val="16"/>
        </w:rPr>
        <w:t>2023</w:t>
      </w:r>
      <w:r w:rsidRPr="000A6485">
        <w:rPr>
          <w:rFonts w:ascii="Verdana" w:hAnsi="Verdana" w:cs="Arial"/>
          <w:sz w:val="16"/>
          <w:szCs w:val="16"/>
        </w:rPr>
        <w:t xml:space="preserve">-2050 wskaźnika i limitu wydatków i rozchodów związanych z obsługą długu </w:t>
      </w:r>
      <w:r w:rsidRPr="000A6485">
        <w:rPr>
          <w:rFonts w:ascii="Verdana" w:hAnsi="Verdana" w:cs="Arial"/>
          <w:b/>
          <w:sz w:val="16"/>
          <w:szCs w:val="16"/>
        </w:rPr>
        <w:t>po uwzględnieniu ustawowych wyłączeń</w:t>
      </w:r>
      <w:r w:rsidRPr="000A6485">
        <w:rPr>
          <w:rFonts w:ascii="Verdana" w:hAnsi="Verdana" w:cs="Arial"/>
          <w:sz w:val="16"/>
          <w:szCs w:val="16"/>
        </w:rPr>
        <w:t>.</w:t>
      </w:r>
      <w:r>
        <w:rPr>
          <w:rFonts w:ascii="Verdana" w:hAnsi="Verdana" w:cs="Arial"/>
          <w:sz w:val="16"/>
          <w:szCs w:val="16"/>
        </w:rPr>
        <w:br w:type="page"/>
      </w:r>
    </w:p>
    <w:p w:rsidR="008A572A" w:rsidRPr="000A6485" w:rsidRDefault="008A572A" w:rsidP="008A572A">
      <w:pPr>
        <w:tabs>
          <w:tab w:val="left" w:pos="0"/>
        </w:tabs>
        <w:spacing w:before="360" w:after="120" w:line="240" w:lineRule="auto"/>
        <w:rPr>
          <w:rFonts w:ascii="Verdana" w:hAnsi="Verdana" w:cs="Arial"/>
          <w:iCs/>
        </w:rPr>
      </w:pPr>
      <w:r w:rsidRPr="00050553">
        <w:rPr>
          <w:rFonts w:ascii="Verdana" w:hAnsi="Verdana" w:cs="Arial"/>
          <w:b/>
          <w:sz w:val="14"/>
          <w:szCs w:val="14"/>
        </w:rPr>
        <w:lastRenderedPageBreak/>
        <w:t xml:space="preserve">TAB. </w:t>
      </w:r>
      <w:r w:rsidRPr="00050553">
        <w:rPr>
          <w:rFonts w:ascii="Verdana" w:hAnsi="Verdana" w:cs="Arial"/>
          <w:b/>
          <w:sz w:val="14"/>
          <w:szCs w:val="14"/>
        </w:rPr>
        <w:fldChar w:fldCharType="begin"/>
      </w:r>
      <w:r w:rsidRPr="00050553">
        <w:rPr>
          <w:rFonts w:ascii="Verdana" w:hAnsi="Verdana" w:cs="Arial"/>
          <w:b/>
          <w:sz w:val="14"/>
          <w:szCs w:val="14"/>
        </w:rPr>
        <w:instrText xml:space="preserve"> SEQ Tab. \* ARABIC </w:instrText>
      </w:r>
      <w:r w:rsidRPr="00050553">
        <w:rPr>
          <w:rFonts w:ascii="Verdana" w:hAnsi="Verdana" w:cs="Arial"/>
          <w:b/>
          <w:sz w:val="14"/>
          <w:szCs w:val="14"/>
        </w:rPr>
        <w:fldChar w:fldCharType="separate"/>
      </w:r>
      <w:r w:rsidR="00DB2126">
        <w:rPr>
          <w:rFonts w:ascii="Verdana" w:hAnsi="Verdana" w:cs="Arial"/>
          <w:b/>
          <w:noProof/>
          <w:sz w:val="14"/>
          <w:szCs w:val="14"/>
        </w:rPr>
        <w:t>4</w:t>
      </w:r>
      <w:r w:rsidRPr="00050553">
        <w:rPr>
          <w:rFonts w:ascii="Verdana" w:hAnsi="Verdana" w:cs="Arial"/>
          <w:b/>
          <w:sz w:val="14"/>
          <w:szCs w:val="14"/>
        </w:rPr>
        <w:fldChar w:fldCharType="end"/>
      </w:r>
      <w:r w:rsidRPr="00050553">
        <w:rPr>
          <w:rFonts w:ascii="Verdana" w:hAnsi="Verdana" w:cs="Arial"/>
          <w:b/>
          <w:sz w:val="14"/>
          <w:szCs w:val="14"/>
        </w:rPr>
        <w:t xml:space="preserve">. PROGNOZA DOPUSZCZALNEGO USTAWOWO I RZECZYWISTEGO POZIOMU WYDATKÓW I ROZCHODÓW </w:t>
      </w:r>
      <w:r w:rsidRPr="00050553">
        <w:rPr>
          <w:rFonts w:ascii="Verdana" w:hAnsi="Verdana" w:cs="Arial"/>
          <w:b/>
          <w:sz w:val="14"/>
          <w:szCs w:val="14"/>
        </w:rPr>
        <w:br/>
        <w:t xml:space="preserve">             ZWIĄZANYCH Z OBSŁUGĄ ZADŁUŻENIA I PORĘCZENIAMI I GWARANCJAMI W RELACJI DO DOCHODÓW  </w:t>
      </w:r>
      <w:r w:rsidRPr="00050553">
        <w:rPr>
          <w:rFonts w:ascii="Verdana" w:hAnsi="Verdana" w:cs="Arial"/>
          <w:b/>
          <w:sz w:val="14"/>
          <w:szCs w:val="14"/>
        </w:rPr>
        <w:br/>
        <w:t xml:space="preserve">             W M.ST. WARSZAWA NA LATA 2023-2050 – PO UWZGLĘDNIENIU USTAWOWYCH WYŁĄCZEŃ [w %]</w:t>
      </w:r>
      <w:r w:rsidRPr="00050553">
        <w:rPr>
          <w:rFonts w:ascii="Verdana" w:hAnsi="Verdana" w:cs="Arial"/>
          <w:b/>
          <w:sz w:val="16"/>
          <w:szCs w:val="16"/>
        </w:rPr>
        <w:br/>
      </w:r>
      <w:r w:rsidRPr="000A6485">
        <w:rPr>
          <w:rFonts w:ascii="Verdana" w:hAnsi="Verdana"/>
          <w:sz w:val="12"/>
          <w:szCs w:val="12"/>
        </w:rPr>
        <w:t xml:space="preserve">  </w:t>
      </w:r>
      <w:r>
        <w:rPr>
          <w:rFonts w:ascii="Verdana" w:hAnsi="Verdana" w:cs="Arial"/>
          <w:iCs/>
          <w:noProof/>
        </w:rPr>
        <w:drawing>
          <wp:inline distT="0" distB="0" distL="0" distR="0">
            <wp:extent cx="6155055" cy="219710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55055" cy="2197100"/>
                    </a:xfrm>
                    <a:prstGeom prst="rect">
                      <a:avLst/>
                    </a:prstGeom>
                    <a:noFill/>
                    <a:ln>
                      <a:noFill/>
                    </a:ln>
                  </pic:spPr>
                </pic:pic>
              </a:graphicData>
            </a:graphic>
          </wp:inline>
        </w:drawing>
      </w:r>
    </w:p>
    <w:p w:rsidR="008A572A" w:rsidRPr="000A6485" w:rsidRDefault="008A572A" w:rsidP="008A572A">
      <w:pPr>
        <w:tabs>
          <w:tab w:val="num" w:pos="1273"/>
        </w:tabs>
        <w:spacing w:before="240" w:after="120"/>
        <w:rPr>
          <w:rFonts w:ascii="Verdana" w:hAnsi="Verdana"/>
          <w:b/>
          <w:bCs/>
          <w:sz w:val="22"/>
          <w:szCs w:val="22"/>
        </w:rPr>
      </w:pPr>
      <w:r w:rsidRPr="000A6485">
        <w:rPr>
          <w:rFonts w:ascii="Verdana" w:hAnsi="Verdana"/>
          <w:b/>
          <w:bCs/>
          <w:sz w:val="22"/>
          <w:szCs w:val="22"/>
        </w:rPr>
        <w:t>9. Zestawienie przedsięwzięć wieloletnich</w:t>
      </w:r>
    </w:p>
    <w:p w:rsidR="008A572A" w:rsidRPr="00132758" w:rsidRDefault="008A572A" w:rsidP="008A572A">
      <w:pPr>
        <w:spacing w:before="60" w:after="60"/>
        <w:ind w:firstLine="540"/>
        <w:jc w:val="both"/>
        <w:rPr>
          <w:rFonts w:ascii="Verdana" w:hAnsi="Verdana"/>
          <w:bCs/>
          <w:sz w:val="16"/>
          <w:szCs w:val="16"/>
        </w:rPr>
      </w:pPr>
      <w:r w:rsidRPr="000A6485">
        <w:rPr>
          <w:rFonts w:ascii="Verdana" w:hAnsi="Verdana"/>
          <w:bCs/>
          <w:sz w:val="16"/>
          <w:szCs w:val="16"/>
        </w:rPr>
        <w:t xml:space="preserve">Załącznikiem do uchwały w sprawie WPF </w:t>
      </w:r>
      <w:r w:rsidRPr="00932633">
        <w:rPr>
          <w:rFonts w:ascii="Verdana" w:hAnsi="Verdana" w:cs="Arial"/>
          <w:sz w:val="16"/>
          <w:szCs w:val="16"/>
        </w:rPr>
        <w:t>2023</w:t>
      </w:r>
      <w:r w:rsidRPr="000A6485">
        <w:rPr>
          <w:rFonts w:ascii="Verdana" w:hAnsi="Verdana"/>
          <w:bCs/>
          <w:sz w:val="16"/>
          <w:szCs w:val="16"/>
        </w:rPr>
        <w:t xml:space="preserve">-2050 jest wykaz wieloletnich przedsięwzięć bieżących </w:t>
      </w:r>
      <w:r>
        <w:rPr>
          <w:rFonts w:ascii="Verdana" w:hAnsi="Verdana"/>
          <w:bCs/>
          <w:sz w:val="16"/>
          <w:szCs w:val="16"/>
        </w:rPr>
        <w:br/>
      </w:r>
      <w:r w:rsidRPr="00132758">
        <w:rPr>
          <w:rFonts w:ascii="Verdana" w:hAnsi="Verdana"/>
          <w:bCs/>
          <w:sz w:val="16"/>
          <w:szCs w:val="16"/>
        </w:rPr>
        <w:t xml:space="preserve">i majątkowych, w tym realizowanych ze środków Unii Europejskiej i innych bezzwrotnych źródeł zagranicznych. </w:t>
      </w:r>
    </w:p>
    <w:p w:rsidR="008A572A" w:rsidRPr="00132758" w:rsidRDefault="008A572A" w:rsidP="008A572A">
      <w:pPr>
        <w:spacing w:before="60" w:after="60"/>
        <w:jc w:val="both"/>
        <w:rPr>
          <w:rFonts w:ascii="Verdana" w:hAnsi="Verdana"/>
          <w:bCs/>
          <w:sz w:val="16"/>
          <w:szCs w:val="16"/>
        </w:rPr>
      </w:pPr>
      <w:r w:rsidRPr="00132758">
        <w:rPr>
          <w:rFonts w:ascii="Verdana" w:hAnsi="Verdana"/>
          <w:bCs/>
          <w:sz w:val="16"/>
          <w:szCs w:val="16"/>
        </w:rPr>
        <w:t xml:space="preserve">Wykaz obejmuje </w:t>
      </w:r>
      <w:r w:rsidRPr="00132758">
        <w:rPr>
          <w:rFonts w:ascii="Verdana" w:hAnsi="Verdana"/>
          <w:b/>
          <w:bCs/>
          <w:sz w:val="16"/>
          <w:szCs w:val="16"/>
        </w:rPr>
        <w:t>3.</w:t>
      </w:r>
      <w:r>
        <w:rPr>
          <w:rFonts w:ascii="Verdana" w:hAnsi="Verdana"/>
          <w:b/>
          <w:bCs/>
          <w:sz w:val="16"/>
          <w:szCs w:val="16"/>
        </w:rPr>
        <w:t>671</w:t>
      </w:r>
      <w:r w:rsidRPr="00132758">
        <w:rPr>
          <w:rFonts w:ascii="Verdana" w:hAnsi="Verdana"/>
          <w:b/>
          <w:bCs/>
          <w:sz w:val="16"/>
          <w:szCs w:val="16"/>
        </w:rPr>
        <w:t xml:space="preserve"> </w:t>
      </w:r>
      <w:r w:rsidRPr="00132758">
        <w:rPr>
          <w:rFonts w:ascii="Verdana" w:hAnsi="Verdana"/>
          <w:bCs/>
          <w:sz w:val="16"/>
          <w:szCs w:val="16"/>
        </w:rPr>
        <w:t>przedsięwzięć wieloletnich, w tym:</w:t>
      </w:r>
    </w:p>
    <w:p w:rsidR="008A572A" w:rsidRPr="00132758" w:rsidRDefault="008A572A" w:rsidP="008A572A">
      <w:pPr>
        <w:pStyle w:val="Akapitzlist"/>
        <w:numPr>
          <w:ilvl w:val="0"/>
          <w:numId w:val="27"/>
        </w:numPr>
        <w:spacing w:before="60" w:after="60"/>
        <w:ind w:left="709" w:hanging="283"/>
        <w:contextualSpacing w:val="0"/>
        <w:jc w:val="both"/>
        <w:rPr>
          <w:rFonts w:ascii="Verdana" w:hAnsi="Verdana"/>
          <w:bCs/>
          <w:sz w:val="16"/>
          <w:szCs w:val="16"/>
        </w:rPr>
      </w:pPr>
      <w:r w:rsidRPr="00132758">
        <w:rPr>
          <w:rFonts w:ascii="Verdana" w:hAnsi="Verdana"/>
          <w:b/>
          <w:bCs/>
          <w:sz w:val="16"/>
          <w:szCs w:val="16"/>
        </w:rPr>
        <w:t>2.</w:t>
      </w:r>
      <w:r>
        <w:rPr>
          <w:rFonts w:ascii="Verdana" w:hAnsi="Verdana"/>
          <w:b/>
          <w:bCs/>
          <w:sz w:val="16"/>
          <w:szCs w:val="16"/>
        </w:rPr>
        <w:t>797</w:t>
      </w:r>
      <w:r w:rsidRPr="00132758">
        <w:rPr>
          <w:rFonts w:ascii="Verdana" w:hAnsi="Verdana"/>
          <w:bCs/>
          <w:sz w:val="16"/>
          <w:szCs w:val="16"/>
        </w:rPr>
        <w:t xml:space="preserve"> przedsięwzięcia bieżące, w tym </w:t>
      </w:r>
      <w:r>
        <w:rPr>
          <w:rFonts w:ascii="Verdana" w:hAnsi="Verdana"/>
          <w:b/>
          <w:bCs/>
          <w:sz w:val="16"/>
          <w:szCs w:val="16"/>
        </w:rPr>
        <w:t>337</w:t>
      </w:r>
      <w:r w:rsidRPr="00132758">
        <w:rPr>
          <w:rFonts w:ascii="Verdana" w:hAnsi="Verdana"/>
          <w:bCs/>
          <w:sz w:val="16"/>
          <w:szCs w:val="16"/>
        </w:rPr>
        <w:t xml:space="preserve"> z udziałem środków unijnych,</w:t>
      </w:r>
    </w:p>
    <w:p w:rsidR="008A572A" w:rsidRPr="00132758" w:rsidRDefault="008A572A" w:rsidP="008A572A">
      <w:pPr>
        <w:pStyle w:val="Akapitzlist"/>
        <w:numPr>
          <w:ilvl w:val="0"/>
          <w:numId w:val="27"/>
        </w:numPr>
        <w:spacing w:before="60" w:after="60"/>
        <w:ind w:left="709" w:hanging="283"/>
        <w:contextualSpacing w:val="0"/>
        <w:jc w:val="both"/>
        <w:rPr>
          <w:rFonts w:ascii="Verdana" w:hAnsi="Verdana"/>
          <w:bCs/>
          <w:sz w:val="16"/>
          <w:szCs w:val="16"/>
        </w:rPr>
      </w:pPr>
      <w:r>
        <w:rPr>
          <w:rFonts w:ascii="Verdana" w:hAnsi="Verdana"/>
          <w:b/>
          <w:bCs/>
          <w:sz w:val="16"/>
          <w:szCs w:val="16"/>
        </w:rPr>
        <w:t>873</w:t>
      </w:r>
      <w:r w:rsidRPr="00132758">
        <w:rPr>
          <w:rFonts w:ascii="Verdana" w:hAnsi="Verdana"/>
          <w:bCs/>
          <w:sz w:val="16"/>
          <w:szCs w:val="16"/>
        </w:rPr>
        <w:t xml:space="preserve"> przedsięwzięcia majątkowe, w tym </w:t>
      </w:r>
      <w:r>
        <w:rPr>
          <w:rFonts w:ascii="Verdana" w:hAnsi="Verdana"/>
          <w:b/>
          <w:bCs/>
          <w:sz w:val="16"/>
          <w:szCs w:val="16"/>
        </w:rPr>
        <w:t>32</w:t>
      </w:r>
      <w:r w:rsidRPr="00132758">
        <w:rPr>
          <w:rFonts w:ascii="Verdana" w:hAnsi="Verdana"/>
          <w:b/>
          <w:bCs/>
          <w:sz w:val="16"/>
          <w:szCs w:val="16"/>
        </w:rPr>
        <w:t xml:space="preserve"> </w:t>
      </w:r>
      <w:r w:rsidRPr="00132758">
        <w:rPr>
          <w:rFonts w:ascii="Verdana" w:hAnsi="Verdana"/>
          <w:bCs/>
          <w:sz w:val="16"/>
          <w:szCs w:val="16"/>
        </w:rPr>
        <w:t>z udziałem środków unijnych,</w:t>
      </w:r>
    </w:p>
    <w:p w:rsidR="008A572A" w:rsidRPr="00132758" w:rsidRDefault="008A572A" w:rsidP="008A572A">
      <w:pPr>
        <w:pStyle w:val="Akapitzlist"/>
        <w:numPr>
          <w:ilvl w:val="0"/>
          <w:numId w:val="27"/>
        </w:numPr>
        <w:spacing w:before="60" w:after="60"/>
        <w:ind w:left="709" w:hanging="283"/>
        <w:contextualSpacing w:val="0"/>
        <w:jc w:val="both"/>
        <w:rPr>
          <w:rFonts w:ascii="Verdana" w:hAnsi="Verdana"/>
          <w:bCs/>
          <w:sz w:val="16"/>
          <w:szCs w:val="16"/>
        </w:rPr>
      </w:pPr>
      <w:r w:rsidRPr="00132758">
        <w:rPr>
          <w:rFonts w:ascii="Verdana" w:hAnsi="Verdana"/>
          <w:b/>
          <w:bCs/>
          <w:sz w:val="16"/>
          <w:szCs w:val="16"/>
        </w:rPr>
        <w:t>1</w:t>
      </w:r>
      <w:r w:rsidRPr="00132758">
        <w:rPr>
          <w:rFonts w:ascii="Verdana" w:hAnsi="Verdana"/>
          <w:bCs/>
          <w:sz w:val="16"/>
          <w:szCs w:val="16"/>
        </w:rPr>
        <w:t xml:space="preserve"> przedsięwzięcie związane z umową partnerstwa publiczno-prywatnego.</w:t>
      </w:r>
    </w:p>
    <w:p w:rsidR="008A572A" w:rsidRPr="000A6485" w:rsidRDefault="008A572A" w:rsidP="008A572A">
      <w:pPr>
        <w:spacing w:before="60" w:after="60"/>
        <w:jc w:val="both"/>
        <w:rPr>
          <w:rFonts w:ascii="Verdana" w:hAnsi="Verdana"/>
          <w:bCs/>
          <w:sz w:val="16"/>
          <w:szCs w:val="16"/>
        </w:rPr>
      </w:pPr>
      <w:r w:rsidRPr="000A6485">
        <w:rPr>
          <w:rFonts w:ascii="Verdana" w:hAnsi="Verdana"/>
          <w:bCs/>
          <w:sz w:val="16"/>
          <w:szCs w:val="16"/>
        </w:rPr>
        <w:t>Dla każdego z przedsięwzięć określono odrębnie:</w:t>
      </w:r>
    </w:p>
    <w:p w:rsidR="008A572A" w:rsidRPr="000A6485" w:rsidRDefault="008A572A" w:rsidP="008A572A">
      <w:pPr>
        <w:numPr>
          <w:ilvl w:val="0"/>
          <w:numId w:val="3"/>
        </w:numPr>
        <w:tabs>
          <w:tab w:val="clear" w:pos="1080"/>
          <w:tab w:val="num" w:pos="709"/>
        </w:tabs>
        <w:spacing w:before="60" w:after="60"/>
        <w:ind w:left="709" w:hanging="283"/>
        <w:jc w:val="both"/>
        <w:rPr>
          <w:rFonts w:ascii="Verdana" w:hAnsi="Verdana"/>
          <w:bCs/>
          <w:sz w:val="16"/>
          <w:szCs w:val="16"/>
        </w:rPr>
      </w:pPr>
      <w:r w:rsidRPr="000A6485">
        <w:rPr>
          <w:rFonts w:ascii="Verdana" w:hAnsi="Verdana"/>
          <w:bCs/>
          <w:sz w:val="16"/>
          <w:szCs w:val="16"/>
        </w:rPr>
        <w:t>nazwę i cel,</w:t>
      </w:r>
    </w:p>
    <w:p w:rsidR="008A572A" w:rsidRPr="000A6485" w:rsidRDefault="008A572A" w:rsidP="008A572A">
      <w:pPr>
        <w:numPr>
          <w:ilvl w:val="0"/>
          <w:numId w:val="3"/>
        </w:numPr>
        <w:tabs>
          <w:tab w:val="clear" w:pos="1080"/>
          <w:tab w:val="num" w:pos="709"/>
        </w:tabs>
        <w:spacing w:before="60" w:after="60"/>
        <w:ind w:left="709" w:hanging="283"/>
        <w:jc w:val="both"/>
        <w:rPr>
          <w:rFonts w:ascii="Verdana" w:hAnsi="Verdana"/>
          <w:bCs/>
          <w:sz w:val="16"/>
          <w:szCs w:val="16"/>
        </w:rPr>
      </w:pPr>
      <w:r w:rsidRPr="000A6485">
        <w:rPr>
          <w:rFonts w:ascii="Verdana" w:hAnsi="Verdana"/>
          <w:bCs/>
          <w:sz w:val="16"/>
          <w:szCs w:val="16"/>
        </w:rPr>
        <w:t>jednostkę organizacyjną odpowiedzialną za realizację lub koordynującą wykonywanie przedsięwzięcia,</w:t>
      </w:r>
    </w:p>
    <w:p w:rsidR="008A572A" w:rsidRPr="000A6485" w:rsidRDefault="008A572A" w:rsidP="008A572A">
      <w:pPr>
        <w:numPr>
          <w:ilvl w:val="0"/>
          <w:numId w:val="3"/>
        </w:numPr>
        <w:tabs>
          <w:tab w:val="clear" w:pos="1080"/>
          <w:tab w:val="num" w:pos="709"/>
        </w:tabs>
        <w:spacing w:before="60" w:after="60"/>
        <w:ind w:left="709" w:hanging="283"/>
        <w:jc w:val="both"/>
        <w:rPr>
          <w:rFonts w:ascii="Verdana" w:hAnsi="Verdana"/>
          <w:bCs/>
          <w:sz w:val="16"/>
          <w:szCs w:val="16"/>
        </w:rPr>
      </w:pPr>
      <w:r w:rsidRPr="000A6485">
        <w:rPr>
          <w:rFonts w:ascii="Verdana" w:hAnsi="Verdana"/>
          <w:bCs/>
          <w:sz w:val="16"/>
          <w:szCs w:val="16"/>
        </w:rPr>
        <w:t>okres realizacji i łączne nakłady finansowe,</w:t>
      </w:r>
    </w:p>
    <w:p w:rsidR="008A572A" w:rsidRPr="000A6485" w:rsidRDefault="008A572A" w:rsidP="008A572A">
      <w:pPr>
        <w:numPr>
          <w:ilvl w:val="0"/>
          <w:numId w:val="3"/>
        </w:numPr>
        <w:tabs>
          <w:tab w:val="clear" w:pos="1080"/>
          <w:tab w:val="num" w:pos="709"/>
        </w:tabs>
        <w:spacing w:before="60" w:after="60"/>
        <w:ind w:left="709" w:hanging="283"/>
        <w:jc w:val="both"/>
        <w:rPr>
          <w:rFonts w:ascii="Verdana" w:hAnsi="Verdana"/>
          <w:bCs/>
          <w:sz w:val="16"/>
          <w:szCs w:val="16"/>
        </w:rPr>
      </w:pPr>
      <w:r w:rsidRPr="000A6485">
        <w:rPr>
          <w:rFonts w:ascii="Verdana" w:hAnsi="Verdana"/>
          <w:bCs/>
          <w:sz w:val="16"/>
          <w:szCs w:val="16"/>
        </w:rPr>
        <w:t>limity wydatków w poszczególnych latach,</w:t>
      </w:r>
    </w:p>
    <w:p w:rsidR="008A572A" w:rsidRDefault="008A572A" w:rsidP="008A572A">
      <w:pPr>
        <w:numPr>
          <w:ilvl w:val="0"/>
          <w:numId w:val="3"/>
        </w:numPr>
        <w:tabs>
          <w:tab w:val="clear" w:pos="1080"/>
          <w:tab w:val="num" w:pos="709"/>
        </w:tabs>
        <w:spacing w:before="60" w:after="60"/>
        <w:ind w:left="709" w:hanging="283"/>
        <w:jc w:val="both"/>
        <w:rPr>
          <w:rFonts w:ascii="Verdana" w:hAnsi="Verdana"/>
          <w:bCs/>
          <w:sz w:val="16"/>
          <w:szCs w:val="16"/>
        </w:rPr>
      </w:pPr>
      <w:r w:rsidRPr="000A6485">
        <w:rPr>
          <w:rFonts w:ascii="Verdana" w:hAnsi="Verdana"/>
          <w:bCs/>
          <w:sz w:val="16"/>
          <w:szCs w:val="16"/>
        </w:rPr>
        <w:t>limit zobowiązań.</w:t>
      </w:r>
    </w:p>
    <w:p w:rsidR="008A572A" w:rsidRPr="000A6485" w:rsidRDefault="008A572A" w:rsidP="008A572A">
      <w:pPr>
        <w:spacing w:before="60" w:after="60"/>
        <w:ind w:firstLine="567"/>
        <w:jc w:val="both"/>
        <w:rPr>
          <w:rFonts w:ascii="Verdana" w:hAnsi="Verdana"/>
          <w:bCs/>
          <w:sz w:val="16"/>
          <w:szCs w:val="16"/>
        </w:rPr>
      </w:pPr>
      <w:r w:rsidRPr="000A6485">
        <w:rPr>
          <w:rFonts w:ascii="Verdana" w:hAnsi="Verdana"/>
          <w:bCs/>
          <w:sz w:val="16"/>
          <w:szCs w:val="16"/>
        </w:rPr>
        <w:t xml:space="preserve">W wykazie ujęte zostały wszystkie zadania, które będą realizowane w oparciu o środki finansowe zarezerwowane w </w:t>
      </w:r>
      <w:r>
        <w:rPr>
          <w:rFonts w:ascii="Verdana" w:hAnsi="Verdana"/>
          <w:bCs/>
          <w:sz w:val="16"/>
          <w:szCs w:val="16"/>
        </w:rPr>
        <w:t xml:space="preserve">WPF </w:t>
      </w:r>
      <w:r w:rsidRPr="00932633">
        <w:rPr>
          <w:rFonts w:ascii="Verdana" w:hAnsi="Verdana" w:cs="Arial"/>
          <w:sz w:val="16"/>
          <w:szCs w:val="16"/>
        </w:rPr>
        <w:t>2023</w:t>
      </w:r>
      <w:r w:rsidRPr="000A6485">
        <w:rPr>
          <w:rFonts w:ascii="Verdana" w:hAnsi="Verdana"/>
          <w:bCs/>
          <w:sz w:val="16"/>
          <w:szCs w:val="16"/>
        </w:rPr>
        <w:t>-2050 i odpowiednio w budże</w:t>
      </w:r>
      <w:r>
        <w:rPr>
          <w:rFonts w:ascii="Verdana" w:hAnsi="Verdana"/>
          <w:bCs/>
          <w:sz w:val="16"/>
          <w:szCs w:val="16"/>
        </w:rPr>
        <w:t xml:space="preserve">cie na </w:t>
      </w:r>
      <w:r w:rsidRPr="00932633">
        <w:rPr>
          <w:rFonts w:ascii="Verdana" w:hAnsi="Verdana" w:cs="Arial"/>
          <w:sz w:val="16"/>
          <w:szCs w:val="16"/>
        </w:rPr>
        <w:t>2023</w:t>
      </w:r>
      <w:r w:rsidRPr="000A6485">
        <w:rPr>
          <w:rFonts w:ascii="Verdana" w:hAnsi="Verdana"/>
          <w:bCs/>
          <w:sz w:val="16"/>
          <w:szCs w:val="16"/>
        </w:rPr>
        <w:t xml:space="preserve"> r., których real</w:t>
      </w:r>
      <w:r>
        <w:rPr>
          <w:rFonts w:ascii="Verdana" w:hAnsi="Verdana"/>
          <w:bCs/>
          <w:sz w:val="16"/>
          <w:szCs w:val="16"/>
        </w:rPr>
        <w:t xml:space="preserve">izacja rozpoczęła się przed </w:t>
      </w:r>
      <w:r w:rsidRPr="00932633">
        <w:rPr>
          <w:rFonts w:ascii="Verdana" w:hAnsi="Verdana" w:cs="Arial"/>
          <w:sz w:val="16"/>
          <w:szCs w:val="16"/>
        </w:rPr>
        <w:t>2023</w:t>
      </w:r>
      <w:r w:rsidRPr="000A6485">
        <w:rPr>
          <w:rFonts w:ascii="Verdana" w:hAnsi="Verdana"/>
          <w:bCs/>
          <w:sz w:val="16"/>
          <w:szCs w:val="16"/>
        </w:rPr>
        <w:t xml:space="preserve"> r. lub rozpocznie się </w:t>
      </w:r>
      <w:r>
        <w:rPr>
          <w:rFonts w:ascii="Verdana" w:hAnsi="Verdana"/>
          <w:bCs/>
          <w:sz w:val="16"/>
          <w:szCs w:val="16"/>
        </w:rPr>
        <w:t xml:space="preserve">w </w:t>
      </w:r>
      <w:r w:rsidRPr="00932633">
        <w:rPr>
          <w:rFonts w:ascii="Verdana" w:hAnsi="Verdana" w:cs="Arial"/>
          <w:sz w:val="16"/>
          <w:szCs w:val="16"/>
        </w:rPr>
        <w:t>2023</w:t>
      </w:r>
      <w:r w:rsidRPr="000A6485">
        <w:rPr>
          <w:rFonts w:ascii="Verdana" w:hAnsi="Verdana"/>
          <w:bCs/>
          <w:sz w:val="16"/>
          <w:szCs w:val="16"/>
        </w:rPr>
        <w:t xml:space="preserve"> r. oraz te zadania, które będą realizowane w okresie </w:t>
      </w:r>
      <w:r>
        <w:rPr>
          <w:rFonts w:ascii="Verdana" w:hAnsi="Verdana"/>
          <w:bCs/>
          <w:sz w:val="16"/>
          <w:szCs w:val="16"/>
        </w:rPr>
        <w:t xml:space="preserve">co najmniej lat </w:t>
      </w:r>
      <w:r w:rsidRPr="00932633">
        <w:rPr>
          <w:rFonts w:ascii="Verdana" w:hAnsi="Verdana" w:cs="Arial"/>
          <w:sz w:val="16"/>
          <w:szCs w:val="16"/>
        </w:rPr>
        <w:t>2023</w:t>
      </w:r>
      <w:r>
        <w:rPr>
          <w:rFonts w:ascii="Verdana" w:hAnsi="Verdana"/>
          <w:bCs/>
          <w:sz w:val="16"/>
          <w:szCs w:val="16"/>
        </w:rPr>
        <w:t>-2023</w:t>
      </w:r>
      <w:r w:rsidRPr="000A6485">
        <w:rPr>
          <w:rFonts w:ascii="Verdana" w:hAnsi="Verdana"/>
          <w:bCs/>
          <w:sz w:val="16"/>
          <w:szCs w:val="16"/>
        </w:rPr>
        <w:t>.</w:t>
      </w:r>
    </w:p>
    <w:p w:rsidR="008A572A" w:rsidRPr="000A6485" w:rsidRDefault="008A572A" w:rsidP="008A572A">
      <w:pPr>
        <w:spacing w:before="60" w:after="60"/>
        <w:jc w:val="both"/>
        <w:rPr>
          <w:rFonts w:ascii="Verdana" w:hAnsi="Verdana"/>
          <w:bCs/>
          <w:sz w:val="16"/>
          <w:szCs w:val="16"/>
        </w:rPr>
      </w:pPr>
      <w:r w:rsidRPr="000A6485">
        <w:rPr>
          <w:rFonts w:ascii="Verdana" w:hAnsi="Verdana"/>
          <w:bCs/>
          <w:sz w:val="16"/>
          <w:szCs w:val="16"/>
        </w:rPr>
        <w:t xml:space="preserve">Podjęcie uchwały w sprawie Wieloletniej Prognozy Finansowej daje Prezydentowi m.st. Warszawy podstawę </w:t>
      </w:r>
      <w:r w:rsidRPr="000A6485">
        <w:rPr>
          <w:rFonts w:ascii="Verdana" w:hAnsi="Verdana"/>
          <w:bCs/>
          <w:sz w:val="16"/>
          <w:szCs w:val="16"/>
        </w:rPr>
        <w:br/>
        <w:t xml:space="preserve">do zaciągania zobowiązań do wysokości limitów wydatków określonych dla każdego z tych przedsięwzięć </w:t>
      </w:r>
      <w:r w:rsidRPr="000A6485">
        <w:rPr>
          <w:rFonts w:ascii="Verdana" w:hAnsi="Verdana"/>
          <w:bCs/>
          <w:sz w:val="16"/>
          <w:szCs w:val="16"/>
        </w:rPr>
        <w:br/>
        <w:t>w poszczególnych latach prognozy.</w:t>
      </w:r>
    </w:p>
    <w:p w:rsidR="008A572A" w:rsidRPr="000A6485" w:rsidRDefault="008A572A" w:rsidP="008A572A">
      <w:pPr>
        <w:spacing w:before="60" w:after="60"/>
        <w:jc w:val="both"/>
        <w:rPr>
          <w:rFonts w:ascii="Verdana" w:hAnsi="Verdana"/>
          <w:bCs/>
          <w:sz w:val="16"/>
          <w:szCs w:val="16"/>
        </w:rPr>
      </w:pPr>
      <w:r w:rsidRPr="000A6485">
        <w:rPr>
          <w:rFonts w:ascii="Verdana" w:hAnsi="Verdana"/>
          <w:bCs/>
          <w:sz w:val="16"/>
          <w:szCs w:val="16"/>
        </w:rPr>
        <w:t xml:space="preserve">W wykazie prezentowane są przedsięwzięcia wieloletnie dotyczące zadań realizowanych w części </w:t>
      </w:r>
      <w:proofErr w:type="spellStart"/>
      <w:r w:rsidRPr="000A6485">
        <w:rPr>
          <w:rFonts w:ascii="Verdana" w:hAnsi="Verdana"/>
          <w:bCs/>
          <w:sz w:val="16"/>
          <w:szCs w:val="16"/>
        </w:rPr>
        <w:t>ogólnomiejskiej</w:t>
      </w:r>
      <w:proofErr w:type="spellEnd"/>
      <w:r w:rsidRPr="000A6485">
        <w:rPr>
          <w:rFonts w:ascii="Verdana" w:hAnsi="Verdana"/>
          <w:bCs/>
          <w:sz w:val="16"/>
          <w:szCs w:val="16"/>
        </w:rPr>
        <w:t xml:space="preserve"> oraz w poszczególnych dzielnicach.</w:t>
      </w:r>
    </w:p>
    <w:p w:rsidR="008A572A" w:rsidRPr="000A6485" w:rsidRDefault="008A572A" w:rsidP="008A572A">
      <w:pPr>
        <w:spacing w:before="60" w:after="60"/>
        <w:jc w:val="both"/>
        <w:rPr>
          <w:rFonts w:ascii="Verdana" w:hAnsi="Verdana"/>
          <w:bCs/>
          <w:sz w:val="16"/>
          <w:szCs w:val="16"/>
        </w:rPr>
      </w:pPr>
      <w:r w:rsidRPr="000A6485">
        <w:rPr>
          <w:rFonts w:ascii="Verdana" w:hAnsi="Verdana"/>
          <w:bCs/>
          <w:sz w:val="16"/>
          <w:szCs w:val="16"/>
        </w:rPr>
        <w:t xml:space="preserve">W odrębnej części załącznika zaprezentowano przedsięwzięcia wieloletnie dotyczące zadań finansowanych </w:t>
      </w:r>
      <w:r w:rsidRPr="000A6485">
        <w:rPr>
          <w:rFonts w:ascii="Verdana" w:hAnsi="Verdana"/>
          <w:bCs/>
          <w:sz w:val="16"/>
          <w:szCs w:val="16"/>
        </w:rPr>
        <w:br/>
      </w:r>
      <w:r>
        <w:rPr>
          <w:rFonts w:ascii="Verdana" w:hAnsi="Verdana"/>
          <w:bCs/>
          <w:sz w:val="16"/>
          <w:szCs w:val="16"/>
        </w:rPr>
        <w:t>z udziałem środków z Unii Europejskiej oraz oddzielnie wykazano przedsięwzięcia wieloletnie związane z umowami partnerstwa publiczno-prywatnego.</w:t>
      </w:r>
    </w:p>
    <w:p w:rsidR="008A572A" w:rsidRDefault="008A572A" w:rsidP="008A572A">
      <w:pPr>
        <w:spacing w:before="60" w:after="60"/>
        <w:jc w:val="both"/>
        <w:rPr>
          <w:rFonts w:ascii="Verdana" w:hAnsi="Verdana" w:cs="Arial"/>
          <w:sz w:val="16"/>
          <w:szCs w:val="16"/>
        </w:rPr>
      </w:pPr>
      <w:r w:rsidRPr="000A6485">
        <w:rPr>
          <w:rFonts w:ascii="Verdana" w:hAnsi="Verdana" w:cs="Arial"/>
          <w:sz w:val="16"/>
          <w:szCs w:val="16"/>
        </w:rPr>
        <w:t>Dla każdego przedsięwzięcia, poza nazwą, określono lata realizacji, jednostkę koordynującą (realizującą), łączne nakłady finansowe, łączny limit wydatków oraz limity wydatków w poszczególnych latach. Horyzont czasowy dokumentu został wyznaczony przez najbardziej odległy termin zakończenia przedsięwzięcia, dla którego zaplanowano środki na realizację.</w:t>
      </w:r>
      <w:r>
        <w:rPr>
          <w:rFonts w:ascii="Verdana" w:hAnsi="Verdana" w:cs="Arial"/>
          <w:sz w:val="16"/>
          <w:szCs w:val="16"/>
        </w:rPr>
        <w:br w:type="page"/>
      </w:r>
    </w:p>
    <w:p w:rsidR="008A572A" w:rsidRPr="000A6485" w:rsidRDefault="008A572A" w:rsidP="008A572A">
      <w:pPr>
        <w:tabs>
          <w:tab w:val="num" w:pos="1273"/>
        </w:tabs>
        <w:spacing w:before="120" w:after="120"/>
        <w:rPr>
          <w:rFonts w:ascii="Verdana" w:hAnsi="Verdana"/>
          <w:b/>
          <w:bCs/>
          <w:sz w:val="22"/>
          <w:szCs w:val="22"/>
        </w:rPr>
      </w:pPr>
      <w:r w:rsidRPr="000A6485">
        <w:rPr>
          <w:rFonts w:ascii="Verdana" w:hAnsi="Verdana"/>
          <w:b/>
          <w:bCs/>
          <w:sz w:val="22"/>
          <w:szCs w:val="22"/>
        </w:rPr>
        <w:lastRenderedPageBreak/>
        <w:t xml:space="preserve">10. Podsumowanie </w:t>
      </w:r>
    </w:p>
    <w:p w:rsidR="008A572A" w:rsidRPr="000A6485" w:rsidRDefault="008A572A" w:rsidP="008A572A">
      <w:pPr>
        <w:tabs>
          <w:tab w:val="left" w:pos="567"/>
        </w:tabs>
        <w:spacing w:before="60" w:after="60"/>
        <w:jc w:val="both"/>
        <w:rPr>
          <w:rFonts w:ascii="Verdana" w:hAnsi="Verdana"/>
          <w:sz w:val="16"/>
          <w:szCs w:val="16"/>
        </w:rPr>
      </w:pPr>
      <w:r w:rsidRPr="000A6485">
        <w:rPr>
          <w:rFonts w:ascii="Verdana" w:hAnsi="Verdana"/>
          <w:sz w:val="20"/>
          <w:szCs w:val="20"/>
        </w:rPr>
        <w:tab/>
      </w:r>
      <w:r w:rsidRPr="000A6485">
        <w:rPr>
          <w:rFonts w:ascii="Verdana" w:hAnsi="Verdana"/>
          <w:sz w:val="16"/>
          <w:szCs w:val="16"/>
        </w:rPr>
        <w:t xml:space="preserve">Szczegółowe dane prognostyczne oparte o opisane we wstępie założenia i metodologię zaprezentowano </w:t>
      </w:r>
      <w:r w:rsidRPr="000A6485">
        <w:rPr>
          <w:rFonts w:ascii="Verdana" w:hAnsi="Verdana"/>
          <w:sz w:val="16"/>
          <w:szCs w:val="16"/>
        </w:rPr>
        <w:br/>
        <w:t>w załączn</w:t>
      </w:r>
      <w:r>
        <w:rPr>
          <w:rFonts w:ascii="Verdana" w:hAnsi="Verdana"/>
          <w:sz w:val="16"/>
          <w:szCs w:val="16"/>
        </w:rPr>
        <w:t xml:space="preserve">iku nr 1, </w:t>
      </w:r>
      <w:r w:rsidRPr="000A6485">
        <w:rPr>
          <w:rFonts w:ascii="Verdana" w:hAnsi="Verdana"/>
          <w:sz w:val="16"/>
          <w:szCs w:val="16"/>
        </w:rPr>
        <w:t xml:space="preserve">będącym integralną częścią uchwały w sprawie Wieloletniej Prognozy Finansowej </w:t>
      </w:r>
      <w:r>
        <w:rPr>
          <w:rFonts w:ascii="Verdana" w:hAnsi="Verdana"/>
          <w:sz w:val="16"/>
          <w:szCs w:val="16"/>
        </w:rPr>
        <w:br/>
      </w:r>
      <w:r w:rsidRPr="000A6485">
        <w:rPr>
          <w:rFonts w:ascii="Verdana" w:hAnsi="Verdana"/>
          <w:sz w:val="16"/>
          <w:szCs w:val="16"/>
        </w:rPr>
        <w:t xml:space="preserve">m.st. Warszawy na lata </w:t>
      </w:r>
      <w:r w:rsidRPr="00932633">
        <w:rPr>
          <w:rFonts w:ascii="Verdana" w:eastAsiaTheme="minorEastAsia" w:hAnsi="Verdana" w:cs="Verdana"/>
          <w:color w:val="000000"/>
          <w:sz w:val="16"/>
          <w:szCs w:val="16"/>
        </w:rPr>
        <w:t>2023</w:t>
      </w:r>
      <w:r w:rsidRPr="000A6485">
        <w:rPr>
          <w:rFonts w:ascii="Verdana" w:hAnsi="Verdana"/>
          <w:sz w:val="16"/>
          <w:szCs w:val="16"/>
        </w:rPr>
        <w:t>-2050, sporządzonym zgodne ze wzorem określonym w rozporzą</w:t>
      </w:r>
      <w:r>
        <w:rPr>
          <w:rFonts w:ascii="Verdana" w:hAnsi="Verdana"/>
          <w:sz w:val="16"/>
          <w:szCs w:val="16"/>
        </w:rPr>
        <w:t xml:space="preserve">dzeniu Ministra Finansów z </w:t>
      </w:r>
      <w:r w:rsidRPr="000A6485">
        <w:rPr>
          <w:rFonts w:ascii="Verdana" w:hAnsi="Verdana"/>
          <w:sz w:val="16"/>
          <w:szCs w:val="16"/>
        </w:rPr>
        <w:t>10 stycznia 2013 r. w sprawie wieloletniej prognozy finansowej jednostki samorządu terytorialnego (</w:t>
      </w:r>
      <w:r>
        <w:rPr>
          <w:rFonts w:ascii="Verdana" w:hAnsi="Verdana"/>
          <w:sz w:val="16"/>
          <w:szCs w:val="16"/>
        </w:rPr>
        <w:t>Dz. U. z 2021</w:t>
      </w:r>
      <w:r w:rsidRPr="000A6485">
        <w:rPr>
          <w:rFonts w:ascii="Verdana" w:hAnsi="Verdana"/>
          <w:sz w:val="16"/>
          <w:szCs w:val="16"/>
        </w:rPr>
        <w:t xml:space="preserve"> r. poz. </w:t>
      </w:r>
      <w:r>
        <w:rPr>
          <w:rFonts w:ascii="Verdana" w:hAnsi="Verdana"/>
          <w:sz w:val="16"/>
          <w:szCs w:val="16"/>
        </w:rPr>
        <w:t>83</w:t>
      </w:r>
      <w:r w:rsidRPr="000A6485">
        <w:rPr>
          <w:rFonts w:ascii="Verdana" w:hAnsi="Verdana"/>
          <w:sz w:val="16"/>
          <w:szCs w:val="16"/>
        </w:rPr>
        <w:t xml:space="preserve">). Zestawienie tabelaryczne prognozowanych kategorii budżetowych ujętych w </w:t>
      </w:r>
      <w:r>
        <w:rPr>
          <w:rFonts w:ascii="Verdana" w:hAnsi="Verdana"/>
          <w:sz w:val="16"/>
          <w:szCs w:val="16"/>
        </w:rPr>
        <w:t xml:space="preserve">WPF </w:t>
      </w:r>
      <w:r w:rsidRPr="00932633">
        <w:rPr>
          <w:rFonts w:ascii="Verdana" w:eastAsiaTheme="minorEastAsia" w:hAnsi="Verdana" w:cs="Verdana"/>
          <w:color w:val="000000"/>
          <w:sz w:val="16"/>
          <w:szCs w:val="16"/>
        </w:rPr>
        <w:t>2023</w:t>
      </w:r>
      <w:r w:rsidRPr="000A6485">
        <w:rPr>
          <w:rFonts w:ascii="Verdana" w:hAnsi="Verdana"/>
          <w:sz w:val="16"/>
          <w:szCs w:val="16"/>
        </w:rPr>
        <w:t>-2050, stanowiące załącznik nr 1, składa się z 12 sekcji obejmujących:</w:t>
      </w:r>
    </w:p>
    <w:p w:rsidR="008A572A" w:rsidRPr="000A6485" w:rsidRDefault="008A572A" w:rsidP="008A572A">
      <w:pPr>
        <w:spacing w:before="60" w:after="60"/>
        <w:jc w:val="both"/>
        <w:rPr>
          <w:rFonts w:ascii="Verdana" w:hAnsi="Verdana"/>
          <w:sz w:val="16"/>
          <w:szCs w:val="16"/>
        </w:rPr>
      </w:pPr>
      <w:r w:rsidRPr="000A6485">
        <w:rPr>
          <w:rFonts w:ascii="Verdana" w:hAnsi="Verdana"/>
          <w:b/>
          <w:bCs/>
          <w:sz w:val="16"/>
          <w:szCs w:val="16"/>
        </w:rPr>
        <w:t>SEKCJA 1</w:t>
      </w:r>
      <w:r w:rsidRPr="000A6485">
        <w:rPr>
          <w:rFonts w:ascii="Verdana" w:hAnsi="Verdana"/>
          <w:sz w:val="16"/>
          <w:szCs w:val="16"/>
        </w:rPr>
        <w:t xml:space="preserve"> – wybrane pozycje</w:t>
      </w:r>
      <w:r w:rsidRPr="000A6485">
        <w:rPr>
          <w:rFonts w:ascii="Verdana" w:hAnsi="Verdana"/>
          <w:b/>
          <w:sz w:val="16"/>
          <w:szCs w:val="16"/>
        </w:rPr>
        <w:t xml:space="preserve"> dochodów</w:t>
      </w:r>
    </w:p>
    <w:p w:rsidR="008A572A" w:rsidRPr="000A6485" w:rsidRDefault="008A572A" w:rsidP="008A572A">
      <w:pPr>
        <w:pStyle w:val="Akapitzlist"/>
        <w:numPr>
          <w:ilvl w:val="0"/>
          <w:numId w:val="14"/>
        </w:numPr>
        <w:spacing w:before="60" w:after="60"/>
        <w:ind w:left="567" w:hanging="283"/>
        <w:jc w:val="both"/>
        <w:rPr>
          <w:rFonts w:ascii="Verdana" w:hAnsi="Verdana"/>
          <w:sz w:val="16"/>
          <w:szCs w:val="16"/>
        </w:rPr>
      </w:pPr>
      <w:r w:rsidRPr="000A6485">
        <w:rPr>
          <w:rFonts w:ascii="Verdana" w:hAnsi="Verdana"/>
          <w:sz w:val="16"/>
          <w:szCs w:val="16"/>
        </w:rPr>
        <w:t>dochody bieżące</w:t>
      </w:r>
      <w:r>
        <w:rPr>
          <w:rFonts w:ascii="Verdana" w:hAnsi="Verdana"/>
          <w:sz w:val="16"/>
          <w:szCs w:val="16"/>
        </w:rPr>
        <w:t>, z tego</w:t>
      </w:r>
      <w:r w:rsidRPr="000A6485">
        <w:rPr>
          <w:rFonts w:ascii="Verdana" w:hAnsi="Verdana"/>
          <w:sz w:val="16"/>
          <w:szCs w:val="16"/>
        </w:rPr>
        <w:t>:</w:t>
      </w:r>
    </w:p>
    <w:p w:rsidR="008A572A" w:rsidRPr="000A6485" w:rsidRDefault="008A572A" w:rsidP="008A572A">
      <w:pPr>
        <w:pStyle w:val="Akapitzlist"/>
        <w:numPr>
          <w:ilvl w:val="0"/>
          <w:numId w:val="15"/>
        </w:numPr>
        <w:spacing w:before="60" w:after="60"/>
        <w:ind w:left="993" w:hanging="284"/>
        <w:jc w:val="both"/>
        <w:rPr>
          <w:rFonts w:ascii="Verdana" w:hAnsi="Verdana"/>
          <w:sz w:val="16"/>
          <w:szCs w:val="16"/>
        </w:rPr>
      </w:pPr>
      <w:r w:rsidRPr="000A6485">
        <w:rPr>
          <w:rFonts w:ascii="Verdana" w:hAnsi="Verdana"/>
          <w:sz w:val="16"/>
          <w:szCs w:val="16"/>
        </w:rPr>
        <w:t>dochody z tytułu udziału we wpływach z podatku dochodowego od osób fizycznych</w:t>
      </w:r>
    </w:p>
    <w:p w:rsidR="008A572A" w:rsidRPr="000A6485" w:rsidRDefault="008A572A" w:rsidP="008A572A">
      <w:pPr>
        <w:pStyle w:val="Akapitzlist"/>
        <w:numPr>
          <w:ilvl w:val="0"/>
          <w:numId w:val="15"/>
        </w:numPr>
        <w:spacing w:before="60" w:after="60"/>
        <w:ind w:left="993" w:hanging="284"/>
        <w:jc w:val="both"/>
        <w:rPr>
          <w:rFonts w:ascii="Verdana" w:hAnsi="Verdana"/>
          <w:sz w:val="16"/>
          <w:szCs w:val="16"/>
        </w:rPr>
      </w:pPr>
      <w:r w:rsidRPr="000A6485">
        <w:rPr>
          <w:rFonts w:ascii="Verdana" w:hAnsi="Verdana"/>
          <w:sz w:val="16"/>
          <w:szCs w:val="16"/>
        </w:rPr>
        <w:t>dochody z tytułu udziału we wpływach z podatku dochodowego od osób prawnych</w:t>
      </w:r>
    </w:p>
    <w:p w:rsidR="008A572A" w:rsidRPr="000A6485" w:rsidRDefault="008A572A" w:rsidP="008A572A">
      <w:pPr>
        <w:pStyle w:val="Akapitzlist"/>
        <w:numPr>
          <w:ilvl w:val="0"/>
          <w:numId w:val="15"/>
        </w:numPr>
        <w:spacing w:before="60" w:after="60"/>
        <w:ind w:left="993" w:hanging="284"/>
        <w:jc w:val="both"/>
        <w:rPr>
          <w:rFonts w:ascii="Verdana" w:hAnsi="Verdana"/>
          <w:sz w:val="16"/>
          <w:szCs w:val="16"/>
        </w:rPr>
      </w:pPr>
      <w:r w:rsidRPr="000A6485">
        <w:rPr>
          <w:rFonts w:ascii="Verdana" w:hAnsi="Verdana"/>
          <w:sz w:val="16"/>
          <w:szCs w:val="16"/>
        </w:rPr>
        <w:t>z subwencji ogólnej</w:t>
      </w:r>
    </w:p>
    <w:p w:rsidR="008A572A" w:rsidRPr="000A6485" w:rsidRDefault="008A572A" w:rsidP="008A572A">
      <w:pPr>
        <w:pStyle w:val="Akapitzlist"/>
        <w:numPr>
          <w:ilvl w:val="0"/>
          <w:numId w:val="15"/>
        </w:numPr>
        <w:spacing w:before="60" w:after="60"/>
        <w:ind w:left="993" w:hanging="284"/>
        <w:jc w:val="both"/>
        <w:rPr>
          <w:rFonts w:ascii="Verdana" w:hAnsi="Verdana"/>
          <w:sz w:val="16"/>
          <w:szCs w:val="16"/>
        </w:rPr>
      </w:pPr>
      <w:r w:rsidRPr="000A6485">
        <w:rPr>
          <w:rFonts w:ascii="Verdana" w:hAnsi="Verdana"/>
          <w:sz w:val="16"/>
          <w:szCs w:val="16"/>
        </w:rPr>
        <w:t>z tytułu dotacji i środków przeznaczonych na cele bieżące</w:t>
      </w:r>
    </w:p>
    <w:p w:rsidR="008A572A" w:rsidRPr="000A6485" w:rsidRDefault="008A572A" w:rsidP="008A572A">
      <w:pPr>
        <w:pStyle w:val="Akapitzlist"/>
        <w:numPr>
          <w:ilvl w:val="0"/>
          <w:numId w:val="15"/>
        </w:numPr>
        <w:spacing w:before="60" w:after="60"/>
        <w:ind w:left="993" w:hanging="284"/>
        <w:jc w:val="both"/>
        <w:rPr>
          <w:rFonts w:ascii="Verdana" w:hAnsi="Verdana"/>
          <w:sz w:val="16"/>
          <w:szCs w:val="16"/>
        </w:rPr>
      </w:pPr>
      <w:r w:rsidRPr="000A6485">
        <w:rPr>
          <w:rFonts w:ascii="Verdana" w:hAnsi="Verdana"/>
          <w:sz w:val="16"/>
          <w:szCs w:val="16"/>
        </w:rPr>
        <w:t>pozostałe dochody bieżące, w tym:</w:t>
      </w:r>
    </w:p>
    <w:p w:rsidR="008A572A" w:rsidRPr="000A6485" w:rsidRDefault="008A572A" w:rsidP="008A572A">
      <w:pPr>
        <w:pStyle w:val="Akapitzlist"/>
        <w:numPr>
          <w:ilvl w:val="0"/>
          <w:numId w:val="16"/>
        </w:numPr>
        <w:spacing w:before="60" w:after="60"/>
        <w:ind w:left="1560" w:hanging="284"/>
        <w:jc w:val="both"/>
        <w:rPr>
          <w:rFonts w:ascii="Verdana" w:hAnsi="Verdana"/>
          <w:sz w:val="16"/>
          <w:szCs w:val="16"/>
        </w:rPr>
      </w:pPr>
      <w:r w:rsidRPr="000A6485">
        <w:rPr>
          <w:rFonts w:ascii="Verdana" w:hAnsi="Verdana"/>
          <w:sz w:val="16"/>
          <w:szCs w:val="16"/>
        </w:rPr>
        <w:t>z podatku od nieruchomości</w:t>
      </w:r>
    </w:p>
    <w:p w:rsidR="008A572A" w:rsidRPr="000A6485" w:rsidRDefault="008A572A" w:rsidP="008A572A">
      <w:pPr>
        <w:pStyle w:val="Akapitzlist"/>
        <w:numPr>
          <w:ilvl w:val="0"/>
          <w:numId w:val="14"/>
        </w:numPr>
        <w:spacing w:before="60" w:after="60"/>
        <w:ind w:left="567" w:hanging="283"/>
        <w:jc w:val="both"/>
        <w:rPr>
          <w:rFonts w:ascii="Verdana" w:hAnsi="Verdana"/>
          <w:sz w:val="16"/>
          <w:szCs w:val="16"/>
        </w:rPr>
      </w:pPr>
      <w:r w:rsidRPr="000A6485">
        <w:rPr>
          <w:rFonts w:ascii="Verdana" w:hAnsi="Verdana"/>
          <w:sz w:val="16"/>
          <w:szCs w:val="16"/>
        </w:rPr>
        <w:t>dochody majątkowe, w tym:</w:t>
      </w:r>
    </w:p>
    <w:p w:rsidR="008A572A" w:rsidRPr="000A6485" w:rsidRDefault="008A572A" w:rsidP="008A572A">
      <w:pPr>
        <w:pStyle w:val="Akapitzlist"/>
        <w:numPr>
          <w:ilvl w:val="0"/>
          <w:numId w:val="17"/>
        </w:numPr>
        <w:spacing w:before="60" w:after="60"/>
        <w:ind w:left="993" w:hanging="284"/>
        <w:jc w:val="both"/>
        <w:rPr>
          <w:rFonts w:ascii="Verdana" w:hAnsi="Verdana"/>
          <w:sz w:val="16"/>
          <w:szCs w:val="16"/>
        </w:rPr>
      </w:pPr>
      <w:r w:rsidRPr="000A6485">
        <w:rPr>
          <w:rFonts w:ascii="Verdana" w:hAnsi="Verdana"/>
          <w:sz w:val="16"/>
          <w:szCs w:val="16"/>
        </w:rPr>
        <w:t>ze sprzedaży majątku</w:t>
      </w:r>
    </w:p>
    <w:p w:rsidR="008A572A" w:rsidRPr="000A6485" w:rsidRDefault="008A572A" w:rsidP="008A572A">
      <w:pPr>
        <w:pStyle w:val="Akapitzlist"/>
        <w:numPr>
          <w:ilvl w:val="0"/>
          <w:numId w:val="17"/>
        </w:numPr>
        <w:spacing w:before="60" w:after="60"/>
        <w:ind w:left="993" w:hanging="284"/>
        <w:jc w:val="both"/>
        <w:rPr>
          <w:rFonts w:ascii="Verdana" w:hAnsi="Verdana"/>
          <w:sz w:val="16"/>
          <w:szCs w:val="16"/>
        </w:rPr>
      </w:pPr>
      <w:r w:rsidRPr="000A6485">
        <w:rPr>
          <w:rFonts w:ascii="Verdana" w:hAnsi="Verdana"/>
          <w:sz w:val="16"/>
          <w:szCs w:val="16"/>
        </w:rPr>
        <w:t>z tytułu dotacji oraz środków przeznaczonych na inwestycje</w:t>
      </w:r>
    </w:p>
    <w:p w:rsidR="008A572A" w:rsidRPr="000A6485" w:rsidRDefault="008A572A" w:rsidP="008A572A">
      <w:pPr>
        <w:spacing w:before="60" w:after="60"/>
        <w:jc w:val="both"/>
        <w:rPr>
          <w:rFonts w:ascii="Verdana" w:hAnsi="Verdana"/>
          <w:sz w:val="16"/>
          <w:szCs w:val="16"/>
        </w:rPr>
      </w:pPr>
      <w:r w:rsidRPr="000A6485">
        <w:rPr>
          <w:rFonts w:ascii="Verdana" w:hAnsi="Verdana"/>
          <w:sz w:val="16"/>
          <w:szCs w:val="16"/>
        </w:rPr>
        <w:t xml:space="preserve">Wysokość prognozowanych </w:t>
      </w:r>
      <w:r w:rsidRPr="000A6485">
        <w:rPr>
          <w:rFonts w:ascii="Verdana" w:hAnsi="Verdana"/>
          <w:sz w:val="16"/>
          <w:szCs w:val="16"/>
          <w:u w:val="single"/>
        </w:rPr>
        <w:t>dochodów ogółem</w:t>
      </w:r>
      <w:r w:rsidRPr="000A6485">
        <w:rPr>
          <w:rFonts w:ascii="Verdana" w:hAnsi="Verdana"/>
          <w:sz w:val="16"/>
          <w:szCs w:val="16"/>
        </w:rPr>
        <w:t>:</w:t>
      </w:r>
    </w:p>
    <w:p w:rsidR="008A572A" w:rsidRPr="000A6485" w:rsidRDefault="008A572A" w:rsidP="008A572A">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3</w:t>
      </w:r>
      <w:r w:rsidRPr="000A6485">
        <w:rPr>
          <w:rFonts w:ascii="Verdana" w:hAnsi="Verdana"/>
          <w:sz w:val="16"/>
          <w:szCs w:val="16"/>
        </w:rPr>
        <w:t xml:space="preserve"> r. – </w:t>
      </w:r>
      <w:r w:rsidRPr="005B3072">
        <w:rPr>
          <w:rFonts w:ascii="Verdana" w:eastAsiaTheme="minorEastAsia" w:hAnsi="Verdana" w:cs="Verdana"/>
          <w:b/>
          <w:bCs/>
          <w:color w:val="000000"/>
          <w:sz w:val="16"/>
          <w:szCs w:val="16"/>
        </w:rPr>
        <w:t>20,218</w:t>
      </w:r>
      <w:r w:rsidRPr="005553AB">
        <w:rPr>
          <w:rFonts w:ascii="Verdana" w:eastAsiaTheme="minorEastAsia" w:hAnsi="Verdana" w:cs="Verdana"/>
          <w:b/>
          <w:bCs/>
          <w:color w:val="000000"/>
          <w:sz w:val="16"/>
          <w:szCs w:val="16"/>
        </w:rPr>
        <w:t xml:space="preserve"> </w:t>
      </w:r>
      <w:r w:rsidRPr="000A6485">
        <w:rPr>
          <w:rFonts w:ascii="Verdana" w:hAnsi="Verdana"/>
          <w:b/>
          <w:sz w:val="16"/>
          <w:szCs w:val="16"/>
        </w:rPr>
        <w:t>mld zł</w:t>
      </w:r>
    </w:p>
    <w:p w:rsidR="008A572A" w:rsidRPr="000A6485" w:rsidRDefault="008A572A" w:rsidP="008A572A">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4</w:t>
      </w:r>
      <w:r w:rsidRPr="000A6485">
        <w:rPr>
          <w:rFonts w:ascii="Verdana" w:hAnsi="Verdana"/>
          <w:sz w:val="16"/>
          <w:szCs w:val="16"/>
        </w:rPr>
        <w:t xml:space="preserve"> r. – </w:t>
      </w:r>
      <w:r w:rsidRPr="005B3072">
        <w:rPr>
          <w:rFonts w:ascii="Verdana" w:eastAsiaTheme="minorEastAsia" w:hAnsi="Verdana" w:cs="Verdana"/>
          <w:b/>
          <w:bCs/>
          <w:color w:val="000000"/>
          <w:sz w:val="16"/>
          <w:szCs w:val="16"/>
        </w:rPr>
        <w:t>20,219</w:t>
      </w:r>
      <w:r w:rsidRPr="000A6485">
        <w:rPr>
          <w:rFonts w:ascii="Verdana" w:hAnsi="Verdana"/>
          <w:sz w:val="16"/>
          <w:szCs w:val="16"/>
        </w:rPr>
        <w:t xml:space="preserve"> </w:t>
      </w:r>
      <w:r w:rsidRPr="000A6485">
        <w:rPr>
          <w:rFonts w:ascii="Verdana" w:hAnsi="Verdana"/>
          <w:b/>
          <w:sz w:val="16"/>
          <w:szCs w:val="16"/>
        </w:rPr>
        <w:t>mld zł</w:t>
      </w:r>
    </w:p>
    <w:p w:rsidR="008A572A" w:rsidRPr="000A6485" w:rsidRDefault="008A572A" w:rsidP="008A572A">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5</w:t>
      </w:r>
      <w:r w:rsidRPr="000A6485">
        <w:rPr>
          <w:rFonts w:ascii="Verdana" w:hAnsi="Verdana"/>
          <w:sz w:val="16"/>
          <w:szCs w:val="16"/>
        </w:rPr>
        <w:t xml:space="preserve"> r. – </w:t>
      </w:r>
      <w:r w:rsidRPr="005B3072">
        <w:rPr>
          <w:rFonts w:ascii="Verdana" w:eastAsiaTheme="minorEastAsia" w:hAnsi="Verdana" w:cs="Verdana"/>
          <w:b/>
          <w:bCs/>
          <w:color w:val="000000"/>
          <w:sz w:val="16"/>
          <w:szCs w:val="16"/>
        </w:rPr>
        <w:t>20,918</w:t>
      </w:r>
      <w:r w:rsidRPr="000A6485">
        <w:rPr>
          <w:rFonts w:ascii="Verdana" w:hAnsi="Verdana"/>
          <w:sz w:val="16"/>
          <w:szCs w:val="16"/>
        </w:rPr>
        <w:t xml:space="preserve"> </w:t>
      </w:r>
      <w:r w:rsidRPr="000A6485">
        <w:rPr>
          <w:rFonts w:ascii="Verdana" w:hAnsi="Verdana"/>
          <w:b/>
          <w:sz w:val="16"/>
          <w:szCs w:val="16"/>
        </w:rPr>
        <w:t>mld zł</w:t>
      </w:r>
    </w:p>
    <w:p w:rsidR="008A572A" w:rsidRPr="000A6485" w:rsidRDefault="008A572A" w:rsidP="008A572A">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6</w:t>
      </w:r>
      <w:r w:rsidRPr="000A6485">
        <w:rPr>
          <w:rFonts w:ascii="Verdana" w:hAnsi="Verdana"/>
          <w:sz w:val="16"/>
          <w:szCs w:val="16"/>
        </w:rPr>
        <w:t xml:space="preserve"> r. – </w:t>
      </w:r>
      <w:r w:rsidRPr="005B3072">
        <w:rPr>
          <w:rFonts w:ascii="Verdana" w:eastAsiaTheme="minorEastAsia" w:hAnsi="Verdana" w:cs="Verdana"/>
          <w:b/>
          <w:bCs/>
          <w:color w:val="000000"/>
          <w:sz w:val="16"/>
          <w:szCs w:val="16"/>
        </w:rPr>
        <w:t>21,190</w:t>
      </w:r>
      <w:r w:rsidRPr="000A6485">
        <w:rPr>
          <w:rFonts w:ascii="Verdana" w:hAnsi="Verdana"/>
          <w:sz w:val="16"/>
          <w:szCs w:val="16"/>
        </w:rPr>
        <w:t xml:space="preserve"> </w:t>
      </w:r>
      <w:r w:rsidRPr="000A6485">
        <w:rPr>
          <w:rFonts w:ascii="Verdana" w:hAnsi="Verdana"/>
          <w:b/>
          <w:sz w:val="16"/>
          <w:szCs w:val="16"/>
        </w:rPr>
        <w:t>mld zł</w:t>
      </w:r>
    </w:p>
    <w:p w:rsidR="008A572A" w:rsidRPr="000A6485" w:rsidRDefault="008A572A" w:rsidP="008A572A">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7</w:t>
      </w:r>
      <w:r w:rsidRPr="000A6485">
        <w:rPr>
          <w:rFonts w:ascii="Verdana" w:hAnsi="Verdana"/>
          <w:sz w:val="16"/>
          <w:szCs w:val="16"/>
        </w:rPr>
        <w:t xml:space="preserve"> r. – </w:t>
      </w:r>
      <w:r w:rsidRPr="005B3072">
        <w:rPr>
          <w:rFonts w:ascii="Verdana" w:eastAsiaTheme="minorEastAsia" w:hAnsi="Verdana" w:cs="Verdana"/>
          <w:b/>
          <w:bCs/>
          <w:color w:val="000000"/>
          <w:sz w:val="16"/>
          <w:szCs w:val="16"/>
        </w:rPr>
        <w:t>21,651</w:t>
      </w:r>
      <w:r w:rsidRPr="000A6485">
        <w:rPr>
          <w:rFonts w:ascii="Verdana" w:hAnsi="Verdana"/>
          <w:sz w:val="16"/>
          <w:szCs w:val="16"/>
        </w:rPr>
        <w:t xml:space="preserve"> </w:t>
      </w:r>
      <w:r w:rsidRPr="000A6485">
        <w:rPr>
          <w:rFonts w:ascii="Verdana" w:hAnsi="Verdana"/>
          <w:b/>
          <w:sz w:val="16"/>
          <w:szCs w:val="16"/>
        </w:rPr>
        <w:t>mld zł</w:t>
      </w:r>
    </w:p>
    <w:p w:rsidR="008A572A" w:rsidRPr="000A6485" w:rsidRDefault="008A572A" w:rsidP="008A572A">
      <w:pPr>
        <w:pStyle w:val="Akapitzlist"/>
        <w:spacing w:before="60" w:after="60"/>
        <w:ind w:left="567"/>
        <w:jc w:val="both"/>
        <w:rPr>
          <w:rFonts w:ascii="Verdana" w:hAnsi="Verdana"/>
          <w:sz w:val="16"/>
          <w:szCs w:val="16"/>
        </w:rPr>
      </w:pPr>
      <w:r w:rsidRPr="000A6485">
        <w:rPr>
          <w:rFonts w:ascii="Verdana" w:hAnsi="Verdana"/>
          <w:sz w:val="16"/>
          <w:szCs w:val="16"/>
        </w:rPr>
        <w:t>.</w:t>
      </w:r>
    </w:p>
    <w:p w:rsidR="008A572A" w:rsidRDefault="008A572A" w:rsidP="008A572A">
      <w:pPr>
        <w:pStyle w:val="Akapitzlist"/>
        <w:numPr>
          <w:ilvl w:val="0"/>
          <w:numId w:val="18"/>
        </w:numPr>
        <w:spacing w:before="60" w:after="60"/>
        <w:ind w:left="567" w:hanging="283"/>
        <w:jc w:val="both"/>
        <w:rPr>
          <w:rFonts w:ascii="Verdana" w:hAnsi="Verdana"/>
          <w:b/>
          <w:sz w:val="16"/>
          <w:szCs w:val="16"/>
        </w:rPr>
      </w:pPr>
      <w:r w:rsidRPr="000A6485">
        <w:rPr>
          <w:rFonts w:ascii="Verdana" w:hAnsi="Verdana"/>
          <w:sz w:val="16"/>
          <w:szCs w:val="16"/>
        </w:rPr>
        <w:t xml:space="preserve">2050 r. – </w:t>
      </w:r>
      <w:r w:rsidRPr="005B3072">
        <w:rPr>
          <w:rFonts w:ascii="Verdana" w:eastAsiaTheme="minorEastAsia" w:hAnsi="Verdana" w:cs="Verdana"/>
          <w:b/>
          <w:bCs/>
          <w:color w:val="000000"/>
          <w:sz w:val="16"/>
          <w:szCs w:val="16"/>
        </w:rPr>
        <w:t>44,932</w:t>
      </w:r>
      <w:r w:rsidRPr="000A6485">
        <w:rPr>
          <w:rFonts w:ascii="Verdana" w:hAnsi="Verdana"/>
          <w:sz w:val="16"/>
          <w:szCs w:val="16"/>
        </w:rPr>
        <w:t xml:space="preserve"> </w:t>
      </w:r>
      <w:r w:rsidRPr="000A6485">
        <w:rPr>
          <w:rFonts w:ascii="Verdana" w:hAnsi="Verdana"/>
          <w:b/>
          <w:sz w:val="16"/>
          <w:szCs w:val="16"/>
        </w:rPr>
        <w:t>mld zł</w:t>
      </w:r>
    </w:p>
    <w:p w:rsidR="008A572A" w:rsidRPr="000A6485" w:rsidRDefault="008A572A" w:rsidP="008A572A">
      <w:pPr>
        <w:spacing w:before="60" w:after="60"/>
        <w:jc w:val="both"/>
        <w:rPr>
          <w:rFonts w:ascii="Verdana" w:hAnsi="Verdana"/>
          <w:sz w:val="16"/>
          <w:szCs w:val="16"/>
        </w:rPr>
      </w:pPr>
      <w:r w:rsidRPr="000A6485">
        <w:rPr>
          <w:rFonts w:ascii="Verdana" w:hAnsi="Verdana"/>
          <w:b/>
          <w:bCs/>
          <w:sz w:val="16"/>
          <w:szCs w:val="16"/>
        </w:rPr>
        <w:t>SEKCJA 2</w:t>
      </w:r>
      <w:r w:rsidRPr="000A6485">
        <w:rPr>
          <w:rFonts w:ascii="Verdana" w:hAnsi="Verdana"/>
          <w:sz w:val="16"/>
          <w:szCs w:val="16"/>
        </w:rPr>
        <w:t xml:space="preserve"> – wybrane pozycje</w:t>
      </w:r>
      <w:r w:rsidRPr="000A6485">
        <w:rPr>
          <w:rFonts w:ascii="Verdana" w:hAnsi="Verdana"/>
          <w:b/>
          <w:sz w:val="16"/>
          <w:szCs w:val="16"/>
        </w:rPr>
        <w:t xml:space="preserve"> wydatków</w:t>
      </w:r>
    </w:p>
    <w:p w:rsidR="008A572A" w:rsidRPr="000A6485" w:rsidRDefault="008A572A" w:rsidP="008A572A">
      <w:pPr>
        <w:pStyle w:val="Akapitzlist"/>
        <w:numPr>
          <w:ilvl w:val="0"/>
          <w:numId w:val="14"/>
        </w:numPr>
        <w:spacing w:before="60" w:after="60" w:line="324" w:lineRule="auto"/>
        <w:ind w:left="567" w:hanging="283"/>
        <w:jc w:val="both"/>
        <w:rPr>
          <w:rFonts w:ascii="Verdana" w:hAnsi="Verdana"/>
          <w:sz w:val="16"/>
          <w:szCs w:val="16"/>
        </w:rPr>
      </w:pPr>
      <w:r w:rsidRPr="000A6485">
        <w:rPr>
          <w:rFonts w:ascii="Verdana" w:hAnsi="Verdana"/>
          <w:sz w:val="16"/>
          <w:szCs w:val="16"/>
        </w:rPr>
        <w:t>wydatki bieżące, w tym:</w:t>
      </w:r>
    </w:p>
    <w:p w:rsidR="008A572A" w:rsidRPr="000A6485" w:rsidRDefault="008A572A" w:rsidP="008A572A">
      <w:pPr>
        <w:pStyle w:val="Akapitzlist"/>
        <w:numPr>
          <w:ilvl w:val="0"/>
          <w:numId w:val="33"/>
        </w:numPr>
        <w:spacing w:before="60" w:after="60" w:line="324" w:lineRule="auto"/>
        <w:ind w:left="993" w:hanging="284"/>
        <w:jc w:val="both"/>
        <w:rPr>
          <w:rFonts w:ascii="Verdana" w:hAnsi="Verdana"/>
          <w:sz w:val="16"/>
          <w:szCs w:val="16"/>
        </w:rPr>
      </w:pPr>
      <w:r w:rsidRPr="000A6485">
        <w:rPr>
          <w:rFonts w:ascii="Verdana" w:hAnsi="Verdana"/>
          <w:sz w:val="16"/>
          <w:szCs w:val="16"/>
        </w:rPr>
        <w:t>na wynagrodzenia i składki od nich naliczane</w:t>
      </w:r>
    </w:p>
    <w:p w:rsidR="008A572A" w:rsidRPr="000A6485" w:rsidRDefault="008A572A" w:rsidP="008A572A">
      <w:pPr>
        <w:pStyle w:val="Akapitzlist"/>
        <w:numPr>
          <w:ilvl w:val="0"/>
          <w:numId w:val="15"/>
        </w:numPr>
        <w:spacing w:before="60" w:after="60" w:line="324" w:lineRule="auto"/>
        <w:ind w:left="993" w:hanging="284"/>
        <w:jc w:val="both"/>
        <w:rPr>
          <w:rFonts w:ascii="Verdana" w:hAnsi="Verdana"/>
          <w:sz w:val="16"/>
          <w:szCs w:val="16"/>
        </w:rPr>
      </w:pPr>
      <w:r w:rsidRPr="000A6485">
        <w:rPr>
          <w:rFonts w:ascii="Verdana" w:hAnsi="Verdana"/>
          <w:sz w:val="16"/>
          <w:szCs w:val="16"/>
        </w:rPr>
        <w:t>z tytułu poręczeń i gwarancji, w tym:</w:t>
      </w:r>
    </w:p>
    <w:p w:rsidR="008A572A" w:rsidRPr="000A6485" w:rsidRDefault="008A572A" w:rsidP="008A572A">
      <w:pPr>
        <w:pStyle w:val="Akapitzlist"/>
        <w:numPr>
          <w:ilvl w:val="0"/>
          <w:numId w:val="19"/>
        </w:numPr>
        <w:tabs>
          <w:tab w:val="left" w:pos="1560"/>
        </w:tabs>
        <w:spacing w:before="60" w:after="60" w:line="324" w:lineRule="auto"/>
        <w:ind w:left="1560" w:hanging="284"/>
        <w:jc w:val="both"/>
        <w:rPr>
          <w:rFonts w:ascii="Verdana" w:hAnsi="Verdana"/>
          <w:sz w:val="16"/>
          <w:szCs w:val="16"/>
        </w:rPr>
      </w:pPr>
      <w:r w:rsidRPr="000A6485">
        <w:rPr>
          <w:rFonts w:ascii="Verdana" w:hAnsi="Verdana"/>
          <w:sz w:val="16"/>
          <w:szCs w:val="16"/>
        </w:rPr>
        <w:t>gwarancje i poręczenia podlegające wyłącze</w:t>
      </w:r>
      <w:r>
        <w:rPr>
          <w:rFonts w:ascii="Verdana" w:hAnsi="Verdana"/>
          <w:sz w:val="16"/>
          <w:szCs w:val="16"/>
        </w:rPr>
        <w:t>niu z limitu spłaty zobowiązań, o którym</w:t>
      </w:r>
      <w:r w:rsidRPr="000A6485">
        <w:rPr>
          <w:rFonts w:ascii="Verdana" w:hAnsi="Verdana"/>
          <w:sz w:val="16"/>
          <w:szCs w:val="16"/>
        </w:rPr>
        <w:t xml:space="preserve"> mowa</w:t>
      </w:r>
      <w:r w:rsidRPr="000A6485">
        <w:rPr>
          <w:rFonts w:ascii="Verdana" w:hAnsi="Verdana"/>
          <w:sz w:val="16"/>
          <w:szCs w:val="16"/>
        </w:rPr>
        <w:br/>
      </w:r>
      <w:r>
        <w:rPr>
          <w:rFonts w:ascii="Verdana" w:hAnsi="Verdana"/>
          <w:sz w:val="16"/>
          <w:szCs w:val="16"/>
        </w:rPr>
        <w:t>w art. 243 ustawy</w:t>
      </w:r>
    </w:p>
    <w:p w:rsidR="008A572A" w:rsidRPr="000A6485" w:rsidRDefault="008A572A" w:rsidP="008A572A">
      <w:pPr>
        <w:pStyle w:val="Akapitzlist"/>
        <w:numPr>
          <w:ilvl w:val="0"/>
          <w:numId w:val="20"/>
        </w:numPr>
        <w:spacing w:before="60" w:after="60" w:line="324" w:lineRule="auto"/>
        <w:ind w:left="993" w:hanging="284"/>
        <w:jc w:val="both"/>
        <w:rPr>
          <w:rFonts w:ascii="Verdana" w:hAnsi="Verdana"/>
          <w:sz w:val="16"/>
          <w:szCs w:val="16"/>
        </w:rPr>
      </w:pPr>
      <w:r w:rsidRPr="000A6485">
        <w:rPr>
          <w:rFonts w:ascii="Verdana" w:hAnsi="Verdana"/>
          <w:sz w:val="16"/>
          <w:szCs w:val="16"/>
        </w:rPr>
        <w:t>wydatki na obsługę długu, w tym:</w:t>
      </w:r>
    </w:p>
    <w:p w:rsidR="008A572A" w:rsidRPr="000A6485" w:rsidRDefault="008A572A" w:rsidP="008A572A">
      <w:pPr>
        <w:pStyle w:val="Akapitzlist"/>
        <w:numPr>
          <w:ilvl w:val="0"/>
          <w:numId w:val="22"/>
        </w:numPr>
        <w:spacing w:before="60" w:after="60" w:line="324" w:lineRule="auto"/>
        <w:ind w:left="1560" w:hanging="284"/>
        <w:jc w:val="both"/>
        <w:rPr>
          <w:rFonts w:ascii="Verdana" w:hAnsi="Verdana"/>
          <w:sz w:val="16"/>
          <w:szCs w:val="16"/>
        </w:rPr>
      </w:pPr>
      <w:r w:rsidRPr="000A6485">
        <w:rPr>
          <w:rFonts w:ascii="Verdana" w:hAnsi="Verdana"/>
          <w:sz w:val="16"/>
          <w:szCs w:val="16"/>
        </w:rPr>
        <w:t xml:space="preserve">odsetki i dyskonto podlegające wyłączeniu z limitu spłaty zobowiązań, o którym mowa </w:t>
      </w:r>
      <w:r w:rsidRPr="000A6485">
        <w:rPr>
          <w:rFonts w:ascii="Verdana" w:hAnsi="Verdana"/>
          <w:sz w:val="16"/>
          <w:szCs w:val="16"/>
        </w:rPr>
        <w:br/>
        <w:t>w art. 243 ustawy</w:t>
      </w:r>
    </w:p>
    <w:p w:rsidR="008A572A" w:rsidRPr="000A6485" w:rsidRDefault="008A572A" w:rsidP="008A572A">
      <w:pPr>
        <w:pStyle w:val="Akapitzlist"/>
        <w:numPr>
          <w:ilvl w:val="0"/>
          <w:numId w:val="14"/>
        </w:numPr>
        <w:spacing w:before="60" w:after="60" w:line="324" w:lineRule="auto"/>
        <w:ind w:left="567" w:hanging="283"/>
        <w:jc w:val="both"/>
        <w:rPr>
          <w:rFonts w:ascii="Verdana" w:hAnsi="Verdana"/>
          <w:sz w:val="16"/>
          <w:szCs w:val="16"/>
        </w:rPr>
      </w:pPr>
      <w:r w:rsidRPr="000A6485">
        <w:rPr>
          <w:rFonts w:ascii="Verdana" w:hAnsi="Verdana"/>
          <w:sz w:val="16"/>
          <w:szCs w:val="16"/>
        </w:rPr>
        <w:t>wydatki majątkowe, w tym:</w:t>
      </w:r>
    </w:p>
    <w:p w:rsidR="008A572A" w:rsidRPr="000A6485" w:rsidRDefault="008A572A" w:rsidP="008A572A">
      <w:pPr>
        <w:pStyle w:val="Akapitzlist"/>
        <w:numPr>
          <w:ilvl w:val="0"/>
          <w:numId w:val="20"/>
        </w:numPr>
        <w:spacing w:before="60" w:after="60" w:line="324" w:lineRule="auto"/>
        <w:ind w:left="993" w:hanging="284"/>
        <w:jc w:val="both"/>
        <w:rPr>
          <w:rFonts w:ascii="Verdana" w:hAnsi="Verdana"/>
          <w:sz w:val="16"/>
          <w:szCs w:val="16"/>
        </w:rPr>
      </w:pPr>
      <w:r w:rsidRPr="000A6485">
        <w:rPr>
          <w:rFonts w:ascii="Verdana" w:hAnsi="Verdana"/>
          <w:sz w:val="16"/>
          <w:szCs w:val="16"/>
        </w:rPr>
        <w:t>inwestycje i zakupy inwestycyjne, o których mowa w art. 236 ust. 4 pkt 1 ustawy, w tym:</w:t>
      </w:r>
    </w:p>
    <w:p w:rsidR="008A572A" w:rsidRPr="000A6485" w:rsidRDefault="008A572A" w:rsidP="008A572A">
      <w:pPr>
        <w:pStyle w:val="Akapitzlist"/>
        <w:numPr>
          <w:ilvl w:val="0"/>
          <w:numId w:val="22"/>
        </w:numPr>
        <w:spacing w:before="60" w:after="60" w:line="324" w:lineRule="auto"/>
        <w:ind w:left="1560" w:hanging="284"/>
        <w:jc w:val="both"/>
        <w:rPr>
          <w:rFonts w:ascii="Verdana" w:hAnsi="Verdana"/>
          <w:sz w:val="16"/>
          <w:szCs w:val="16"/>
        </w:rPr>
      </w:pPr>
      <w:r w:rsidRPr="000A6485">
        <w:rPr>
          <w:rFonts w:ascii="Verdana" w:hAnsi="Verdana"/>
          <w:sz w:val="16"/>
          <w:szCs w:val="16"/>
        </w:rPr>
        <w:t>wydatki o charakterze dotacyjnym na inwestycje i zakupy inwestycyjne</w:t>
      </w:r>
    </w:p>
    <w:p w:rsidR="008A572A" w:rsidRPr="000A6485" w:rsidRDefault="008A572A" w:rsidP="008A572A">
      <w:pPr>
        <w:spacing w:before="60" w:after="60"/>
        <w:jc w:val="both"/>
        <w:rPr>
          <w:rFonts w:ascii="Verdana" w:hAnsi="Verdana"/>
          <w:sz w:val="16"/>
          <w:szCs w:val="16"/>
        </w:rPr>
      </w:pPr>
      <w:r w:rsidRPr="000A6485">
        <w:rPr>
          <w:rFonts w:ascii="Verdana" w:hAnsi="Verdana"/>
          <w:sz w:val="16"/>
          <w:szCs w:val="16"/>
        </w:rPr>
        <w:t xml:space="preserve">Wysokość prognozowanych </w:t>
      </w:r>
      <w:r w:rsidRPr="000A6485">
        <w:rPr>
          <w:rFonts w:ascii="Verdana" w:hAnsi="Verdana"/>
          <w:sz w:val="16"/>
          <w:szCs w:val="16"/>
          <w:u w:val="single"/>
        </w:rPr>
        <w:t>wydatków ogółem</w:t>
      </w:r>
      <w:r w:rsidRPr="000A6485">
        <w:rPr>
          <w:rFonts w:ascii="Verdana" w:hAnsi="Verdana"/>
          <w:sz w:val="16"/>
          <w:szCs w:val="16"/>
        </w:rPr>
        <w:t>:</w:t>
      </w:r>
    </w:p>
    <w:p w:rsidR="008A572A" w:rsidRPr="000A6485" w:rsidRDefault="008A572A" w:rsidP="008A572A">
      <w:pPr>
        <w:pStyle w:val="Akapitzlist"/>
        <w:numPr>
          <w:ilvl w:val="0"/>
          <w:numId w:val="18"/>
        </w:numPr>
        <w:spacing w:before="40" w:after="4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3</w:t>
      </w:r>
      <w:r w:rsidRPr="000A6485">
        <w:rPr>
          <w:rFonts w:ascii="Verdana" w:hAnsi="Verdana"/>
          <w:sz w:val="16"/>
          <w:szCs w:val="16"/>
        </w:rPr>
        <w:t xml:space="preserve"> r. – </w:t>
      </w:r>
      <w:r w:rsidRPr="005B3072">
        <w:rPr>
          <w:rFonts w:ascii="Verdana" w:eastAsiaTheme="minorEastAsia" w:hAnsi="Verdana" w:cs="Verdana"/>
          <w:b/>
          <w:bCs/>
          <w:color w:val="000000"/>
          <w:sz w:val="16"/>
          <w:szCs w:val="16"/>
        </w:rPr>
        <w:t>24,368</w:t>
      </w:r>
      <w:r w:rsidRPr="000A6485">
        <w:rPr>
          <w:rFonts w:ascii="Verdana" w:hAnsi="Verdana"/>
          <w:sz w:val="16"/>
          <w:szCs w:val="16"/>
        </w:rPr>
        <w:t xml:space="preserve"> </w:t>
      </w:r>
      <w:r w:rsidRPr="000A6485">
        <w:rPr>
          <w:rFonts w:ascii="Verdana" w:hAnsi="Verdana"/>
          <w:b/>
          <w:sz w:val="16"/>
          <w:szCs w:val="16"/>
        </w:rPr>
        <w:t>mld zł</w:t>
      </w:r>
    </w:p>
    <w:p w:rsidR="008A572A" w:rsidRPr="000A6485" w:rsidRDefault="008A572A" w:rsidP="008A572A">
      <w:pPr>
        <w:pStyle w:val="Akapitzlist"/>
        <w:numPr>
          <w:ilvl w:val="0"/>
          <w:numId w:val="18"/>
        </w:numPr>
        <w:spacing w:before="40" w:after="4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4</w:t>
      </w:r>
      <w:r w:rsidRPr="000A6485">
        <w:rPr>
          <w:rFonts w:ascii="Verdana" w:hAnsi="Verdana"/>
          <w:sz w:val="16"/>
          <w:szCs w:val="16"/>
        </w:rPr>
        <w:t xml:space="preserve"> r. – </w:t>
      </w:r>
      <w:r w:rsidRPr="005B3072">
        <w:rPr>
          <w:rFonts w:ascii="Verdana" w:eastAsiaTheme="minorEastAsia" w:hAnsi="Verdana" w:cs="Verdana"/>
          <w:b/>
          <w:bCs/>
          <w:color w:val="000000"/>
          <w:sz w:val="16"/>
          <w:szCs w:val="16"/>
        </w:rPr>
        <w:t>22,637</w:t>
      </w:r>
      <w:r w:rsidRPr="000A6485">
        <w:rPr>
          <w:rFonts w:ascii="Verdana" w:hAnsi="Verdana"/>
          <w:sz w:val="16"/>
          <w:szCs w:val="16"/>
        </w:rPr>
        <w:t xml:space="preserve"> </w:t>
      </w:r>
      <w:r w:rsidRPr="000A6485">
        <w:rPr>
          <w:rFonts w:ascii="Verdana" w:hAnsi="Verdana"/>
          <w:b/>
          <w:sz w:val="16"/>
          <w:szCs w:val="16"/>
        </w:rPr>
        <w:t>mld zł</w:t>
      </w:r>
    </w:p>
    <w:p w:rsidR="008A572A" w:rsidRPr="000A6485" w:rsidRDefault="008A572A" w:rsidP="008A572A">
      <w:pPr>
        <w:pStyle w:val="Akapitzlist"/>
        <w:numPr>
          <w:ilvl w:val="0"/>
          <w:numId w:val="18"/>
        </w:numPr>
        <w:spacing w:before="40" w:after="4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5</w:t>
      </w:r>
      <w:r w:rsidRPr="000A6485">
        <w:rPr>
          <w:rFonts w:ascii="Verdana" w:hAnsi="Verdana"/>
          <w:sz w:val="16"/>
          <w:szCs w:val="16"/>
        </w:rPr>
        <w:t xml:space="preserve"> r. – </w:t>
      </w:r>
      <w:r w:rsidRPr="005B3072">
        <w:rPr>
          <w:rFonts w:ascii="Verdana" w:eastAsiaTheme="minorEastAsia" w:hAnsi="Verdana" w:cs="Verdana"/>
          <w:b/>
          <w:bCs/>
          <w:color w:val="000000"/>
          <w:sz w:val="16"/>
          <w:szCs w:val="16"/>
        </w:rPr>
        <w:t>21,560</w:t>
      </w:r>
      <w:r w:rsidRPr="000A6485">
        <w:rPr>
          <w:rFonts w:ascii="Verdana" w:hAnsi="Verdana"/>
          <w:sz w:val="16"/>
          <w:szCs w:val="16"/>
        </w:rPr>
        <w:t xml:space="preserve"> </w:t>
      </w:r>
      <w:r w:rsidRPr="000A6485">
        <w:rPr>
          <w:rFonts w:ascii="Verdana" w:hAnsi="Verdana"/>
          <w:b/>
          <w:sz w:val="16"/>
          <w:szCs w:val="16"/>
        </w:rPr>
        <w:t>mld zł</w:t>
      </w:r>
    </w:p>
    <w:p w:rsidR="008A572A" w:rsidRPr="000A6485" w:rsidRDefault="008A572A" w:rsidP="008A572A">
      <w:pPr>
        <w:pStyle w:val="Akapitzlist"/>
        <w:numPr>
          <w:ilvl w:val="0"/>
          <w:numId w:val="18"/>
        </w:numPr>
        <w:spacing w:before="40" w:after="4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6</w:t>
      </w:r>
      <w:r w:rsidRPr="000A6485">
        <w:rPr>
          <w:rFonts w:ascii="Verdana" w:hAnsi="Verdana"/>
          <w:sz w:val="16"/>
          <w:szCs w:val="16"/>
        </w:rPr>
        <w:t xml:space="preserve"> r. – </w:t>
      </w:r>
      <w:r w:rsidRPr="005B3072">
        <w:rPr>
          <w:rFonts w:ascii="Verdana" w:eastAsiaTheme="minorEastAsia" w:hAnsi="Verdana" w:cs="Verdana"/>
          <w:b/>
          <w:bCs/>
          <w:color w:val="000000"/>
          <w:sz w:val="16"/>
          <w:szCs w:val="16"/>
        </w:rPr>
        <w:t>22,325</w:t>
      </w:r>
      <w:r w:rsidRPr="000A6485">
        <w:rPr>
          <w:rFonts w:ascii="Verdana" w:hAnsi="Verdana"/>
          <w:sz w:val="16"/>
          <w:szCs w:val="16"/>
        </w:rPr>
        <w:t xml:space="preserve"> </w:t>
      </w:r>
      <w:r w:rsidRPr="000A6485">
        <w:rPr>
          <w:rFonts w:ascii="Verdana" w:hAnsi="Verdana"/>
          <w:b/>
          <w:sz w:val="16"/>
          <w:szCs w:val="16"/>
        </w:rPr>
        <w:t>mld zł</w:t>
      </w:r>
    </w:p>
    <w:p w:rsidR="008A572A" w:rsidRPr="000A6485" w:rsidRDefault="008A572A" w:rsidP="008A572A">
      <w:pPr>
        <w:pStyle w:val="Akapitzlist"/>
        <w:numPr>
          <w:ilvl w:val="0"/>
          <w:numId w:val="18"/>
        </w:numPr>
        <w:spacing w:before="40" w:after="4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7</w:t>
      </w:r>
      <w:r w:rsidRPr="000A6485">
        <w:rPr>
          <w:rFonts w:ascii="Verdana" w:hAnsi="Verdana"/>
          <w:sz w:val="16"/>
          <w:szCs w:val="16"/>
        </w:rPr>
        <w:t xml:space="preserve"> r. – </w:t>
      </w:r>
      <w:r w:rsidRPr="005B3072">
        <w:rPr>
          <w:rFonts w:ascii="Verdana" w:eastAsiaTheme="minorEastAsia" w:hAnsi="Verdana" w:cs="Verdana"/>
          <w:b/>
          <w:bCs/>
          <w:color w:val="000000"/>
          <w:sz w:val="16"/>
          <w:szCs w:val="16"/>
        </w:rPr>
        <w:t>21,603</w:t>
      </w:r>
      <w:r w:rsidRPr="000A6485">
        <w:rPr>
          <w:rFonts w:ascii="Verdana" w:hAnsi="Verdana"/>
          <w:sz w:val="16"/>
          <w:szCs w:val="16"/>
        </w:rPr>
        <w:t xml:space="preserve"> </w:t>
      </w:r>
      <w:r w:rsidRPr="000A6485">
        <w:rPr>
          <w:rFonts w:ascii="Verdana" w:hAnsi="Verdana"/>
          <w:b/>
          <w:sz w:val="16"/>
          <w:szCs w:val="16"/>
        </w:rPr>
        <w:t>mld zł</w:t>
      </w:r>
    </w:p>
    <w:p w:rsidR="008A572A" w:rsidRPr="000A6485" w:rsidRDefault="008A572A" w:rsidP="008A572A">
      <w:pPr>
        <w:pStyle w:val="Akapitzlist"/>
        <w:spacing w:before="40" w:after="40"/>
        <w:ind w:left="567"/>
        <w:jc w:val="both"/>
        <w:rPr>
          <w:rFonts w:ascii="Verdana" w:hAnsi="Verdana"/>
          <w:sz w:val="16"/>
          <w:szCs w:val="16"/>
        </w:rPr>
      </w:pPr>
      <w:r w:rsidRPr="000A6485">
        <w:rPr>
          <w:rFonts w:ascii="Verdana" w:hAnsi="Verdana"/>
          <w:sz w:val="16"/>
          <w:szCs w:val="16"/>
        </w:rPr>
        <w:t>.</w:t>
      </w:r>
    </w:p>
    <w:p w:rsidR="008A572A" w:rsidRDefault="008A572A" w:rsidP="008A572A">
      <w:pPr>
        <w:pStyle w:val="Akapitzlist"/>
        <w:numPr>
          <w:ilvl w:val="0"/>
          <w:numId w:val="21"/>
        </w:numPr>
        <w:spacing w:before="40" w:after="40"/>
        <w:ind w:left="567" w:hanging="283"/>
        <w:jc w:val="both"/>
        <w:rPr>
          <w:rFonts w:ascii="Verdana" w:hAnsi="Verdana"/>
          <w:b/>
          <w:sz w:val="16"/>
          <w:szCs w:val="16"/>
        </w:rPr>
      </w:pPr>
      <w:r w:rsidRPr="000A6485">
        <w:rPr>
          <w:rFonts w:ascii="Verdana" w:hAnsi="Verdana"/>
          <w:sz w:val="16"/>
          <w:szCs w:val="16"/>
        </w:rPr>
        <w:t xml:space="preserve">2050 r. – </w:t>
      </w:r>
      <w:r w:rsidRPr="005B3072">
        <w:rPr>
          <w:rFonts w:ascii="Verdana" w:eastAsiaTheme="minorEastAsia" w:hAnsi="Verdana" w:cs="Verdana"/>
          <w:b/>
          <w:bCs/>
          <w:color w:val="000000"/>
          <w:sz w:val="16"/>
          <w:szCs w:val="16"/>
        </w:rPr>
        <w:t>44,670</w:t>
      </w:r>
      <w:r w:rsidRPr="000A6485">
        <w:rPr>
          <w:rFonts w:ascii="Verdana" w:hAnsi="Verdana"/>
          <w:sz w:val="16"/>
          <w:szCs w:val="16"/>
        </w:rPr>
        <w:t xml:space="preserve"> </w:t>
      </w:r>
      <w:r w:rsidRPr="000A6485">
        <w:rPr>
          <w:rFonts w:ascii="Verdana" w:hAnsi="Verdana"/>
          <w:b/>
          <w:sz w:val="16"/>
          <w:szCs w:val="16"/>
        </w:rPr>
        <w:t>mld zł</w:t>
      </w:r>
      <w:r>
        <w:rPr>
          <w:rFonts w:ascii="Verdana" w:hAnsi="Verdana"/>
          <w:b/>
          <w:sz w:val="16"/>
          <w:szCs w:val="16"/>
        </w:rPr>
        <w:br w:type="page"/>
      </w:r>
    </w:p>
    <w:p w:rsidR="008A572A" w:rsidRPr="000A6485" w:rsidRDefault="008A572A" w:rsidP="008A572A">
      <w:pPr>
        <w:spacing w:before="240" w:after="60"/>
        <w:jc w:val="both"/>
        <w:rPr>
          <w:rFonts w:ascii="Verdana" w:hAnsi="Verdana"/>
          <w:sz w:val="16"/>
          <w:szCs w:val="16"/>
        </w:rPr>
      </w:pPr>
      <w:r w:rsidRPr="000A6485">
        <w:rPr>
          <w:rFonts w:ascii="Verdana" w:hAnsi="Verdana"/>
          <w:sz w:val="16"/>
          <w:szCs w:val="16"/>
        </w:rPr>
        <w:lastRenderedPageBreak/>
        <w:t xml:space="preserve">Wysokość prognozowanych </w:t>
      </w:r>
      <w:r w:rsidRPr="000A6485">
        <w:rPr>
          <w:rFonts w:ascii="Verdana" w:hAnsi="Verdana"/>
          <w:sz w:val="16"/>
          <w:szCs w:val="16"/>
          <w:u w:val="single"/>
        </w:rPr>
        <w:t>wydatków bieżących</w:t>
      </w:r>
      <w:r w:rsidRPr="000A6485">
        <w:rPr>
          <w:rFonts w:ascii="Verdana" w:hAnsi="Verdana"/>
          <w:sz w:val="16"/>
          <w:szCs w:val="16"/>
        </w:rPr>
        <w:t>:</w:t>
      </w:r>
    </w:p>
    <w:p w:rsidR="008A572A" w:rsidRPr="000A6485" w:rsidRDefault="008A572A" w:rsidP="008A572A">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3</w:t>
      </w:r>
      <w:r w:rsidRPr="000A6485">
        <w:rPr>
          <w:rFonts w:ascii="Verdana" w:hAnsi="Verdana"/>
          <w:sz w:val="16"/>
          <w:szCs w:val="16"/>
        </w:rPr>
        <w:t xml:space="preserve"> r. – </w:t>
      </w:r>
      <w:r w:rsidRPr="005B3072">
        <w:rPr>
          <w:rFonts w:ascii="Verdana" w:eastAsiaTheme="minorEastAsia" w:hAnsi="Verdana" w:cs="Verdana"/>
          <w:b/>
          <w:bCs/>
          <w:color w:val="000000"/>
          <w:sz w:val="16"/>
          <w:szCs w:val="16"/>
        </w:rPr>
        <w:t>20,785</w:t>
      </w:r>
      <w:r w:rsidRPr="000A6485">
        <w:rPr>
          <w:rFonts w:ascii="Verdana" w:hAnsi="Verdana"/>
          <w:sz w:val="16"/>
          <w:szCs w:val="16"/>
        </w:rPr>
        <w:t xml:space="preserve"> </w:t>
      </w:r>
      <w:r w:rsidRPr="000A6485">
        <w:rPr>
          <w:rFonts w:ascii="Verdana" w:hAnsi="Verdana"/>
          <w:b/>
          <w:sz w:val="16"/>
          <w:szCs w:val="16"/>
        </w:rPr>
        <w:t>mld zł</w:t>
      </w:r>
    </w:p>
    <w:p w:rsidR="008A572A" w:rsidRPr="000A6485" w:rsidRDefault="008A572A" w:rsidP="008A572A">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4</w:t>
      </w:r>
      <w:r w:rsidRPr="000A6485">
        <w:rPr>
          <w:rFonts w:ascii="Verdana" w:hAnsi="Verdana"/>
          <w:sz w:val="16"/>
          <w:szCs w:val="16"/>
        </w:rPr>
        <w:t xml:space="preserve"> r. – </w:t>
      </w:r>
      <w:r w:rsidRPr="005B3072">
        <w:rPr>
          <w:rFonts w:ascii="Verdana" w:eastAsiaTheme="minorEastAsia" w:hAnsi="Verdana" w:cs="Verdana"/>
          <w:b/>
          <w:bCs/>
          <w:color w:val="000000"/>
          <w:sz w:val="16"/>
          <w:szCs w:val="16"/>
        </w:rPr>
        <w:t>19,855</w:t>
      </w:r>
      <w:r w:rsidRPr="000A6485">
        <w:rPr>
          <w:rFonts w:ascii="Verdana" w:hAnsi="Verdana"/>
          <w:sz w:val="16"/>
          <w:szCs w:val="16"/>
        </w:rPr>
        <w:t xml:space="preserve"> </w:t>
      </w:r>
      <w:r w:rsidRPr="000A6485">
        <w:rPr>
          <w:rFonts w:ascii="Verdana" w:hAnsi="Verdana"/>
          <w:b/>
          <w:sz w:val="16"/>
          <w:szCs w:val="16"/>
        </w:rPr>
        <w:t>mld zł</w:t>
      </w:r>
    </w:p>
    <w:p w:rsidR="008A572A" w:rsidRPr="000A6485" w:rsidRDefault="008A572A" w:rsidP="008A572A">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5</w:t>
      </w:r>
      <w:r w:rsidRPr="000A6485">
        <w:rPr>
          <w:rFonts w:ascii="Verdana" w:hAnsi="Verdana"/>
          <w:sz w:val="16"/>
          <w:szCs w:val="16"/>
        </w:rPr>
        <w:t xml:space="preserve"> r. – </w:t>
      </w:r>
      <w:r w:rsidRPr="005B3072">
        <w:rPr>
          <w:rFonts w:ascii="Verdana" w:eastAsiaTheme="minorEastAsia" w:hAnsi="Verdana" w:cs="Verdana"/>
          <w:b/>
          <w:bCs/>
          <w:color w:val="000000"/>
          <w:sz w:val="16"/>
          <w:szCs w:val="16"/>
        </w:rPr>
        <w:t>18,969</w:t>
      </w:r>
      <w:r w:rsidRPr="000A6485">
        <w:rPr>
          <w:rFonts w:ascii="Verdana" w:hAnsi="Verdana"/>
          <w:sz w:val="16"/>
          <w:szCs w:val="16"/>
        </w:rPr>
        <w:t xml:space="preserve"> </w:t>
      </w:r>
      <w:r w:rsidRPr="000A6485">
        <w:rPr>
          <w:rFonts w:ascii="Verdana" w:hAnsi="Verdana"/>
          <w:b/>
          <w:sz w:val="16"/>
          <w:szCs w:val="16"/>
        </w:rPr>
        <w:t>mld zł</w:t>
      </w:r>
    </w:p>
    <w:p w:rsidR="008A572A" w:rsidRPr="000A6485" w:rsidRDefault="008A572A" w:rsidP="008A572A">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6</w:t>
      </w:r>
      <w:r w:rsidRPr="000A6485">
        <w:rPr>
          <w:rFonts w:ascii="Verdana" w:hAnsi="Verdana"/>
          <w:sz w:val="16"/>
          <w:szCs w:val="16"/>
        </w:rPr>
        <w:t xml:space="preserve"> r. – </w:t>
      </w:r>
      <w:r w:rsidRPr="005B3072">
        <w:rPr>
          <w:rFonts w:ascii="Verdana" w:eastAsiaTheme="minorEastAsia" w:hAnsi="Verdana" w:cs="Verdana"/>
          <w:b/>
          <w:bCs/>
          <w:color w:val="000000"/>
          <w:sz w:val="16"/>
          <w:szCs w:val="16"/>
        </w:rPr>
        <w:t>19,818</w:t>
      </w:r>
      <w:r w:rsidRPr="000A6485">
        <w:rPr>
          <w:rFonts w:ascii="Verdana" w:hAnsi="Verdana"/>
          <w:sz w:val="16"/>
          <w:szCs w:val="16"/>
        </w:rPr>
        <w:t xml:space="preserve"> </w:t>
      </w:r>
      <w:r w:rsidRPr="000A6485">
        <w:rPr>
          <w:rFonts w:ascii="Verdana" w:hAnsi="Verdana"/>
          <w:b/>
          <w:sz w:val="16"/>
          <w:szCs w:val="16"/>
        </w:rPr>
        <w:t>mld zł</w:t>
      </w:r>
    </w:p>
    <w:p w:rsidR="008A572A" w:rsidRPr="000A6485" w:rsidRDefault="008A572A" w:rsidP="008A572A">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7</w:t>
      </w:r>
      <w:r w:rsidRPr="000A6485">
        <w:rPr>
          <w:rFonts w:ascii="Verdana" w:hAnsi="Verdana"/>
          <w:sz w:val="16"/>
          <w:szCs w:val="16"/>
        </w:rPr>
        <w:t xml:space="preserve"> r. – </w:t>
      </w:r>
      <w:r w:rsidRPr="005B3072">
        <w:rPr>
          <w:rFonts w:ascii="Verdana" w:eastAsiaTheme="minorEastAsia" w:hAnsi="Verdana" w:cs="Verdana"/>
          <w:b/>
          <w:bCs/>
          <w:color w:val="000000"/>
          <w:sz w:val="16"/>
          <w:szCs w:val="16"/>
        </w:rPr>
        <w:t>19,827</w:t>
      </w:r>
      <w:r w:rsidRPr="000A6485">
        <w:rPr>
          <w:rFonts w:ascii="Verdana" w:hAnsi="Verdana"/>
          <w:sz w:val="16"/>
          <w:szCs w:val="16"/>
        </w:rPr>
        <w:t xml:space="preserve"> </w:t>
      </w:r>
      <w:r w:rsidRPr="000A6485">
        <w:rPr>
          <w:rFonts w:ascii="Verdana" w:hAnsi="Verdana"/>
          <w:b/>
          <w:sz w:val="16"/>
          <w:szCs w:val="16"/>
        </w:rPr>
        <w:t>mld zł</w:t>
      </w:r>
    </w:p>
    <w:p w:rsidR="008A572A" w:rsidRPr="000A6485" w:rsidRDefault="008A572A" w:rsidP="008A572A">
      <w:pPr>
        <w:pStyle w:val="Akapitzlist"/>
        <w:spacing w:before="60" w:after="60"/>
        <w:ind w:left="567"/>
        <w:jc w:val="both"/>
        <w:rPr>
          <w:rFonts w:ascii="Verdana" w:hAnsi="Verdana"/>
          <w:sz w:val="16"/>
          <w:szCs w:val="16"/>
        </w:rPr>
      </w:pPr>
      <w:r w:rsidRPr="000A6485">
        <w:rPr>
          <w:rFonts w:ascii="Verdana" w:hAnsi="Verdana"/>
          <w:sz w:val="16"/>
          <w:szCs w:val="16"/>
        </w:rPr>
        <w:t>.</w:t>
      </w:r>
    </w:p>
    <w:p w:rsidR="008A572A" w:rsidRDefault="008A572A" w:rsidP="008A572A">
      <w:pPr>
        <w:pStyle w:val="Akapitzlist"/>
        <w:numPr>
          <w:ilvl w:val="0"/>
          <w:numId w:val="21"/>
        </w:numPr>
        <w:spacing w:before="60" w:after="60"/>
        <w:ind w:left="567" w:hanging="283"/>
        <w:jc w:val="both"/>
        <w:rPr>
          <w:rFonts w:ascii="Verdana" w:hAnsi="Verdana"/>
          <w:b/>
          <w:sz w:val="16"/>
          <w:szCs w:val="16"/>
        </w:rPr>
      </w:pPr>
      <w:r w:rsidRPr="000A6485">
        <w:rPr>
          <w:rFonts w:ascii="Verdana" w:hAnsi="Verdana"/>
          <w:sz w:val="16"/>
          <w:szCs w:val="16"/>
        </w:rPr>
        <w:t xml:space="preserve">2050 r. – </w:t>
      </w:r>
      <w:r w:rsidRPr="005B3072">
        <w:rPr>
          <w:rFonts w:ascii="Verdana" w:eastAsiaTheme="minorEastAsia" w:hAnsi="Verdana" w:cs="Verdana"/>
          <w:b/>
          <w:bCs/>
          <w:color w:val="000000"/>
          <w:sz w:val="16"/>
          <w:szCs w:val="16"/>
        </w:rPr>
        <w:t>40,206</w:t>
      </w:r>
      <w:r w:rsidRPr="000A6485">
        <w:rPr>
          <w:rFonts w:ascii="Verdana" w:hAnsi="Verdana"/>
          <w:sz w:val="16"/>
          <w:szCs w:val="16"/>
        </w:rPr>
        <w:t xml:space="preserve"> </w:t>
      </w:r>
      <w:r w:rsidRPr="000A6485">
        <w:rPr>
          <w:rFonts w:ascii="Verdana" w:hAnsi="Verdana"/>
          <w:b/>
          <w:sz w:val="16"/>
          <w:szCs w:val="16"/>
        </w:rPr>
        <w:t>mld zł</w:t>
      </w:r>
    </w:p>
    <w:p w:rsidR="008A572A" w:rsidRPr="000A6485" w:rsidRDefault="008A572A" w:rsidP="008A572A">
      <w:pPr>
        <w:spacing w:before="240" w:after="60"/>
        <w:jc w:val="both"/>
        <w:rPr>
          <w:rFonts w:ascii="Verdana" w:hAnsi="Verdana"/>
          <w:sz w:val="16"/>
          <w:szCs w:val="16"/>
        </w:rPr>
      </w:pPr>
      <w:r w:rsidRPr="000A6485">
        <w:rPr>
          <w:rFonts w:ascii="Verdana" w:hAnsi="Verdana"/>
          <w:sz w:val="16"/>
          <w:szCs w:val="16"/>
        </w:rPr>
        <w:t xml:space="preserve">Wysokość prognozowanych </w:t>
      </w:r>
      <w:r w:rsidRPr="000A6485">
        <w:rPr>
          <w:rFonts w:ascii="Verdana" w:hAnsi="Verdana"/>
          <w:sz w:val="16"/>
          <w:szCs w:val="16"/>
          <w:u w:val="single"/>
        </w:rPr>
        <w:t>wydatków majątkowych</w:t>
      </w:r>
      <w:r w:rsidRPr="000A6485">
        <w:rPr>
          <w:rFonts w:ascii="Verdana" w:hAnsi="Verdana"/>
          <w:sz w:val="16"/>
          <w:szCs w:val="16"/>
        </w:rPr>
        <w:t>:</w:t>
      </w:r>
    </w:p>
    <w:p w:rsidR="008A572A" w:rsidRPr="000A6485" w:rsidRDefault="008A572A" w:rsidP="008A572A">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3</w:t>
      </w:r>
      <w:r w:rsidRPr="000A6485">
        <w:rPr>
          <w:rFonts w:ascii="Verdana" w:hAnsi="Verdana"/>
          <w:sz w:val="16"/>
          <w:szCs w:val="16"/>
        </w:rPr>
        <w:t xml:space="preserve"> r. – </w:t>
      </w:r>
      <w:r w:rsidRPr="005B3072">
        <w:rPr>
          <w:rFonts w:ascii="Verdana" w:eastAsiaTheme="minorEastAsia" w:hAnsi="Verdana" w:cs="Verdana"/>
          <w:b/>
          <w:bCs/>
          <w:color w:val="000000"/>
          <w:sz w:val="16"/>
          <w:szCs w:val="16"/>
        </w:rPr>
        <w:t>3,583</w:t>
      </w:r>
      <w:r w:rsidRPr="000A6485">
        <w:rPr>
          <w:rFonts w:ascii="Verdana" w:hAnsi="Verdana"/>
          <w:sz w:val="16"/>
          <w:szCs w:val="16"/>
        </w:rPr>
        <w:t xml:space="preserve"> </w:t>
      </w:r>
      <w:r w:rsidRPr="000A6485">
        <w:rPr>
          <w:rFonts w:ascii="Verdana" w:hAnsi="Verdana"/>
          <w:b/>
          <w:sz w:val="16"/>
          <w:szCs w:val="16"/>
        </w:rPr>
        <w:t>mld zł</w:t>
      </w:r>
    </w:p>
    <w:p w:rsidR="008A572A" w:rsidRPr="000A6485" w:rsidRDefault="008A572A" w:rsidP="008A572A">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4</w:t>
      </w:r>
      <w:r w:rsidRPr="000A6485">
        <w:rPr>
          <w:rFonts w:ascii="Verdana" w:hAnsi="Verdana"/>
          <w:sz w:val="16"/>
          <w:szCs w:val="16"/>
        </w:rPr>
        <w:t xml:space="preserve"> r. – </w:t>
      </w:r>
      <w:r w:rsidRPr="005B3072">
        <w:rPr>
          <w:rFonts w:ascii="Verdana" w:eastAsiaTheme="minorEastAsia" w:hAnsi="Verdana" w:cs="Verdana"/>
          <w:b/>
          <w:bCs/>
          <w:color w:val="000000"/>
          <w:sz w:val="16"/>
          <w:szCs w:val="16"/>
        </w:rPr>
        <w:t>2,782</w:t>
      </w:r>
      <w:r w:rsidRPr="000A6485">
        <w:rPr>
          <w:rFonts w:ascii="Verdana" w:hAnsi="Verdana"/>
          <w:sz w:val="16"/>
          <w:szCs w:val="16"/>
        </w:rPr>
        <w:t xml:space="preserve"> </w:t>
      </w:r>
      <w:r w:rsidRPr="000A6485">
        <w:rPr>
          <w:rFonts w:ascii="Verdana" w:hAnsi="Verdana"/>
          <w:b/>
          <w:sz w:val="16"/>
          <w:szCs w:val="16"/>
        </w:rPr>
        <w:t>mld zł</w:t>
      </w:r>
    </w:p>
    <w:p w:rsidR="008A572A" w:rsidRPr="000A6485" w:rsidRDefault="008A572A" w:rsidP="008A572A">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5</w:t>
      </w:r>
      <w:r w:rsidRPr="000A6485">
        <w:rPr>
          <w:rFonts w:ascii="Verdana" w:hAnsi="Verdana"/>
          <w:sz w:val="16"/>
          <w:szCs w:val="16"/>
        </w:rPr>
        <w:t xml:space="preserve"> r. – </w:t>
      </w:r>
      <w:r w:rsidRPr="005B3072">
        <w:rPr>
          <w:rFonts w:ascii="Verdana" w:eastAsiaTheme="minorEastAsia" w:hAnsi="Verdana" w:cs="Verdana"/>
          <w:b/>
          <w:bCs/>
          <w:color w:val="000000"/>
          <w:sz w:val="16"/>
          <w:szCs w:val="16"/>
        </w:rPr>
        <w:t>2,591</w:t>
      </w:r>
      <w:r w:rsidRPr="000A6485">
        <w:rPr>
          <w:rFonts w:ascii="Verdana" w:hAnsi="Verdana"/>
          <w:sz w:val="16"/>
          <w:szCs w:val="16"/>
        </w:rPr>
        <w:t xml:space="preserve"> </w:t>
      </w:r>
      <w:r w:rsidRPr="000A6485">
        <w:rPr>
          <w:rFonts w:ascii="Verdana" w:hAnsi="Verdana"/>
          <w:b/>
          <w:sz w:val="16"/>
          <w:szCs w:val="16"/>
        </w:rPr>
        <w:t>mld zł</w:t>
      </w:r>
    </w:p>
    <w:p w:rsidR="008A572A" w:rsidRPr="000A6485" w:rsidRDefault="008A572A" w:rsidP="008A572A">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6</w:t>
      </w:r>
      <w:r w:rsidRPr="000A6485">
        <w:rPr>
          <w:rFonts w:ascii="Verdana" w:hAnsi="Verdana"/>
          <w:sz w:val="16"/>
          <w:szCs w:val="16"/>
        </w:rPr>
        <w:t xml:space="preserve"> r. – </w:t>
      </w:r>
      <w:r w:rsidRPr="005B3072">
        <w:rPr>
          <w:rFonts w:ascii="Verdana" w:eastAsiaTheme="minorEastAsia" w:hAnsi="Verdana" w:cs="Verdana"/>
          <w:b/>
          <w:bCs/>
          <w:color w:val="000000"/>
          <w:sz w:val="16"/>
          <w:szCs w:val="16"/>
        </w:rPr>
        <w:t>2,507</w:t>
      </w:r>
      <w:r w:rsidRPr="000A6485">
        <w:rPr>
          <w:rFonts w:ascii="Verdana" w:hAnsi="Verdana"/>
          <w:sz w:val="16"/>
          <w:szCs w:val="16"/>
        </w:rPr>
        <w:t xml:space="preserve"> </w:t>
      </w:r>
      <w:r w:rsidRPr="000A6485">
        <w:rPr>
          <w:rFonts w:ascii="Verdana" w:hAnsi="Verdana"/>
          <w:b/>
          <w:sz w:val="16"/>
          <w:szCs w:val="16"/>
        </w:rPr>
        <w:t>mld zł</w:t>
      </w:r>
    </w:p>
    <w:p w:rsidR="008A572A" w:rsidRPr="000A6485" w:rsidRDefault="008A572A" w:rsidP="008A572A">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7</w:t>
      </w:r>
      <w:r w:rsidRPr="000A6485">
        <w:rPr>
          <w:rFonts w:ascii="Verdana" w:hAnsi="Verdana"/>
          <w:sz w:val="16"/>
          <w:szCs w:val="16"/>
        </w:rPr>
        <w:t xml:space="preserve"> r. – </w:t>
      </w:r>
      <w:r w:rsidRPr="005B3072">
        <w:rPr>
          <w:rFonts w:ascii="Verdana" w:eastAsiaTheme="minorEastAsia" w:hAnsi="Verdana" w:cs="Verdana"/>
          <w:b/>
          <w:bCs/>
          <w:color w:val="000000"/>
          <w:sz w:val="16"/>
          <w:szCs w:val="16"/>
        </w:rPr>
        <w:t>1,775</w:t>
      </w:r>
      <w:r w:rsidRPr="000A6485">
        <w:rPr>
          <w:rFonts w:ascii="Verdana" w:hAnsi="Verdana"/>
          <w:sz w:val="16"/>
          <w:szCs w:val="16"/>
        </w:rPr>
        <w:t xml:space="preserve"> </w:t>
      </w:r>
      <w:r w:rsidRPr="000A6485">
        <w:rPr>
          <w:rFonts w:ascii="Verdana" w:hAnsi="Verdana"/>
          <w:b/>
          <w:sz w:val="16"/>
          <w:szCs w:val="16"/>
        </w:rPr>
        <w:t>mln zł</w:t>
      </w:r>
    </w:p>
    <w:p w:rsidR="008A572A" w:rsidRPr="000A6485" w:rsidRDefault="008A572A" w:rsidP="008A572A">
      <w:pPr>
        <w:pStyle w:val="Akapitzlist"/>
        <w:spacing w:before="60" w:after="60"/>
        <w:ind w:left="567"/>
        <w:jc w:val="both"/>
        <w:rPr>
          <w:rFonts w:ascii="Verdana" w:hAnsi="Verdana"/>
          <w:sz w:val="16"/>
          <w:szCs w:val="16"/>
        </w:rPr>
      </w:pPr>
      <w:r w:rsidRPr="000A6485">
        <w:rPr>
          <w:rFonts w:ascii="Verdana" w:hAnsi="Verdana"/>
          <w:sz w:val="16"/>
          <w:szCs w:val="16"/>
        </w:rPr>
        <w:t>.</w:t>
      </w:r>
    </w:p>
    <w:p w:rsidR="008A572A" w:rsidRPr="000A6485" w:rsidRDefault="008A572A" w:rsidP="008A572A">
      <w:pPr>
        <w:pStyle w:val="Akapitzlist"/>
        <w:numPr>
          <w:ilvl w:val="0"/>
          <w:numId w:val="21"/>
        </w:numPr>
        <w:spacing w:before="60" w:after="60"/>
        <w:ind w:left="567" w:hanging="283"/>
        <w:jc w:val="both"/>
        <w:rPr>
          <w:rFonts w:ascii="Verdana" w:hAnsi="Verdana"/>
          <w:sz w:val="16"/>
          <w:szCs w:val="16"/>
        </w:rPr>
      </w:pPr>
      <w:r w:rsidRPr="000A6485">
        <w:rPr>
          <w:rFonts w:ascii="Verdana" w:hAnsi="Verdana"/>
          <w:sz w:val="16"/>
          <w:szCs w:val="16"/>
        </w:rPr>
        <w:t xml:space="preserve">2050 r. – </w:t>
      </w:r>
      <w:r w:rsidRPr="005B3072">
        <w:rPr>
          <w:rFonts w:ascii="Verdana" w:eastAsiaTheme="minorEastAsia" w:hAnsi="Verdana" w:cs="Verdana"/>
          <w:b/>
          <w:bCs/>
          <w:color w:val="000000"/>
          <w:sz w:val="16"/>
          <w:szCs w:val="16"/>
        </w:rPr>
        <w:t>4,464</w:t>
      </w:r>
      <w:r w:rsidRPr="000A6485">
        <w:rPr>
          <w:rFonts w:ascii="Verdana" w:hAnsi="Verdana"/>
          <w:sz w:val="16"/>
          <w:szCs w:val="16"/>
        </w:rPr>
        <w:t xml:space="preserve"> </w:t>
      </w:r>
      <w:r w:rsidRPr="000A6485">
        <w:rPr>
          <w:rFonts w:ascii="Verdana" w:hAnsi="Verdana"/>
          <w:b/>
          <w:sz w:val="16"/>
          <w:szCs w:val="16"/>
        </w:rPr>
        <w:t>mld zł</w:t>
      </w:r>
    </w:p>
    <w:p w:rsidR="008A572A" w:rsidRPr="000A6485" w:rsidRDefault="008A572A" w:rsidP="008A572A">
      <w:pPr>
        <w:spacing w:before="240" w:after="60"/>
        <w:jc w:val="both"/>
        <w:rPr>
          <w:rFonts w:ascii="Verdana" w:hAnsi="Verdana"/>
          <w:sz w:val="16"/>
          <w:szCs w:val="16"/>
        </w:rPr>
      </w:pPr>
      <w:r w:rsidRPr="000A6485">
        <w:rPr>
          <w:rFonts w:ascii="Verdana" w:hAnsi="Verdana"/>
          <w:b/>
          <w:bCs/>
          <w:sz w:val="16"/>
          <w:szCs w:val="16"/>
        </w:rPr>
        <w:t>SEKCJA 3</w:t>
      </w:r>
      <w:r w:rsidRPr="000A6485">
        <w:rPr>
          <w:rFonts w:ascii="Verdana" w:hAnsi="Verdana"/>
          <w:sz w:val="16"/>
          <w:szCs w:val="16"/>
        </w:rPr>
        <w:t xml:space="preserve"> – prognozowany</w:t>
      </w:r>
      <w:r w:rsidRPr="000A6485">
        <w:rPr>
          <w:rFonts w:ascii="Verdana" w:hAnsi="Verdana"/>
          <w:b/>
          <w:sz w:val="16"/>
          <w:szCs w:val="16"/>
        </w:rPr>
        <w:t xml:space="preserve"> wynik budżetu</w:t>
      </w:r>
      <w:r w:rsidRPr="000A6485">
        <w:rPr>
          <w:rFonts w:ascii="Verdana" w:hAnsi="Verdana"/>
          <w:sz w:val="16"/>
          <w:szCs w:val="16"/>
        </w:rPr>
        <w:t xml:space="preserve"> stanowiący różnicę pomiędzy prognozowanymi dochodami </w:t>
      </w:r>
      <w:r w:rsidRPr="000A6485">
        <w:rPr>
          <w:rFonts w:ascii="Verdana" w:hAnsi="Verdana"/>
          <w:sz w:val="16"/>
          <w:szCs w:val="16"/>
        </w:rPr>
        <w:br/>
        <w:t>a wydatkami, w tym wyszczególniona kwota prognozowanej nadwyżki budżetu przeznaczana na spłatę kredytów, pożyczek i wykup papierów wartościowych</w:t>
      </w:r>
    </w:p>
    <w:p w:rsidR="008A572A" w:rsidRPr="000A6485" w:rsidRDefault="008A572A" w:rsidP="008A572A">
      <w:pPr>
        <w:spacing w:before="60" w:after="60"/>
        <w:jc w:val="both"/>
        <w:rPr>
          <w:rFonts w:ascii="Verdana" w:hAnsi="Verdana"/>
          <w:sz w:val="16"/>
          <w:szCs w:val="16"/>
        </w:rPr>
      </w:pPr>
      <w:r>
        <w:rPr>
          <w:rFonts w:ascii="Verdana" w:hAnsi="Verdana"/>
          <w:sz w:val="16"/>
          <w:szCs w:val="16"/>
        </w:rPr>
        <w:t>Lata</w:t>
      </w:r>
      <w:r w:rsidRPr="000A6485">
        <w:rPr>
          <w:rFonts w:ascii="Verdana" w:hAnsi="Verdana"/>
          <w:sz w:val="16"/>
          <w:szCs w:val="16"/>
        </w:rPr>
        <w:t xml:space="preserve"> </w:t>
      </w:r>
      <w:r w:rsidRPr="00932633">
        <w:rPr>
          <w:rFonts w:ascii="Verdana" w:eastAsiaTheme="minorEastAsia" w:hAnsi="Verdana" w:cs="Verdana"/>
          <w:color w:val="000000"/>
          <w:sz w:val="16"/>
          <w:szCs w:val="16"/>
        </w:rPr>
        <w:t>2023</w:t>
      </w:r>
      <w:r w:rsidRPr="000A6485">
        <w:rPr>
          <w:rFonts w:ascii="Verdana" w:hAnsi="Verdana"/>
          <w:sz w:val="16"/>
          <w:szCs w:val="16"/>
        </w:rPr>
        <w:t>-202</w:t>
      </w:r>
      <w:r>
        <w:rPr>
          <w:rFonts w:ascii="Verdana" w:hAnsi="Verdana"/>
          <w:sz w:val="16"/>
          <w:szCs w:val="16"/>
        </w:rPr>
        <w:t xml:space="preserve">6 </w:t>
      </w:r>
      <w:r w:rsidRPr="000A6485">
        <w:rPr>
          <w:rFonts w:ascii="Verdana" w:hAnsi="Verdana"/>
          <w:sz w:val="16"/>
          <w:szCs w:val="16"/>
        </w:rPr>
        <w:t>zamyka</w:t>
      </w:r>
      <w:r>
        <w:rPr>
          <w:rFonts w:ascii="Verdana" w:hAnsi="Verdana"/>
          <w:sz w:val="16"/>
          <w:szCs w:val="16"/>
        </w:rPr>
        <w:t>ją</w:t>
      </w:r>
      <w:r w:rsidRPr="000A6485">
        <w:rPr>
          <w:rFonts w:ascii="Verdana" w:hAnsi="Verdana"/>
          <w:sz w:val="16"/>
          <w:szCs w:val="16"/>
        </w:rPr>
        <w:t xml:space="preserve"> się deficytem, począwszy od 202</w:t>
      </w:r>
      <w:r>
        <w:rPr>
          <w:rFonts w:ascii="Verdana" w:hAnsi="Verdana"/>
          <w:sz w:val="16"/>
          <w:szCs w:val="16"/>
        </w:rPr>
        <w:t>7</w:t>
      </w:r>
      <w:r w:rsidRPr="000A6485">
        <w:rPr>
          <w:rFonts w:ascii="Verdana" w:hAnsi="Verdana"/>
          <w:sz w:val="16"/>
          <w:szCs w:val="16"/>
        </w:rPr>
        <w:t xml:space="preserve"> r. do 2050 r. wynik budżetu stanowi nadwyżkę.</w:t>
      </w:r>
    </w:p>
    <w:p w:rsidR="008A572A" w:rsidRPr="000A6485" w:rsidRDefault="008A572A" w:rsidP="008A572A">
      <w:pPr>
        <w:spacing w:before="60" w:after="60"/>
        <w:jc w:val="both"/>
        <w:rPr>
          <w:rFonts w:ascii="Verdana" w:hAnsi="Verdana"/>
          <w:sz w:val="16"/>
          <w:szCs w:val="16"/>
        </w:rPr>
      </w:pPr>
      <w:r w:rsidRPr="000A6485">
        <w:rPr>
          <w:rFonts w:ascii="Verdana" w:hAnsi="Verdana"/>
          <w:sz w:val="16"/>
          <w:szCs w:val="16"/>
        </w:rPr>
        <w:t xml:space="preserve">Wysokość prognozowanego </w:t>
      </w:r>
      <w:r w:rsidRPr="000A6485">
        <w:rPr>
          <w:rFonts w:ascii="Verdana" w:hAnsi="Verdana"/>
          <w:sz w:val="16"/>
          <w:szCs w:val="16"/>
          <w:u w:val="single"/>
        </w:rPr>
        <w:t>wyniku budżetu</w:t>
      </w:r>
      <w:r w:rsidRPr="000A6485">
        <w:rPr>
          <w:rFonts w:ascii="Verdana" w:hAnsi="Verdana"/>
          <w:sz w:val="16"/>
          <w:szCs w:val="16"/>
        </w:rPr>
        <w:t>:</w:t>
      </w:r>
    </w:p>
    <w:p w:rsidR="008A572A" w:rsidRPr="000A6485" w:rsidRDefault="008A572A" w:rsidP="008A572A">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3</w:t>
      </w:r>
      <w:r w:rsidRPr="000A6485">
        <w:rPr>
          <w:rFonts w:ascii="Verdana" w:hAnsi="Verdana"/>
          <w:sz w:val="16"/>
          <w:szCs w:val="16"/>
        </w:rPr>
        <w:t xml:space="preserve"> r. – deficyt w kwocie </w:t>
      </w:r>
      <w:r w:rsidRPr="005B3072">
        <w:rPr>
          <w:rFonts w:ascii="Verdana" w:eastAsiaTheme="minorEastAsia" w:hAnsi="Verdana" w:cs="Verdana"/>
          <w:b/>
          <w:bCs/>
          <w:color w:val="000000"/>
          <w:sz w:val="16"/>
          <w:szCs w:val="16"/>
        </w:rPr>
        <w:t>4,151</w:t>
      </w:r>
      <w:r w:rsidRPr="000A6485">
        <w:rPr>
          <w:rFonts w:ascii="Verdana" w:hAnsi="Verdana"/>
          <w:sz w:val="16"/>
          <w:szCs w:val="16"/>
        </w:rPr>
        <w:t xml:space="preserve"> </w:t>
      </w:r>
      <w:r>
        <w:rPr>
          <w:rFonts w:ascii="Verdana" w:hAnsi="Verdana"/>
          <w:b/>
          <w:sz w:val="16"/>
          <w:szCs w:val="16"/>
        </w:rPr>
        <w:t>mld</w:t>
      </w:r>
      <w:r w:rsidRPr="000A6485">
        <w:rPr>
          <w:rFonts w:ascii="Verdana" w:hAnsi="Verdana"/>
          <w:b/>
          <w:sz w:val="16"/>
          <w:szCs w:val="16"/>
        </w:rPr>
        <w:t xml:space="preserve"> zł</w:t>
      </w:r>
    </w:p>
    <w:p w:rsidR="008A572A" w:rsidRPr="000A6485" w:rsidRDefault="008A572A" w:rsidP="008A572A">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4</w:t>
      </w:r>
      <w:r w:rsidRPr="000A6485">
        <w:rPr>
          <w:rFonts w:ascii="Verdana" w:hAnsi="Verdana"/>
          <w:sz w:val="16"/>
          <w:szCs w:val="16"/>
        </w:rPr>
        <w:t xml:space="preserve"> r. – deficyt w kwocie </w:t>
      </w:r>
      <w:r w:rsidRPr="005B3072">
        <w:rPr>
          <w:rFonts w:ascii="Verdana" w:eastAsiaTheme="minorEastAsia" w:hAnsi="Verdana" w:cs="Verdana"/>
          <w:b/>
          <w:bCs/>
          <w:color w:val="000000"/>
          <w:sz w:val="16"/>
          <w:szCs w:val="16"/>
        </w:rPr>
        <w:t>2,418</w:t>
      </w:r>
      <w:r w:rsidRPr="000A6485">
        <w:rPr>
          <w:rFonts w:ascii="Verdana" w:hAnsi="Verdana"/>
          <w:sz w:val="16"/>
          <w:szCs w:val="16"/>
        </w:rPr>
        <w:t xml:space="preserve"> </w:t>
      </w:r>
      <w:r w:rsidRPr="000A6485">
        <w:rPr>
          <w:rFonts w:ascii="Verdana" w:hAnsi="Verdana"/>
          <w:b/>
          <w:sz w:val="16"/>
          <w:szCs w:val="16"/>
        </w:rPr>
        <w:t>mld zł</w:t>
      </w:r>
    </w:p>
    <w:p w:rsidR="008A572A" w:rsidRPr="000A6485" w:rsidRDefault="008A572A" w:rsidP="008A572A">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5</w:t>
      </w:r>
      <w:r w:rsidRPr="000A6485">
        <w:rPr>
          <w:rFonts w:ascii="Verdana" w:hAnsi="Verdana"/>
          <w:sz w:val="16"/>
          <w:szCs w:val="16"/>
        </w:rPr>
        <w:t xml:space="preserve"> r. – deficyt w kwocie </w:t>
      </w:r>
      <w:r w:rsidRPr="005B3072">
        <w:rPr>
          <w:rFonts w:ascii="Verdana" w:eastAsiaTheme="minorEastAsia" w:hAnsi="Verdana" w:cs="Verdana"/>
          <w:b/>
          <w:bCs/>
          <w:color w:val="000000"/>
          <w:sz w:val="16"/>
          <w:szCs w:val="16"/>
        </w:rPr>
        <w:t>642</w:t>
      </w:r>
      <w:r w:rsidRPr="000A6485">
        <w:rPr>
          <w:rFonts w:ascii="Verdana" w:hAnsi="Verdana" w:cs="Verdana"/>
          <w:b/>
          <w:color w:val="000000"/>
          <w:sz w:val="16"/>
          <w:szCs w:val="16"/>
        </w:rPr>
        <w:t xml:space="preserve"> ml</w:t>
      </w:r>
      <w:r>
        <w:rPr>
          <w:rFonts w:ascii="Verdana" w:hAnsi="Verdana" w:cs="Verdana"/>
          <w:b/>
          <w:color w:val="000000"/>
          <w:sz w:val="16"/>
          <w:szCs w:val="16"/>
        </w:rPr>
        <w:t>n</w:t>
      </w:r>
      <w:r w:rsidRPr="000A6485">
        <w:rPr>
          <w:rFonts w:ascii="Verdana" w:hAnsi="Verdana"/>
          <w:b/>
          <w:sz w:val="16"/>
          <w:szCs w:val="16"/>
        </w:rPr>
        <w:t xml:space="preserve"> zł</w:t>
      </w:r>
    </w:p>
    <w:p w:rsidR="008A572A" w:rsidRPr="000A6485" w:rsidRDefault="008A572A" w:rsidP="008A572A">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6</w:t>
      </w:r>
      <w:r w:rsidRPr="000A6485">
        <w:rPr>
          <w:rFonts w:ascii="Verdana" w:hAnsi="Verdana"/>
          <w:sz w:val="16"/>
          <w:szCs w:val="16"/>
        </w:rPr>
        <w:t xml:space="preserve"> r. – deficyt w kwocie </w:t>
      </w:r>
      <w:r w:rsidRPr="005B3072">
        <w:rPr>
          <w:rFonts w:ascii="Verdana" w:eastAsiaTheme="minorEastAsia" w:hAnsi="Verdana" w:cs="Verdana"/>
          <w:b/>
          <w:bCs/>
          <w:color w:val="000000"/>
          <w:sz w:val="16"/>
          <w:szCs w:val="16"/>
        </w:rPr>
        <w:t>1,136</w:t>
      </w:r>
      <w:r w:rsidRPr="000A6485">
        <w:rPr>
          <w:rFonts w:ascii="Verdana" w:hAnsi="Verdana" w:cs="Verdana"/>
          <w:b/>
          <w:color w:val="000000"/>
          <w:sz w:val="16"/>
          <w:szCs w:val="16"/>
        </w:rPr>
        <w:t xml:space="preserve"> ml</w:t>
      </w:r>
      <w:r>
        <w:rPr>
          <w:rFonts w:ascii="Verdana" w:hAnsi="Verdana" w:cs="Verdana"/>
          <w:b/>
          <w:color w:val="000000"/>
          <w:sz w:val="16"/>
          <w:szCs w:val="16"/>
        </w:rPr>
        <w:t>d</w:t>
      </w:r>
      <w:r w:rsidRPr="000A6485">
        <w:rPr>
          <w:rFonts w:ascii="Verdana" w:hAnsi="Verdana"/>
          <w:b/>
          <w:sz w:val="16"/>
          <w:szCs w:val="16"/>
        </w:rPr>
        <w:t xml:space="preserve"> zł</w:t>
      </w:r>
    </w:p>
    <w:p w:rsidR="008A572A" w:rsidRPr="000A6485" w:rsidRDefault="008A572A" w:rsidP="008A572A">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7</w:t>
      </w:r>
      <w:r w:rsidRPr="000A6485">
        <w:rPr>
          <w:rFonts w:ascii="Verdana" w:hAnsi="Verdana"/>
          <w:sz w:val="16"/>
          <w:szCs w:val="16"/>
        </w:rPr>
        <w:t xml:space="preserve"> r. – </w:t>
      </w:r>
      <w:r>
        <w:rPr>
          <w:rFonts w:ascii="Verdana" w:hAnsi="Verdana"/>
          <w:sz w:val="16"/>
          <w:szCs w:val="16"/>
        </w:rPr>
        <w:t>nadwyżka</w:t>
      </w:r>
      <w:r w:rsidRPr="000A6485">
        <w:rPr>
          <w:rFonts w:ascii="Verdana" w:hAnsi="Verdana"/>
          <w:sz w:val="16"/>
          <w:szCs w:val="16"/>
        </w:rPr>
        <w:t xml:space="preserve"> w kwocie </w:t>
      </w:r>
      <w:r w:rsidRPr="005B3072">
        <w:rPr>
          <w:rFonts w:ascii="Verdana" w:eastAsiaTheme="minorEastAsia" w:hAnsi="Verdana" w:cs="Verdana"/>
          <w:b/>
          <w:bCs/>
          <w:color w:val="000000"/>
          <w:sz w:val="16"/>
          <w:szCs w:val="16"/>
        </w:rPr>
        <w:t>48</w:t>
      </w:r>
      <w:r w:rsidRPr="000A6485">
        <w:rPr>
          <w:rFonts w:ascii="Verdana" w:hAnsi="Verdana"/>
          <w:sz w:val="16"/>
          <w:szCs w:val="16"/>
        </w:rPr>
        <w:t xml:space="preserve"> </w:t>
      </w:r>
      <w:r w:rsidRPr="000A6485">
        <w:rPr>
          <w:rFonts w:ascii="Verdana" w:hAnsi="Verdana"/>
          <w:b/>
          <w:sz w:val="16"/>
          <w:szCs w:val="16"/>
        </w:rPr>
        <w:t>mln zł</w:t>
      </w:r>
    </w:p>
    <w:p w:rsidR="008A572A" w:rsidRPr="000A6485" w:rsidRDefault="008A572A" w:rsidP="008A572A">
      <w:pPr>
        <w:pStyle w:val="Akapitzlist"/>
        <w:spacing w:before="60" w:after="60"/>
        <w:ind w:left="567"/>
        <w:jc w:val="both"/>
        <w:rPr>
          <w:rFonts w:ascii="Verdana" w:hAnsi="Verdana"/>
          <w:sz w:val="16"/>
          <w:szCs w:val="16"/>
        </w:rPr>
      </w:pPr>
      <w:r w:rsidRPr="000A6485">
        <w:rPr>
          <w:rFonts w:ascii="Verdana" w:hAnsi="Verdana"/>
          <w:sz w:val="16"/>
          <w:szCs w:val="16"/>
        </w:rPr>
        <w:t>.</w:t>
      </w:r>
    </w:p>
    <w:p w:rsidR="008A572A" w:rsidRPr="000A6485" w:rsidRDefault="008A572A" w:rsidP="008A572A">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 xml:space="preserve">2050 r. – </w:t>
      </w:r>
      <w:r>
        <w:rPr>
          <w:rFonts w:ascii="Verdana" w:hAnsi="Verdana"/>
          <w:sz w:val="16"/>
          <w:szCs w:val="16"/>
        </w:rPr>
        <w:t xml:space="preserve">nadwyżka </w:t>
      </w:r>
      <w:r w:rsidRPr="000A6485">
        <w:rPr>
          <w:rFonts w:ascii="Verdana" w:hAnsi="Verdana"/>
          <w:sz w:val="16"/>
          <w:szCs w:val="16"/>
        </w:rPr>
        <w:t xml:space="preserve">w kwocie </w:t>
      </w:r>
      <w:r w:rsidRPr="005B3072">
        <w:rPr>
          <w:rFonts w:ascii="Verdana" w:eastAsiaTheme="minorEastAsia" w:hAnsi="Verdana" w:cs="Verdana"/>
          <w:b/>
          <w:bCs/>
          <w:color w:val="000000"/>
          <w:sz w:val="16"/>
          <w:szCs w:val="16"/>
        </w:rPr>
        <w:t>262</w:t>
      </w:r>
      <w:r w:rsidRPr="000A6485">
        <w:rPr>
          <w:rFonts w:ascii="Verdana" w:hAnsi="Verdana"/>
          <w:b/>
          <w:sz w:val="16"/>
          <w:szCs w:val="16"/>
        </w:rPr>
        <w:t xml:space="preserve"> mln zł</w:t>
      </w:r>
    </w:p>
    <w:p w:rsidR="008A572A" w:rsidRPr="000A6485" w:rsidRDefault="008A572A" w:rsidP="008A572A">
      <w:pPr>
        <w:spacing w:before="240" w:after="60"/>
        <w:jc w:val="both"/>
        <w:rPr>
          <w:rFonts w:ascii="Verdana" w:hAnsi="Verdana"/>
          <w:sz w:val="16"/>
          <w:szCs w:val="16"/>
        </w:rPr>
      </w:pPr>
      <w:r w:rsidRPr="000A6485">
        <w:rPr>
          <w:rFonts w:ascii="Verdana" w:hAnsi="Verdana"/>
          <w:b/>
          <w:bCs/>
          <w:sz w:val="16"/>
          <w:szCs w:val="16"/>
        </w:rPr>
        <w:t>SEKCJA 4</w:t>
      </w:r>
      <w:r w:rsidRPr="000A6485">
        <w:rPr>
          <w:rFonts w:ascii="Verdana" w:hAnsi="Verdana"/>
          <w:sz w:val="16"/>
          <w:szCs w:val="16"/>
        </w:rPr>
        <w:t xml:space="preserve"> – zagregowane główne kategorie </w:t>
      </w:r>
      <w:r w:rsidRPr="000A6485">
        <w:rPr>
          <w:rFonts w:ascii="Verdana" w:hAnsi="Verdana"/>
          <w:b/>
          <w:sz w:val="16"/>
          <w:szCs w:val="16"/>
        </w:rPr>
        <w:t xml:space="preserve">przychodów </w:t>
      </w:r>
      <w:r w:rsidRPr="000A6485">
        <w:rPr>
          <w:rFonts w:ascii="Verdana" w:hAnsi="Verdana"/>
          <w:sz w:val="16"/>
          <w:szCs w:val="16"/>
        </w:rPr>
        <w:t>z wyszczególnieniem sposobu pokrycia deficytu</w:t>
      </w:r>
    </w:p>
    <w:p w:rsidR="008A572A" w:rsidRDefault="008A572A" w:rsidP="008A572A">
      <w:pPr>
        <w:spacing w:before="60" w:after="60"/>
        <w:jc w:val="both"/>
        <w:rPr>
          <w:rFonts w:ascii="Verdana" w:hAnsi="Verdana"/>
          <w:sz w:val="16"/>
          <w:szCs w:val="16"/>
        </w:rPr>
      </w:pPr>
      <w:r w:rsidRPr="000A6485">
        <w:rPr>
          <w:rFonts w:ascii="Verdana" w:hAnsi="Verdana"/>
          <w:sz w:val="16"/>
          <w:szCs w:val="16"/>
        </w:rPr>
        <w:t>Prognozowane przychody będą stanowiły zaciągane kredyty</w:t>
      </w:r>
      <w:r>
        <w:rPr>
          <w:rFonts w:ascii="Verdana" w:hAnsi="Verdana"/>
          <w:sz w:val="16"/>
          <w:szCs w:val="16"/>
        </w:rPr>
        <w:t xml:space="preserve"> i pożyczki</w:t>
      </w:r>
      <w:r w:rsidRPr="000A6485">
        <w:rPr>
          <w:rFonts w:ascii="Verdana" w:hAnsi="Verdana"/>
          <w:sz w:val="16"/>
          <w:szCs w:val="16"/>
        </w:rPr>
        <w:t xml:space="preserve"> lub emitowane obligacje oraz wolne środki na rachunku bieżącym budżetu </w:t>
      </w:r>
      <w:r w:rsidRPr="000A6485">
        <w:rPr>
          <w:rFonts w:ascii="Verdana" w:hAnsi="Verdana" w:cs="Arial"/>
          <w:iCs/>
          <w:sz w:val="16"/>
          <w:szCs w:val="16"/>
        </w:rPr>
        <w:t xml:space="preserve">wynikające z rozliczeń wyemitowanych papierów wartościowych oraz kredytów </w:t>
      </w:r>
      <w:r>
        <w:rPr>
          <w:rFonts w:ascii="Verdana" w:hAnsi="Verdana" w:cs="Arial"/>
          <w:iCs/>
          <w:sz w:val="16"/>
          <w:szCs w:val="16"/>
        </w:rPr>
        <w:br/>
      </w:r>
      <w:r w:rsidRPr="000A6485">
        <w:rPr>
          <w:rFonts w:ascii="Verdana" w:hAnsi="Verdana" w:cs="Arial"/>
          <w:iCs/>
          <w:sz w:val="16"/>
          <w:szCs w:val="16"/>
        </w:rPr>
        <w:t>i pożyczek z lat ubiegłych</w:t>
      </w:r>
      <w:r>
        <w:rPr>
          <w:rFonts w:ascii="Verdana" w:hAnsi="Verdana" w:cs="Arial"/>
          <w:iCs/>
          <w:sz w:val="16"/>
          <w:szCs w:val="16"/>
        </w:rPr>
        <w:t xml:space="preserve"> oraz przelewy z rachunków lokat i nadwyżka budżetowa z lat ubiegłych stanowiąca </w:t>
      </w:r>
      <w:r w:rsidRPr="000A6485">
        <w:rPr>
          <w:rFonts w:ascii="Verdana" w:hAnsi="Verdana"/>
          <w:sz w:val="16"/>
          <w:szCs w:val="16"/>
        </w:rPr>
        <w:t xml:space="preserve">niewykorzystane środki pieniężne na rachunku bieżącym budżetu, wynikające z rozliczenia dochodów i wydatków nimi finansowanych związanych ze szczególnymi zasadami wykonywania budżetu określonymi w odrębnych ustawach. Przychody zostaną przeznaczone na finansowanie deficytu budżetu oraz rozchodów stanowiących spłatę rat kredytów i pożyczek oraz wykup wyemitowanych obligacji. </w:t>
      </w:r>
    </w:p>
    <w:p w:rsidR="008A572A" w:rsidRDefault="008A572A" w:rsidP="008A572A">
      <w:pPr>
        <w:autoSpaceDE w:val="0"/>
        <w:autoSpaceDN w:val="0"/>
        <w:adjustRightInd w:val="0"/>
        <w:spacing w:before="60" w:after="60"/>
        <w:jc w:val="both"/>
        <w:rPr>
          <w:rFonts w:ascii="Verdana" w:hAnsi="Verdana" w:cs="Verdana"/>
          <w:sz w:val="16"/>
          <w:szCs w:val="16"/>
        </w:rPr>
      </w:pPr>
      <w:r w:rsidRPr="00D162B5">
        <w:rPr>
          <w:rFonts w:ascii="Verdana" w:hAnsi="Verdana" w:cs="Verdana"/>
          <w:sz w:val="16"/>
          <w:szCs w:val="16"/>
        </w:rPr>
        <w:t xml:space="preserve">W ramach </w:t>
      </w:r>
      <w:r>
        <w:rPr>
          <w:rFonts w:ascii="Verdana" w:hAnsi="Verdana" w:cs="Verdana"/>
          <w:sz w:val="16"/>
          <w:szCs w:val="16"/>
        </w:rPr>
        <w:t>przychodów</w:t>
      </w:r>
      <w:r w:rsidRPr="00D162B5">
        <w:rPr>
          <w:rFonts w:ascii="Verdana" w:hAnsi="Verdana" w:cs="Verdana"/>
          <w:sz w:val="16"/>
          <w:szCs w:val="16"/>
        </w:rPr>
        <w:t xml:space="preserve"> uwzględniono dofinansowanie w formie </w:t>
      </w:r>
      <w:r>
        <w:rPr>
          <w:rFonts w:ascii="Verdana" w:hAnsi="Verdana" w:cs="Verdana"/>
          <w:sz w:val="16"/>
          <w:szCs w:val="16"/>
        </w:rPr>
        <w:t>planowanych pożyczek:</w:t>
      </w:r>
    </w:p>
    <w:p w:rsidR="008A572A" w:rsidRPr="00770C9D" w:rsidRDefault="008A572A" w:rsidP="008A572A">
      <w:pPr>
        <w:pStyle w:val="Akapitzlist"/>
        <w:numPr>
          <w:ilvl w:val="0"/>
          <w:numId w:val="72"/>
        </w:numPr>
        <w:autoSpaceDE w:val="0"/>
        <w:autoSpaceDN w:val="0"/>
        <w:adjustRightInd w:val="0"/>
        <w:spacing w:before="60" w:after="60"/>
        <w:ind w:left="426" w:hanging="284"/>
        <w:jc w:val="both"/>
        <w:rPr>
          <w:rFonts w:ascii="Verdana" w:hAnsi="Verdana" w:cs="Verdana"/>
          <w:sz w:val="16"/>
          <w:szCs w:val="16"/>
        </w:rPr>
      </w:pPr>
      <w:r w:rsidRPr="00770C9D">
        <w:rPr>
          <w:rFonts w:ascii="Verdana" w:hAnsi="Verdana" w:cs="Verdana"/>
          <w:sz w:val="16"/>
          <w:szCs w:val="16"/>
        </w:rPr>
        <w:t>z Narodowego Funduszu Ochrony Środowiska i Gospodarki Wodnej do następujących zadań:</w:t>
      </w:r>
    </w:p>
    <w:p w:rsidR="008A572A" w:rsidRPr="00D162B5" w:rsidRDefault="008A572A" w:rsidP="008A572A">
      <w:pPr>
        <w:pStyle w:val="Akapitzlist"/>
        <w:numPr>
          <w:ilvl w:val="0"/>
          <w:numId w:val="57"/>
        </w:numPr>
        <w:autoSpaceDE w:val="0"/>
        <w:autoSpaceDN w:val="0"/>
        <w:adjustRightInd w:val="0"/>
        <w:spacing w:before="60" w:after="60"/>
        <w:ind w:left="851" w:hanging="284"/>
        <w:contextualSpacing w:val="0"/>
        <w:jc w:val="both"/>
        <w:rPr>
          <w:rFonts w:ascii="Verdana" w:hAnsi="Verdana" w:cs="Verdana"/>
          <w:sz w:val="16"/>
          <w:szCs w:val="16"/>
        </w:rPr>
      </w:pPr>
      <w:r w:rsidRPr="00D162B5">
        <w:rPr>
          <w:rFonts w:ascii="Verdana" w:hAnsi="Verdana" w:cs="Verdana"/>
          <w:sz w:val="16"/>
          <w:szCs w:val="16"/>
        </w:rPr>
        <w:t>"</w:t>
      </w:r>
      <w:r>
        <w:rPr>
          <w:rFonts w:ascii="Verdana" w:hAnsi="Verdana" w:cs="Verdana"/>
          <w:sz w:val="16"/>
          <w:szCs w:val="16"/>
        </w:rPr>
        <w:t>EKO</w:t>
      </w:r>
      <w:r w:rsidRPr="00D162B5">
        <w:rPr>
          <w:rFonts w:ascii="Verdana" w:hAnsi="Verdana" w:cs="Verdana"/>
          <w:sz w:val="16"/>
          <w:szCs w:val="16"/>
        </w:rPr>
        <w:t xml:space="preserve"> P+R Połczyńska" - pożyczka w kwocie 10.000.000 zł w latach 2023-2024 z planowaną spłatą </w:t>
      </w:r>
      <w:r>
        <w:rPr>
          <w:rFonts w:ascii="Verdana" w:hAnsi="Verdana" w:cs="Verdana"/>
          <w:sz w:val="16"/>
          <w:szCs w:val="16"/>
        </w:rPr>
        <w:br/>
      </w:r>
      <w:r w:rsidRPr="00D162B5">
        <w:rPr>
          <w:rFonts w:ascii="Verdana" w:hAnsi="Verdana" w:cs="Verdana"/>
          <w:sz w:val="16"/>
          <w:szCs w:val="16"/>
        </w:rPr>
        <w:t>w latach 2025-2038,</w:t>
      </w:r>
    </w:p>
    <w:p w:rsidR="008A572A" w:rsidRDefault="008A572A" w:rsidP="008A572A">
      <w:pPr>
        <w:pStyle w:val="Akapitzlist"/>
        <w:numPr>
          <w:ilvl w:val="0"/>
          <w:numId w:val="57"/>
        </w:numPr>
        <w:autoSpaceDE w:val="0"/>
        <w:autoSpaceDN w:val="0"/>
        <w:adjustRightInd w:val="0"/>
        <w:spacing w:before="60" w:after="60"/>
        <w:ind w:left="851" w:hanging="284"/>
        <w:contextualSpacing w:val="0"/>
        <w:jc w:val="both"/>
        <w:rPr>
          <w:rFonts w:ascii="Verdana" w:hAnsi="Verdana" w:cs="Verdana"/>
          <w:sz w:val="16"/>
          <w:szCs w:val="16"/>
        </w:rPr>
      </w:pPr>
      <w:r w:rsidRPr="00D162B5">
        <w:rPr>
          <w:rFonts w:ascii="Verdana" w:hAnsi="Verdana" w:cs="Verdana"/>
          <w:sz w:val="16"/>
          <w:szCs w:val="16"/>
        </w:rPr>
        <w:t xml:space="preserve">"Zakup 12 autobusów niskoemisyjnych dla m.st. Warszawy" - pożyczka w kwocie 24.960.000 zł </w:t>
      </w:r>
      <w:r>
        <w:rPr>
          <w:rFonts w:ascii="Verdana" w:hAnsi="Verdana" w:cs="Verdana"/>
          <w:sz w:val="16"/>
          <w:szCs w:val="16"/>
        </w:rPr>
        <w:br/>
      </w:r>
      <w:r w:rsidRPr="00D162B5">
        <w:rPr>
          <w:rFonts w:ascii="Verdana" w:hAnsi="Verdana" w:cs="Verdana"/>
          <w:sz w:val="16"/>
          <w:szCs w:val="16"/>
        </w:rPr>
        <w:t>w latach 2024-2025 z plan</w:t>
      </w:r>
      <w:r>
        <w:rPr>
          <w:rFonts w:ascii="Verdana" w:hAnsi="Verdana" w:cs="Verdana"/>
          <w:sz w:val="16"/>
          <w:szCs w:val="16"/>
        </w:rPr>
        <w:t>owaną spłatą w latach 2026-2036;</w:t>
      </w:r>
    </w:p>
    <w:p w:rsidR="008A572A" w:rsidRPr="00770C9D" w:rsidRDefault="008A572A" w:rsidP="008A572A">
      <w:pPr>
        <w:pStyle w:val="Akapitzlist"/>
        <w:numPr>
          <w:ilvl w:val="0"/>
          <w:numId w:val="72"/>
        </w:numPr>
        <w:autoSpaceDE w:val="0"/>
        <w:autoSpaceDN w:val="0"/>
        <w:adjustRightInd w:val="0"/>
        <w:spacing w:before="60" w:after="60"/>
        <w:ind w:left="426" w:hanging="284"/>
        <w:jc w:val="both"/>
        <w:rPr>
          <w:rFonts w:ascii="Verdana" w:hAnsi="Verdana" w:cs="Verdana"/>
          <w:sz w:val="16"/>
          <w:szCs w:val="16"/>
        </w:rPr>
      </w:pPr>
      <w:r w:rsidRPr="00770C9D">
        <w:rPr>
          <w:rFonts w:ascii="Verdana" w:hAnsi="Verdana" w:cs="Verdana"/>
          <w:sz w:val="16"/>
          <w:szCs w:val="16"/>
        </w:rPr>
        <w:t xml:space="preserve">z </w:t>
      </w:r>
      <w:r>
        <w:rPr>
          <w:rFonts w:ascii="Verdana" w:hAnsi="Verdana" w:cs="Verdana"/>
          <w:sz w:val="16"/>
          <w:szCs w:val="16"/>
        </w:rPr>
        <w:t>Wojewódzkiego</w:t>
      </w:r>
      <w:r w:rsidRPr="00770C9D">
        <w:rPr>
          <w:rFonts w:ascii="Verdana" w:hAnsi="Verdana" w:cs="Verdana"/>
          <w:sz w:val="16"/>
          <w:szCs w:val="16"/>
        </w:rPr>
        <w:t xml:space="preserve"> Funduszu Ochrony Środowiska i Gospodarki Wodnej </w:t>
      </w:r>
      <w:r>
        <w:rPr>
          <w:rFonts w:ascii="Verdana" w:hAnsi="Verdana" w:cs="Verdana"/>
          <w:sz w:val="16"/>
          <w:szCs w:val="16"/>
        </w:rPr>
        <w:t>w Warszawie do zadania</w:t>
      </w:r>
      <w:r w:rsidRPr="00770C9D">
        <w:rPr>
          <w:rFonts w:ascii="Verdana" w:hAnsi="Verdana" w:cs="Verdana"/>
          <w:sz w:val="16"/>
          <w:szCs w:val="16"/>
        </w:rPr>
        <w:t>:</w:t>
      </w:r>
    </w:p>
    <w:p w:rsidR="008A572A" w:rsidRPr="005B3072" w:rsidRDefault="008A572A" w:rsidP="008A572A">
      <w:pPr>
        <w:pStyle w:val="Akapitzlist"/>
        <w:numPr>
          <w:ilvl w:val="0"/>
          <w:numId w:val="73"/>
        </w:numPr>
        <w:spacing w:before="60" w:after="60"/>
        <w:ind w:left="851" w:hanging="284"/>
        <w:jc w:val="both"/>
        <w:rPr>
          <w:rFonts w:ascii="Verdana" w:hAnsi="Verdana"/>
          <w:sz w:val="16"/>
          <w:szCs w:val="16"/>
        </w:rPr>
      </w:pPr>
      <w:r w:rsidRPr="005B3072">
        <w:rPr>
          <w:rFonts w:ascii="Verdana" w:hAnsi="Verdana" w:cs="Verdana"/>
          <w:sz w:val="16"/>
          <w:szCs w:val="16"/>
        </w:rPr>
        <w:lastRenderedPageBreak/>
        <w:t>modernizacja Węzła Komunikacyjnego Młociny w ramach Programu pn. "Zadania z zakresu ochrony powietrza" - pożyczka w kwocie 8.205.000 zł w latach 2023-2025 z planowaną spłatą w latach 2025-2039.</w:t>
      </w:r>
    </w:p>
    <w:p w:rsidR="008A572A" w:rsidRPr="000A6485" w:rsidRDefault="008A572A" w:rsidP="008A572A">
      <w:pPr>
        <w:spacing w:before="240" w:after="60"/>
        <w:jc w:val="both"/>
        <w:rPr>
          <w:rFonts w:ascii="Verdana" w:hAnsi="Verdana"/>
          <w:sz w:val="16"/>
          <w:szCs w:val="16"/>
        </w:rPr>
      </w:pPr>
      <w:r w:rsidRPr="000A6485">
        <w:rPr>
          <w:rFonts w:ascii="Verdana" w:hAnsi="Verdana"/>
          <w:b/>
          <w:bCs/>
          <w:sz w:val="16"/>
          <w:szCs w:val="16"/>
        </w:rPr>
        <w:t>SEKCJA 5</w:t>
      </w:r>
      <w:r w:rsidRPr="000A6485">
        <w:rPr>
          <w:rFonts w:ascii="Verdana" w:hAnsi="Verdana"/>
          <w:sz w:val="16"/>
          <w:szCs w:val="16"/>
        </w:rPr>
        <w:t xml:space="preserve"> – zagregowane główne kategorie </w:t>
      </w:r>
      <w:r w:rsidRPr="000A6485">
        <w:rPr>
          <w:rFonts w:ascii="Verdana" w:hAnsi="Verdana"/>
          <w:b/>
          <w:sz w:val="16"/>
          <w:szCs w:val="16"/>
        </w:rPr>
        <w:t xml:space="preserve">rozchodów </w:t>
      </w:r>
      <w:r w:rsidRPr="000A6485">
        <w:rPr>
          <w:rFonts w:ascii="Verdana" w:hAnsi="Verdana"/>
          <w:sz w:val="16"/>
          <w:szCs w:val="16"/>
        </w:rPr>
        <w:t xml:space="preserve">z wyszczególnieniem kwot przypadających </w:t>
      </w:r>
      <w:r w:rsidRPr="000A6485">
        <w:rPr>
          <w:rFonts w:ascii="Verdana" w:hAnsi="Verdana"/>
          <w:sz w:val="16"/>
          <w:szCs w:val="16"/>
        </w:rPr>
        <w:br/>
        <w:t xml:space="preserve">na dany rok wyłączeń </w:t>
      </w:r>
      <w:r>
        <w:rPr>
          <w:rFonts w:ascii="Verdana" w:hAnsi="Verdana"/>
          <w:sz w:val="16"/>
          <w:szCs w:val="16"/>
        </w:rPr>
        <w:t>z limitu</w:t>
      </w:r>
      <w:r w:rsidRPr="000A6485">
        <w:rPr>
          <w:rFonts w:ascii="Verdana" w:hAnsi="Verdana"/>
          <w:sz w:val="16"/>
          <w:szCs w:val="16"/>
        </w:rPr>
        <w:t xml:space="preserve"> spłaty zobowiązań</w:t>
      </w:r>
      <w:r>
        <w:rPr>
          <w:rFonts w:ascii="Verdana" w:hAnsi="Verdana"/>
          <w:sz w:val="16"/>
          <w:szCs w:val="16"/>
        </w:rPr>
        <w:t>, o którym mowa w</w:t>
      </w:r>
      <w:r w:rsidRPr="000A6485">
        <w:rPr>
          <w:rFonts w:ascii="Verdana" w:hAnsi="Verdana"/>
          <w:sz w:val="16"/>
          <w:szCs w:val="16"/>
        </w:rPr>
        <w:t xml:space="preserve"> art. 243 ust. 3, 3a i 3b </w:t>
      </w:r>
      <w:r>
        <w:rPr>
          <w:rFonts w:ascii="Verdana" w:hAnsi="Verdana"/>
          <w:sz w:val="16"/>
          <w:szCs w:val="16"/>
        </w:rPr>
        <w:t>ustawy oraz pozostałych wyłączeń</w:t>
      </w:r>
    </w:p>
    <w:p w:rsidR="008A572A" w:rsidRDefault="008A572A" w:rsidP="008A572A">
      <w:pPr>
        <w:spacing w:before="60" w:after="60"/>
        <w:jc w:val="both"/>
        <w:rPr>
          <w:rFonts w:ascii="Verdana" w:hAnsi="Verdana"/>
          <w:sz w:val="16"/>
          <w:szCs w:val="16"/>
        </w:rPr>
      </w:pPr>
      <w:r w:rsidRPr="000A6485">
        <w:rPr>
          <w:rFonts w:ascii="Verdana" w:hAnsi="Verdana"/>
          <w:sz w:val="16"/>
          <w:szCs w:val="16"/>
        </w:rPr>
        <w:t>Prognozowane rozchody stanowią wyłącznie środki przeznaczone na spłatę zobowiązań dłużnych, w tym spłatę rat kapitałowych zaciągniętych kredytów i pożyczek oraz wykup wyemitowanych obligacji.</w:t>
      </w:r>
    </w:p>
    <w:p w:rsidR="008A572A" w:rsidRDefault="008A572A" w:rsidP="008A572A">
      <w:pPr>
        <w:autoSpaceDE w:val="0"/>
        <w:autoSpaceDN w:val="0"/>
        <w:adjustRightInd w:val="0"/>
        <w:spacing w:before="60" w:after="60"/>
        <w:jc w:val="both"/>
        <w:rPr>
          <w:rFonts w:ascii="Verdana" w:hAnsi="Verdana" w:cs="Verdana"/>
          <w:sz w:val="16"/>
          <w:szCs w:val="16"/>
        </w:rPr>
      </w:pPr>
      <w:r w:rsidRPr="00D162B5">
        <w:rPr>
          <w:rFonts w:ascii="Verdana" w:hAnsi="Verdana" w:cs="Verdana"/>
          <w:sz w:val="16"/>
          <w:szCs w:val="16"/>
        </w:rPr>
        <w:t xml:space="preserve">W ramach </w:t>
      </w:r>
      <w:r>
        <w:rPr>
          <w:rFonts w:ascii="Verdana" w:hAnsi="Verdana" w:cs="Verdana"/>
          <w:sz w:val="16"/>
          <w:szCs w:val="16"/>
        </w:rPr>
        <w:t>rozchodów</w:t>
      </w:r>
      <w:r w:rsidRPr="00D162B5">
        <w:rPr>
          <w:rFonts w:ascii="Verdana" w:hAnsi="Verdana" w:cs="Verdana"/>
          <w:sz w:val="16"/>
          <w:szCs w:val="16"/>
        </w:rPr>
        <w:t xml:space="preserve"> uwzględniono </w:t>
      </w:r>
      <w:r>
        <w:rPr>
          <w:rFonts w:ascii="Verdana" w:hAnsi="Verdana" w:cs="Verdana"/>
          <w:sz w:val="16"/>
          <w:szCs w:val="16"/>
        </w:rPr>
        <w:t xml:space="preserve">spłatę zobowiązań wynikającą z dofinansowania w formie już udzielonych </w:t>
      </w:r>
      <w:r>
        <w:rPr>
          <w:rFonts w:ascii="Verdana" w:hAnsi="Verdana" w:cs="Verdana"/>
          <w:sz w:val="16"/>
          <w:szCs w:val="16"/>
        </w:rPr>
        <w:br/>
        <w:t>i planowanych pożyczek:</w:t>
      </w:r>
    </w:p>
    <w:p w:rsidR="008A572A" w:rsidRPr="00770C9D" w:rsidRDefault="008A572A" w:rsidP="008A572A">
      <w:pPr>
        <w:pStyle w:val="Akapitzlist"/>
        <w:numPr>
          <w:ilvl w:val="0"/>
          <w:numId w:val="72"/>
        </w:numPr>
        <w:autoSpaceDE w:val="0"/>
        <w:autoSpaceDN w:val="0"/>
        <w:adjustRightInd w:val="0"/>
        <w:spacing w:before="60" w:after="60"/>
        <w:ind w:left="426" w:hanging="284"/>
        <w:jc w:val="both"/>
        <w:rPr>
          <w:rFonts w:ascii="Verdana" w:hAnsi="Verdana" w:cs="Verdana"/>
          <w:sz w:val="16"/>
          <w:szCs w:val="16"/>
        </w:rPr>
      </w:pPr>
      <w:r w:rsidRPr="00770C9D">
        <w:rPr>
          <w:rFonts w:ascii="Verdana" w:hAnsi="Verdana" w:cs="Verdana"/>
          <w:sz w:val="16"/>
          <w:szCs w:val="16"/>
        </w:rPr>
        <w:t>z Narodowego Funduszu Ochrony Środowiska i Gospodarki Wodnej do następujących zadań:</w:t>
      </w:r>
    </w:p>
    <w:p w:rsidR="008A572A" w:rsidRDefault="008A572A" w:rsidP="008A572A">
      <w:pPr>
        <w:pStyle w:val="Akapitzlist"/>
        <w:numPr>
          <w:ilvl w:val="0"/>
          <w:numId w:val="57"/>
        </w:numPr>
        <w:autoSpaceDE w:val="0"/>
        <w:autoSpaceDN w:val="0"/>
        <w:adjustRightInd w:val="0"/>
        <w:spacing w:before="60" w:after="60"/>
        <w:ind w:left="851" w:hanging="284"/>
        <w:contextualSpacing w:val="0"/>
        <w:jc w:val="both"/>
        <w:rPr>
          <w:rFonts w:ascii="Verdana" w:hAnsi="Verdana" w:cs="Verdana"/>
          <w:sz w:val="16"/>
          <w:szCs w:val="16"/>
        </w:rPr>
      </w:pPr>
      <w:r>
        <w:rPr>
          <w:rFonts w:ascii="Verdana" w:hAnsi="Verdana" w:cs="Verdana"/>
          <w:sz w:val="16"/>
          <w:szCs w:val="16"/>
        </w:rPr>
        <w:t>modernizacja</w:t>
      </w:r>
      <w:r w:rsidRPr="00752505">
        <w:rPr>
          <w:rFonts w:ascii="Verdana" w:hAnsi="Verdana" w:cs="Verdana"/>
          <w:sz w:val="16"/>
          <w:szCs w:val="16"/>
        </w:rPr>
        <w:t xml:space="preserve"> oświetlenia ulicznego w ramach programu "SOWA - oświetlenie zewnętrzne"</w:t>
      </w:r>
      <w:r w:rsidRPr="00D162B5">
        <w:rPr>
          <w:rFonts w:ascii="Verdana" w:hAnsi="Verdana" w:cs="Verdana"/>
          <w:sz w:val="16"/>
          <w:szCs w:val="16"/>
        </w:rPr>
        <w:t xml:space="preserve"> - pożyczka w kwocie </w:t>
      </w:r>
      <w:r>
        <w:rPr>
          <w:rFonts w:ascii="Verdana" w:hAnsi="Verdana" w:cs="Verdana"/>
          <w:sz w:val="16"/>
          <w:szCs w:val="16"/>
        </w:rPr>
        <w:t>10.310.187,58</w:t>
      </w:r>
      <w:r w:rsidRPr="00D162B5">
        <w:rPr>
          <w:rFonts w:ascii="Verdana" w:hAnsi="Verdana" w:cs="Verdana"/>
          <w:sz w:val="16"/>
          <w:szCs w:val="16"/>
        </w:rPr>
        <w:t xml:space="preserve"> zł w latach 202</w:t>
      </w:r>
      <w:r>
        <w:rPr>
          <w:rFonts w:ascii="Verdana" w:hAnsi="Verdana" w:cs="Verdana"/>
          <w:sz w:val="16"/>
          <w:szCs w:val="16"/>
        </w:rPr>
        <w:t>0</w:t>
      </w:r>
      <w:r w:rsidRPr="00D162B5">
        <w:rPr>
          <w:rFonts w:ascii="Verdana" w:hAnsi="Verdana" w:cs="Verdana"/>
          <w:sz w:val="16"/>
          <w:szCs w:val="16"/>
        </w:rPr>
        <w:t>-202</w:t>
      </w:r>
      <w:r>
        <w:rPr>
          <w:rFonts w:ascii="Verdana" w:hAnsi="Verdana" w:cs="Verdana"/>
          <w:sz w:val="16"/>
          <w:szCs w:val="16"/>
        </w:rPr>
        <w:t>1</w:t>
      </w:r>
      <w:r w:rsidRPr="00D162B5">
        <w:rPr>
          <w:rFonts w:ascii="Verdana" w:hAnsi="Verdana" w:cs="Verdana"/>
          <w:sz w:val="16"/>
          <w:szCs w:val="16"/>
        </w:rPr>
        <w:t xml:space="preserve"> z planowaną spłatą w latach 202</w:t>
      </w:r>
      <w:r>
        <w:rPr>
          <w:rFonts w:ascii="Verdana" w:hAnsi="Verdana" w:cs="Verdana"/>
          <w:sz w:val="16"/>
          <w:szCs w:val="16"/>
        </w:rPr>
        <w:t>2</w:t>
      </w:r>
      <w:r w:rsidRPr="00D162B5">
        <w:rPr>
          <w:rFonts w:ascii="Verdana" w:hAnsi="Verdana" w:cs="Verdana"/>
          <w:sz w:val="16"/>
          <w:szCs w:val="16"/>
        </w:rPr>
        <w:t>-20</w:t>
      </w:r>
      <w:r>
        <w:rPr>
          <w:rFonts w:ascii="Verdana" w:hAnsi="Verdana" w:cs="Verdana"/>
          <w:sz w:val="16"/>
          <w:szCs w:val="16"/>
        </w:rPr>
        <w:t>27</w:t>
      </w:r>
      <w:r w:rsidRPr="00D162B5">
        <w:rPr>
          <w:rFonts w:ascii="Verdana" w:hAnsi="Verdana" w:cs="Verdana"/>
          <w:sz w:val="16"/>
          <w:szCs w:val="16"/>
        </w:rPr>
        <w:t>,</w:t>
      </w:r>
    </w:p>
    <w:p w:rsidR="008A572A" w:rsidRPr="00D162B5" w:rsidRDefault="008A572A" w:rsidP="008A572A">
      <w:pPr>
        <w:pStyle w:val="Akapitzlist"/>
        <w:numPr>
          <w:ilvl w:val="0"/>
          <w:numId w:val="57"/>
        </w:numPr>
        <w:autoSpaceDE w:val="0"/>
        <w:autoSpaceDN w:val="0"/>
        <w:adjustRightInd w:val="0"/>
        <w:spacing w:before="60" w:after="60"/>
        <w:ind w:left="851" w:hanging="284"/>
        <w:contextualSpacing w:val="0"/>
        <w:jc w:val="both"/>
        <w:rPr>
          <w:rFonts w:ascii="Verdana" w:hAnsi="Verdana" w:cs="Verdana"/>
          <w:sz w:val="16"/>
          <w:szCs w:val="16"/>
        </w:rPr>
      </w:pPr>
      <w:r w:rsidRPr="00D162B5">
        <w:rPr>
          <w:rFonts w:ascii="Verdana" w:hAnsi="Verdana" w:cs="Verdana"/>
          <w:sz w:val="16"/>
          <w:szCs w:val="16"/>
        </w:rPr>
        <w:t>"</w:t>
      </w:r>
      <w:r>
        <w:rPr>
          <w:rFonts w:ascii="Verdana" w:hAnsi="Verdana" w:cs="Verdana"/>
          <w:sz w:val="16"/>
          <w:szCs w:val="16"/>
        </w:rPr>
        <w:t>EKO</w:t>
      </w:r>
      <w:r w:rsidRPr="00D162B5">
        <w:rPr>
          <w:rFonts w:ascii="Verdana" w:hAnsi="Verdana" w:cs="Verdana"/>
          <w:sz w:val="16"/>
          <w:szCs w:val="16"/>
        </w:rPr>
        <w:t xml:space="preserve"> P+R Połczyńska" - pożyczka w kwocie 10.000.000 zł w latach 2023-2024 z planowaną spłatą </w:t>
      </w:r>
      <w:r>
        <w:rPr>
          <w:rFonts w:ascii="Verdana" w:hAnsi="Verdana" w:cs="Verdana"/>
          <w:sz w:val="16"/>
          <w:szCs w:val="16"/>
        </w:rPr>
        <w:br/>
      </w:r>
      <w:r w:rsidRPr="00D162B5">
        <w:rPr>
          <w:rFonts w:ascii="Verdana" w:hAnsi="Verdana" w:cs="Verdana"/>
          <w:sz w:val="16"/>
          <w:szCs w:val="16"/>
        </w:rPr>
        <w:t>w latach 2025-2038,</w:t>
      </w:r>
    </w:p>
    <w:p w:rsidR="008A572A" w:rsidRDefault="008A572A" w:rsidP="008A572A">
      <w:pPr>
        <w:pStyle w:val="Akapitzlist"/>
        <w:numPr>
          <w:ilvl w:val="0"/>
          <w:numId w:val="57"/>
        </w:numPr>
        <w:autoSpaceDE w:val="0"/>
        <w:autoSpaceDN w:val="0"/>
        <w:adjustRightInd w:val="0"/>
        <w:spacing w:before="60" w:after="60"/>
        <w:ind w:left="851" w:hanging="284"/>
        <w:contextualSpacing w:val="0"/>
        <w:jc w:val="both"/>
        <w:rPr>
          <w:rFonts w:ascii="Verdana" w:hAnsi="Verdana" w:cs="Verdana"/>
          <w:sz w:val="16"/>
          <w:szCs w:val="16"/>
        </w:rPr>
      </w:pPr>
      <w:r w:rsidRPr="00D162B5">
        <w:rPr>
          <w:rFonts w:ascii="Verdana" w:hAnsi="Verdana" w:cs="Verdana"/>
          <w:sz w:val="16"/>
          <w:szCs w:val="16"/>
        </w:rPr>
        <w:t xml:space="preserve">"Zakup 12 autobusów niskoemisyjnych dla m.st. Warszawy" - pożyczka w kwocie 24.960.000 zł </w:t>
      </w:r>
      <w:r>
        <w:rPr>
          <w:rFonts w:ascii="Verdana" w:hAnsi="Verdana" w:cs="Verdana"/>
          <w:sz w:val="16"/>
          <w:szCs w:val="16"/>
        </w:rPr>
        <w:br/>
      </w:r>
      <w:r w:rsidRPr="00D162B5">
        <w:rPr>
          <w:rFonts w:ascii="Verdana" w:hAnsi="Verdana" w:cs="Verdana"/>
          <w:sz w:val="16"/>
          <w:szCs w:val="16"/>
        </w:rPr>
        <w:t>w latach 2024-2025 z plan</w:t>
      </w:r>
      <w:r>
        <w:rPr>
          <w:rFonts w:ascii="Verdana" w:hAnsi="Verdana" w:cs="Verdana"/>
          <w:sz w:val="16"/>
          <w:szCs w:val="16"/>
        </w:rPr>
        <w:t>owaną spłatą w latach 2026-2036;</w:t>
      </w:r>
    </w:p>
    <w:p w:rsidR="008A572A" w:rsidRPr="00770C9D" w:rsidRDefault="008A572A" w:rsidP="008A572A">
      <w:pPr>
        <w:pStyle w:val="Akapitzlist"/>
        <w:numPr>
          <w:ilvl w:val="0"/>
          <w:numId w:val="72"/>
        </w:numPr>
        <w:autoSpaceDE w:val="0"/>
        <w:autoSpaceDN w:val="0"/>
        <w:adjustRightInd w:val="0"/>
        <w:spacing w:before="60" w:after="60"/>
        <w:ind w:left="426" w:hanging="284"/>
        <w:jc w:val="both"/>
        <w:rPr>
          <w:rFonts w:ascii="Verdana" w:hAnsi="Verdana" w:cs="Verdana"/>
          <w:sz w:val="16"/>
          <w:szCs w:val="16"/>
        </w:rPr>
      </w:pPr>
      <w:r w:rsidRPr="00770C9D">
        <w:rPr>
          <w:rFonts w:ascii="Verdana" w:hAnsi="Verdana" w:cs="Verdana"/>
          <w:sz w:val="16"/>
          <w:szCs w:val="16"/>
        </w:rPr>
        <w:t xml:space="preserve">z </w:t>
      </w:r>
      <w:r w:rsidRPr="00734207">
        <w:rPr>
          <w:rFonts w:ascii="Verdana" w:hAnsi="Verdana" w:cs="Verdana"/>
          <w:sz w:val="16"/>
          <w:szCs w:val="16"/>
        </w:rPr>
        <w:t>Mazowieckiego Regionalnego Funduszu Pożyczkowego</w:t>
      </w:r>
      <w:r w:rsidRPr="00770C9D">
        <w:rPr>
          <w:rFonts w:ascii="Verdana" w:hAnsi="Verdana" w:cs="Verdana"/>
          <w:sz w:val="16"/>
          <w:szCs w:val="16"/>
        </w:rPr>
        <w:t xml:space="preserve"> </w:t>
      </w:r>
      <w:r>
        <w:rPr>
          <w:rFonts w:ascii="Verdana" w:hAnsi="Verdana" w:cs="Verdana"/>
          <w:sz w:val="16"/>
          <w:szCs w:val="16"/>
        </w:rPr>
        <w:t>w Warszawie do zadania</w:t>
      </w:r>
      <w:r w:rsidRPr="00770C9D">
        <w:rPr>
          <w:rFonts w:ascii="Verdana" w:hAnsi="Verdana" w:cs="Verdana"/>
          <w:sz w:val="16"/>
          <w:szCs w:val="16"/>
        </w:rPr>
        <w:t>:</w:t>
      </w:r>
    </w:p>
    <w:p w:rsidR="008A572A" w:rsidRDefault="008A572A" w:rsidP="008A572A">
      <w:pPr>
        <w:pStyle w:val="Akapitzlist"/>
        <w:numPr>
          <w:ilvl w:val="0"/>
          <w:numId w:val="74"/>
        </w:numPr>
        <w:autoSpaceDE w:val="0"/>
        <w:autoSpaceDN w:val="0"/>
        <w:adjustRightInd w:val="0"/>
        <w:spacing w:before="60" w:after="60"/>
        <w:ind w:left="851" w:hanging="284"/>
        <w:jc w:val="both"/>
        <w:rPr>
          <w:rFonts w:ascii="Verdana" w:hAnsi="Verdana" w:cs="Verdana"/>
          <w:sz w:val="16"/>
          <w:szCs w:val="16"/>
        </w:rPr>
      </w:pPr>
      <w:r w:rsidRPr="00734207">
        <w:rPr>
          <w:rFonts w:ascii="Verdana" w:hAnsi="Verdana" w:cs="Verdana"/>
          <w:sz w:val="16"/>
          <w:szCs w:val="16"/>
        </w:rPr>
        <w:t>„Pożyczka Energetyczna”</w:t>
      </w:r>
      <w:r w:rsidRPr="00752505">
        <w:rPr>
          <w:rFonts w:ascii="Verdana" w:hAnsi="Verdana" w:cs="Verdana"/>
          <w:sz w:val="16"/>
          <w:szCs w:val="16"/>
        </w:rPr>
        <w:t xml:space="preserve"> - pożyczka w kwocie </w:t>
      </w:r>
      <w:r>
        <w:rPr>
          <w:rFonts w:ascii="Verdana" w:hAnsi="Verdana" w:cs="Verdana"/>
          <w:sz w:val="16"/>
          <w:szCs w:val="16"/>
        </w:rPr>
        <w:t>10.000</w:t>
      </w:r>
      <w:r w:rsidRPr="00752505">
        <w:rPr>
          <w:rFonts w:ascii="Verdana" w:hAnsi="Verdana" w:cs="Verdana"/>
          <w:sz w:val="16"/>
          <w:szCs w:val="16"/>
        </w:rPr>
        <w:t xml:space="preserve">.000 zł w </w:t>
      </w:r>
      <w:r>
        <w:rPr>
          <w:rFonts w:ascii="Verdana" w:hAnsi="Verdana" w:cs="Verdana"/>
          <w:sz w:val="16"/>
          <w:szCs w:val="16"/>
        </w:rPr>
        <w:t>2021 r.</w:t>
      </w:r>
      <w:r w:rsidRPr="00752505">
        <w:rPr>
          <w:rFonts w:ascii="Verdana" w:hAnsi="Verdana" w:cs="Verdana"/>
          <w:sz w:val="16"/>
          <w:szCs w:val="16"/>
        </w:rPr>
        <w:t xml:space="preserve"> z planowaną spłatą w latach 202</w:t>
      </w:r>
      <w:r>
        <w:rPr>
          <w:rFonts w:ascii="Verdana" w:hAnsi="Verdana" w:cs="Verdana"/>
          <w:sz w:val="16"/>
          <w:szCs w:val="16"/>
        </w:rPr>
        <w:t>3</w:t>
      </w:r>
      <w:r w:rsidRPr="00752505">
        <w:rPr>
          <w:rFonts w:ascii="Verdana" w:hAnsi="Verdana" w:cs="Verdana"/>
          <w:sz w:val="16"/>
          <w:szCs w:val="16"/>
        </w:rPr>
        <w:t>-20</w:t>
      </w:r>
      <w:r>
        <w:rPr>
          <w:rFonts w:ascii="Verdana" w:hAnsi="Verdana" w:cs="Verdana"/>
          <w:sz w:val="16"/>
          <w:szCs w:val="16"/>
        </w:rPr>
        <w:t>41;</w:t>
      </w:r>
    </w:p>
    <w:p w:rsidR="008A572A" w:rsidRPr="00770C9D" w:rsidRDefault="008A572A" w:rsidP="008A572A">
      <w:pPr>
        <w:pStyle w:val="Akapitzlist"/>
        <w:numPr>
          <w:ilvl w:val="0"/>
          <w:numId w:val="72"/>
        </w:numPr>
        <w:autoSpaceDE w:val="0"/>
        <w:autoSpaceDN w:val="0"/>
        <w:adjustRightInd w:val="0"/>
        <w:spacing w:before="60" w:after="60"/>
        <w:ind w:left="426" w:hanging="284"/>
        <w:jc w:val="both"/>
        <w:rPr>
          <w:rFonts w:ascii="Verdana" w:hAnsi="Verdana" w:cs="Verdana"/>
          <w:sz w:val="16"/>
          <w:szCs w:val="16"/>
        </w:rPr>
      </w:pPr>
      <w:r w:rsidRPr="00770C9D">
        <w:rPr>
          <w:rFonts w:ascii="Verdana" w:hAnsi="Verdana" w:cs="Verdana"/>
          <w:sz w:val="16"/>
          <w:szCs w:val="16"/>
        </w:rPr>
        <w:t xml:space="preserve">z </w:t>
      </w:r>
      <w:r>
        <w:rPr>
          <w:rFonts w:ascii="Verdana" w:hAnsi="Verdana" w:cs="Verdana"/>
          <w:sz w:val="16"/>
          <w:szCs w:val="16"/>
        </w:rPr>
        <w:t>Wojewódzkiego</w:t>
      </w:r>
      <w:r w:rsidRPr="00770C9D">
        <w:rPr>
          <w:rFonts w:ascii="Verdana" w:hAnsi="Verdana" w:cs="Verdana"/>
          <w:sz w:val="16"/>
          <w:szCs w:val="16"/>
        </w:rPr>
        <w:t xml:space="preserve"> Funduszu Ochrony Środowiska i Gospodarki Wodnej </w:t>
      </w:r>
      <w:r>
        <w:rPr>
          <w:rFonts w:ascii="Verdana" w:hAnsi="Verdana" w:cs="Verdana"/>
          <w:sz w:val="16"/>
          <w:szCs w:val="16"/>
        </w:rPr>
        <w:t>w Warszawie do zadania</w:t>
      </w:r>
      <w:r w:rsidRPr="00770C9D">
        <w:rPr>
          <w:rFonts w:ascii="Verdana" w:hAnsi="Verdana" w:cs="Verdana"/>
          <w:sz w:val="16"/>
          <w:szCs w:val="16"/>
        </w:rPr>
        <w:t>:</w:t>
      </w:r>
    </w:p>
    <w:p w:rsidR="008A572A" w:rsidRPr="00752505" w:rsidRDefault="008A572A" w:rsidP="008A572A">
      <w:pPr>
        <w:pStyle w:val="Akapitzlist"/>
        <w:numPr>
          <w:ilvl w:val="0"/>
          <w:numId w:val="74"/>
        </w:numPr>
        <w:autoSpaceDE w:val="0"/>
        <w:autoSpaceDN w:val="0"/>
        <w:adjustRightInd w:val="0"/>
        <w:spacing w:before="60" w:after="60"/>
        <w:ind w:left="851" w:hanging="284"/>
        <w:jc w:val="both"/>
        <w:rPr>
          <w:rFonts w:ascii="Verdana" w:hAnsi="Verdana" w:cs="Verdana"/>
          <w:sz w:val="16"/>
          <w:szCs w:val="16"/>
        </w:rPr>
      </w:pPr>
      <w:r w:rsidRPr="00752505">
        <w:rPr>
          <w:rFonts w:ascii="Verdana" w:hAnsi="Verdana" w:cs="Verdana"/>
          <w:sz w:val="16"/>
          <w:szCs w:val="16"/>
        </w:rPr>
        <w:t>modernizacja Węzła Komunikacyjnego Młociny w ramach Programu pn. "Zadania z zakresu ochrony powietrza" - pożyczka w kwocie 8.205.000 zł w latach 2023-2025 z planowaną spłatą w latach 2025-2039.</w:t>
      </w:r>
    </w:p>
    <w:p w:rsidR="008A572A" w:rsidRPr="000A6485" w:rsidRDefault="008A572A" w:rsidP="008A572A">
      <w:pPr>
        <w:spacing w:before="240" w:after="60"/>
        <w:jc w:val="both"/>
        <w:rPr>
          <w:rFonts w:ascii="Verdana" w:hAnsi="Verdana"/>
          <w:bCs/>
          <w:sz w:val="16"/>
          <w:szCs w:val="16"/>
        </w:rPr>
      </w:pPr>
      <w:r w:rsidRPr="000A6485">
        <w:rPr>
          <w:rFonts w:ascii="Verdana" w:hAnsi="Verdana"/>
          <w:b/>
          <w:bCs/>
          <w:sz w:val="16"/>
          <w:szCs w:val="16"/>
        </w:rPr>
        <w:t>SEKCJA 6</w:t>
      </w:r>
      <w:r w:rsidRPr="000A6485">
        <w:rPr>
          <w:rFonts w:ascii="Verdana" w:hAnsi="Verdana"/>
          <w:sz w:val="16"/>
          <w:szCs w:val="16"/>
        </w:rPr>
        <w:t xml:space="preserve"> – prognoza </w:t>
      </w:r>
      <w:r w:rsidRPr="000A6485">
        <w:rPr>
          <w:rFonts w:ascii="Verdana" w:hAnsi="Verdana"/>
          <w:b/>
          <w:sz w:val="16"/>
          <w:szCs w:val="16"/>
        </w:rPr>
        <w:t>kwoty długu</w:t>
      </w:r>
      <w:r w:rsidRPr="000A6485">
        <w:rPr>
          <w:rFonts w:ascii="Verdana" w:hAnsi="Verdana"/>
          <w:sz w:val="16"/>
          <w:szCs w:val="16"/>
        </w:rPr>
        <w:t xml:space="preserve"> wg stanu na 31 XII, z wyszczególnieniem kwoty długu, którego planowana spłata dokona się z wydatków</w:t>
      </w:r>
    </w:p>
    <w:p w:rsidR="008A572A" w:rsidRPr="000A6485" w:rsidRDefault="008A572A" w:rsidP="008A572A">
      <w:pPr>
        <w:spacing w:before="240" w:after="60"/>
        <w:jc w:val="both"/>
        <w:rPr>
          <w:rFonts w:ascii="Verdana" w:hAnsi="Verdana"/>
          <w:b/>
          <w:bCs/>
          <w:sz w:val="16"/>
          <w:szCs w:val="16"/>
        </w:rPr>
      </w:pPr>
      <w:r w:rsidRPr="000A6485">
        <w:rPr>
          <w:rFonts w:ascii="Verdana" w:hAnsi="Verdana"/>
          <w:b/>
          <w:bCs/>
          <w:sz w:val="16"/>
          <w:szCs w:val="16"/>
        </w:rPr>
        <w:t>SEKCJA 7</w:t>
      </w:r>
      <w:r w:rsidRPr="000A6485">
        <w:rPr>
          <w:rFonts w:ascii="Verdana" w:hAnsi="Verdana"/>
          <w:sz w:val="16"/>
          <w:szCs w:val="16"/>
        </w:rPr>
        <w:t xml:space="preserve"> – reguła wydatkowa w zakresie </w:t>
      </w:r>
      <w:r w:rsidRPr="000A6485">
        <w:rPr>
          <w:rFonts w:ascii="Verdana" w:hAnsi="Verdana"/>
          <w:b/>
          <w:sz w:val="16"/>
          <w:szCs w:val="16"/>
        </w:rPr>
        <w:t>wydatków bieżących</w:t>
      </w:r>
      <w:r w:rsidRPr="000A6485">
        <w:rPr>
          <w:rFonts w:ascii="Verdana" w:hAnsi="Verdana"/>
          <w:sz w:val="16"/>
          <w:szCs w:val="16"/>
        </w:rPr>
        <w:t xml:space="preserve">, o której mowa w art. 242 ustawy </w:t>
      </w:r>
      <w:r w:rsidRPr="000A6485">
        <w:rPr>
          <w:rFonts w:ascii="Verdana" w:hAnsi="Verdana"/>
          <w:sz w:val="16"/>
          <w:szCs w:val="16"/>
        </w:rPr>
        <w:br/>
        <w:t>o finansach publicznych</w:t>
      </w:r>
    </w:p>
    <w:p w:rsidR="008A572A" w:rsidRPr="000A6485" w:rsidRDefault="008A572A" w:rsidP="008A572A">
      <w:pPr>
        <w:spacing w:before="60" w:after="60"/>
        <w:jc w:val="both"/>
        <w:rPr>
          <w:rFonts w:ascii="Verdana" w:hAnsi="Verdana"/>
          <w:bCs/>
          <w:sz w:val="16"/>
          <w:szCs w:val="16"/>
        </w:rPr>
      </w:pPr>
      <w:r w:rsidRPr="000A6485">
        <w:rPr>
          <w:rFonts w:ascii="Verdana" w:hAnsi="Verdana"/>
          <w:bCs/>
          <w:sz w:val="16"/>
          <w:szCs w:val="16"/>
        </w:rPr>
        <w:t xml:space="preserve">W całym okresie objętym </w:t>
      </w:r>
      <w:r>
        <w:rPr>
          <w:rFonts w:ascii="Verdana" w:hAnsi="Verdana"/>
          <w:bCs/>
          <w:sz w:val="16"/>
          <w:szCs w:val="16"/>
        </w:rPr>
        <w:t xml:space="preserve">WPF </w:t>
      </w:r>
      <w:r w:rsidRPr="00932633">
        <w:rPr>
          <w:rFonts w:ascii="Verdana" w:eastAsiaTheme="minorEastAsia" w:hAnsi="Verdana" w:cs="Verdana"/>
          <w:color w:val="000000"/>
          <w:sz w:val="16"/>
          <w:szCs w:val="16"/>
        </w:rPr>
        <w:t>2023</w:t>
      </w:r>
      <w:r>
        <w:rPr>
          <w:rFonts w:ascii="Verdana" w:hAnsi="Verdana"/>
          <w:bCs/>
          <w:sz w:val="16"/>
          <w:szCs w:val="16"/>
        </w:rPr>
        <w:t>-2050</w:t>
      </w:r>
      <w:r w:rsidRPr="000A6485">
        <w:rPr>
          <w:rFonts w:ascii="Verdana" w:hAnsi="Verdana"/>
          <w:bCs/>
          <w:sz w:val="16"/>
          <w:szCs w:val="16"/>
        </w:rPr>
        <w:t xml:space="preserve"> </w:t>
      </w:r>
      <w:r>
        <w:rPr>
          <w:rFonts w:ascii="Verdana" w:hAnsi="Verdana"/>
          <w:bCs/>
          <w:sz w:val="16"/>
          <w:szCs w:val="16"/>
        </w:rPr>
        <w:t>prognozuje</w:t>
      </w:r>
      <w:r w:rsidRPr="000A6485">
        <w:rPr>
          <w:rFonts w:ascii="Verdana" w:hAnsi="Verdana"/>
          <w:bCs/>
          <w:sz w:val="16"/>
          <w:szCs w:val="16"/>
        </w:rPr>
        <w:t xml:space="preserve"> się, że </w:t>
      </w:r>
      <w:r>
        <w:rPr>
          <w:rFonts w:ascii="Verdana" w:hAnsi="Verdana"/>
          <w:bCs/>
          <w:sz w:val="16"/>
          <w:szCs w:val="16"/>
        </w:rPr>
        <w:t>limit wydatków bieżących</w:t>
      </w:r>
      <w:r w:rsidRPr="000A6485">
        <w:rPr>
          <w:rFonts w:ascii="Verdana" w:hAnsi="Verdana"/>
          <w:bCs/>
          <w:sz w:val="16"/>
          <w:szCs w:val="16"/>
        </w:rPr>
        <w:t xml:space="preserve"> </w:t>
      </w:r>
      <w:r>
        <w:rPr>
          <w:rFonts w:ascii="Verdana" w:hAnsi="Verdana"/>
          <w:bCs/>
          <w:sz w:val="16"/>
          <w:szCs w:val="16"/>
        </w:rPr>
        <w:t>będzie wyższy od planowanych wydatków bieżących (zgodnie z obowiązującymi przepisami limit dla lat 2023-2025 liczony łącznie z uwzględnieniem 2022 r.)</w:t>
      </w:r>
      <w:r w:rsidRPr="000A6485">
        <w:rPr>
          <w:rFonts w:ascii="Verdana" w:hAnsi="Verdana"/>
          <w:bCs/>
          <w:sz w:val="16"/>
          <w:szCs w:val="16"/>
        </w:rPr>
        <w:t>, co oznacza spełnienie przedmiotowej reguły ustawowej.</w:t>
      </w:r>
    </w:p>
    <w:p w:rsidR="008A572A" w:rsidRDefault="008A572A" w:rsidP="008A572A">
      <w:pPr>
        <w:spacing w:before="60" w:after="60"/>
        <w:jc w:val="both"/>
        <w:rPr>
          <w:rFonts w:ascii="Verdana" w:hAnsi="Verdana"/>
          <w:bCs/>
          <w:sz w:val="16"/>
          <w:szCs w:val="16"/>
        </w:rPr>
      </w:pPr>
      <w:r>
        <w:rPr>
          <w:rFonts w:ascii="Verdana" w:hAnsi="Verdana"/>
          <w:bCs/>
          <w:sz w:val="16"/>
          <w:szCs w:val="16"/>
        </w:rPr>
        <w:t>Tabela nr 5</w:t>
      </w:r>
      <w:r w:rsidRPr="000A6485">
        <w:rPr>
          <w:rFonts w:ascii="Verdana" w:hAnsi="Verdana"/>
          <w:bCs/>
          <w:sz w:val="16"/>
          <w:szCs w:val="16"/>
        </w:rPr>
        <w:t xml:space="preserve"> prezentuje kształtowanie się ustawowej reguły wydatkowej w zakresie wydatków bieżących </w:t>
      </w:r>
      <w:r w:rsidRPr="000A6485">
        <w:rPr>
          <w:rFonts w:ascii="Verdana" w:hAnsi="Verdana"/>
          <w:bCs/>
          <w:sz w:val="16"/>
          <w:szCs w:val="16"/>
        </w:rPr>
        <w:br/>
        <w:t xml:space="preserve">w perspektywie objętej </w:t>
      </w:r>
      <w:r>
        <w:rPr>
          <w:rFonts w:ascii="Verdana" w:hAnsi="Verdana"/>
          <w:bCs/>
          <w:sz w:val="16"/>
          <w:szCs w:val="16"/>
        </w:rPr>
        <w:t xml:space="preserve">WPF </w:t>
      </w:r>
      <w:r w:rsidRPr="00932633">
        <w:rPr>
          <w:rFonts w:ascii="Verdana" w:eastAsiaTheme="minorEastAsia" w:hAnsi="Verdana" w:cs="Verdana"/>
          <w:color w:val="000000"/>
          <w:sz w:val="16"/>
          <w:szCs w:val="16"/>
        </w:rPr>
        <w:t>2023</w:t>
      </w:r>
      <w:r w:rsidRPr="000A6485">
        <w:rPr>
          <w:rFonts w:ascii="Verdana" w:hAnsi="Verdana"/>
          <w:bCs/>
          <w:sz w:val="16"/>
          <w:szCs w:val="16"/>
        </w:rPr>
        <w:t>-2050.</w:t>
      </w:r>
      <w:r>
        <w:rPr>
          <w:rFonts w:ascii="Verdana" w:hAnsi="Verdana"/>
          <w:bCs/>
          <w:sz w:val="16"/>
          <w:szCs w:val="16"/>
        </w:rPr>
        <w:br w:type="page"/>
      </w:r>
    </w:p>
    <w:p w:rsidR="008A572A" w:rsidRPr="000A6485" w:rsidRDefault="008A572A" w:rsidP="008A572A">
      <w:pPr>
        <w:pStyle w:val="Legenda"/>
        <w:keepNext/>
        <w:spacing w:before="120" w:after="120"/>
        <w:ind w:left="567" w:hanging="567"/>
        <w:rPr>
          <w:rFonts w:ascii="Verdana" w:hAnsi="Verdana" w:cs="Arial"/>
          <w:b w:val="0"/>
          <w:sz w:val="14"/>
          <w:szCs w:val="14"/>
        </w:rPr>
      </w:pPr>
      <w:r w:rsidRPr="000A6485">
        <w:rPr>
          <w:rFonts w:ascii="Verdana" w:hAnsi="Verdana" w:cs="Arial"/>
          <w:sz w:val="14"/>
          <w:szCs w:val="14"/>
        </w:rPr>
        <w:lastRenderedPageBreak/>
        <w:t xml:space="preserve">TAB. </w:t>
      </w:r>
      <w:r w:rsidRPr="000A6485">
        <w:rPr>
          <w:rFonts w:ascii="Verdana" w:hAnsi="Verdana" w:cs="Arial"/>
          <w:sz w:val="14"/>
          <w:szCs w:val="14"/>
        </w:rPr>
        <w:fldChar w:fldCharType="begin"/>
      </w:r>
      <w:r w:rsidRPr="000A6485">
        <w:rPr>
          <w:rFonts w:ascii="Verdana" w:hAnsi="Verdana" w:cs="Arial"/>
          <w:sz w:val="14"/>
          <w:szCs w:val="14"/>
        </w:rPr>
        <w:instrText xml:space="preserve"> SEQ Tab. \* ARABIC </w:instrText>
      </w:r>
      <w:r w:rsidRPr="000A6485">
        <w:rPr>
          <w:rFonts w:ascii="Verdana" w:hAnsi="Verdana" w:cs="Arial"/>
          <w:sz w:val="14"/>
          <w:szCs w:val="14"/>
        </w:rPr>
        <w:fldChar w:fldCharType="separate"/>
      </w:r>
      <w:r w:rsidR="00DB2126">
        <w:rPr>
          <w:rFonts w:ascii="Verdana" w:hAnsi="Verdana" w:cs="Arial"/>
          <w:noProof/>
          <w:sz w:val="14"/>
          <w:szCs w:val="14"/>
        </w:rPr>
        <w:t>5</w:t>
      </w:r>
      <w:r w:rsidRPr="000A6485">
        <w:rPr>
          <w:rFonts w:ascii="Verdana" w:hAnsi="Verdana" w:cs="Arial"/>
          <w:sz w:val="14"/>
          <w:szCs w:val="14"/>
        </w:rPr>
        <w:fldChar w:fldCharType="end"/>
      </w:r>
      <w:r w:rsidRPr="000A6485">
        <w:rPr>
          <w:rFonts w:ascii="Verdana" w:hAnsi="Verdana" w:cs="Arial"/>
          <w:sz w:val="14"/>
          <w:szCs w:val="14"/>
        </w:rPr>
        <w:t xml:space="preserve">. PROGNOZA REGUŁY DOPUSZCZALNEGO POZIOMU WYDATKÓW BIEŻĄCYCH W M.ST. WARSZAWA   </w:t>
      </w:r>
      <w:r w:rsidRPr="000A6485">
        <w:rPr>
          <w:rFonts w:ascii="Verdana" w:hAnsi="Verdana" w:cs="Arial"/>
          <w:sz w:val="14"/>
          <w:szCs w:val="14"/>
        </w:rPr>
        <w:br/>
        <w:t xml:space="preserve"> NA LATA </w:t>
      </w:r>
      <w:r w:rsidRPr="00932633">
        <w:rPr>
          <w:rFonts w:ascii="Verdana" w:hAnsi="Verdana" w:cs="Arial"/>
          <w:sz w:val="14"/>
          <w:szCs w:val="14"/>
        </w:rPr>
        <w:t>2023</w:t>
      </w:r>
      <w:r w:rsidRPr="000A6485">
        <w:rPr>
          <w:rFonts w:ascii="Verdana" w:hAnsi="Verdana" w:cs="Arial"/>
          <w:sz w:val="14"/>
          <w:szCs w:val="14"/>
        </w:rPr>
        <w:t xml:space="preserve">-2050 </w:t>
      </w:r>
      <w:r>
        <w:rPr>
          <w:rFonts w:ascii="Verdana" w:hAnsi="Verdana" w:cs="Arial"/>
          <w:b w:val="0"/>
          <w:bCs w:val="0"/>
          <w:sz w:val="14"/>
          <w:szCs w:val="14"/>
        </w:rPr>
        <w:t xml:space="preserve">[w </w:t>
      </w:r>
      <w:r w:rsidRPr="000A6485">
        <w:rPr>
          <w:rFonts w:ascii="Verdana" w:hAnsi="Verdana" w:cs="Arial"/>
          <w:b w:val="0"/>
          <w:bCs w:val="0"/>
          <w:sz w:val="14"/>
          <w:szCs w:val="14"/>
        </w:rPr>
        <w:t>mln zł]</w:t>
      </w:r>
    </w:p>
    <w:p w:rsidR="008A572A" w:rsidRPr="000A6485" w:rsidRDefault="008A572A" w:rsidP="008A572A">
      <w:pPr>
        <w:spacing w:before="120" w:after="120"/>
        <w:rPr>
          <w:noProof/>
        </w:rPr>
      </w:pPr>
      <w:r>
        <w:rPr>
          <w:noProof/>
        </w:rPr>
        <w:drawing>
          <wp:inline distT="0" distB="0" distL="0" distR="0">
            <wp:extent cx="5772785" cy="210185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72785" cy="2101850"/>
                    </a:xfrm>
                    <a:prstGeom prst="rect">
                      <a:avLst/>
                    </a:prstGeom>
                    <a:noFill/>
                    <a:ln>
                      <a:noFill/>
                    </a:ln>
                  </pic:spPr>
                </pic:pic>
              </a:graphicData>
            </a:graphic>
          </wp:inline>
        </w:drawing>
      </w:r>
    </w:p>
    <w:p w:rsidR="008A572A" w:rsidRDefault="008A572A" w:rsidP="008A572A">
      <w:pPr>
        <w:spacing w:before="120" w:after="120"/>
        <w:jc w:val="both"/>
        <w:rPr>
          <w:rFonts w:ascii="Verdana" w:hAnsi="Verdana"/>
          <w:b/>
          <w:bCs/>
          <w:sz w:val="16"/>
          <w:szCs w:val="16"/>
        </w:rPr>
      </w:pPr>
      <w:r w:rsidRPr="004F7532">
        <w:rPr>
          <w:rFonts w:ascii="Verdana" w:hAnsi="Verdana"/>
          <w:sz w:val="16"/>
          <w:szCs w:val="16"/>
        </w:rPr>
        <w:t>Zgodnie z art. 9 ust. 2 ustawy z 14</w:t>
      </w:r>
      <w:r>
        <w:rPr>
          <w:rFonts w:ascii="Verdana" w:hAnsi="Verdana"/>
          <w:sz w:val="16"/>
          <w:szCs w:val="16"/>
        </w:rPr>
        <w:t xml:space="preserve"> października </w:t>
      </w:r>
      <w:r w:rsidRPr="004F7532">
        <w:rPr>
          <w:rFonts w:ascii="Verdana" w:hAnsi="Verdana"/>
          <w:sz w:val="16"/>
          <w:szCs w:val="16"/>
        </w:rPr>
        <w:t xml:space="preserve">2021 r. </w:t>
      </w:r>
      <w:r w:rsidRPr="004F7532">
        <w:rPr>
          <w:rFonts w:ascii="Verdana" w:hAnsi="Verdana"/>
          <w:i/>
          <w:sz w:val="16"/>
          <w:szCs w:val="16"/>
        </w:rPr>
        <w:t>o zmianie ustawy o dochodach jednostek samorządu terytorialnego oraz niektórych innych ustaw</w:t>
      </w:r>
      <w:r w:rsidRPr="004F7532">
        <w:rPr>
          <w:rFonts w:ascii="Verdana" w:hAnsi="Verdana"/>
          <w:sz w:val="16"/>
          <w:szCs w:val="16"/>
        </w:rPr>
        <w:t xml:space="preserve"> (Dz.U. poz. 1927 i 2427) "W latach 2022–2025 jednostka samorządu terytorialnego może w danym roku budżetowym przekroczyć relację, o której mowa w art. 242 ust. 1 i 2 ustawy z dnia 27 sierpnia 2009 r. o finansach publicznych, pod warunkiem że w latach 2022–2025 suma przekroczeń tej relacji w poszczególnych latach nie będzie wyższa od sumy nadwyżek wynikających z tej relacji w poszczególnych latach.”</w:t>
      </w:r>
      <w:r>
        <w:rPr>
          <w:rFonts w:ascii="Verdana" w:hAnsi="Verdana"/>
          <w:sz w:val="16"/>
          <w:szCs w:val="16"/>
        </w:rPr>
        <w:t xml:space="preserve"> </w:t>
      </w:r>
      <w:r w:rsidRPr="000A6485">
        <w:rPr>
          <w:rFonts w:ascii="Verdana" w:hAnsi="Verdana"/>
          <w:sz w:val="16"/>
          <w:szCs w:val="16"/>
        </w:rPr>
        <w:t xml:space="preserve">Kwoty różnic stanowią </w:t>
      </w:r>
      <w:r>
        <w:rPr>
          <w:rFonts w:ascii="Verdana" w:hAnsi="Verdana"/>
          <w:sz w:val="16"/>
          <w:szCs w:val="16"/>
        </w:rPr>
        <w:t>różnice między dochodami bieżącymi</w:t>
      </w:r>
      <w:r w:rsidRPr="000A6485">
        <w:rPr>
          <w:rFonts w:ascii="Verdana" w:hAnsi="Verdana"/>
          <w:sz w:val="16"/>
          <w:szCs w:val="16"/>
        </w:rPr>
        <w:t xml:space="preserve"> </w:t>
      </w:r>
      <w:r>
        <w:rPr>
          <w:rFonts w:ascii="Verdana" w:hAnsi="Verdana"/>
          <w:sz w:val="16"/>
          <w:szCs w:val="16"/>
        </w:rPr>
        <w:t>a</w:t>
      </w:r>
      <w:r w:rsidRPr="000A6485">
        <w:rPr>
          <w:rFonts w:ascii="Verdana" w:hAnsi="Verdana"/>
          <w:sz w:val="16"/>
          <w:szCs w:val="16"/>
        </w:rPr>
        <w:t xml:space="preserve"> wydatkami bieżącymi</w:t>
      </w:r>
      <w:r>
        <w:rPr>
          <w:rFonts w:ascii="Verdana" w:hAnsi="Verdana"/>
          <w:sz w:val="16"/>
          <w:szCs w:val="16"/>
        </w:rPr>
        <w:t>,</w:t>
      </w:r>
      <w:r w:rsidRPr="005824C4">
        <w:rPr>
          <w:rFonts w:ascii="Verdana" w:hAnsi="Verdana"/>
          <w:sz w:val="16"/>
          <w:szCs w:val="16"/>
        </w:rPr>
        <w:t xml:space="preserve"> </w:t>
      </w:r>
      <w:r w:rsidRPr="000A6485">
        <w:rPr>
          <w:rFonts w:ascii="Verdana" w:hAnsi="Verdana"/>
          <w:sz w:val="16"/>
          <w:szCs w:val="16"/>
        </w:rPr>
        <w:t>pow</w:t>
      </w:r>
      <w:r>
        <w:rPr>
          <w:rFonts w:ascii="Verdana" w:hAnsi="Verdana"/>
          <w:sz w:val="16"/>
          <w:szCs w:val="16"/>
        </w:rPr>
        <w:t>iększone</w:t>
      </w:r>
      <w:r w:rsidRPr="000A6485">
        <w:rPr>
          <w:rFonts w:ascii="Verdana" w:hAnsi="Verdana"/>
          <w:sz w:val="16"/>
          <w:szCs w:val="16"/>
        </w:rPr>
        <w:t xml:space="preserve"> </w:t>
      </w:r>
      <w:r>
        <w:rPr>
          <w:rFonts w:ascii="Verdana" w:hAnsi="Verdana"/>
          <w:sz w:val="16"/>
          <w:szCs w:val="16"/>
        </w:rPr>
        <w:br/>
        <w:t xml:space="preserve">w </w:t>
      </w:r>
      <w:r>
        <w:rPr>
          <w:rFonts w:ascii="Verdana" w:hAnsi="Verdana"/>
          <w:bCs/>
          <w:sz w:val="16"/>
          <w:szCs w:val="16"/>
        </w:rPr>
        <w:t xml:space="preserve">latach 2022-2023 odpowiednio </w:t>
      </w:r>
      <w:r>
        <w:rPr>
          <w:rFonts w:ascii="Verdana" w:hAnsi="Verdana"/>
          <w:sz w:val="16"/>
          <w:szCs w:val="16"/>
        </w:rPr>
        <w:t xml:space="preserve">o nadwyżkę budżetową z lat ubiegłych i tzw. </w:t>
      </w:r>
      <w:r w:rsidRPr="000A6485">
        <w:rPr>
          <w:rFonts w:ascii="Verdana" w:hAnsi="Verdana"/>
          <w:sz w:val="16"/>
          <w:szCs w:val="16"/>
        </w:rPr>
        <w:t>wolne środki</w:t>
      </w:r>
      <w:r>
        <w:rPr>
          <w:rFonts w:ascii="Verdana" w:hAnsi="Verdana"/>
          <w:sz w:val="16"/>
          <w:szCs w:val="16"/>
        </w:rPr>
        <w:t xml:space="preserve"> oraz przelewy </w:t>
      </w:r>
      <w:r>
        <w:rPr>
          <w:rFonts w:ascii="Verdana" w:hAnsi="Verdana"/>
          <w:sz w:val="16"/>
          <w:szCs w:val="16"/>
        </w:rPr>
        <w:br/>
        <w:t>z rachunków lokat</w:t>
      </w:r>
      <w:r w:rsidRPr="000A6485">
        <w:rPr>
          <w:rFonts w:ascii="Verdana" w:hAnsi="Verdana"/>
          <w:sz w:val="16"/>
          <w:szCs w:val="16"/>
        </w:rPr>
        <w:t xml:space="preserve"> </w:t>
      </w:r>
      <w:r>
        <w:rPr>
          <w:rFonts w:ascii="Verdana" w:hAnsi="Verdana"/>
          <w:sz w:val="16"/>
          <w:szCs w:val="16"/>
        </w:rPr>
        <w:t>(poz. 4.2 i 4.3</w:t>
      </w:r>
      <w:r w:rsidRPr="000A6485">
        <w:rPr>
          <w:rFonts w:ascii="Verdana" w:hAnsi="Verdana"/>
          <w:sz w:val="16"/>
          <w:szCs w:val="16"/>
        </w:rPr>
        <w:t xml:space="preserve"> wzoru WPF – załącznik nr 1).</w:t>
      </w:r>
    </w:p>
    <w:p w:rsidR="008A572A" w:rsidRPr="000A6485" w:rsidRDefault="008A572A" w:rsidP="008A572A">
      <w:pPr>
        <w:spacing w:before="240" w:after="120"/>
        <w:jc w:val="both"/>
        <w:rPr>
          <w:rFonts w:ascii="Verdana" w:hAnsi="Verdana"/>
          <w:sz w:val="16"/>
          <w:szCs w:val="16"/>
        </w:rPr>
      </w:pPr>
      <w:r w:rsidRPr="000A6485">
        <w:rPr>
          <w:rFonts w:ascii="Verdana" w:hAnsi="Verdana"/>
          <w:b/>
          <w:bCs/>
          <w:sz w:val="16"/>
          <w:szCs w:val="16"/>
        </w:rPr>
        <w:t>SEKCJA 8</w:t>
      </w:r>
      <w:r w:rsidRPr="000A6485">
        <w:rPr>
          <w:rFonts w:ascii="Verdana" w:hAnsi="Verdana"/>
          <w:sz w:val="16"/>
          <w:szCs w:val="16"/>
        </w:rPr>
        <w:t xml:space="preserve"> – ustawowe </w:t>
      </w:r>
      <w:r w:rsidRPr="000A6485">
        <w:rPr>
          <w:rFonts w:ascii="Verdana" w:hAnsi="Verdana"/>
          <w:b/>
          <w:sz w:val="16"/>
          <w:szCs w:val="16"/>
        </w:rPr>
        <w:t>wskaźniki spłaty zobowiązań</w:t>
      </w:r>
    </w:p>
    <w:p w:rsidR="008A572A" w:rsidRPr="000A6485" w:rsidRDefault="008A572A" w:rsidP="008A572A">
      <w:pPr>
        <w:pStyle w:val="Akapitzlist"/>
        <w:numPr>
          <w:ilvl w:val="0"/>
          <w:numId w:val="14"/>
        </w:numPr>
        <w:spacing w:before="60" w:after="60"/>
        <w:ind w:left="567" w:hanging="283"/>
        <w:contextualSpacing w:val="0"/>
        <w:jc w:val="both"/>
        <w:rPr>
          <w:rFonts w:ascii="Verdana" w:hAnsi="Verdana"/>
          <w:sz w:val="16"/>
          <w:szCs w:val="16"/>
        </w:rPr>
      </w:pPr>
      <w:r w:rsidRPr="000A6485">
        <w:rPr>
          <w:rFonts w:ascii="Verdana" w:hAnsi="Verdana"/>
          <w:sz w:val="16"/>
          <w:szCs w:val="16"/>
        </w:rPr>
        <w:t xml:space="preserve">ustawowy wskaźnik spłaty zobowiązań określony w art. 243 ust. 1 ustawy o finansach publicznych (lewa strona wzoru – pkt 4.1.2), po uwzględnieniu zobowiązań związku współtworzonego przez jednostkę samorządu terytorialnego oraz po uwzględnieniu wyłączeń, o których mowa w art. 243 ust. 3, 3a i 3b ustawy o finansach publicznych i w art. 121a ustawy z 27 sierpnia 2009 r. - Przepisy wprowadzające ustawę o finansach publicznych </w:t>
      </w:r>
      <w:r>
        <w:rPr>
          <w:rFonts w:ascii="Verdana" w:hAnsi="Verdana"/>
          <w:sz w:val="16"/>
          <w:szCs w:val="16"/>
        </w:rPr>
        <w:t xml:space="preserve">oraz w art. 15zob ustawy </w:t>
      </w:r>
      <w:r w:rsidRPr="003527FB">
        <w:rPr>
          <w:rFonts w:ascii="Verdana" w:hAnsi="Verdana"/>
          <w:sz w:val="16"/>
          <w:szCs w:val="16"/>
        </w:rPr>
        <w:t xml:space="preserve">z dnia 2 marca 2020 r. </w:t>
      </w:r>
      <w:r w:rsidRPr="003527FB">
        <w:rPr>
          <w:rFonts w:ascii="Verdana" w:hAnsi="Verdana"/>
          <w:i/>
          <w:sz w:val="16"/>
          <w:szCs w:val="16"/>
        </w:rPr>
        <w:t xml:space="preserve">o szczególnych rozwiązaniach związanych z zapobieganiem, przeciwdziałaniem i zwalczaniem COVID-19, innych chorób zakaźnych oraz wywołanych nimi sytuacji kryzysowych </w:t>
      </w:r>
      <w:r w:rsidRPr="003527FB">
        <w:rPr>
          <w:rFonts w:ascii="Verdana" w:hAnsi="Verdana"/>
          <w:sz w:val="16"/>
          <w:szCs w:val="16"/>
        </w:rPr>
        <w:t>(Dz.</w:t>
      </w:r>
      <w:r>
        <w:rPr>
          <w:rFonts w:ascii="Verdana" w:hAnsi="Verdana"/>
          <w:sz w:val="16"/>
          <w:szCs w:val="16"/>
        </w:rPr>
        <w:t xml:space="preserve"> </w:t>
      </w:r>
      <w:r w:rsidRPr="003527FB">
        <w:rPr>
          <w:rFonts w:ascii="Verdana" w:hAnsi="Verdana"/>
          <w:sz w:val="16"/>
          <w:szCs w:val="16"/>
        </w:rPr>
        <w:t>U. z 202</w:t>
      </w:r>
      <w:r>
        <w:rPr>
          <w:rFonts w:ascii="Verdana" w:hAnsi="Verdana"/>
          <w:sz w:val="16"/>
          <w:szCs w:val="16"/>
        </w:rPr>
        <w:t>1</w:t>
      </w:r>
      <w:r w:rsidRPr="003527FB">
        <w:rPr>
          <w:rFonts w:ascii="Verdana" w:hAnsi="Verdana"/>
          <w:sz w:val="16"/>
          <w:szCs w:val="16"/>
        </w:rPr>
        <w:t xml:space="preserve"> r. poz. </w:t>
      </w:r>
      <w:r>
        <w:rPr>
          <w:rFonts w:ascii="Verdana" w:hAnsi="Verdana"/>
          <w:sz w:val="16"/>
          <w:szCs w:val="16"/>
        </w:rPr>
        <w:t>2095, 2120, 2133, 2262, 2269 i 2317</w:t>
      </w:r>
      <w:r w:rsidRPr="003527FB">
        <w:rPr>
          <w:rFonts w:ascii="Verdana" w:hAnsi="Verdana"/>
          <w:sz w:val="16"/>
          <w:szCs w:val="16"/>
        </w:rPr>
        <w:t>)</w:t>
      </w:r>
      <w:r>
        <w:rPr>
          <w:rFonts w:ascii="Verdana" w:hAnsi="Verdana"/>
          <w:sz w:val="16"/>
          <w:szCs w:val="16"/>
        </w:rPr>
        <w:t xml:space="preserve"> i w </w:t>
      </w:r>
      <w:r w:rsidRPr="003527FB">
        <w:rPr>
          <w:rFonts w:ascii="Verdana" w:hAnsi="Verdana" w:cs="Arial"/>
          <w:sz w:val="16"/>
          <w:szCs w:val="16"/>
        </w:rPr>
        <w:t xml:space="preserve">art. 79 </w:t>
      </w:r>
      <w:r w:rsidRPr="003527FB">
        <w:rPr>
          <w:rFonts w:ascii="Verdana" w:hAnsi="Verdana"/>
          <w:sz w:val="16"/>
          <w:szCs w:val="16"/>
        </w:rPr>
        <w:t xml:space="preserve">ustawy z 19 listopada 2020 r. </w:t>
      </w:r>
      <w:r w:rsidRPr="003527FB">
        <w:rPr>
          <w:rFonts w:ascii="Verdana" w:hAnsi="Verdana"/>
          <w:i/>
          <w:sz w:val="16"/>
          <w:szCs w:val="16"/>
        </w:rPr>
        <w:t xml:space="preserve">o szczególnych rozwiązaniach służących realizacji ustawy budżetowej na rok 2021 </w:t>
      </w:r>
      <w:r w:rsidRPr="003527FB">
        <w:rPr>
          <w:rFonts w:ascii="Verdana" w:hAnsi="Verdana"/>
          <w:sz w:val="16"/>
          <w:szCs w:val="16"/>
        </w:rPr>
        <w:t>(Dz.</w:t>
      </w:r>
      <w:r>
        <w:rPr>
          <w:rFonts w:ascii="Verdana" w:hAnsi="Verdana"/>
          <w:sz w:val="16"/>
          <w:szCs w:val="16"/>
        </w:rPr>
        <w:t xml:space="preserve"> </w:t>
      </w:r>
      <w:r w:rsidRPr="003527FB">
        <w:rPr>
          <w:rFonts w:ascii="Verdana" w:hAnsi="Verdana"/>
          <w:sz w:val="16"/>
          <w:szCs w:val="16"/>
        </w:rPr>
        <w:t>U. z 2020 r. poz. 2400 i z 2021 r. poz. 1104</w:t>
      </w:r>
      <w:r>
        <w:rPr>
          <w:rFonts w:ascii="Verdana" w:hAnsi="Verdana"/>
          <w:sz w:val="16"/>
          <w:szCs w:val="16"/>
        </w:rPr>
        <w:t xml:space="preserve"> i 1901</w:t>
      </w:r>
      <w:r w:rsidRPr="003527FB">
        <w:rPr>
          <w:rFonts w:ascii="Verdana" w:hAnsi="Verdana"/>
          <w:sz w:val="16"/>
          <w:szCs w:val="16"/>
        </w:rPr>
        <w:t>)</w:t>
      </w:r>
      <w:r>
        <w:rPr>
          <w:rFonts w:ascii="Verdana" w:hAnsi="Verdana"/>
          <w:sz w:val="16"/>
          <w:szCs w:val="16"/>
        </w:rPr>
        <w:t xml:space="preserve"> oraz w </w:t>
      </w:r>
      <w:r>
        <w:rPr>
          <w:rFonts w:ascii="Verdana" w:hAnsi="Verdana" w:cs="Arial"/>
          <w:sz w:val="16"/>
          <w:szCs w:val="16"/>
        </w:rPr>
        <w:t>art. 35 ust. 1-2 ustawy</w:t>
      </w:r>
      <w:r w:rsidRPr="00006222">
        <w:rPr>
          <w:rFonts w:ascii="Verdana" w:hAnsi="Verdana" w:cs="Arial"/>
          <w:sz w:val="16"/>
          <w:szCs w:val="16"/>
        </w:rPr>
        <w:t xml:space="preserve"> z </w:t>
      </w:r>
      <w:r>
        <w:rPr>
          <w:rFonts w:ascii="Verdana" w:hAnsi="Verdana" w:cs="Arial"/>
          <w:sz w:val="16"/>
          <w:szCs w:val="16"/>
        </w:rPr>
        <w:t>9 czerwca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podatku dochodowym od osób fizycznych oraz niektórych innych ustaw</w:t>
      </w:r>
      <w:r w:rsidRPr="00E7313D">
        <w:rPr>
          <w:rFonts w:ascii="Verdana" w:hAnsi="Verdana" w:cs="Arial"/>
          <w:sz w:val="16"/>
          <w:szCs w:val="16"/>
        </w:rPr>
        <w:t xml:space="preserve"> </w:t>
      </w:r>
      <w:r>
        <w:rPr>
          <w:rFonts w:ascii="Verdana" w:hAnsi="Verdana" w:cs="Arial"/>
          <w:sz w:val="16"/>
          <w:szCs w:val="16"/>
        </w:rPr>
        <w:t>(Dz. U. poz. 1265, 1964 i 2180</w:t>
      </w:r>
      <w:r w:rsidRPr="00E7313D">
        <w:rPr>
          <w:rFonts w:ascii="Verdana" w:hAnsi="Verdana" w:cs="Arial"/>
          <w:sz w:val="16"/>
          <w:szCs w:val="16"/>
        </w:rPr>
        <w:t>)</w:t>
      </w:r>
    </w:p>
    <w:p w:rsidR="008A572A" w:rsidRPr="000A6485" w:rsidRDefault="008A572A" w:rsidP="008A572A">
      <w:pPr>
        <w:pStyle w:val="Akapitzlist"/>
        <w:numPr>
          <w:ilvl w:val="0"/>
          <w:numId w:val="14"/>
        </w:numPr>
        <w:spacing w:before="60" w:after="60"/>
        <w:ind w:left="567" w:hanging="283"/>
        <w:contextualSpacing w:val="0"/>
        <w:jc w:val="both"/>
        <w:rPr>
          <w:rFonts w:ascii="Verdana" w:hAnsi="Verdana"/>
          <w:sz w:val="16"/>
          <w:szCs w:val="16"/>
        </w:rPr>
      </w:pPr>
      <w:r w:rsidRPr="000A6485">
        <w:rPr>
          <w:rFonts w:ascii="Verdana" w:hAnsi="Verdana"/>
          <w:sz w:val="16"/>
          <w:szCs w:val="16"/>
        </w:rPr>
        <w:t>ustawowy dopuszczalny limit spłaty zobowiązań określony w art. 243 ust 1 ustawy o finansach publicznych (prawa strona wzoru – pkt 4.1.2), obliczony w oparciu o plan 3 kwartału roku poprzedzającego pierwszy rok prognozy oraz obliczony w oparciu o wykonanie roku poprzedzającego pierwszy rok prognozy</w:t>
      </w:r>
      <w:r>
        <w:rPr>
          <w:rFonts w:ascii="Verdana" w:hAnsi="Verdana"/>
          <w:sz w:val="16"/>
          <w:szCs w:val="16"/>
        </w:rPr>
        <w:t xml:space="preserve"> </w:t>
      </w:r>
      <w:r>
        <w:rPr>
          <w:rFonts w:ascii="Verdana" w:hAnsi="Verdana"/>
          <w:sz w:val="16"/>
          <w:szCs w:val="16"/>
        </w:rPr>
        <w:br/>
        <w:t xml:space="preserve">z uwzględnieniem wyłączeń, o których mowa w art. 15zob ustawy </w:t>
      </w:r>
      <w:r w:rsidRPr="003527FB">
        <w:rPr>
          <w:rFonts w:ascii="Verdana" w:hAnsi="Verdana"/>
          <w:sz w:val="16"/>
          <w:szCs w:val="16"/>
        </w:rPr>
        <w:t xml:space="preserve">z dnia 2 marca 2020 r. </w:t>
      </w:r>
      <w:r w:rsidRPr="003527FB">
        <w:rPr>
          <w:rFonts w:ascii="Verdana" w:hAnsi="Verdana"/>
          <w:i/>
          <w:sz w:val="16"/>
          <w:szCs w:val="16"/>
        </w:rPr>
        <w:t xml:space="preserve">o szczególnych rozwiązaniach związanych z zapobieganiem, przeciwdziałaniem i zwalczaniem COVID-19, innych chorób zakaźnych oraz wywołanych nimi sytuacji kryzysowych </w:t>
      </w:r>
      <w:r w:rsidRPr="003527FB">
        <w:rPr>
          <w:rFonts w:ascii="Verdana" w:hAnsi="Verdana"/>
          <w:sz w:val="16"/>
          <w:szCs w:val="16"/>
        </w:rPr>
        <w:t>(Dz.</w:t>
      </w:r>
      <w:r>
        <w:rPr>
          <w:rFonts w:ascii="Verdana" w:hAnsi="Verdana"/>
          <w:sz w:val="16"/>
          <w:szCs w:val="16"/>
        </w:rPr>
        <w:t xml:space="preserve"> </w:t>
      </w:r>
      <w:r w:rsidRPr="003527FB">
        <w:rPr>
          <w:rFonts w:ascii="Verdana" w:hAnsi="Verdana"/>
          <w:sz w:val="16"/>
          <w:szCs w:val="16"/>
        </w:rPr>
        <w:t>U. z 202</w:t>
      </w:r>
      <w:r>
        <w:rPr>
          <w:rFonts w:ascii="Verdana" w:hAnsi="Verdana"/>
          <w:sz w:val="16"/>
          <w:szCs w:val="16"/>
        </w:rPr>
        <w:t>1</w:t>
      </w:r>
      <w:r w:rsidRPr="003527FB">
        <w:rPr>
          <w:rFonts w:ascii="Verdana" w:hAnsi="Verdana"/>
          <w:sz w:val="16"/>
          <w:szCs w:val="16"/>
        </w:rPr>
        <w:t xml:space="preserve"> r. poz. </w:t>
      </w:r>
      <w:r>
        <w:rPr>
          <w:rFonts w:ascii="Verdana" w:hAnsi="Verdana"/>
          <w:sz w:val="16"/>
          <w:szCs w:val="16"/>
        </w:rPr>
        <w:t>2095, 2120, 2133, 2262, 2269 i 2317</w:t>
      </w:r>
      <w:r w:rsidRPr="003527FB">
        <w:rPr>
          <w:rFonts w:ascii="Verdana" w:hAnsi="Verdana"/>
          <w:sz w:val="16"/>
          <w:szCs w:val="16"/>
        </w:rPr>
        <w:t>)</w:t>
      </w:r>
      <w:r>
        <w:rPr>
          <w:rFonts w:ascii="Verdana" w:hAnsi="Verdana"/>
          <w:sz w:val="16"/>
          <w:szCs w:val="16"/>
        </w:rPr>
        <w:t xml:space="preserve"> i w </w:t>
      </w:r>
      <w:r w:rsidRPr="003527FB">
        <w:rPr>
          <w:rFonts w:ascii="Verdana" w:hAnsi="Verdana" w:cs="Arial"/>
          <w:sz w:val="16"/>
          <w:szCs w:val="16"/>
        </w:rPr>
        <w:t xml:space="preserve">art. 79 </w:t>
      </w:r>
      <w:r w:rsidRPr="003527FB">
        <w:rPr>
          <w:rFonts w:ascii="Verdana" w:hAnsi="Verdana"/>
          <w:sz w:val="16"/>
          <w:szCs w:val="16"/>
        </w:rPr>
        <w:t xml:space="preserve">ustawy z dnia 19 listopada 2020 r. </w:t>
      </w:r>
      <w:r w:rsidRPr="003527FB">
        <w:rPr>
          <w:rFonts w:ascii="Verdana" w:hAnsi="Verdana"/>
          <w:i/>
          <w:sz w:val="16"/>
          <w:szCs w:val="16"/>
        </w:rPr>
        <w:t xml:space="preserve">o szczególnych rozwiązaniach służących realizacji ustawy budżetowej na rok 2021 </w:t>
      </w:r>
      <w:r w:rsidRPr="003527FB">
        <w:rPr>
          <w:rFonts w:ascii="Verdana" w:hAnsi="Verdana"/>
          <w:sz w:val="16"/>
          <w:szCs w:val="16"/>
        </w:rPr>
        <w:t>(Dz.</w:t>
      </w:r>
      <w:r>
        <w:rPr>
          <w:rFonts w:ascii="Verdana" w:hAnsi="Verdana"/>
          <w:sz w:val="16"/>
          <w:szCs w:val="16"/>
        </w:rPr>
        <w:t xml:space="preserve"> </w:t>
      </w:r>
      <w:r w:rsidRPr="003527FB">
        <w:rPr>
          <w:rFonts w:ascii="Verdana" w:hAnsi="Verdana"/>
          <w:sz w:val="16"/>
          <w:szCs w:val="16"/>
        </w:rPr>
        <w:t>U. z 2020 r. poz. 2400 i z 2021 r. poz. 1104</w:t>
      </w:r>
      <w:r>
        <w:rPr>
          <w:rFonts w:ascii="Verdana" w:hAnsi="Verdana"/>
          <w:sz w:val="16"/>
          <w:szCs w:val="16"/>
        </w:rPr>
        <w:t xml:space="preserve"> i 1901</w:t>
      </w:r>
      <w:r w:rsidRPr="003527FB">
        <w:rPr>
          <w:rFonts w:ascii="Verdana" w:hAnsi="Verdana"/>
          <w:sz w:val="16"/>
          <w:szCs w:val="16"/>
        </w:rPr>
        <w:t>)</w:t>
      </w:r>
      <w:r>
        <w:rPr>
          <w:rFonts w:ascii="Verdana" w:hAnsi="Verdana"/>
          <w:sz w:val="16"/>
          <w:szCs w:val="16"/>
        </w:rPr>
        <w:t xml:space="preserve"> oraz </w:t>
      </w:r>
      <w:r>
        <w:rPr>
          <w:rFonts w:ascii="Verdana" w:hAnsi="Verdana"/>
          <w:sz w:val="16"/>
          <w:szCs w:val="16"/>
        </w:rPr>
        <w:lastRenderedPageBreak/>
        <w:t xml:space="preserve">w </w:t>
      </w:r>
      <w:r>
        <w:rPr>
          <w:rFonts w:ascii="Verdana" w:hAnsi="Verdana" w:cs="Arial"/>
          <w:sz w:val="16"/>
          <w:szCs w:val="16"/>
        </w:rPr>
        <w:t>art. 110 ust. 3 ustawy</w:t>
      </w:r>
      <w:r w:rsidRPr="00006222">
        <w:rPr>
          <w:rFonts w:ascii="Verdana" w:hAnsi="Verdana" w:cs="Arial"/>
          <w:sz w:val="16"/>
          <w:szCs w:val="16"/>
        </w:rPr>
        <w:t xml:space="preserve"> z </w:t>
      </w:r>
      <w:r>
        <w:rPr>
          <w:rFonts w:ascii="Verdana" w:hAnsi="Verdana" w:cs="Arial"/>
          <w:sz w:val="16"/>
          <w:szCs w:val="16"/>
        </w:rPr>
        <w:t>12 marca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pomocy obywatelom Ukrainy w związku z konfliktem zbrojnym na terytorium tego państwa</w:t>
      </w:r>
      <w:r w:rsidRPr="00E7313D">
        <w:rPr>
          <w:rFonts w:ascii="Verdana" w:hAnsi="Verdana" w:cs="Arial"/>
          <w:sz w:val="16"/>
          <w:szCs w:val="16"/>
        </w:rPr>
        <w:t xml:space="preserve"> </w:t>
      </w:r>
      <w:r>
        <w:rPr>
          <w:rFonts w:ascii="Verdana" w:hAnsi="Verdana" w:cs="Arial"/>
          <w:sz w:val="16"/>
          <w:szCs w:val="16"/>
        </w:rPr>
        <w:t>(Dz. U. poz. 583</w:t>
      </w:r>
      <w:r w:rsidRPr="00011AAA">
        <w:rPr>
          <w:rStyle w:val="Odwoanieprzypisudolnego"/>
          <w:rFonts w:ascii="Verdana" w:hAnsi="Verdana"/>
          <w:bCs/>
          <w:iCs/>
          <w:color w:val="000000"/>
          <w:sz w:val="16"/>
          <w:szCs w:val="16"/>
        </w:rPr>
        <w:footnoteReference w:id="28"/>
      </w:r>
      <w:r w:rsidRPr="00E7313D">
        <w:rPr>
          <w:rFonts w:ascii="Verdana" w:hAnsi="Verdana" w:cs="Arial"/>
          <w:sz w:val="16"/>
          <w:szCs w:val="16"/>
        </w:rPr>
        <w:t>)</w:t>
      </w:r>
    </w:p>
    <w:p w:rsidR="008A572A" w:rsidRDefault="008A572A" w:rsidP="008A572A">
      <w:pPr>
        <w:pStyle w:val="Akapitzlist"/>
        <w:numPr>
          <w:ilvl w:val="0"/>
          <w:numId w:val="14"/>
        </w:numPr>
        <w:spacing w:before="60" w:after="60"/>
        <w:ind w:left="567" w:hanging="283"/>
        <w:contextualSpacing w:val="0"/>
        <w:jc w:val="both"/>
        <w:rPr>
          <w:rFonts w:ascii="Verdana" w:hAnsi="Verdana"/>
          <w:sz w:val="16"/>
          <w:szCs w:val="16"/>
        </w:rPr>
      </w:pPr>
      <w:r>
        <w:rPr>
          <w:rFonts w:ascii="Verdana" w:hAnsi="Verdana"/>
          <w:sz w:val="16"/>
          <w:szCs w:val="16"/>
        </w:rPr>
        <w:t>informacja</w:t>
      </w:r>
      <w:r w:rsidRPr="000A6485">
        <w:rPr>
          <w:rFonts w:ascii="Verdana" w:hAnsi="Verdana"/>
          <w:sz w:val="16"/>
          <w:szCs w:val="16"/>
        </w:rPr>
        <w:t xml:space="preserve"> o spełnieniu wskaźnika spłaty zobowiązań określonego w art. 243 ust. 1 ustawy o finansach publicznych (lewa strona wzoru nie wyższa niż prawa strona wzoru – pkt 4.1.2), po uwzględnieniu zobowiązań związku współtworzonego przez jednostkę samorządu terytorialnego oraz po uwzględnieniu wyłączeń, o których mowa w art. 243 ust. 3, 3a i 3b ustawy o finansach publicznych i w art. 121a ustawy z 27 sierpnia 2009 r. - Przepisy wprowadzające ustawę o finansach publicznych </w:t>
      </w:r>
      <w:r>
        <w:rPr>
          <w:rFonts w:ascii="Verdana" w:hAnsi="Verdana"/>
          <w:sz w:val="16"/>
          <w:szCs w:val="16"/>
        </w:rPr>
        <w:t xml:space="preserve">i po uwzględnieniu wyłączeń wskazanych w art. 15zob w art. 15zob ustawy </w:t>
      </w:r>
      <w:r w:rsidRPr="003527FB">
        <w:rPr>
          <w:rFonts w:ascii="Verdana" w:hAnsi="Verdana"/>
          <w:sz w:val="16"/>
          <w:szCs w:val="16"/>
        </w:rPr>
        <w:t xml:space="preserve">z dnia 2 marca 2020 r. </w:t>
      </w:r>
      <w:r w:rsidRPr="003527FB">
        <w:rPr>
          <w:rFonts w:ascii="Verdana" w:hAnsi="Verdana"/>
          <w:i/>
          <w:sz w:val="16"/>
          <w:szCs w:val="16"/>
        </w:rPr>
        <w:t xml:space="preserve">o szczególnych rozwiązaniach związanych z zapobieganiem, przeciwdziałaniem i zwalczaniem COVID-19, innych chorób zakaźnych oraz wywołanych nimi sytuacji kryzysowych </w:t>
      </w:r>
      <w:r w:rsidRPr="003527FB">
        <w:rPr>
          <w:rFonts w:ascii="Verdana" w:hAnsi="Verdana"/>
          <w:sz w:val="16"/>
          <w:szCs w:val="16"/>
        </w:rPr>
        <w:t>(Dz.</w:t>
      </w:r>
      <w:r>
        <w:rPr>
          <w:rFonts w:ascii="Verdana" w:hAnsi="Verdana"/>
          <w:sz w:val="16"/>
          <w:szCs w:val="16"/>
        </w:rPr>
        <w:t xml:space="preserve"> </w:t>
      </w:r>
      <w:r w:rsidRPr="003527FB">
        <w:rPr>
          <w:rFonts w:ascii="Verdana" w:hAnsi="Verdana"/>
          <w:sz w:val="16"/>
          <w:szCs w:val="16"/>
        </w:rPr>
        <w:t>U. z 202</w:t>
      </w:r>
      <w:r>
        <w:rPr>
          <w:rFonts w:ascii="Verdana" w:hAnsi="Verdana"/>
          <w:sz w:val="16"/>
          <w:szCs w:val="16"/>
        </w:rPr>
        <w:t>1</w:t>
      </w:r>
      <w:r w:rsidRPr="003527FB">
        <w:rPr>
          <w:rFonts w:ascii="Verdana" w:hAnsi="Verdana"/>
          <w:sz w:val="16"/>
          <w:szCs w:val="16"/>
        </w:rPr>
        <w:t xml:space="preserve"> r. poz. </w:t>
      </w:r>
      <w:r>
        <w:rPr>
          <w:rFonts w:ascii="Verdana" w:hAnsi="Verdana"/>
          <w:sz w:val="16"/>
          <w:szCs w:val="16"/>
        </w:rPr>
        <w:t>2095, 2120, 2133, 2262, 2269 i 2317</w:t>
      </w:r>
      <w:r w:rsidRPr="003527FB">
        <w:rPr>
          <w:rFonts w:ascii="Verdana" w:hAnsi="Verdana"/>
          <w:sz w:val="16"/>
          <w:szCs w:val="16"/>
        </w:rPr>
        <w:t>)</w:t>
      </w:r>
      <w:r>
        <w:rPr>
          <w:rFonts w:ascii="Verdana" w:hAnsi="Verdana"/>
          <w:sz w:val="16"/>
          <w:szCs w:val="16"/>
        </w:rPr>
        <w:t xml:space="preserve"> i w </w:t>
      </w:r>
      <w:r w:rsidRPr="003527FB">
        <w:rPr>
          <w:rFonts w:ascii="Verdana" w:hAnsi="Verdana" w:cs="Arial"/>
          <w:sz w:val="16"/>
          <w:szCs w:val="16"/>
        </w:rPr>
        <w:t xml:space="preserve">art. 79 </w:t>
      </w:r>
      <w:r w:rsidRPr="003527FB">
        <w:rPr>
          <w:rFonts w:ascii="Verdana" w:hAnsi="Verdana"/>
          <w:sz w:val="16"/>
          <w:szCs w:val="16"/>
        </w:rPr>
        <w:t xml:space="preserve">ustawy z dnia 19 listopada 2020 r. </w:t>
      </w:r>
      <w:r w:rsidRPr="003527FB">
        <w:rPr>
          <w:rFonts w:ascii="Verdana" w:hAnsi="Verdana"/>
          <w:i/>
          <w:sz w:val="16"/>
          <w:szCs w:val="16"/>
        </w:rPr>
        <w:t xml:space="preserve">o szczególnych rozwiązaniach służących realizacji ustawy budżetowej na rok 2021 </w:t>
      </w:r>
      <w:r w:rsidRPr="003527FB">
        <w:rPr>
          <w:rFonts w:ascii="Verdana" w:hAnsi="Verdana"/>
          <w:sz w:val="16"/>
          <w:szCs w:val="16"/>
        </w:rPr>
        <w:t>(Dz.</w:t>
      </w:r>
      <w:r>
        <w:rPr>
          <w:rFonts w:ascii="Verdana" w:hAnsi="Verdana"/>
          <w:sz w:val="16"/>
          <w:szCs w:val="16"/>
        </w:rPr>
        <w:t xml:space="preserve"> </w:t>
      </w:r>
      <w:r w:rsidRPr="003527FB">
        <w:rPr>
          <w:rFonts w:ascii="Verdana" w:hAnsi="Verdana"/>
          <w:sz w:val="16"/>
          <w:szCs w:val="16"/>
        </w:rPr>
        <w:t>U. z 2020 r. poz. 2400 i z 2021 r. poz. 1104</w:t>
      </w:r>
      <w:r>
        <w:rPr>
          <w:rFonts w:ascii="Verdana" w:hAnsi="Verdana"/>
          <w:sz w:val="16"/>
          <w:szCs w:val="16"/>
        </w:rPr>
        <w:t xml:space="preserve"> i 1901</w:t>
      </w:r>
      <w:r w:rsidRPr="003527FB">
        <w:rPr>
          <w:rFonts w:ascii="Verdana" w:hAnsi="Verdana"/>
          <w:sz w:val="16"/>
          <w:szCs w:val="16"/>
        </w:rPr>
        <w:t>)</w:t>
      </w:r>
      <w:r>
        <w:rPr>
          <w:rFonts w:ascii="Verdana" w:hAnsi="Verdana"/>
          <w:sz w:val="16"/>
          <w:szCs w:val="16"/>
        </w:rPr>
        <w:t xml:space="preserve"> oraz w </w:t>
      </w:r>
      <w:r>
        <w:rPr>
          <w:rFonts w:ascii="Verdana" w:hAnsi="Verdana" w:cs="Arial"/>
          <w:sz w:val="16"/>
          <w:szCs w:val="16"/>
        </w:rPr>
        <w:t>art. 110 ust. 3 ustawy</w:t>
      </w:r>
      <w:r w:rsidRPr="00006222">
        <w:rPr>
          <w:rFonts w:ascii="Verdana" w:hAnsi="Verdana" w:cs="Arial"/>
          <w:sz w:val="16"/>
          <w:szCs w:val="16"/>
        </w:rPr>
        <w:t xml:space="preserve"> z </w:t>
      </w:r>
      <w:r>
        <w:rPr>
          <w:rFonts w:ascii="Verdana" w:hAnsi="Verdana" w:cs="Arial"/>
          <w:sz w:val="16"/>
          <w:szCs w:val="16"/>
        </w:rPr>
        <w:t>12 marca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pomocy obywatelom Ukrainy w związku z konfliktem zbrojnym na terytorium tego państwa</w:t>
      </w:r>
      <w:r w:rsidRPr="00E7313D">
        <w:rPr>
          <w:rFonts w:ascii="Verdana" w:hAnsi="Verdana" w:cs="Arial"/>
          <w:sz w:val="16"/>
          <w:szCs w:val="16"/>
        </w:rPr>
        <w:t xml:space="preserve"> </w:t>
      </w:r>
      <w:r>
        <w:rPr>
          <w:rFonts w:ascii="Verdana" w:hAnsi="Verdana" w:cs="Arial"/>
          <w:sz w:val="16"/>
          <w:szCs w:val="16"/>
        </w:rPr>
        <w:t>(Dz. U. poz. 583</w:t>
      </w:r>
      <w:r w:rsidRPr="00011AAA">
        <w:rPr>
          <w:rStyle w:val="Odwoanieprzypisudolnego"/>
          <w:rFonts w:ascii="Verdana" w:hAnsi="Verdana"/>
          <w:bCs/>
          <w:iCs/>
          <w:color w:val="000000"/>
          <w:sz w:val="16"/>
          <w:szCs w:val="16"/>
        </w:rPr>
        <w:footnoteReference w:id="29"/>
      </w:r>
      <w:r w:rsidRPr="00E7313D">
        <w:rPr>
          <w:rFonts w:ascii="Verdana" w:hAnsi="Verdana" w:cs="Arial"/>
          <w:sz w:val="16"/>
          <w:szCs w:val="16"/>
        </w:rPr>
        <w:t>)</w:t>
      </w:r>
      <w:r>
        <w:rPr>
          <w:rFonts w:ascii="Verdana" w:hAnsi="Verdana" w:cs="Arial"/>
          <w:sz w:val="16"/>
          <w:szCs w:val="16"/>
        </w:rPr>
        <w:t xml:space="preserve"> i w art. 35 ust. 1-2 ustawy</w:t>
      </w:r>
      <w:r w:rsidRPr="00006222">
        <w:rPr>
          <w:rFonts w:ascii="Verdana" w:hAnsi="Verdana" w:cs="Arial"/>
          <w:sz w:val="16"/>
          <w:szCs w:val="16"/>
        </w:rPr>
        <w:t xml:space="preserve"> z </w:t>
      </w:r>
      <w:r>
        <w:rPr>
          <w:rFonts w:ascii="Verdana" w:hAnsi="Verdana" w:cs="Arial"/>
          <w:sz w:val="16"/>
          <w:szCs w:val="16"/>
        </w:rPr>
        <w:t>9 czerwca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podatku dochodowym od osób fizycznych oraz niektórych innych ustaw</w:t>
      </w:r>
      <w:r w:rsidRPr="00E7313D">
        <w:rPr>
          <w:rFonts w:ascii="Verdana" w:hAnsi="Verdana" w:cs="Arial"/>
          <w:sz w:val="16"/>
          <w:szCs w:val="16"/>
        </w:rPr>
        <w:t xml:space="preserve"> </w:t>
      </w:r>
      <w:r>
        <w:rPr>
          <w:rFonts w:ascii="Verdana" w:hAnsi="Verdana" w:cs="Arial"/>
          <w:sz w:val="16"/>
          <w:szCs w:val="16"/>
        </w:rPr>
        <w:t>(Dz. U. poz. 1265, 1964 i 2180</w:t>
      </w:r>
      <w:r w:rsidRPr="00E7313D">
        <w:rPr>
          <w:rFonts w:ascii="Verdana" w:hAnsi="Verdana" w:cs="Arial"/>
          <w:sz w:val="16"/>
          <w:szCs w:val="16"/>
        </w:rPr>
        <w:t>)</w:t>
      </w:r>
      <w:r w:rsidRPr="000A6485">
        <w:rPr>
          <w:rFonts w:ascii="Verdana" w:hAnsi="Verdana"/>
          <w:sz w:val="16"/>
          <w:szCs w:val="16"/>
        </w:rPr>
        <w:t>, obliczonego w oparciu o plan 3 kwartału roku poprzedzającego pierwszy rok prognozy oraz obliczonego w oparciu o wykonanie roku poprzedzającego pierwszy rok prognozy</w:t>
      </w:r>
      <w:r>
        <w:rPr>
          <w:rFonts w:ascii="Verdana" w:hAnsi="Verdana"/>
          <w:sz w:val="16"/>
          <w:szCs w:val="16"/>
        </w:rPr>
        <w:t>.</w:t>
      </w:r>
    </w:p>
    <w:p w:rsidR="008A572A" w:rsidRPr="000A6485" w:rsidRDefault="008A572A" w:rsidP="008A572A">
      <w:pPr>
        <w:spacing w:before="60" w:after="60"/>
        <w:jc w:val="both"/>
        <w:rPr>
          <w:rFonts w:ascii="Verdana" w:hAnsi="Verdana"/>
          <w:bCs/>
          <w:sz w:val="16"/>
          <w:szCs w:val="16"/>
        </w:rPr>
      </w:pPr>
      <w:r w:rsidRPr="000A6485">
        <w:rPr>
          <w:rFonts w:ascii="Verdana" w:hAnsi="Verdana"/>
          <w:bCs/>
          <w:sz w:val="16"/>
          <w:szCs w:val="16"/>
        </w:rPr>
        <w:t xml:space="preserve">W całym okresie objętym </w:t>
      </w:r>
      <w:r>
        <w:rPr>
          <w:rFonts w:ascii="Verdana" w:hAnsi="Verdana"/>
          <w:bCs/>
          <w:sz w:val="16"/>
          <w:szCs w:val="16"/>
        </w:rPr>
        <w:t xml:space="preserve">WPF </w:t>
      </w:r>
      <w:r w:rsidRPr="00932633">
        <w:rPr>
          <w:rFonts w:ascii="Verdana" w:eastAsiaTheme="minorEastAsia" w:hAnsi="Verdana" w:cs="Verdana"/>
          <w:color w:val="000000"/>
          <w:sz w:val="16"/>
          <w:szCs w:val="16"/>
        </w:rPr>
        <w:t>2023</w:t>
      </w:r>
      <w:r>
        <w:rPr>
          <w:rFonts w:ascii="Verdana" w:hAnsi="Verdana"/>
          <w:bCs/>
          <w:sz w:val="16"/>
          <w:szCs w:val="16"/>
        </w:rPr>
        <w:t>-2050</w:t>
      </w:r>
      <w:r w:rsidRPr="000A6485">
        <w:rPr>
          <w:rFonts w:ascii="Verdana" w:hAnsi="Verdana"/>
          <w:bCs/>
          <w:sz w:val="16"/>
          <w:szCs w:val="16"/>
        </w:rPr>
        <w:t xml:space="preserve"> planuje się spełnienie przedmiotowej reguły ustawowej określonej </w:t>
      </w:r>
      <w:r>
        <w:rPr>
          <w:rFonts w:ascii="Verdana" w:hAnsi="Verdana"/>
          <w:bCs/>
          <w:sz w:val="16"/>
          <w:szCs w:val="16"/>
        </w:rPr>
        <w:br/>
      </w:r>
      <w:r w:rsidRPr="000A6485">
        <w:rPr>
          <w:rFonts w:ascii="Verdana" w:hAnsi="Verdana"/>
          <w:bCs/>
          <w:sz w:val="16"/>
          <w:szCs w:val="16"/>
        </w:rPr>
        <w:t xml:space="preserve">w art. 243 ust. 1 </w:t>
      </w:r>
      <w:r w:rsidRPr="000A6485">
        <w:rPr>
          <w:rFonts w:ascii="Verdana" w:hAnsi="Verdana"/>
          <w:sz w:val="16"/>
          <w:szCs w:val="16"/>
        </w:rPr>
        <w:t>ustawy o finansach publicznych</w:t>
      </w:r>
      <w:r w:rsidRPr="000A6485">
        <w:rPr>
          <w:rFonts w:ascii="Verdana" w:hAnsi="Verdana"/>
          <w:bCs/>
          <w:sz w:val="16"/>
          <w:szCs w:val="16"/>
        </w:rPr>
        <w:t>.</w:t>
      </w:r>
    </w:p>
    <w:p w:rsidR="008A572A" w:rsidRDefault="008A572A" w:rsidP="008A572A">
      <w:pPr>
        <w:spacing w:before="60" w:after="60"/>
        <w:jc w:val="both"/>
        <w:rPr>
          <w:rFonts w:ascii="Verdana" w:hAnsi="Verdana"/>
          <w:bCs/>
          <w:sz w:val="16"/>
          <w:szCs w:val="16"/>
        </w:rPr>
      </w:pPr>
      <w:r w:rsidRPr="000A6485">
        <w:rPr>
          <w:rFonts w:ascii="Verdana" w:hAnsi="Verdana"/>
          <w:bCs/>
          <w:sz w:val="16"/>
          <w:szCs w:val="16"/>
        </w:rPr>
        <w:t xml:space="preserve">Tabela </w:t>
      </w:r>
      <w:r>
        <w:rPr>
          <w:rFonts w:ascii="Verdana" w:hAnsi="Verdana"/>
          <w:bCs/>
          <w:sz w:val="16"/>
          <w:szCs w:val="16"/>
        </w:rPr>
        <w:t>nr 6</w:t>
      </w:r>
      <w:r w:rsidRPr="000A6485">
        <w:rPr>
          <w:rFonts w:ascii="Verdana" w:hAnsi="Verdana"/>
          <w:bCs/>
          <w:sz w:val="16"/>
          <w:szCs w:val="16"/>
        </w:rPr>
        <w:t xml:space="preserve"> prezentuje kształtowanie się limitu (obliczonego w oparciu o </w:t>
      </w:r>
      <w:r w:rsidRPr="000A6485">
        <w:rPr>
          <w:rFonts w:ascii="Verdana" w:hAnsi="Verdana"/>
          <w:sz w:val="16"/>
          <w:szCs w:val="16"/>
        </w:rPr>
        <w:t>plan 3 kwartałów roku poprzedzającego rok budżetowy)</w:t>
      </w:r>
      <w:r w:rsidRPr="000A6485">
        <w:rPr>
          <w:rFonts w:ascii="Verdana" w:hAnsi="Verdana"/>
          <w:bCs/>
          <w:sz w:val="16"/>
          <w:szCs w:val="16"/>
        </w:rPr>
        <w:t xml:space="preserve"> i wskaźnika spłaty zobowiązań, określonego w art. 243 ust. 1 ustawy o finansach publicznych, </w:t>
      </w:r>
      <w:r w:rsidRPr="000A6485">
        <w:rPr>
          <w:rFonts w:ascii="Verdana" w:hAnsi="Verdana"/>
          <w:bCs/>
          <w:sz w:val="16"/>
          <w:szCs w:val="16"/>
        </w:rPr>
        <w:br/>
        <w:t>w</w:t>
      </w:r>
      <w:r>
        <w:rPr>
          <w:rFonts w:ascii="Verdana" w:hAnsi="Verdana"/>
          <w:bCs/>
          <w:sz w:val="16"/>
          <w:szCs w:val="16"/>
        </w:rPr>
        <w:t xml:space="preserve"> perspektywie objętej WPF </w:t>
      </w:r>
      <w:r w:rsidRPr="00932633">
        <w:rPr>
          <w:rFonts w:ascii="Verdana" w:eastAsiaTheme="minorEastAsia" w:hAnsi="Verdana" w:cs="Verdana"/>
          <w:color w:val="000000"/>
          <w:sz w:val="16"/>
          <w:szCs w:val="16"/>
        </w:rPr>
        <w:t>2023</w:t>
      </w:r>
      <w:r w:rsidRPr="000A6485">
        <w:rPr>
          <w:rFonts w:ascii="Verdana" w:hAnsi="Verdana"/>
          <w:bCs/>
          <w:sz w:val="16"/>
          <w:szCs w:val="16"/>
        </w:rPr>
        <w:t>-2050.</w:t>
      </w:r>
    </w:p>
    <w:p w:rsidR="008A572A" w:rsidRDefault="008A572A" w:rsidP="008A572A">
      <w:pPr>
        <w:pStyle w:val="Legenda"/>
        <w:keepNext/>
        <w:spacing w:before="120" w:after="120"/>
        <w:rPr>
          <w:rFonts w:ascii="Verdana" w:hAnsi="Verdana" w:cs="Arial"/>
          <w:b w:val="0"/>
          <w:sz w:val="14"/>
          <w:szCs w:val="14"/>
        </w:rPr>
      </w:pPr>
      <w:r w:rsidRPr="000A6485">
        <w:rPr>
          <w:rFonts w:ascii="Verdana" w:hAnsi="Verdana" w:cs="Arial"/>
          <w:sz w:val="14"/>
          <w:szCs w:val="14"/>
        </w:rPr>
        <w:t xml:space="preserve">TAB. </w:t>
      </w:r>
      <w:r w:rsidRPr="000A6485">
        <w:rPr>
          <w:rFonts w:ascii="Verdana" w:hAnsi="Verdana" w:cs="Arial"/>
          <w:sz w:val="14"/>
          <w:szCs w:val="14"/>
        </w:rPr>
        <w:fldChar w:fldCharType="begin"/>
      </w:r>
      <w:r w:rsidRPr="000A6485">
        <w:rPr>
          <w:rFonts w:ascii="Verdana" w:hAnsi="Verdana" w:cs="Arial"/>
          <w:sz w:val="14"/>
          <w:szCs w:val="14"/>
        </w:rPr>
        <w:instrText xml:space="preserve"> SEQ Tab. \* ARABIC </w:instrText>
      </w:r>
      <w:r w:rsidRPr="000A6485">
        <w:rPr>
          <w:rFonts w:ascii="Verdana" w:hAnsi="Verdana" w:cs="Arial"/>
          <w:sz w:val="14"/>
          <w:szCs w:val="14"/>
        </w:rPr>
        <w:fldChar w:fldCharType="separate"/>
      </w:r>
      <w:r w:rsidR="00DB2126">
        <w:rPr>
          <w:rFonts w:ascii="Verdana" w:hAnsi="Verdana" w:cs="Arial"/>
          <w:noProof/>
          <w:sz w:val="14"/>
          <w:szCs w:val="14"/>
        </w:rPr>
        <w:t>6</w:t>
      </w:r>
      <w:r w:rsidRPr="000A6485">
        <w:rPr>
          <w:rFonts w:ascii="Verdana" w:hAnsi="Verdana" w:cs="Arial"/>
          <w:sz w:val="14"/>
          <w:szCs w:val="14"/>
        </w:rPr>
        <w:fldChar w:fldCharType="end"/>
      </w:r>
      <w:r w:rsidRPr="000A6485">
        <w:rPr>
          <w:rFonts w:ascii="Verdana" w:hAnsi="Verdana" w:cs="Arial"/>
          <w:sz w:val="14"/>
          <w:szCs w:val="14"/>
        </w:rPr>
        <w:t xml:space="preserve">. </w:t>
      </w:r>
      <w:r w:rsidRPr="000A6485">
        <w:rPr>
          <w:rFonts w:ascii="Verdana" w:hAnsi="Verdana" w:cs="Arial"/>
          <w:bCs w:val="0"/>
          <w:sz w:val="14"/>
          <w:szCs w:val="14"/>
        </w:rPr>
        <w:t xml:space="preserve">PROGNOZA DOPUSZCZALNEGO USTAWOWO I RZECZYWISTEGO POZIOMU WYDATKÓW I ROZCHODÓW </w:t>
      </w:r>
      <w:r w:rsidRPr="000A6485">
        <w:rPr>
          <w:rFonts w:ascii="Verdana" w:hAnsi="Verdana" w:cs="Arial"/>
          <w:bCs w:val="0"/>
          <w:sz w:val="14"/>
          <w:szCs w:val="14"/>
        </w:rPr>
        <w:br/>
        <w:t xml:space="preserve">             ZWIĄZANYCH Z OBSŁUGĄ ZADŁUŻENIA I PORĘCZENIAMI I GWARANCJAMI W RELACJI DO DOCHODÓW  </w:t>
      </w:r>
      <w:r w:rsidRPr="000A6485">
        <w:rPr>
          <w:rFonts w:ascii="Verdana" w:hAnsi="Verdana" w:cs="Arial"/>
          <w:bCs w:val="0"/>
          <w:sz w:val="14"/>
          <w:szCs w:val="14"/>
        </w:rPr>
        <w:br/>
        <w:t xml:space="preserve">          </w:t>
      </w:r>
      <w:r>
        <w:rPr>
          <w:rFonts w:ascii="Verdana" w:hAnsi="Verdana" w:cs="Arial"/>
          <w:bCs w:val="0"/>
          <w:sz w:val="14"/>
          <w:szCs w:val="14"/>
        </w:rPr>
        <w:t xml:space="preserve">   W M.ST. WARSZAWA NA LATA </w:t>
      </w:r>
      <w:r w:rsidRPr="00932633">
        <w:rPr>
          <w:rFonts w:ascii="Verdana" w:hAnsi="Verdana" w:cs="Arial"/>
          <w:bCs w:val="0"/>
          <w:sz w:val="14"/>
          <w:szCs w:val="14"/>
        </w:rPr>
        <w:t>2023</w:t>
      </w:r>
      <w:r w:rsidRPr="000A6485">
        <w:rPr>
          <w:rFonts w:ascii="Verdana" w:hAnsi="Verdana" w:cs="Arial"/>
          <w:bCs w:val="0"/>
          <w:sz w:val="14"/>
          <w:szCs w:val="14"/>
        </w:rPr>
        <w:t>-2050</w:t>
      </w:r>
      <w:r w:rsidRPr="000A6485">
        <w:rPr>
          <w:rFonts w:ascii="Verdana" w:hAnsi="Verdana" w:cs="Arial"/>
          <w:sz w:val="14"/>
          <w:szCs w:val="14"/>
        </w:rPr>
        <w:t xml:space="preserve"> </w:t>
      </w:r>
      <w:r w:rsidRPr="000A6485">
        <w:rPr>
          <w:rFonts w:ascii="Verdana" w:hAnsi="Verdana" w:cs="Arial"/>
          <w:b w:val="0"/>
          <w:sz w:val="14"/>
          <w:szCs w:val="14"/>
        </w:rPr>
        <w:t>[</w:t>
      </w:r>
      <w:r>
        <w:rPr>
          <w:rFonts w:ascii="Verdana" w:hAnsi="Verdana" w:cs="Arial"/>
          <w:b w:val="0"/>
          <w:sz w:val="14"/>
          <w:szCs w:val="14"/>
        </w:rPr>
        <w:t xml:space="preserve">w </w:t>
      </w:r>
      <w:r w:rsidRPr="000A6485">
        <w:rPr>
          <w:rFonts w:ascii="Verdana" w:hAnsi="Verdana" w:cs="Arial"/>
          <w:b w:val="0"/>
          <w:sz w:val="14"/>
          <w:szCs w:val="14"/>
        </w:rPr>
        <w:t>%]</w:t>
      </w:r>
    </w:p>
    <w:p w:rsidR="008A572A" w:rsidRPr="000A6485" w:rsidRDefault="008A572A" w:rsidP="008A572A">
      <w:pPr>
        <w:pStyle w:val="Legenda"/>
        <w:keepNext/>
        <w:spacing w:before="120" w:after="240"/>
        <w:rPr>
          <w:rFonts w:ascii="Verdana" w:hAnsi="Verdana" w:cs="Arial"/>
          <w:iCs/>
        </w:rPr>
      </w:pPr>
      <w:r>
        <w:rPr>
          <w:rFonts w:ascii="Verdana" w:hAnsi="Verdana"/>
          <w:b w:val="0"/>
          <w:bCs w:val="0"/>
          <w:noProof/>
          <w:sz w:val="12"/>
          <w:szCs w:val="12"/>
        </w:rPr>
        <w:drawing>
          <wp:inline distT="0" distB="0" distL="0" distR="0">
            <wp:extent cx="6005195" cy="287972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05195" cy="2879725"/>
                    </a:xfrm>
                    <a:prstGeom prst="rect">
                      <a:avLst/>
                    </a:prstGeom>
                    <a:noFill/>
                    <a:ln>
                      <a:noFill/>
                    </a:ln>
                  </pic:spPr>
                </pic:pic>
              </a:graphicData>
            </a:graphic>
          </wp:inline>
        </w:drawing>
      </w:r>
    </w:p>
    <w:p w:rsidR="008A572A" w:rsidRDefault="008A572A" w:rsidP="008A572A">
      <w:pPr>
        <w:spacing w:before="240" w:after="240"/>
        <w:jc w:val="both"/>
        <w:rPr>
          <w:rFonts w:ascii="Verdana" w:hAnsi="Verdana"/>
          <w:b/>
          <w:bCs/>
          <w:sz w:val="16"/>
          <w:szCs w:val="16"/>
        </w:rPr>
      </w:pPr>
      <w:r>
        <w:rPr>
          <w:rFonts w:ascii="Verdana" w:hAnsi="Verdana" w:cs="Arial"/>
          <w:sz w:val="16"/>
          <w:szCs w:val="16"/>
        </w:rPr>
        <w:t>W myśl art. 7 ustawy</w:t>
      </w:r>
      <w:r w:rsidRPr="00006222">
        <w:rPr>
          <w:rFonts w:ascii="Verdana" w:hAnsi="Verdana" w:cs="Arial"/>
          <w:sz w:val="16"/>
          <w:szCs w:val="16"/>
        </w:rPr>
        <w:t xml:space="preserve"> z </w:t>
      </w:r>
      <w:r>
        <w:rPr>
          <w:rFonts w:ascii="Verdana" w:hAnsi="Verdana" w:cs="Arial"/>
          <w:sz w:val="16"/>
          <w:szCs w:val="16"/>
        </w:rPr>
        <w:t>15 września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dochodach jednostek samorządu terytorialnego oraz niektórych innych ustaw</w:t>
      </w:r>
      <w:r w:rsidRPr="00E7313D">
        <w:rPr>
          <w:rFonts w:ascii="Verdana" w:hAnsi="Verdana" w:cs="Arial"/>
          <w:sz w:val="16"/>
          <w:szCs w:val="16"/>
        </w:rPr>
        <w:t xml:space="preserve"> </w:t>
      </w:r>
      <w:r>
        <w:rPr>
          <w:rFonts w:ascii="Verdana" w:hAnsi="Verdana" w:cs="Arial"/>
          <w:sz w:val="16"/>
          <w:szCs w:val="16"/>
        </w:rPr>
        <w:t>(Dz. U. poz. 1964</w:t>
      </w:r>
      <w:r w:rsidRPr="00E7313D">
        <w:rPr>
          <w:rFonts w:ascii="Verdana" w:hAnsi="Verdana" w:cs="Arial"/>
          <w:sz w:val="16"/>
          <w:szCs w:val="16"/>
        </w:rPr>
        <w:t>)</w:t>
      </w:r>
      <w:r>
        <w:rPr>
          <w:rFonts w:ascii="Verdana" w:hAnsi="Verdana" w:cs="Arial"/>
          <w:sz w:val="16"/>
          <w:szCs w:val="16"/>
        </w:rPr>
        <w:t xml:space="preserve"> </w:t>
      </w:r>
      <w:r>
        <w:rPr>
          <w:rFonts w:ascii="Verdana" w:hAnsi="Verdana"/>
          <w:b/>
          <w:sz w:val="16"/>
          <w:szCs w:val="16"/>
        </w:rPr>
        <w:t>reguła indywidualnego limitu obsługi długu</w:t>
      </w:r>
      <w:r w:rsidRPr="008E4FAA">
        <w:rPr>
          <w:rFonts w:ascii="Verdana" w:hAnsi="Verdana" w:cs="Arial"/>
          <w:i/>
          <w:sz w:val="16"/>
          <w:szCs w:val="16"/>
        </w:rPr>
        <w:t xml:space="preserve"> </w:t>
      </w:r>
      <w:r w:rsidRPr="008E4FAA">
        <w:rPr>
          <w:rFonts w:ascii="Verdana" w:hAnsi="Verdana" w:cs="Arial"/>
          <w:b/>
          <w:sz w:val="16"/>
          <w:szCs w:val="16"/>
        </w:rPr>
        <w:t xml:space="preserve">może być </w:t>
      </w:r>
      <w:r w:rsidRPr="008E4FAA">
        <w:rPr>
          <w:rFonts w:ascii="Verdana" w:hAnsi="Verdana" w:cs="Arial"/>
          <w:b/>
          <w:sz w:val="16"/>
          <w:szCs w:val="16"/>
        </w:rPr>
        <w:lastRenderedPageBreak/>
        <w:t>niezachowana w latach 2023–2025 w przypadku, gdy prognozowana łączna kwota długu jednostki samorządu terytorialnego na koniec danego roku nie przekroczy 100% planowanych dochodów ogółem</w:t>
      </w:r>
      <w:r w:rsidRPr="008E4FAA">
        <w:rPr>
          <w:rFonts w:ascii="Verdana" w:hAnsi="Verdana" w:cs="Arial"/>
          <w:sz w:val="16"/>
          <w:szCs w:val="16"/>
        </w:rPr>
        <w:t xml:space="preserve"> tej jednostki w tym roku budżetowym, pomniejszonych o planowane kwoty dotacji i środków o podobnym charakterze oraz powiększonych o przychody z tytułów określonych w art. 217 ust. 2 pkt 4–8 ustawy </w:t>
      </w:r>
      <w:r>
        <w:rPr>
          <w:rFonts w:ascii="Verdana" w:hAnsi="Verdana" w:cs="Arial"/>
          <w:sz w:val="16"/>
          <w:szCs w:val="16"/>
        </w:rPr>
        <w:t>o finansach publicznych</w:t>
      </w:r>
      <w:r w:rsidRPr="008E4FAA">
        <w:rPr>
          <w:rFonts w:ascii="Verdana" w:hAnsi="Verdana" w:cs="Arial"/>
          <w:sz w:val="16"/>
          <w:szCs w:val="16"/>
        </w:rPr>
        <w:t>, nieprzeznaczone na sfinansowanie deficytu budżetowego</w:t>
      </w:r>
      <w:r>
        <w:rPr>
          <w:rFonts w:ascii="Verdana" w:hAnsi="Verdana" w:cs="Arial"/>
          <w:sz w:val="16"/>
          <w:szCs w:val="16"/>
        </w:rPr>
        <w:t xml:space="preserve">. </w:t>
      </w:r>
      <w:r w:rsidRPr="008E4FAA">
        <w:rPr>
          <w:rFonts w:ascii="Verdana" w:hAnsi="Verdana" w:cs="Arial"/>
          <w:sz w:val="16"/>
          <w:szCs w:val="16"/>
        </w:rPr>
        <w:t xml:space="preserve">Niezachowanie relacji ograniczającej wysokość spłaty zobowiązań jednostki samorządu terytorialnego nie może zagrażać realizacji zadań publicznych przez jednostkę samorządu terytorialnego w roku budżetowym i latach następnych. Regionalna izba obrachunkowa, wydając opinie, o których mowa w art. 91 ust. 2, art. 230 ust. 3 i 4 oraz art. 246 ustawy </w:t>
      </w:r>
      <w:r>
        <w:rPr>
          <w:rFonts w:ascii="Verdana" w:hAnsi="Verdana" w:cs="Arial"/>
          <w:sz w:val="16"/>
          <w:szCs w:val="16"/>
        </w:rPr>
        <w:br/>
        <w:t>o finansach publicznych</w:t>
      </w:r>
      <w:r w:rsidRPr="008E4FAA">
        <w:rPr>
          <w:rFonts w:ascii="Verdana" w:hAnsi="Verdana" w:cs="Arial"/>
          <w:sz w:val="16"/>
          <w:szCs w:val="16"/>
        </w:rPr>
        <w:t>, ocenia również wpływ niezachowania tej relacji na realizację zadań publicznych</w:t>
      </w:r>
      <w:r>
        <w:rPr>
          <w:rFonts w:ascii="Verdana" w:hAnsi="Verdana" w:cs="Arial"/>
          <w:sz w:val="16"/>
          <w:szCs w:val="16"/>
        </w:rPr>
        <w:t>.</w:t>
      </w:r>
    </w:p>
    <w:p w:rsidR="008A572A" w:rsidRPr="000A6485" w:rsidRDefault="008A572A" w:rsidP="008A572A">
      <w:pPr>
        <w:spacing w:before="240" w:after="240"/>
        <w:jc w:val="both"/>
        <w:rPr>
          <w:rFonts w:ascii="Verdana" w:hAnsi="Verdana"/>
          <w:sz w:val="16"/>
          <w:szCs w:val="16"/>
        </w:rPr>
      </w:pPr>
      <w:r w:rsidRPr="000A6485">
        <w:rPr>
          <w:rFonts w:ascii="Verdana" w:hAnsi="Verdana"/>
          <w:b/>
          <w:bCs/>
          <w:sz w:val="16"/>
          <w:szCs w:val="16"/>
        </w:rPr>
        <w:t>SEKCJA 9</w:t>
      </w:r>
      <w:r w:rsidRPr="000A6485">
        <w:rPr>
          <w:rFonts w:ascii="Verdana" w:hAnsi="Verdana"/>
          <w:sz w:val="16"/>
          <w:szCs w:val="16"/>
        </w:rPr>
        <w:t xml:space="preserve"> – </w:t>
      </w:r>
      <w:r w:rsidRPr="000A6485">
        <w:rPr>
          <w:rFonts w:ascii="Verdana" w:hAnsi="Verdana"/>
          <w:b/>
          <w:sz w:val="16"/>
          <w:szCs w:val="16"/>
        </w:rPr>
        <w:t xml:space="preserve">finansowanie programów, projektów lub zadań realizowanych z udziałem środków, </w:t>
      </w:r>
      <w:r w:rsidRPr="000A6485">
        <w:rPr>
          <w:rFonts w:ascii="Verdana" w:hAnsi="Verdana"/>
          <w:b/>
          <w:sz w:val="16"/>
          <w:szCs w:val="16"/>
        </w:rPr>
        <w:br/>
        <w:t>o których mowa w art. 5 ust. 1 pkt 2 i 3 ustawy o finansach publicznych (środki unijne)</w:t>
      </w:r>
      <w:r w:rsidRPr="000A6485">
        <w:rPr>
          <w:rFonts w:ascii="Verdana" w:hAnsi="Verdana" w:cs="Arial"/>
          <w:iCs/>
          <w:sz w:val="16"/>
          <w:szCs w:val="16"/>
        </w:rPr>
        <w:t xml:space="preserve">, </w:t>
      </w:r>
      <w:r w:rsidRPr="000A6485">
        <w:rPr>
          <w:rFonts w:ascii="Verdana" w:hAnsi="Verdana" w:cs="Arial"/>
          <w:iCs/>
          <w:sz w:val="16"/>
          <w:szCs w:val="16"/>
        </w:rPr>
        <w:br/>
        <w:t xml:space="preserve">z wyszczególnieniem dochodów (bieżących i majątkowych) oraz wydatków (bieżących i majątkowych) </w:t>
      </w:r>
    </w:p>
    <w:p w:rsidR="008A572A" w:rsidRPr="000A6485" w:rsidRDefault="008A572A" w:rsidP="008A572A">
      <w:pPr>
        <w:spacing w:before="240" w:after="120"/>
        <w:jc w:val="both"/>
        <w:rPr>
          <w:rFonts w:ascii="Verdana" w:hAnsi="Verdana"/>
          <w:sz w:val="16"/>
          <w:szCs w:val="16"/>
        </w:rPr>
      </w:pPr>
      <w:r w:rsidRPr="000A6485">
        <w:rPr>
          <w:rFonts w:ascii="Verdana" w:hAnsi="Verdana"/>
          <w:b/>
          <w:bCs/>
          <w:sz w:val="16"/>
          <w:szCs w:val="16"/>
        </w:rPr>
        <w:t>SEKCJA 10</w:t>
      </w:r>
      <w:r w:rsidRPr="000A6485">
        <w:rPr>
          <w:rFonts w:ascii="Verdana" w:hAnsi="Verdana"/>
          <w:sz w:val="16"/>
          <w:szCs w:val="16"/>
        </w:rPr>
        <w:t xml:space="preserve"> – informacje uzupełniające o wybranych kategoriach finansowych</w:t>
      </w:r>
    </w:p>
    <w:p w:rsidR="008A572A" w:rsidRPr="000A6485" w:rsidRDefault="008A572A" w:rsidP="008A572A">
      <w:pPr>
        <w:pStyle w:val="Akapitzlist"/>
        <w:numPr>
          <w:ilvl w:val="0"/>
          <w:numId w:val="34"/>
        </w:numPr>
        <w:spacing w:before="120" w:after="120"/>
        <w:ind w:left="567" w:hanging="283"/>
        <w:jc w:val="both"/>
        <w:rPr>
          <w:rFonts w:ascii="Verdana" w:hAnsi="Verdana"/>
          <w:bCs/>
          <w:sz w:val="16"/>
          <w:szCs w:val="16"/>
        </w:rPr>
      </w:pPr>
      <w:r w:rsidRPr="000A6485">
        <w:rPr>
          <w:rFonts w:ascii="Verdana" w:hAnsi="Verdana"/>
          <w:bCs/>
          <w:sz w:val="16"/>
          <w:szCs w:val="16"/>
        </w:rPr>
        <w:t>wydatki objęte limitem, o którym mowa w art. 226 ust. 3 pkt 4 ustawy o finansach publicznych (przedsięwzięcia wieloletnie)</w:t>
      </w:r>
    </w:p>
    <w:p w:rsidR="008A572A" w:rsidRPr="000A6485" w:rsidRDefault="008A572A" w:rsidP="008A572A">
      <w:pPr>
        <w:pStyle w:val="Akapitzlist"/>
        <w:numPr>
          <w:ilvl w:val="0"/>
          <w:numId w:val="34"/>
        </w:numPr>
        <w:spacing w:before="120" w:after="120"/>
        <w:ind w:left="567" w:hanging="283"/>
        <w:jc w:val="both"/>
        <w:rPr>
          <w:rFonts w:ascii="Verdana" w:hAnsi="Verdana"/>
          <w:bCs/>
          <w:sz w:val="16"/>
          <w:szCs w:val="16"/>
        </w:rPr>
      </w:pPr>
      <w:r w:rsidRPr="000A6485">
        <w:rPr>
          <w:rFonts w:ascii="Verdana" w:hAnsi="Verdana"/>
          <w:bCs/>
          <w:sz w:val="16"/>
          <w:szCs w:val="16"/>
        </w:rPr>
        <w:t>wydatki bieżące na pokrycie ujemnego wyniku finansowego samodzielnego publicznego zakładu opieki zdrowotnej</w:t>
      </w:r>
    </w:p>
    <w:p w:rsidR="008A572A" w:rsidRPr="000A6485" w:rsidRDefault="008A572A" w:rsidP="008A572A">
      <w:pPr>
        <w:pStyle w:val="Akapitzlist"/>
        <w:numPr>
          <w:ilvl w:val="0"/>
          <w:numId w:val="34"/>
        </w:numPr>
        <w:spacing w:before="120" w:after="120"/>
        <w:ind w:left="567" w:hanging="283"/>
        <w:jc w:val="both"/>
        <w:rPr>
          <w:rFonts w:ascii="Verdana" w:hAnsi="Verdana"/>
          <w:bCs/>
          <w:sz w:val="16"/>
          <w:szCs w:val="16"/>
        </w:rPr>
      </w:pPr>
      <w:r w:rsidRPr="000A6485">
        <w:rPr>
          <w:rFonts w:ascii="Verdana" w:hAnsi="Verdana"/>
          <w:bCs/>
          <w:sz w:val="16"/>
          <w:szCs w:val="16"/>
        </w:rPr>
        <w:t>wydatki na spłatę zobowiązań przejmowanych w związku z likwidacją lub przekształceniem samodzielnego publicznego zakładu opieki zdrowotnej</w:t>
      </w:r>
    </w:p>
    <w:p w:rsidR="008A572A" w:rsidRPr="000A6485" w:rsidRDefault="008A572A" w:rsidP="008A572A">
      <w:pPr>
        <w:pStyle w:val="Akapitzlist"/>
        <w:numPr>
          <w:ilvl w:val="0"/>
          <w:numId w:val="34"/>
        </w:numPr>
        <w:spacing w:before="120" w:after="120"/>
        <w:ind w:left="567" w:hanging="283"/>
        <w:jc w:val="both"/>
        <w:rPr>
          <w:rFonts w:ascii="Verdana" w:hAnsi="Verdana"/>
          <w:bCs/>
          <w:sz w:val="16"/>
          <w:szCs w:val="16"/>
        </w:rPr>
      </w:pPr>
      <w:r>
        <w:rPr>
          <w:rFonts w:ascii="Verdana" w:hAnsi="Verdana"/>
          <w:bCs/>
          <w:sz w:val="16"/>
          <w:szCs w:val="16"/>
        </w:rPr>
        <w:t>kwota</w:t>
      </w:r>
      <w:r w:rsidRPr="000A6485">
        <w:rPr>
          <w:rFonts w:ascii="Verdana" w:hAnsi="Verdana"/>
          <w:bCs/>
          <w:sz w:val="16"/>
          <w:szCs w:val="16"/>
        </w:rPr>
        <w:t xml:space="preserve"> zobowiązań związku współtworzonego przez jednostkę samorządu terytorialnego przypadających do spłaty w danym roku budżetowym, podlegająca doliczeniu zgodnie z art. 244 ustawy o finansach publicznych (kwota ujmowana we wskaźniku spłaty zobowiązań określonym w art. 243 ust. 1 ustawy </w:t>
      </w:r>
      <w:r w:rsidRPr="000A6485">
        <w:rPr>
          <w:rFonts w:ascii="Verdana" w:hAnsi="Verdana"/>
          <w:bCs/>
          <w:sz w:val="16"/>
          <w:szCs w:val="16"/>
        </w:rPr>
        <w:br/>
        <w:t>o finansach publicznych)</w:t>
      </w:r>
    </w:p>
    <w:p w:rsidR="008A572A" w:rsidRPr="000A6485" w:rsidRDefault="008A572A" w:rsidP="008A572A">
      <w:pPr>
        <w:pStyle w:val="Akapitzlist"/>
        <w:numPr>
          <w:ilvl w:val="0"/>
          <w:numId w:val="34"/>
        </w:numPr>
        <w:spacing w:before="120" w:after="120"/>
        <w:ind w:left="567" w:hanging="283"/>
        <w:jc w:val="both"/>
        <w:rPr>
          <w:rFonts w:ascii="Verdana" w:hAnsi="Verdana"/>
          <w:bCs/>
          <w:sz w:val="16"/>
          <w:szCs w:val="16"/>
        </w:rPr>
      </w:pPr>
      <w:r>
        <w:rPr>
          <w:rFonts w:ascii="Verdana" w:hAnsi="Verdana"/>
          <w:bCs/>
          <w:sz w:val="16"/>
          <w:szCs w:val="16"/>
        </w:rPr>
        <w:t>kwota</w:t>
      </w:r>
      <w:r w:rsidRPr="000A6485">
        <w:rPr>
          <w:rFonts w:ascii="Verdana" w:hAnsi="Verdana"/>
          <w:bCs/>
          <w:sz w:val="16"/>
          <w:szCs w:val="16"/>
        </w:rPr>
        <w:t xml:space="preserve"> zobowiązań wynikających z przejęcia przez jednostkę samorządu terytorialnego zobowiązań </w:t>
      </w:r>
      <w:r w:rsidRPr="000A6485">
        <w:rPr>
          <w:rFonts w:ascii="Verdana" w:hAnsi="Verdana"/>
          <w:bCs/>
          <w:sz w:val="16"/>
          <w:szCs w:val="16"/>
        </w:rPr>
        <w:br/>
        <w:t>po likwidowanych i przekształcanych samorządowych osobach prawnych</w:t>
      </w:r>
    </w:p>
    <w:p w:rsidR="008A572A" w:rsidRPr="000A6485" w:rsidRDefault="008A572A" w:rsidP="008A572A">
      <w:pPr>
        <w:pStyle w:val="Akapitzlist"/>
        <w:numPr>
          <w:ilvl w:val="0"/>
          <w:numId w:val="34"/>
        </w:numPr>
        <w:spacing w:before="120" w:after="120"/>
        <w:ind w:left="567" w:hanging="283"/>
        <w:jc w:val="both"/>
        <w:rPr>
          <w:rFonts w:ascii="Verdana" w:hAnsi="Verdana"/>
          <w:bCs/>
          <w:sz w:val="16"/>
          <w:szCs w:val="16"/>
        </w:rPr>
      </w:pPr>
      <w:r w:rsidRPr="000A6485">
        <w:rPr>
          <w:rFonts w:ascii="Verdana" w:hAnsi="Verdana"/>
          <w:bCs/>
          <w:sz w:val="16"/>
          <w:szCs w:val="16"/>
        </w:rPr>
        <w:t>spłaty zobowiązań dłużnych, o których mowa w pozycji 5.1 wzoru WPF, wynikających wyłącznie z tytułu zobowiązań już zaciągniętych</w:t>
      </w:r>
    </w:p>
    <w:p w:rsidR="008A572A" w:rsidRPr="000A6485" w:rsidRDefault="008A572A" w:rsidP="008A572A">
      <w:pPr>
        <w:pStyle w:val="Akapitzlist"/>
        <w:numPr>
          <w:ilvl w:val="0"/>
          <w:numId w:val="34"/>
        </w:numPr>
        <w:spacing w:before="120" w:after="120"/>
        <w:ind w:left="567" w:hanging="283"/>
        <w:jc w:val="both"/>
        <w:rPr>
          <w:rFonts w:ascii="Verdana" w:hAnsi="Verdana"/>
          <w:bCs/>
          <w:sz w:val="16"/>
          <w:szCs w:val="16"/>
        </w:rPr>
      </w:pPr>
      <w:r w:rsidRPr="000A6485">
        <w:rPr>
          <w:rFonts w:ascii="Verdana" w:hAnsi="Verdana"/>
          <w:bCs/>
          <w:sz w:val="16"/>
          <w:szCs w:val="16"/>
        </w:rPr>
        <w:t>wydatki zmniejszające dług, w tym spłata zobowiązań wymagalnych i zobowiązań zaliczanych do tytułu dłużnego – kredyt i pożyczka</w:t>
      </w:r>
    </w:p>
    <w:p w:rsidR="008A572A" w:rsidRPr="000A6485" w:rsidRDefault="008A572A" w:rsidP="008A572A">
      <w:pPr>
        <w:pStyle w:val="Akapitzlist"/>
        <w:numPr>
          <w:ilvl w:val="0"/>
          <w:numId w:val="34"/>
        </w:numPr>
        <w:spacing w:before="120" w:after="120"/>
        <w:ind w:left="567" w:hanging="283"/>
        <w:jc w:val="both"/>
        <w:rPr>
          <w:rFonts w:ascii="Verdana" w:hAnsi="Verdana"/>
          <w:bCs/>
          <w:sz w:val="16"/>
          <w:szCs w:val="16"/>
        </w:rPr>
      </w:pPr>
      <w:r>
        <w:rPr>
          <w:rFonts w:ascii="Verdana" w:hAnsi="Verdana"/>
          <w:bCs/>
          <w:sz w:val="16"/>
          <w:szCs w:val="16"/>
        </w:rPr>
        <w:t>kwota</w:t>
      </w:r>
      <w:r w:rsidRPr="000A6485">
        <w:rPr>
          <w:rFonts w:ascii="Verdana" w:hAnsi="Verdana"/>
          <w:bCs/>
          <w:sz w:val="16"/>
          <w:szCs w:val="16"/>
        </w:rPr>
        <w:t xml:space="preserve"> wzrostu (+) / spadku(-) kwoty długu wynikającą z operacji </w:t>
      </w:r>
      <w:proofErr w:type="spellStart"/>
      <w:r w:rsidRPr="000A6485">
        <w:rPr>
          <w:rFonts w:ascii="Verdana" w:hAnsi="Verdana"/>
          <w:bCs/>
          <w:sz w:val="16"/>
          <w:szCs w:val="16"/>
        </w:rPr>
        <w:t>niekasowych</w:t>
      </w:r>
      <w:proofErr w:type="spellEnd"/>
      <w:r w:rsidRPr="000A6485">
        <w:rPr>
          <w:rFonts w:ascii="Verdana" w:hAnsi="Verdana"/>
          <w:bCs/>
          <w:sz w:val="16"/>
          <w:szCs w:val="16"/>
        </w:rPr>
        <w:t xml:space="preserve"> (m.in. umorzenia, różnice kursowe)</w:t>
      </w:r>
    </w:p>
    <w:p w:rsidR="008A572A" w:rsidRDefault="008A572A" w:rsidP="008A572A">
      <w:pPr>
        <w:pStyle w:val="Akapitzlist"/>
        <w:numPr>
          <w:ilvl w:val="0"/>
          <w:numId w:val="34"/>
        </w:numPr>
        <w:spacing w:before="120" w:after="120"/>
        <w:ind w:left="567" w:hanging="283"/>
        <w:jc w:val="both"/>
        <w:rPr>
          <w:rFonts w:ascii="Verdana" w:hAnsi="Verdana"/>
          <w:bCs/>
          <w:sz w:val="16"/>
          <w:szCs w:val="16"/>
        </w:rPr>
      </w:pPr>
      <w:r>
        <w:rPr>
          <w:rFonts w:ascii="Verdana" w:hAnsi="Verdana"/>
          <w:bCs/>
          <w:sz w:val="16"/>
          <w:szCs w:val="16"/>
        </w:rPr>
        <w:t>wcześniejsza spłata</w:t>
      </w:r>
      <w:r w:rsidRPr="000A6485">
        <w:rPr>
          <w:rFonts w:ascii="Verdana" w:hAnsi="Verdana"/>
          <w:bCs/>
          <w:sz w:val="16"/>
          <w:szCs w:val="16"/>
        </w:rPr>
        <w:t xml:space="preserve"> zobowiązań, wyłączon</w:t>
      </w:r>
      <w:r>
        <w:rPr>
          <w:rFonts w:ascii="Verdana" w:hAnsi="Verdana"/>
          <w:bCs/>
          <w:sz w:val="16"/>
          <w:szCs w:val="16"/>
        </w:rPr>
        <w:t>a</w:t>
      </w:r>
      <w:r w:rsidRPr="000A6485">
        <w:rPr>
          <w:rFonts w:ascii="Verdana" w:hAnsi="Verdana"/>
          <w:bCs/>
          <w:sz w:val="16"/>
          <w:szCs w:val="16"/>
        </w:rPr>
        <w:t xml:space="preserve"> z limi</w:t>
      </w:r>
      <w:r>
        <w:rPr>
          <w:rFonts w:ascii="Verdana" w:hAnsi="Verdana"/>
          <w:bCs/>
          <w:sz w:val="16"/>
          <w:szCs w:val="16"/>
        </w:rPr>
        <w:t>tu spłaty zobowiązań, dokonywana</w:t>
      </w:r>
      <w:r w:rsidRPr="000A6485">
        <w:rPr>
          <w:rFonts w:ascii="Verdana" w:hAnsi="Verdana"/>
          <w:bCs/>
          <w:sz w:val="16"/>
          <w:szCs w:val="16"/>
        </w:rPr>
        <w:t xml:space="preserve"> w formie wydatków budżetowych</w:t>
      </w:r>
    </w:p>
    <w:p w:rsidR="008A572A" w:rsidRDefault="008A572A" w:rsidP="008A572A">
      <w:pPr>
        <w:pStyle w:val="Akapitzlist"/>
        <w:numPr>
          <w:ilvl w:val="0"/>
          <w:numId w:val="34"/>
        </w:numPr>
        <w:spacing w:before="120" w:after="120"/>
        <w:ind w:left="567" w:hanging="283"/>
        <w:jc w:val="both"/>
        <w:rPr>
          <w:rFonts w:ascii="Verdana" w:hAnsi="Verdana"/>
          <w:bCs/>
          <w:sz w:val="16"/>
          <w:szCs w:val="16"/>
        </w:rPr>
      </w:pPr>
      <w:r>
        <w:rPr>
          <w:rFonts w:ascii="Verdana" w:hAnsi="Verdana"/>
          <w:bCs/>
          <w:sz w:val="16"/>
          <w:szCs w:val="16"/>
        </w:rPr>
        <w:t>w</w:t>
      </w:r>
      <w:r w:rsidRPr="009A439B">
        <w:rPr>
          <w:rFonts w:ascii="Verdana" w:hAnsi="Verdana"/>
          <w:bCs/>
          <w:sz w:val="16"/>
          <w:szCs w:val="16"/>
        </w:rPr>
        <w:t>ykup papierów wartościowych, spłaty rat kredytów i pożyczek wraz z należnymi odsetkami i dyskontem, odpowiednio emitowanych lub zaciąganych do równowartości kwoty ubytku w wykonanych dochodach jednostki samorządu terytorialnego będącego skutkiem wystąpienia COVID-19</w:t>
      </w:r>
    </w:p>
    <w:p w:rsidR="008A572A" w:rsidRPr="000A6485" w:rsidRDefault="008A572A" w:rsidP="008A572A">
      <w:pPr>
        <w:pStyle w:val="Akapitzlist"/>
        <w:numPr>
          <w:ilvl w:val="0"/>
          <w:numId w:val="34"/>
        </w:numPr>
        <w:spacing w:before="120" w:after="120"/>
        <w:ind w:left="567" w:hanging="283"/>
        <w:jc w:val="both"/>
        <w:rPr>
          <w:rFonts w:ascii="Verdana" w:hAnsi="Verdana"/>
          <w:bCs/>
          <w:sz w:val="16"/>
          <w:szCs w:val="16"/>
        </w:rPr>
      </w:pPr>
      <w:r>
        <w:rPr>
          <w:rFonts w:ascii="Verdana" w:hAnsi="Verdana"/>
          <w:bCs/>
          <w:sz w:val="16"/>
          <w:szCs w:val="16"/>
        </w:rPr>
        <w:t>w</w:t>
      </w:r>
      <w:r w:rsidRPr="00DF2B72">
        <w:rPr>
          <w:rFonts w:ascii="Verdana" w:hAnsi="Verdana"/>
          <w:bCs/>
          <w:sz w:val="16"/>
          <w:szCs w:val="16"/>
        </w:rPr>
        <w:t>ydatki bieżące podlegające ustawowemu wyłączeniu z limitu spłaty zobowiązań</w:t>
      </w:r>
    </w:p>
    <w:p w:rsidR="008A572A" w:rsidRPr="000A6485" w:rsidRDefault="008A572A" w:rsidP="008A572A">
      <w:pPr>
        <w:spacing w:before="240" w:after="240"/>
        <w:jc w:val="both"/>
        <w:rPr>
          <w:rFonts w:ascii="Verdana" w:hAnsi="Verdana"/>
          <w:b/>
          <w:sz w:val="16"/>
          <w:szCs w:val="16"/>
        </w:rPr>
      </w:pPr>
      <w:r w:rsidRPr="000A6485">
        <w:rPr>
          <w:rFonts w:ascii="Verdana" w:hAnsi="Verdana"/>
          <w:b/>
          <w:bCs/>
          <w:sz w:val="16"/>
          <w:szCs w:val="16"/>
        </w:rPr>
        <w:t>SEKCJA 11</w:t>
      </w:r>
      <w:r w:rsidRPr="000A6485">
        <w:rPr>
          <w:rFonts w:ascii="Verdana" w:hAnsi="Verdana"/>
          <w:sz w:val="16"/>
          <w:szCs w:val="16"/>
        </w:rPr>
        <w:t xml:space="preserve"> – </w:t>
      </w:r>
      <w:r w:rsidRPr="000A6485">
        <w:rPr>
          <w:rFonts w:ascii="Verdana" w:hAnsi="Verdana"/>
          <w:b/>
          <w:sz w:val="16"/>
          <w:szCs w:val="16"/>
        </w:rPr>
        <w:t>dane dotyczące emitowanych obligacji przychodowych</w:t>
      </w:r>
    </w:p>
    <w:p w:rsidR="008A572A" w:rsidRPr="000A6485" w:rsidRDefault="008A572A" w:rsidP="008A572A">
      <w:pPr>
        <w:spacing w:before="120" w:after="120"/>
        <w:jc w:val="both"/>
        <w:rPr>
          <w:rFonts w:ascii="Verdana" w:hAnsi="Verdana"/>
          <w:bCs/>
          <w:sz w:val="16"/>
          <w:szCs w:val="16"/>
        </w:rPr>
      </w:pPr>
      <w:r w:rsidRPr="000A6485">
        <w:rPr>
          <w:rFonts w:ascii="Verdana" w:hAnsi="Verdana"/>
          <w:bCs/>
          <w:sz w:val="16"/>
          <w:szCs w:val="16"/>
        </w:rPr>
        <w:t xml:space="preserve">W </w:t>
      </w:r>
      <w:r>
        <w:rPr>
          <w:rFonts w:ascii="Verdana" w:hAnsi="Verdana"/>
          <w:bCs/>
          <w:sz w:val="16"/>
          <w:szCs w:val="16"/>
        </w:rPr>
        <w:t xml:space="preserve">WPF </w:t>
      </w:r>
      <w:r w:rsidRPr="00932633">
        <w:rPr>
          <w:rFonts w:ascii="Verdana" w:eastAsiaTheme="minorEastAsia" w:hAnsi="Verdana" w:cs="Verdana"/>
          <w:color w:val="000000"/>
          <w:sz w:val="16"/>
          <w:szCs w:val="16"/>
        </w:rPr>
        <w:t>2023</w:t>
      </w:r>
      <w:r w:rsidRPr="000A6485">
        <w:rPr>
          <w:rFonts w:ascii="Verdana" w:hAnsi="Verdana"/>
          <w:bCs/>
          <w:sz w:val="16"/>
          <w:szCs w:val="16"/>
        </w:rPr>
        <w:t>-2050 nie zaplanowano emisji obligacji przychodów, nie występują również zobowiązania z tego tytułu z lat poprzednich.</w:t>
      </w:r>
    </w:p>
    <w:p w:rsidR="008A572A" w:rsidRPr="000A6485" w:rsidRDefault="008A572A" w:rsidP="008A572A">
      <w:pPr>
        <w:spacing w:before="240" w:after="240"/>
        <w:jc w:val="both"/>
        <w:rPr>
          <w:rFonts w:ascii="Verdana" w:hAnsi="Verdana"/>
          <w:b/>
          <w:sz w:val="16"/>
          <w:szCs w:val="16"/>
        </w:rPr>
      </w:pPr>
      <w:r w:rsidRPr="000A6485">
        <w:rPr>
          <w:rFonts w:ascii="Verdana" w:hAnsi="Verdana"/>
          <w:b/>
          <w:bCs/>
          <w:sz w:val="16"/>
          <w:szCs w:val="16"/>
        </w:rPr>
        <w:t>SEKCJA 12</w:t>
      </w:r>
      <w:r w:rsidRPr="000A6485">
        <w:rPr>
          <w:rFonts w:ascii="Verdana" w:hAnsi="Verdana"/>
          <w:sz w:val="16"/>
          <w:szCs w:val="16"/>
        </w:rPr>
        <w:t xml:space="preserve"> – </w:t>
      </w:r>
      <w:r w:rsidRPr="000A6485">
        <w:rPr>
          <w:rFonts w:ascii="Verdana" w:hAnsi="Verdana"/>
          <w:b/>
          <w:sz w:val="16"/>
          <w:szCs w:val="16"/>
        </w:rPr>
        <w:t xml:space="preserve">stopnie niezachowania relacji określonych w art. 242-244 ustawy o finansach publicznych </w:t>
      </w:r>
    </w:p>
    <w:p w:rsidR="008A572A" w:rsidRPr="000A6485" w:rsidRDefault="008A572A" w:rsidP="008A572A">
      <w:pPr>
        <w:spacing w:before="120" w:after="120"/>
        <w:jc w:val="both"/>
        <w:rPr>
          <w:rFonts w:ascii="Verdana" w:hAnsi="Verdana"/>
          <w:bCs/>
          <w:sz w:val="18"/>
          <w:szCs w:val="18"/>
        </w:rPr>
      </w:pPr>
      <w:r w:rsidRPr="000A6485">
        <w:rPr>
          <w:rFonts w:ascii="Verdana" w:hAnsi="Verdana"/>
          <w:bCs/>
          <w:sz w:val="16"/>
          <w:szCs w:val="16"/>
        </w:rPr>
        <w:lastRenderedPageBreak/>
        <w:t xml:space="preserve">W </w:t>
      </w:r>
      <w:r>
        <w:rPr>
          <w:rFonts w:ascii="Verdana" w:hAnsi="Verdana"/>
          <w:bCs/>
          <w:sz w:val="16"/>
          <w:szCs w:val="16"/>
        </w:rPr>
        <w:t xml:space="preserve">WPF </w:t>
      </w:r>
      <w:r w:rsidRPr="00932633">
        <w:rPr>
          <w:rFonts w:ascii="Verdana" w:eastAsiaTheme="minorEastAsia" w:hAnsi="Verdana" w:cs="Verdana"/>
          <w:color w:val="000000"/>
          <w:sz w:val="16"/>
          <w:szCs w:val="16"/>
        </w:rPr>
        <w:t>2023</w:t>
      </w:r>
      <w:r w:rsidRPr="000A6485">
        <w:rPr>
          <w:rFonts w:ascii="Verdana" w:hAnsi="Verdana"/>
          <w:bCs/>
          <w:sz w:val="16"/>
          <w:szCs w:val="16"/>
        </w:rPr>
        <w:t xml:space="preserve">-2050 spełniona jest relacja zrównoważenia wydatków bieżących (pkt 8.1) i indywidualnego </w:t>
      </w:r>
      <w:r>
        <w:rPr>
          <w:rFonts w:ascii="Verdana" w:hAnsi="Verdana"/>
          <w:bCs/>
          <w:sz w:val="16"/>
          <w:szCs w:val="16"/>
        </w:rPr>
        <w:t>w</w:t>
      </w:r>
      <w:r w:rsidRPr="000A6485">
        <w:rPr>
          <w:rFonts w:ascii="Verdana" w:hAnsi="Verdana"/>
          <w:bCs/>
          <w:sz w:val="16"/>
          <w:szCs w:val="16"/>
        </w:rPr>
        <w:t>skaźnika spłaty zobowiązań (pkt 8.2), o których mowa w przepisach art. 242-244 ustawy o finansach publicznych.</w:t>
      </w:r>
    </w:p>
    <w:p w:rsidR="008A572A" w:rsidRDefault="008A572A" w:rsidP="008A572A"/>
    <w:p w:rsidR="008A572A" w:rsidRPr="00741981" w:rsidRDefault="008A572A" w:rsidP="008A572A">
      <w:pPr>
        <w:rPr>
          <w:rFonts w:ascii="Verdana" w:hAnsi="Verdana"/>
          <w:b/>
          <w:sz w:val="18"/>
          <w:szCs w:val="18"/>
        </w:rPr>
      </w:pPr>
      <w:r w:rsidRPr="00741981">
        <w:rPr>
          <w:rFonts w:ascii="Verdana" w:hAnsi="Verdana"/>
          <w:b/>
          <w:sz w:val="18"/>
          <w:szCs w:val="18"/>
        </w:rPr>
        <w:t>Dodatkowe informacje:</w:t>
      </w:r>
    </w:p>
    <w:p w:rsidR="008A572A" w:rsidRPr="0001390D" w:rsidRDefault="008A572A" w:rsidP="008A572A">
      <w:pPr>
        <w:spacing w:before="60" w:after="60"/>
        <w:rPr>
          <w:rFonts w:ascii="Verdana" w:hAnsi="Verdana"/>
          <w:b/>
          <w:sz w:val="16"/>
          <w:szCs w:val="16"/>
        </w:rPr>
      </w:pPr>
      <w:r>
        <w:rPr>
          <w:rFonts w:ascii="Verdana" w:hAnsi="Verdana"/>
          <w:b/>
          <w:sz w:val="16"/>
          <w:szCs w:val="16"/>
        </w:rPr>
        <w:t>Wieloletnia Prognoza Finansowa</w:t>
      </w:r>
      <w:r w:rsidRPr="0001390D">
        <w:rPr>
          <w:rFonts w:ascii="Verdana" w:hAnsi="Verdana"/>
          <w:b/>
          <w:sz w:val="16"/>
          <w:szCs w:val="16"/>
        </w:rPr>
        <w:t xml:space="preserve"> m.st. Warszawy na lata 2023-2050 nie uwzględnia:</w:t>
      </w:r>
    </w:p>
    <w:p w:rsidR="008A572A" w:rsidRPr="0001390D" w:rsidRDefault="008A572A" w:rsidP="008A572A">
      <w:pPr>
        <w:pStyle w:val="Akapitzlist"/>
        <w:numPr>
          <w:ilvl w:val="0"/>
          <w:numId w:val="68"/>
        </w:numPr>
        <w:spacing w:before="60" w:after="60"/>
        <w:ind w:left="567" w:hanging="207"/>
        <w:contextualSpacing w:val="0"/>
        <w:jc w:val="both"/>
        <w:rPr>
          <w:rFonts w:ascii="Verdana" w:hAnsi="Verdana"/>
          <w:b/>
          <w:sz w:val="16"/>
          <w:szCs w:val="16"/>
        </w:rPr>
      </w:pPr>
      <w:r w:rsidRPr="0001390D">
        <w:rPr>
          <w:rFonts w:ascii="Verdana" w:hAnsi="Verdana"/>
          <w:b/>
          <w:sz w:val="16"/>
          <w:szCs w:val="16"/>
        </w:rPr>
        <w:t xml:space="preserve">potencjalnego dofinansowania ze środków unijnych pochodzącego z perspektywy finansowej 2021-2027 </w:t>
      </w:r>
      <w:r w:rsidRPr="0001390D">
        <w:rPr>
          <w:rFonts w:ascii="Verdana" w:hAnsi="Verdana"/>
          <w:b/>
          <w:sz w:val="16"/>
          <w:szCs w:val="16"/>
        </w:rPr>
        <w:br/>
        <w:t>– ze względu na brak wiążących informacji w niniejszej kwestii,</w:t>
      </w:r>
    </w:p>
    <w:p w:rsidR="008A572A" w:rsidRPr="0001390D" w:rsidRDefault="008A572A" w:rsidP="008A572A">
      <w:pPr>
        <w:pStyle w:val="Akapitzlist"/>
        <w:numPr>
          <w:ilvl w:val="0"/>
          <w:numId w:val="68"/>
        </w:numPr>
        <w:spacing w:before="60" w:after="60"/>
        <w:ind w:left="567" w:hanging="207"/>
        <w:contextualSpacing w:val="0"/>
        <w:jc w:val="both"/>
        <w:rPr>
          <w:rFonts w:ascii="Verdana" w:hAnsi="Verdana"/>
          <w:b/>
          <w:sz w:val="16"/>
          <w:szCs w:val="16"/>
        </w:rPr>
      </w:pPr>
      <w:r w:rsidRPr="0001390D">
        <w:rPr>
          <w:rFonts w:ascii="Verdana" w:hAnsi="Verdana"/>
          <w:b/>
          <w:sz w:val="16"/>
          <w:szCs w:val="16"/>
        </w:rPr>
        <w:t>skutków zmian prawnych wynikających z projektów ustaw skierowanych do Senatu RP wzmacniających finanse jednostek samorządu terytorialnego – ze względu na nie zakończony proces legislacyjny.</w:t>
      </w:r>
    </w:p>
    <w:p w:rsidR="008A572A" w:rsidRPr="0001390D" w:rsidRDefault="008A572A" w:rsidP="008A572A">
      <w:pPr>
        <w:spacing w:before="60" w:after="60"/>
        <w:jc w:val="both"/>
        <w:rPr>
          <w:rFonts w:ascii="Verdana" w:hAnsi="Verdana"/>
          <w:b/>
          <w:sz w:val="16"/>
          <w:szCs w:val="16"/>
        </w:rPr>
      </w:pPr>
      <w:r w:rsidRPr="0001390D">
        <w:rPr>
          <w:rFonts w:ascii="Verdana" w:hAnsi="Verdana"/>
          <w:b/>
          <w:sz w:val="16"/>
          <w:szCs w:val="16"/>
        </w:rPr>
        <w:t>W dniu 21 lipca 2022 r. do Senatu RP skierowany został „</w:t>
      </w:r>
      <w:r w:rsidRPr="0001390D">
        <w:rPr>
          <w:rFonts w:ascii="Verdana" w:hAnsi="Verdana"/>
          <w:b/>
          <w:bCs/>
          <w:sz w:val="16"/>
          <w:szCs w:val="16"/>
        </w:rPr>
        <w:t>Program działań wzmacniających dochody JST w celu zapewnienia możliwości realizacji zadań wobec mieszkańców</w:t>
      </w:r>
      <w:r w:rsidRPr="0001390D">
        <w:rPr>
          <w:rFonts w:ascii="Verdana" w:hAnsi="Verdana"/>
          <w:b/>
          <w:sz w:val="16"/>
          <w:szCs w:val="16"/>
        </w:rPr>
        <w:t>”.</w:t>
      </w:r>
    </w:p>
    <w:p w:rsidR="008A572A" w:rsidRPr="0001390D" w:rsidRDefault="008A572A" w:rsidP="008A572A">
      <w:pPr>
        <w:spacing w:before="60" w:after="60"/>
        <w:jc w:val="both"/>
        <w:rPr>
          <w:rFonts w:ascii="Verdana" w:hAnsi="Verdana"/>
          <w:sz w:val="16"/>
          <w:szCs w:val="16"/>
        </w:rPr>
      </w:pPr>
      <w:r w:rsidRPr="0001390D">
        <w:rPr>
          <w:rFonts w:ascii="Verdana" w:hAnsi="Verdana"/>
          <w:sz w:val="16"/>
          <w:szCs w:val="16"/>
        </w:rPr>
        <w:t>Pakiet rozwiązań złożony jest z dwóch części:</w:t>
      </w:r>
    </w:p>
    <w:p w:rsidR="008A572A" w:rsidRPr="0001390D" w:rsidRDefault="008A572A" w:rsidP="008A572A">
      <w:pPr>
        <w:pStyle w:val="Akapitzlist"/>
        <w:numPr>
          <w:ilvl w:val="0"/>
          <w:numId w:val="62"/>
        </w:numPr>
        <w:spacing w:before="60" w:after="60"/>
        <w:ind w:left="567" w:hanging="283"/>
        <w:contextualSpacing w:val="0"/>
        <w:jc w:val="both"/>
        <w:rPr>
          <w:rFonts w:ascii="Verdana" w:hAnsi="Verdana"/>
          <w:sz w:val="16"/>
          <w:szCs w:val="16"/>
        </w:rPr>
      </w:pPr>
      <w:r w:rsidRPr="0001390D">
        <w:rPr>
          <w:rFonts w:ascii="Verdana" w:hAnsi="Verdana"/>
          <w:sz w:val="16"/>
          <w:szCs w:val="16"/>
        </w:rPr>
        <w:t>zmian w ustawie o dochodach JST, przywracających ich systemowe funkcje,</w:t>
      </w:r>
    </w:p>
    <w:p w:rsidR="008A572A" w:rsidRDefault="008A572A" w:rsidP="008A572A">
      <w:pPr>
        <w:pStyle w:val="Akapitzlist"/>
        <w:numPr>
          <w:ilvl w:val="0"/>
          <w:numId w:val="62"/>
        </w:numPr>
        <w:spacing w:before="60" w:after="60"/>
        <w:ind w:left="567" w:hanging="283"/>
        <w:contextualSpacing w:val="0"/>
        <w:jc w:val="both"/>
        <w:rPr>
          <w:rFonts w:ascii="Verdana" w:hAnsi="Verdana"/>
          <w:sz w:val="16"/>
          <w:szCs w:val="16"/>
        </w:rPr>
      </w:pPr>
      <w:r w:rsidRPr="0001390D">
        <w:rPr>
          <w:rFonts w:ascii="Verdana" w:hAnsi="Verdana"/>
          <w:sz w:val="16"/>
          <w:szCs w:val="16"/>
        </w:rPr>
        <w:t>działań doraźnych, w tym osłonowych, zmierzających do zabezpieczenia możliwości reali</w:t>
      </w:r>
      <w:r w:rsidRPr="0001390D">
        <w:rPr>
          <w:rFonts w:ascii="Verdana" w:hAnsi="Verdana"/>
          <w:sz w:val="16"/>
          <w:szCs w:val="16"/>
        </w:rPr>
        <w:softHyphen/>
        <w:t>zacji podstawowych usług publicznych na rzecz mieszkańców w czasie obecnego kryzysu.</w:t>
      </w:r>
    </w:p>
    <w:p w:rsidR="008A572A" w:rsidRPr="000B158E" w:rsidRDefault="008A572A" w:rsidP="008A572A">
      <w:pPr>
        <w:pStyle w:val="Akapitzlist"/>
        <w:numPr>
          <w:ilvl w:val="0"/>
          <w:numId w:val="60"/>
        </w:numPr>
        <w:spacing w:before="60" w:after="60"/>
        <w:ind w:left="567" w:hanging="283"/>
        <w:contextualSpacing w:val="0"/>
        <w:rPr>
          <w:rFonts w:ascii="Verdana" w:hAnsi="Verdana"/>
          <w:b/>
          <w:sz w:val="16"/>
          <w:szCs w:val="16"/>
        </w:rPr>
      </w:pPr>
      <w:r w:rsidRPr="000B158E">
        <w:rPr>
          <w:rFonts w:ascii="Verdana" w:hAnsi="Verdana"/>
          <w:b/>
          <w:sz w:val="16"/>
          <w:szCs w:val="16"/>
        </w:rPr>
        <w:t>Zmiany w ustawie o dochodach JST w ramach propozycji senackiej:</w:t>
      </w:r>
    </w:p>
    <w:p w:rsidR="008A572A" w:rsidRPr="00DF7892" w:rsidRDefault="008A572A" w:rsidP="008A572A">
      <w:pPr>
        <w:spacing w:before="60" w:after="60"/>
        <w:jc w:val="both"/>
        <w:rPr>
          <w:rFonts w:ascii="Verdana" w:hAnsi="Verdana"/>
          <w:sz w:val="16"/>
          <w:szCs w:val="16"/>
        </w:rPr>
      </w:pPr>
      <w:r w:rsidRPr="00DF7892">
        <w:rPr>
          <w:rFonts w:ascii="Verdana" w:hAnsi="Verdana"/>
          <w:sz w:val="16"/>
          <w:szCs w:val="16"/>
        </w:rPr>
        <w:t xml:space="preserve">Odbudowa systemu zasilania finansowego JST (zrekompensowanie ubytków spowodowanych zmianami </w:t>
      </w:r>
      <w:r>
        <w:rPr>
          <w:rFonts w:ascii="Verdana" w:hAnsi="Verdana"/>
          <w:sz w:val="16"/>
          <w:szCs w:val="16"/>
        </w:rPr>
        <w:br/>
      </w:r>
      <w:r w:rsidRPr="00DF7892">
        <w:rPr>
          <w:rFonts w:ascii="Verdana" w:hAnsi="Verdana"/>
          <w:sz w:val="16"/>
          <w:szCs w:val="16"/>
        </w:rPr>
        <w:t>w podatku PIT oraz uzupełnienie luki w finansowaniu oświaty) (udziały JST w PIT = 100%):</w:t>
      </w:r>
    </w:p>
    <w:p w:rsidR="008A572A" w:rsidRPr="00DF7892" w:rsidRDefault="008A572A" w:rsidP="008A572A">
      <w:pPr>
        <w:spacing w:before="60" w:after="60"/>
        <w:jc w:val="both"/>
        <w:rPr>
          <w:rFonts w:ascii="Verdana" w:hAnsi="Verdana"/>
          <w:sz w:val="16"/>
          <w:szCs w:val="16"/>
        </w:rPr>
      </w:pPr>
      <w:r w:rsidRPr="00DF7892">
        <w:rPr>
          <w:rFonts w:ascii="Verdana" w:hAnsi="Verdana"/>
          <w:sz w:val="16"/>
          <w:szCs w:val="16"/>
        </w:rPr>
        <w:t>a) podwyższenie procentowych udziałów JST we wpływach z PIT:</w:t>
      </w:r>
    </w:p>
    <w:p w:rsidR="008A572A" w:rsidRPr="00DF7892" w:rsidRDefault="008A572A" w:rsidP="008A572A">
      <w:pPr>
        <w:spacing w:before="60" w:after="60"/>
        <w:jc w:val="both"/>
        <w:rPr>
          <w:rFonts w:ascii="Verdana" w:hAnsi="Verdana"/>
          <w:sz w:val="16"/>
          <w:szCs w:val="16"/>
        </w:rPr>
      </w:pPr>
      <w:r w:rsidRPr="00DF7892">
        <w:rPr>
          <w:rFonts w:ascii="Verdana" w:hAnsi="Verdana"/>
          <w:sz w:val="16"/>
          <w:szCs w:val="16"/>
        </w:rPr>
        <w:t>- dla gmin o 38,05 pkt. proc., tj. z 38,34 do 76,39%;</w:t>
      </w:r>
    </w:p>
    <w:p w:rsidR="008A572A" w:rsidRPr="00DF7892" w:rsidRDefault="008A572A" w:rsidP="008A572A">
      <w:pPr>
        <w:spacing w:before="60" w:after="60"/>
        <w:jc w:val="both"/>
        <w:rPr>
          <w:rFonts w:ascii="Verdana" w:hAnsi="Verdana"/>
          <w:sz w:val="16"/>
          <w:szCs w:val="16"/>
        </w:rPr>
      </w:pPr>
      <w:r w:rsidRPr="00DF7892">
        <w:rPr>
          <w:rFonts w:ascii="Verdana" w:hAnsi="Verdana"/>
          <w:sz w:val="16"/>
          <w:szCs w:val="16"/>
        </w:rPr>
        <w:t>- dla powiatów o 10,17 pkt. proc., tj. z 10,25 do 20,42%;</w:t>
      </w:r>
    </w:p>
    <w:p w:rsidR="008A572A" w:rsidRPr="00DF7892" w:rsidRDefault="008A572A" w:rsidP="008A572A">
      <w:pPr>
        <w:spacing w:before="60" w:after="60"/>
        <w:jc w:val="both"/>
        <w:rPr>
          <w:rFonts w:ascii="Verdana" w:hAnsi="Verdana"/>
          <w:sz w:val="16"/>
          <w:szCs w:val="16"/>
        </w:rPr>
      </w:pPr>
      <w:r w:rsidRPr="00DF7892">
        <w:rPr>
          <w:rFonts w:ascii="Verdana" w:hAnsi="Verdana"/>
          <w:sz w:val="16"/>
          <w:szCs w:val="16"/>
        </w:rPr>
        <w:t>- dla województw o 1,59 pkt. proc., tj. z 1,60 do 3,19%.</w:t>
      </w:r>
    </w:p>
    <w:p w:rsidR="008A572A" w:rsidRPr="00DF7892" w:rsidRDefault="008A572A" w:rsidP="008A572A">
      <w:pPr>
        <w:spacing w:before="60" w:after="60"/>
        <w:jc w:val="both"/>
        <w:rPr>
          <w:rFonts w:ascii="Verdana" w:hAnsi="Verdana"/>
          <w:sz w:val="16"/>
          <w:szCs w:val="16"/>
        </w:rPr>
      </w:pPr>
      <w:r w:rsidRPr="00DF7892">
        <w:rPr>
          <w:rFonts w:ascii="Verdana" w:hAnsi="Verdana"/>
          <w:sz w:val="16"/>
          <w:szCs w:val="16"/>
        </w:rPr>
        <w:t>b) wprowadzenie mechanizmu indeksacji części oświatowej subwencji ogólnej, poprzez określenie jej wysokości na 3% PKB.</w:t>
      </w:r>
    </w:p>
    <w:p w:rsidR="008A572A" w:rsidRPr="00DF7892" w:rsidRDefault="008A572A" w:rsidP="008A572A">
      <w:pPr>
        <w:spacing w:before="60" w:after="60"/>
        <w:jc w:val="both"/>
        <w:rPr>
          <w:rFonts w:ascii="Verdana" w:hAnsi="Verdana"/>
          <w:sz w:val="16"/>
          <w:szCs w:val="16"/>
        </w:rPr>
      </w:pPr>
      <w:r w:rsidRPr="00DF7892">
        <w:rPr>
          <w:rFonts w:ascii="Verdana" w:hAnsi="Verdana"/>
          <w:sz w:val="16"/>
          <w:szCs w:val="16"/>
        </w:rPr>
        <w:t>Podniesienie udziałów JST we wpływach z PIT stanowi najprostszą, najbardziej przejrzystą i sprawiedliwą rekom</w:t>
      </w:r>
      <w:r w:rsidRPr="00DF7892">
        <w:rPr>
          <w:rFonts w:ascii="Verdana" w:hAnsi="Verdana"/>
          <w:sz w:val="16"/>
          <w:szCs w:val="16"/>
        </w:rPr>
        <w:softHyphen/>
        <w:t>pensatę ubytku dochodów z udziałów we wpływach z PIT, która nastąpi dokładnie tam, gdzie mają miejsce ubytki. Równocześnie przywraca dochodom z tego źródła ich podstawową funkcję wewnątrz systemu dochodów komunalnych.</w:t>
      </w:r>
    </w:p>
    <w:p w:rsidR="008A572A" w:rsidRPr="00DF7892" w:rsidRDefault="008A572A" w:rsidP="008A572A">
      <w:pPr>
        <w:spacing w:before="60" w:after="60"/>
        <w:jc w:val="both"/>
        <w:rPr>
          <w:rFonts w:ascii="Verdana" w:hAnsi="Verdana"/>
          <w:sz w:val="16"/>
          <w:szCs w:val="16"/>
        </w:rPr>
      </w:pPr>
      <w:r w:rsidRPr="00DF7892">
        <w:rPr>
          <w:rFonts w:ascii="Verdana" w:hAnsi="Verdana"/>
          <w:sz w:val="16"/>
          <w:szCs w:val="16"/>
        </w:rPr>
        <w:t xml:space="preserve">Rekompensata ubytków ustawowych spowodowałaby wzrost udziałów JST w PIT do 82,29%, w tym odpowiednio: dla gmin - do 62,86%, dla powiatów - do 16,81% i dla województw - do 2,62%. Zrekompensowanie luki </w:t>
      </w:r>
      <w:r>
        <w:rPr>
          <w:rFonts w:ascii="Verdana" w:hAnsi="Verdana"/>
          <w:sz w:val="16"/>
          <w:szCs w:val="16"/>
        </w:rPr>
        <w:br/>
      </w:r>
      <w:r w:rsidRPr="00DF7892">
        <w:rPr>
          <w:rFonts w:ascii="Verdana" w:hAnsi="Verdana"/>
          <w:sz w:val="16"/>
          <w:szCs w:val="16"/>
        </w:rPr>
        <w:t>w finansowaniu oświaty powoduje wzrost łącznych udziałów JST w PIT do 98,84% wpływów oszacowanych na rok 2023 (wg OSR do „Polskiego ładu 2”).</w:t>
      </w:r>
    </w:p>
    <w:p w:rsidR="008A572A" w:rsidRPr="00DF7892" w:rsidRDefault="008A572A" w:rsidP="008A572A">
      <w:pPr>
        <w:spacing w:before="60" w:after="60"/>
        <w:jc w:val="both"/>
        <w:rPr>
          <w:rFonts w:ascii="Verdana" w:hAnsi="Verdana"/>
          <w:sz w:val="16"/>
          <w:szCs w:val="16"/>
        </w:rPr>
      </w:pPr>
      <w:r w:rsidRPr="00DF7892">
        <w:rPr>
          <w:rFonts w:ascii="Verdana" w:hAnsi="Verdana"/>
          <w:sz w:val="16"/>
          <w:szCs w:val="16"/>
        </w:rPr>
        <w:t>Ta zmiana w ustawie o dochodach JST spowoduje likwidację wprowadzonego w 2021</w:t>
      </w:r>
      <w:r>
        <w:rPr>
          <w:rFonts w:ascii="Verdana" w:hAnsi="Verdana"/>
          <w:sz w:val="16"/>
          <w:szCs w:val="16"/>
        </w:rPr>
        <w:t xml:space="preserve"> r.</w:t>
      </w:r>
      <w:r w:rsidRPr="00DF7892">
        <w:rPr>
          <w:rFonts w:ascii="Verdana" w:hAnsi="Verdana"/>
          <w:sz w:val="16"/>
          <w:szCs w:val="16"/>
        </w:rPr>
        <w:t xml:space="preserve"> mecha</w:t>
      </w:r>
      <w:r w:rsidRPr="00DF7892">
        <w:rPr>
          <w:rFonts w:ascii="Verdana" w:hAnsi="Verdana"/>
          <w:sz w:val="16"/>
          <w:szCs w:val="16"/>
        </w:rPr>
        <w:softHyphen/>
        <w:t>nizmu rekompensowania ubytków w PIT w części rozwojowej subwencji ogólnej, w odniesieniu do tzw. kwoty referencyjnej.</w:t>
      </w:r>
    </w:p>
    <w:p w:rsidR="008A572A" w:rsidRPr="00DF7892" w:rsidRDefault="008A572A" w:rsidP="008A572A">
      <w:pPr>
        <w:spacing w:before="60" w:after="60"/>
        <w:jc w:val="both"/>
        <w:rPr>
          <w:rFonts w:ascii="Verdana" w:hAnsi="Verdana"/>
          <w:sz w:val="16"/>
          <w:szCs w:val="16"/>
        </w:rPr>
      </w:pPr>
      <w:r w:rsidRPr="00DF7892">
        <w:rPr>
          <w:rFonts w:ascii="Verdana" w:hAnsi="Verdana"/>
          <w:sz w:val="16"/>
          <w:szCs w:val="16"/>
        </w:rPr>
        <w:t>Związanie wysokości subwencji oświatowej z wielkością PKB naprawia systemowy błąd ustawy o dochodach JST z 2003 r. Zapewniała ona „</w:t>
      </w:r>
      <w:proofErr w:type="spellStart"/>
      <w:r w:rsidRPr="00DF7892">
        <w:rPr>
          <w:rFonts w:ascii="Verdana" w:hAnsi="Verdana"/>
          <w:sz w:val="16"/>
          <w:szCs w:val="16"/>
        </w:rPr>
        <w:t>niezmiejszanie</w:t>
      </w:r>
      <w:proofErr w:type="spellEnd"/>
      <w:r w:rsidRPr="00DF7892">
        <w:rPr>
          <w:rFonts w:ascii="Verdana" w:hAnsi="Verdana"/>
          <w:sz w:val="16"/>
          <w:szCs w:val="16"/>
        </w:rPr>
        <w:t xml:space="preserve">” części oświatowej subwencji ogólnej, ale nawet ta gwarancja minimum została usunięta w 2016 r. Wobec wycofania się z zamiaru standaryzacji kosztów funkcjonowania oświaty nie stworzono żadnego mechanizmu indeksacji kwoty subwencji. W rezultacie z biegiem lat w coraz mniejszym stopniu pokrywała ona potrzeby wydatkowe w dziedzinie oświaty. W ciągu 18 lat działania ustawy wzrost tej </w:t>
      </w:r>
      <w:r w:rsidRPr="00DF7892">
        <w:rPr>
          <w:rFonts w:ascii="Verdana" w:hAnsi="Verdana"/>
          <w:sz w:val="16"/>
          <w:szCs w:val="16"/>
        </w:rPr>
        <w:lastRenderedPageBreak/>
        <w:t xml:space="preserve">części subwencji był znacznie niższy niż wzrost wydatków na zadania oświatowe. Niewspółmierność ta dotyczy szczególnie lat 2016-2021. W 2015 r. łączna kwota subwencji (wraz z dotacjami na zadania bieżące) była niższa od wydatków bieżących na zadania nią objęte o 10,6 mld zł, a więc pozwalała na sfinansowanie 79,6% wydatków. W 2021 r. subwencja była niższa od wydatków bieżących już o 19,7 mld zł, a więc pozwalała na sfinansowanie tylko 72,9% wydatków bieżących. </w:t>
      </w:r>
    </w:p>
    <w:p w:rsidR="008A572A" w:rsidRPr="000B158E" w:rsidRDefault="008A572A" w:rsidP="008A572A">
      <w:pPr>
        <w:pStyle w:val="Akapitzlist"/>
        <w:numPr>
          <w:ilvl w:val="0"/>
          <w:numId w:val="60"/>
        </w:numPr>
        <w:spacing w:before="60" w:after="60"/>
        <w:ind w:left="567" w:hanging="283"/>
        <w:contextualSpacing w:val="0"/>
        <w:rPr>
          <w:rFonts w:ascii="Verdana" w:hAnsi="Verdana"/>
          <w:b/>
          <w:sz w:val="16"/>
          <w:szCs w:val="16"/>
        </w:rPr>
      </w:pPr>
      <w:r w:rsidRPr="000B158E">
        <w:rPr>
          <w:rFonts w:ascii="Verdana" w:hAnsi="Verdana"/>
          <w:b/>
          <w:sz w:val="16"/>
          <w:szCs w:val="16"/>
        </w:rPr>
        <w:t>Pakiet działań doraźnych – samorządowa tarcza antyinflacyjna – w ramach propozycji senackiej:</w:t>
      </w:r>
    </w:p>
    <w:p w:rsidR="008A572A" w:rsidRPr="00DF7892" w:rsidRDefault="008A572A" w:rsidP="008A572A">
      <w:pPr>
        <w:spacing w:before="60" w:after="60"/>
        <w:jc w:val="both"/>
        <w:rPr>
          <w:rFonts w:ascii="Verdana" w:hAnsi="Verdana"/>
          <w:sz w:val="16"/>
          <w:szCs w:val="16"/>
        </w:rPr>
      </w:pPr>
      <w:r w:rsidRPr="00DF7892">
        <w:rPr>
          <w:rFonts w:ascii="Verdana" w:hAnsi="Verdana"/>
          <w:sz w:val="16"/>
          <w:szCs w:val="16"/>
        </w:rPr>
        <w:t xml:space="preserve">Działania opisane </w:t>
      </w:r>
      <w:r>
        <w:rPr>
          <w:rFonts w:ascii="Verdana" w:hAnsi="Verdana"/>
          <w:sz w:val="16"/>
          <w:szCs w:val="16"/>
        </w:rPr>
        <w:t xml:space="preserve">poniżej </w:t>
      </w:r>
      <w:r w:rsidRPr="00DF7892">
        <w:rPr>
          <w:rFonts w:ascii="Verdana" w:hAnsi="Verdana"/>
          <w:sz w:val="16"/>
          <w:szCs w:val="16"/>
        </w:rPr>
        <w:t>w punktach 1-7 tworzą samorządową tarczę antyinflacyjną, obejmującą usługi publiczne szczególnie uzależnione od cen energii i surowców energetycznych. Mają one mniejszy wymiar finansowy, natomiast pozwolą na ograniczenie wzrostu kosztów tych usług, a tym samym wzrostu opłat ponoszonych przez mieszkańców.</w:t>
      </w:r>
    </w:p>
    <w:p w:rsidR="008A572A" w:rsidRPr="00DF7892" w:rsidRDefault="008A572A" w:rsidP="008A572A">
      <w:pPr>
        <w:pStyle w:val="Akapitzlist"/>
        <w:numPr>
          <w:ilvl w:val="0"/>
          <w:numId w:val="61"/>
        </w:numPr>
        <w:spacing w:before="60" w:after="60"/>
        <w:contextualSpacing w:val="0"/>
        <w:jc w:val="both"/>
        <w:rPr>
          <w:rFonts w:ascii="Verdana" w:hAnsi="Verdana"/>
          <w:sz w:val="16"/>
          <w:szCs w:val="16"/>
        </w:rPr>
      </w:pPr>
      <w:r>
        <w:rPr>
          <w:rFonts w:ascii="Verdana" w:hAnsi="Verdana"/>
          <w:sz w:val="16"/>
          <w:szCs w:val="16"/>
        </w:rPr>
        <w:t>U</w:t>
      </w:r>
      <w:r w:rsidRPr="00DF7892">
        <w:rPr>
          <w:rFonts w:ascii="Verdana" w:hAnsi="Verdana"/>
          <w:sz w:val="16"/>
          <w:szCs w:val="16"/>
        </w:rPr>
        <w:t>realnienie kwot referencyjnych na 2022 r. zapisanych w nowelizacji ustawy o dochodach JST - łączne po</w:t>
      </w:r>
      <w:r>
        <w:rPr>
          <w:rFonts w:ascii="Verdana" w:hAnsi="Verdana"/>
          <w:sz w:val="16"/>
          <w:szCs w:val="16"/>
        </w:rPr>
        <w:t>dniesienie ich sumy o 10 mld zł.</w:t>
      </w:r>
    </w:p>
    <w:p w:rsidR="008A572A" w:rsidRPr="00DF7892" w:rsidRDefault="008A572A" w:rsidP="008A572A">
      <w:pPr>
        <w:pStyle w:val="Akapitzlist"/>
        <w:numPr>
          <w:ilvl w:val="0"/>
          <w:numId w:val="61"/>
        </w:numPr>
        <w:spacing w:before="60" w:after="60"/>
        <w:contextualSpacing w:val="0"/>
        <w:jc w:val="both"/>
        <w:rPr>
          <w:rFonts w:ascii="Verdana" w:hAnsi="Verdana"/>
          <w:sz w:val="16"/>
          <w:szCs w:val="16"/>
        </w:rPr>
      </w:pPr>
      <w:r>
        <w:rPr>
          <w:rFonts w:ascii="Verdana" w:hAnsi="Verdana"/>
          <w:sz w:val="16"/>
          <w:szCs w:val="16"/>
        </w:rPr>
        <w:t>Z</w:t>
      </w:r>
      <w:r w:rsidRPr="00DF7892">
        <w:rPr>
          <w:rFonts w:ascii="Verdana" w:hAnsi="Verdana"/>
          <w:sz w:val="16"/>
          <w:szCs w:val="16"/>
        </w:rPr>
        <w:t>miana metody podziału subwencji rozwojowej (rekompensującej ubytki dochodów z PIT) na wprost proporcjonalną do utraty dochodów w danym roku budżetowym (tj. wprost proporcjonalną do wysokości udziału danej JST  we wpływach z PIT)</w:t>
      </w:r>
      <w:r>
        <w:rPr>
          <w:rFonts w:ascii="Verdana" w:hAnsi="Verdana"/>
          <w:sz w:val="16"/>
          <w:szCs w:val="16"/>
        </w:rPr>
        <w:t>.</w:t>
      </w:r>
    </w:p>
    <w:p w:rsidR="008A572A" w:rsidRPr="00DF7892" w:rsidRDefault="008A572A" w:rsidP="008A572A">
      <w:pPr>
        <w:pStyle w:val="Akapitzlist"/>
        <w:numPr>
          <w:ilvl w:val="0"/>
          <w:numId w:val="61"/>
        </w:numPr>
        <w:spacing w:before="60" w:after="60"/>
        <w:contextualSpacing w:val="0"/>
        <w:jc w:val="both"/>
        <w:rPr>
          <w:rFonts w:ascii="Verdana" w:hAnsi="Verdana"/>
          <w:sz w:val="16"/>
          <w:szCs w:val="16"/>
        </w:rPr>
      </w:pPr>
      <w:r>
        <w:rPr>
          <w:rFonts w:ascii="Verdana" w:hAnsi="Verdana"/>
          <w:sz w:val="16"/>
          <w:szCs w:val="16"/>
        </w:rPr>
        <w:t>Z</w:t>
      </w:r>
      <w:r w:rsidRPr="00DF7892">
        <w:rPr>
          <w:rFonts w:ascii="Verdana" w:hAnsi="Verdana"/>
          <w:sz w:val="16"/>
          <w:szCs w:val="16"/>
        </w:rPr>
        <w:t>waloryzowanie kwoty subwencji oświatowej JST na 2022 rok o wskaźnik bieżącej inflacji według odczytu dotyczącego stanu na koniec czerwca 2022 r. tj. o 15,5 % (czyli o ok. 8,3 mld zł)</w:t>
      </w:r>
      <w:r>
        <w:rPr>
          <w:rFonts w:ascii="Verdana" w:hAnsi="Verdana"/>
          <w:sz w:val="16"/>
          <w:szCs w:val="16"/>
        </w:rPr>
        <w:t>.</w:t>
      </w:r>
    </w:p>
    <w:p w:rsidR="008A572A" w:rsidRPr="00DF7892" w:rsidRDefault="008A572A" w:rsidP="008A572A">
      <w:pPr>
        <w:pStyle w:val="Akapitzlist"/>
        <w:numPr>
          <w:ilvl w:val="0"/>
          <w:numId w:val="61"/>
        </w:numPr>
        <w:spacing w:before="60" w:after="60"/>
        <w:contextualSpacing w:val="0"/>
        <w:jc w:val="both"/>
        <w:rPr>
          <w:rFonts w:ascii="Verdana" w:hAnsi="Verdana"/>
          <w:sz w:val="16"/>
          <w:szCs w:val="16"/>
        </w:rPr>
      </w:pPr>
      <w:r w:rsidRPr="00DF7892">
        <w:rPr>
          <w:rFonts w:ascii="Verdana" w:hAnsi="Verdana"/>
          <w:sz w:val="16"/>
          <w:szCs w:val="16"/>
        </w:rPr>
        <w:t xml:space="preserve">Obniżenie stawki VAT na usługi transportu publicznego z 8 </w:t>
      </w:r>
      <w:r>
        <w:rPr>
          <w:rFonts w:ascii="Verdana" w:hAnsi="Verdana"/>
          <w:sz w:val="16"/>
          <w:szCs w:val="16"/>
        </w:rPr>
        <w:t>% do stawki 0</w:t>
      </w:r>
      <w:r w:rsidRPr="00DF7892">
        <w:rPr>
          <w:rFonts w:ascii="Verdana" w:hAnsi="Verdana"/>
          <w:sz w:val="16"/>
          <w:szCs w:val="16"/>
        </w:rPr>
        <w:t>%</w:t>
      </w:r>
      <w:r>
        <w:rPr>
          <w:rFonts w:ascii="Verdana" w:hAnsi="Verdana"/>
          <w:sz w:val="16"/>
          <w:szCs w:val="16"/>
        </w:rPr>
        <w:t>.</w:t>
      </w:r>
    </w:p>
    <w:p w:rsidR="008A572A" w:rsidRPr="00DF7892" w:rsidRDefault="008A572A" w:rsidP="008A572A">
      <w:pPr>
        <w:pStyle w:val="Akapitzlist"/>
        <w:numPr>
          <w:ilvl w:val="0"/>
          <w:numId w:val="61"/>
        </w:numPr>
        <w:spacing w:before="60" w:after="60"/>
        <w:contextualSpacing w:val="0"/>
        <w:jc w:val="both"/>
        <w:rPr>
          <w:rFonts w:ascii="Verdana" w:hAnsi="Verdana"/>
          <w:sz w:val="16"/>
          <w:szCs w:val="16"/>
        </w:rPr>
      </w:pPr>
      <w:r w:rsidRPr="00DF7892">
        <w:rPr>
          <w:rFonts w:ascii="Verdana" w:hAnsi="Verdana"/>
          <w:sz w:val="16"/>
          <w:szCs w:val="16"/>
        </w:rPr>
        <w:t>Obniżenie stawki VAT na usługi dotyczące gospod</w:t>
      </w:r>
      <w:r>
        <w:rPr>
          <w:rFonts w:ascii="Verdana" w:hAnsi="Verdana"/>
          <w:sz w:val="16"/>
          <w:szCs w:val="16"/>
        </w:rPr>
        <w:t>arki odpadami z 8 % do stawki 0%.</w:t>
      </w:r>
    </w:p>
    <w:p w:rsidR="008A572A" w:rsidRDefault="008A572A" w:rsidP="008A572A">
      <w:pPr>
        <w:pStyle w:val="Akapitzlist"/>
        <w:numPr>
          <w:ilvl w:val="0"/>
          <w:numId w:val="61"/>
        </w:numPr>
        <w:spacing w:before="60" w:after="60"/>
        <w:contextualSpacing w:val="0"/>
        <w:jc w:val="both"/>
        <w:rPr>
          <w:rFonts w:ascii="Verdana" w:hAnsi="Verdana"/>
          <w:sz w:val="16"/>
          <w:szCs w:val="16"/>
        </w:rPr>
      </w:pPr>
      <w:r w:rsidRPr="00DF7892">
        <w:rPr>
          <w:rFonts w:ascii="Verdana" w:hAnsi="Verdana"/>
          <w:sz w:val="16"/>
          <w:szCs w:val="16"/>
        </w:rPr>
        <w:t>Sfinansowanie ze środków budżetu państwa wzrostu kosztów funkcjonowania komunikacji publicznej (zeroemisyjnej)  w zakresie wzrostu cen energii elektrycznej w związku ze wzrostem cen praw do emisji CO2, którego be</w:t>
      </w:r>
      <w:r>
        <w:rPr>
          <w:rFonts w:ascii="Verdana" w:hAnsi="Verdana"/>
          <w:sz w:val="16"/>
          <w:szCs w:val="16"/>
        </w:rPr>
        <w:t>neficjentem jest Budżet Państwa.</w:t>
      </w:r>
    </w:p>
    <w:p w:rsidR="008A572A" w:rsidRPr="000B158E" w:rsidRDefault="008A572A" w:rsidP="008A572A">
      <w:pPr>
        <w:pStyle w:val="Akapitzlist"/>
        <w:numPr>
          <w:ilvl w:val="0"/>
          <w:numId w:val="61"/>
        </w:numPr>
        <w:spacing w:before="60" w:after="60"/>
        <w:contextualSpacing w:val="0"/>
        <w:jc w:val="both"/>
        <w:rPr>
          <w:rFonts w:ascii="Verdana" w:hAnsi="Verdana"/>
          <w:sz w:val="16"/>
          <w:szCs w:val="16"/>
        </w:rPr>
      </w:pPr>
      <w:r w:rsidRPr="000B158E">
        <w:rPr>
          <w:rFonts w:ascii="Verdana" w:hAnsi="Verdana"/>
          <w:sz w:val="16"/>
          <w:szCs w:val="16"/>
        </w:rPr>
        <w:t>Sfinansowanie ze środków budżetu państwa wzrostu kosztów funkcjonowania ciepłow</w:t>
      </w:r>
      <w:r w:rsidRPr="000B158E">
        <w:rPr>
          <w:rFonts w:ascii="Verdana" w:hAnsi="Verdana"/>
          <w:sz w:val="16"/>
          <w:szCs w:val="16"/>
        </w:rPr>
        <w:softHyphen/>
        <w:t>nict</w:t>
      </w:r>
      <w:r w:rsidRPr="000B158E">
        <w:rPr>
          <w:rFonts w:ascii="Verdana" w:hAnsi="Verdana"/>
          <w:sz w:val="16"/>
          <w:szCs w:val="16"/>
        </w:rPr>
        <w:softHyphen/>
        <w:t xml:space="preserve">wa komunalnego </w:t>
      </w:r>
      <w:r w:rsidRPr="000B158E">
        <w:rPr>
          <w:rFonts w:ascii="Verdana" w:hAnsi="Verdana"/>
          <w:sz w:val="16"/>
          <w:szCs w:val="16"/>
        </w:rPr>
        <w:br/>
        <w:t>w zakresie wzrostu cen paliw i surowców energetycznych oraz w związku ze wzrostem cen praw do emisji CO2, którego beneficjentem jest Budżet Państwa.</w:t>
      </w:r>
    </w:p>
    <w:p w:rsidR="008A572A" w:rsidRPr="00A55258" w:rsidRDefault="008A572A" w:rsidP="008A572A">
      <w:pPr>
        <w:spacing w:before="60" w:after="60"/>
        <w:jc w:val="both"/>
        <w:rPr>
          <w:rFonts w:ascii="Verdana" w:hAnsi="Verdana"/>
          <w:sz w:val="16"/>
          <w:szCs w:val="16"/>
        </w:rPr>
      </w:pPr>
      <w:r w:rsidRPr="00A55258">
        <w:rPr>
          <w:rFonts w:ascii="Verdana" w:hAnsi="Verdana"/>
          <w:sz w:val="16"/>
          <w:szCs w:val="16"/>
        </w:rPr>
        <w:t>Na podstawie Programu Senat RP opracował jak dotychczas dwa projekty ustaw:</w:t>
      </w:r>
    </w:p>
    <w:p w:rsidR="008A572A" w:rsidRDefault="008A572A" w:rsidP="008A572A">
      <w:pPr>
        <w:pStyle w:val="Akapitzlist"/>
        <w:numPr>
          <w:ilvl w:val="0"/>
          <w:numId w:val="63"/>
        </w:numPr>
        <w:spacing w:before="60" w:after="60"/>
        <w:ind w:left="567" w:hanging="283"/>
        <w:contextualSpacing w:val="0"/>
        <w:jc w:val="both"/>
        <w:rPr>
          <w:rFonts w:ascii="Verdana" w:hAnsi="Verdana"/>
          <w:sz w:val="16"/>
          <w:szCs w:val="16"/>
        </w:rPr>
      </w:pPr>
      <w:r w:rsidRPr="00A55258">
        <w:rPr>
          <w:rFonts w:ascii="Verdana" w:hAnsi="Verdana"/>
          <w:b/>
          <w:bCs/>
          <w:sz w:val="16"/>
          <w:szCs w:val="16"/>
        </w:rPr>
        <w:t xml:space="preserve">projekt ustawy o wysokości części oświatowej subwencji ogólnej dla jednostek samorządu terytorialnego na rok 2022 </w:t>
      </w:r>
      <w:r w:rsidRPr="00A55258">
        <w:rPr>
          <w:rFonts w:ascii="Verdana" w:hAnsi="Verdana"/>
          <w:sz w:val="16"/>
          <w:szCs w:val="16"/>
        </w:rPr>
        <w:t>(druk senacki nr 787)</w:t>
      </w:r>
      <w:r>
        <w:rPr>
          <w:rFonts w:ascii="Verdana" w:hAnsi="Verdana"/>
          <w:sz w:val="16"/>
          <w:szCs w:val="16"/>
        </w:rPr>
        <w:t xml:space="preserve"> </w:t>
      </w:r>
      <w:r w:rsidRPr="00A55258">
        <w:rPr>
          <w:rFonts w:ascii="Verdana" w:hAnsi="Verdana"/>
          <w:sz w:val="16"/>
          <w:szCs w:val="16"/>
        </w:rPr>
        <w:t xml:space="preserve">- po trzech czytaniach Senat RP podjął uchwałę </w:t>
      </w:r>
      <w:r>
        <w:rPr>
          <w:rFonts w:ascii="Verdana" w:hAnsi="Verdana"/>
          <w:sz w:val="16"/>
          <w:szCs w:val="16"/>
        </w:rPr>
        <w:br/>
      </w:r>
      <w:r w:rsidRPr="00A55258">
        <w:rPr>
          <w:rFonts w:ascii="Verdana" w:hAnsi="Verdana"/>
          <w:sz w:val="16"/>
          <w:szCs w:val="16"/>
        </w:rPr>
        <w:t>o wniesieniu do Sejmu RP projektu ustawy, co nastąpiło 8 września br.</w:t>
      </w:r>
      <w:r>
        <w:rPr>
          <w:rFonts w:ascii="Verdana" w:hAnsi="Verdana"/>
          <w:sz w:val="16"/>
          <w:szCs w:val="16"/>
        </w:rPr>
        <w:t xml:space="preserve">; do dnia uchwalenia Wieloletniej Prognozy Finansowej m.st. Warszawy na lata 2023-2050 projektowi ustawy nie został nadany bieg </w:t>
      </w:r>
      <w:r>
        <w:rPr>
          <w:rFonts w:ascii="Verdana" w:hAnsi="Verdana"/>
          <w:sz w:val="16"/>
          <w:szCs w:val="16"/>
        </w:rPr>
        <w:br/>
        <w:t>w Sejmie RP</w:t>
      </w:r>
      <w:r w:rsidRPr="00A55258">
        <w:rPr>
          <w:rFonts w:ascii="Verdana" w:hAnsi="Verdana"/>
          <w:sz w:val="16"/>
          <w:szCs w:val="16"/>
        </w:rPr>
        <w:t>,</w:t>
      </w:r>
    </w:p>
    <w:p w:rsidR="008A572A" w:rsidRPr="00A55258" w:rsidRDefault="008A572A" w:rsidP="008A572A">
      <w:pPr>
        <w:pStyle w:val="Akapitzlist"/>
        <w:numPr>
          <w:ilvl w:val="0"/>
          <w:numId w:val="63"/>
        </w:numPr>
        <w:spacing w:before="60" w:after="60"/>
        <w:ind w:left="567" w:hanging="283"/>
        <w:contextualSpacing w:val="0"/>
        <w:jc w:val="both"/>
        <w:rPr>
          <w:rFonts w:ascii="Verdana" w:hAnsi="Verdana"/>
          <w:sz w:val="16"/>
          <w:szCs w:val="16"/>
        </w:rPr>
      </w:pPr>
      <w:r w:rsidRPr="00A55258">
        <w:rPr>
          <w:rFonts w:ascii="Verdana" w:hAnsi="Verdana"/>
          <w:b/>
          <w:bCs/>
          <w:sz w:val="16"/>
          <w:szCs w:val="16"/>
        </w:rPr>
        <w:t xml:space="preserve">projekt ustawy o zmianie ustawy o dochodach jednostek samorządu terytorialnego, ustawy </w:t>
      </w:r>
      <w:r>
        <w:rPr>
          <w:rFonts w:ascii="Verdana" w:hAnsi="Verdana"/>
          <w:b/>
          <w:bCs/>
          <w:sz w:val="16"/>
          <w:szCs w:val="16"/>
        </w:rPr>
        <w:br/>
      </w:r>
      <w:r w:rsidRPr="00A55258">
        <w:rPr>
          <w:rFonts w:ascii="Verdana" w:hAnsi="Verdana"/>
          <w:b/>
          <w:bCs/>
          <w:sz w:val="16"/>
          <w:szCs w:val="16"/>
        </w:rPr>
        <w:t xml:space="preserve">o zmianie ustawy o dochodach jednostek samorządu terytorialnego oraz niektórych innych ustaw oraz ustawy o zmianie ustawy o podatku dochodowym od osób fizycznych oraz niektórych innych ustaw </w:t>
      </w:r>
      <w:r w:rsidRPr="00A55258">
        <w:rPr>
          <w:rFonts w:ascii="Verdana" w:hAnsi="Verdana"/>
          <w:sz w:val="16"/>
          <w:szCs w:val="16"/>
        </w:rPr>
        <w:t>(druk senacki nr 788)</w:t>
      </w:r>
      <w:r>
        <w:rPr>
          <w:rFonts w:ascii="Verdana" w:hAnsi="Verdana"/>
          <w:sz w:val="16"/>
          <w:szCs w:val="16"/>
        </w:rPr>
        <w:t xml:space="preserve"> </w:t>
      </w:r>
      <w:r w:rsidRPr="00A55258">
        <w:rPr>
          <w:rFonts w:ascii="Verdana" w:hAnsi="Verdana"/>
          <w:sz w:val="16"/>
          <w:szCs w:val="16"/>
        </w:rPr>
        <w:t xml:space="preserve">- projekt ustawy w dniu 5 sierpnia br. został skierowany do komisji Senatu RP: Ustawodawczej, Budżetu i Finansów Publicznych, Samorządu Terytorialnego </w:t>
      </w:r>
      <w:r>
        <w:rPr>
          <w:rFonts w:ascii="Verdana" w:hAnsi="Verdana"/>
          <w:sz w:val="16"/>
          <w:szCs w:val="16"/>
        </w:rPr>
        <w:br/>
      </w:r>
      <w:r w:rsidRPr="00A55258">
        <w:rPr>
          <w:rFonts w:ascii="Verdana" w:hAnsi="Verdana"/>
          <w:sz w:val="16"/>
          <w:szCs w:val="16"/>
        </w:rPr>
        <w:t>i Administracji Państwowej.</w:t>
      </w:r>
    </w:p>
    <w:p w:rsidR="008A572A" w:rsidRDefault="008A572A" w:rsidP="008A572A"/>
    <w:p w:rsidR="008A572A" w:rsidRDefault="008A572A" w:rsidP="008A572A">
      <w:r w:rsidRPr="000A6485">
        <w:rPr>
          <w:rFonts w:ascii="Verdana" w:hAnsi="Verdana"/>
          <w:noProof/>
          <w:sz w:val="16"/>
          <w:szCs w:val="16"/>
        </w:rPr>
        <mc:AlternateContent>
          <mc:Choice Requires="wps">
            <w:drawing>
              <wp:anchor distT="0" distB="0" distL="114300" distR="114300" simplePos="0" relativeHeight="251711488" behindDoc="0" locked="0" layoutInCell="1" allowOverlap="1" wp14:anchorId="062B0AD0" wp14:editId="3C4A8FE0">
                <wp:simplePos x="0" y="0"/>
                <wp:positionH relativeFrom="margin">
                  <wp:align>right</wp:align>
                </wp:positionH>
                <wp:positionV relativeFrom="paragraph">
                  <wp:posOffset>50949</wp:posOffset>
                </wp:positionV>
                <wp:extent cx="2438400" cy="609600"/>
                <wp:effectExtent l="0" t="0" r="0" b="0"/>
                <wp:wrapNone/>
                <wp:docPr id="9" name="Pole tekstowe 9"/>
                <wp:cNvGraphicFramePr/>
                <a:graphic xmlns:a="http://schemas.openxmlformats.org/drawingml/2006/main">
                  <a:graphicData uri="http://schemas.microsoft.com/office/word/2010/wordprocessingShape">
                    <wps:wsp>
                      <wps:cNvSpPr txBox="1"/>
                      <wps:spPr>
                        <a:xfrm>
                          <a:off x="0" y="0"/>
                          <a:ext cx="2438400" cy="609600"/>
                        </a:xfrm>
                        <a:prstGeom prst="rect">
                          <a:avLst/>
                        </a:prstGeom>
                        <a:solidFill>
                          <a:schemeClr val="lt1"/>
                        </a:solidFill>
                        <a:ln w="6350">
                          <a:noFill/>
                        </a:ln>
                      </wps:spPr>
                      <wps:txbx>
                        <w:txbxContent>
                          <w:p w:rsidR="008A572A" w:rsidRPr="007A5B45" w:rsidRDefault="008A572A" w:rsidP="008A572A">
                            <w:pPr>
                              <w:jc w:val="center"/>
                              <w:rPr>
                                <w:rFonts w:ascii="Verdana" w:hAnsi="Verdana"/>
                                <w:sz w:val="16"/>
                                <w:szCs w:val="16"/>
                              </w:rPr>
                            </w:pPr>
                            <w:r w:rsidRPr="007A5B45">
                              <w:rPr>
                                <w:rFonts w:ascii="Verdana" w:hAnsi="Verdana"/>
                                <w:sz w:val="16"/>
                                <w:szCs w:val="16"/>
                              </w:rPr>
                              <w:t>Prezydent m.st. Warszawy</w:t>
                            </w:r>
                          </w:p>
                          <w:p w:rsidR="008A572A" w:rsidRPr="0023713D" w:rsidRDefault="008A572A" w:rsidP="008A572A">
                            <w:pPr>
                              <w:jc w:val="center"/>
                              <w:rPr>
                                <w:rFonts w:ascii="Verdana" w:hAnsi="Verdana"/>
                                <w:sz w:val="22"/>
                                <w:szCs w:val="22"/>
                              </w:rPr>
                            </w:pPr>
                            <w:r w:rsidRPr="00CA53B2">
                              <w:rPr>
                                <w:rFonts w:ascii="Verdana" w:hAnsi="Verdana"/>
                                <w:sz w:val="16"/>
                                <w:szCs w:val="16"/>
                              </w:rPr>
                              <w:t>/ – /</w:t>
                            </w:r>
                            <w:r>
                              <w:rPr>
                                <w:rFonts w:ascii="Verdana" w:hAnsi="Verdana"/>
                                <w:sz w:val="16"/>
                                <w:szCs w:val="16"/>
                              </w:rPr>
                              <w:t xml:space="preserve"> </w:t>
                            </w:r>
                            <w:r w:rsidRPr="007A5B45">
                              <w:rPr>
                                <w:rFonts w:ascii="Verdana" w:hAnsi="Verdana"/>
                                <w:sz w:val="16"/>
                                <w:szCs w:val="16"/>
                              </w:rPr>
                              <w:t>Rafał Trzaskowski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B0AD0" id="Pole tekstowe 9" o:spid="_x0000_s1029" type="#_x0000_t202" style="position:absolute;margin-left:140.8pt;margin-top:4pt;width:192pt;height:48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" fillcolor="white [3201]" stroked="f" strokeweight=".5pt">
                <v:textbox>
                  <w:txbxContent>
                    <w:p w:rsidR="008A572A" w:rsidRPr="007A5B45" w:rsidRDefault="008A572A" w:rsidP="008A572A">
                      <w:pPr>
                        <w:jc w:val="center"/>
                        <w:rPr>
                          <w:rFonts w:ascii="Verdana" w:hAnsi="Verdana"/>
                          <w:sz w:val="16"/>
                          <w:szCs w:val="16"/>
                        </w:rPr>
                      </w:pPr>
                      <w:r w:rsidRPr="007A5B45">
                        <w:rPr>
                          <w:rFonts w:ascii="Verdana" w:hAnsi="Verdana"/>
                          <w:sz w:val="16"/>
                          <w:szCs w:val="16"/>
                        </w:rPr>
                        <w:t>Prezydent m.st. Warszawy</w:t>
                      </w:r>
                    </w:p>
                    <w:p w:rsidR="008A572A" w:rsidRPr="0023713D" w:rsidRDefault="008A572A" w:rsidP="008A572A">
                      <w:pPr>
                        <w:jc w:val="center"/>
                        <w:rPr>
                          <w:rFonts w:ascii="Verdana" w:hAnsi="Verdana"/>
                          <w:sz w:val="22"/>
                          <w:szCs w:val="22"/>
                        </w:rPr>
                      </w:pPr>
                      <w:r w:rsidRPr="00CA53B2">
                        <w:rPr>
                          <w:rFonts w:ascii="Verdana" w:hAnsi="Verdana"/>
                          <w:sz w:val="16"/>
                          <w:szCs w:val="16"/>
                        </w:rPr>
                        <w:t>/ – /</w:t>
                      </w:r>
                      <w:r>
                        <w:rPr>
                          <w:rFonts w:ascii="Verdana" w:hAnsi="Verdana"/>
                          <w:sz w:val="16"/>
                          <w:szCs w:val="16"/>
                        </w:rPr>
                        <w:t xml:space="preserve"> </w:t>
                      </w:r>
                      <w:r w:rsidRPr="007A5B45">
                        <w:rPr>
                          <w:rFonts w:ascii="Verdana" w:hAnsi="Verdana"/>
                          <w:sz w:val="16"/>
                          <w:szCs w:val="16"/>
                        </w:rPr>
                        <w:t>Rafał Trzaskowski</w:t>
                      </w:r>
                    </w:p>
                  </w:txbxContent>
                </v:textbox>
                <w10:wrap anchorx="margin"/>
              </v:shape>
            </w:pict>
          </mc:Fallback>
        </mc:AlternateContent>
      </w:r>
      <w:r w:rsidRPr="000A6485">
        <w:rPr>
          <w:rFonts w:ascii="Verdana" w:hAnsi="Verdana"/>
          <w:noProof/>
          <w:sz w:val="16"/>
          <w:szCs w:val="16"/>
        </w:rPr>
        <mc:AlternateContent>
          <mc:Choice Requires="wps">
            <w:drawing>
              <wp:anchor distT="0" distB="0" distL="114300" distR="114300" simplePos="0" relativeHeight="251710464" behindDoc="0" locked="0" layoutInCell="1" allowOverlap="1" wp14:anchorId="137E54B4" wp14:editId="70842613">
                <wp:simplePos x="0" y="0"/>
                <wp:positionH relativeFrom="margin">
                  <wp:align>left</wp:align>
                </wp:positionH>
                <wp:positionV relativeFrom="paragraph">
                  <wp:posOffset>81428</wp:posOffset>
                </wp:positionV>
                <wp:extent cx="2438400" cy="609600"/>
                <wp:effectExtent l="0" t="0" r="0" b="0"/>
                <wp:wrapNone/>
                <wp:docPr id="5" name="Pole tekstowe 5"/>
                <wp:cNvGraphicFramePr/>
                <a:graphic xmlns:a="http://schemas.openxmlformats.org/drawingml/2006/main">
                  <a:graphicData uri="http://schemas.microsoft.com/office/word/2010/wordprocessingShape">
                    <wps:wsp>
                      <wps:cNvSpPr txBox="1"/>
                      <wps:spPr>
                        <a:xfrm>
                          <a:off x="0" y="0"/>
                          <a:ext cx="2438400" cy="609600"/>
                        </a:xfrm>
                        <a:prstGeom prst="rect">
                          <a:avLst/>
                        </a:prstGeom>
                        <a:solidFill>
                          <a:schemeClr val="lt1"/>
                        </a:solidFill>
                        <a:ln w="6350">
                          <a:noFill/>
                        </a:ln>
                      </wps:spPr>
                      <wps:txbx>
                        <w:txbxContent>
                          <w:p w:rsidR="008A572A" w:rsidRPr="007A5B45" w:rsidRDefault="008A572A" w:rsidP="008A572A">
                            <w:pPr>
                              <w:jc w:val="center"/>
                              <w:rPr>
                                <w:rFonts w:ascii="Verdana" w:hAnsi="Verdana"/>
                                <w:sz w:val="16"/>
                                <w:szCs w:val="16"/>
                              </w:rPr>
                            </w:pPr>
                            <w:r w:rsidRPr="007A5B45">
                              <w:rPr>
                                <w:rFonts w:ascii="Verdana" w:hAnsi="Verdana"/>
                                <w:sz w:val="16"/>
                                <w:szCs w:val="16"/>
                              </w:rPr>
                              <w:t>Skarbnik m.st. Warszawy</w:t>
                            </w:r>
                          </w:p>
                          <w:p w:rsidR="008A572A" w:rsidRPr="007A5B45" w:rsidRDefault="008A572A" w:rsidP="008A572A">
                            <w:pPr>
                              <w:jc w:val="center"/>
                              <w:rPr>
                                <w:rFonts w:ascii="Verdana" w:hAnsi="Verdana"/>
                                <w:sz w:val="16"/>
                                <w:szCs w:val="16"/>
                              </w:rPr>
                            </w:pPr>
                            <w:r w:rsidRPr="00CA53B2">
                              <w:rPr>
                                <w:rFonts w:ascii="Verdana" w:hAnsi="Verdana"/>
                                <w:sz w:val="16"/>
                                <w:szCs w:val="16"/>
                              </w:rPr>
                              <w:t>/ – /</w:t>
                            </w:r>
                            <w:r>
                              <w:rPr>
                                <w:rFonts w:ascii="Verdana" w:hAnsi="Verdana"/>
                                <w:sz w:val="16"/>
                                <w:szCs w:val="16"/>
                              </w:rPr>
                              <w:t xml:space="preserve"> </w:t>
                            </w:r>
                            <w:r w:rsidRPr="007A5B45">
                              <w:rPr>
                                <w:rFonts w:ascii="Verdana" w:hAnsi="Verdana"/>
                                <w:sz w:val="16"/>
                                <w:szCs w:val="16"/>
                              </w:rPr>
                              <w:t>Mirosław Czekaj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E54B4" id="Pole tekstowe 5" o:spid="_x0000_s1030" type="#_x0000_t202" style="position:absolute;margin-left:0;margin-top:6.4pt;width:192pt;height:48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" fillcolor="white [3201]" stroked="f" strokeweight=".5pt">
                <v:textbox>
                  <w:txbxContent>
                    <w:p w:rsidR="008A572A" w:rsidRPr="007A5B45" w:rsidRDefault="008A572A" w:rsidP="008A572A">
                      <w:pPr>
                        <w:jc w:val="center"/>
                        <w:rPr>
                          <w:rFonts w:ascii="Verdana" w:hAnsi="Verdana"/>
                          <w:sz w:val="16"/>
                          <w:szCs w:val="16"/>
                        </w:rPr>
                      </w:pPr>
                      <w:r w:rsidRPr="007A5B45">
                        <w:rPr>
                          <w:rFonts w:ascii="Verdana" w:hAnsi="Verdana"/>
                          <w:sz w:val="16"/>
                          <w:szCs w:val="16"/>
                        </w:rPr>
                        <w:t>Skarbnik m.st. Warszawy</w:t>
                      </w:r>
                    </w:p>
                    <w:p w:rsidR="008A572A" w:rsidRPr="007A5B45" w:rsidRDefault="008A572A" w:rsidP="008A572A">
                      <w:pPr>
                        <w:jc w:val="center"/>
                        <w:rPr>
                          <w:rFonts w:ascii="Verdana" w:hAnsi="Verdana"/>
                          <w:sz w:val="16"/>
                          <w:szCs w:val="16"/>
                        </w:rPr>
                      </w:pPr>
                      <w:r w:rsidRPr="00CA53B2">
                        <w:rPr>
                          <w:rFonts w:ascii="Verdana" w:hAnsi="Verdana"/>
                          <w:sz w:val="16"/>
                          <w:szCs w:val="16"/>
                        </w:rPr>
                        <w:t>/ – /</w:t>
                      </w:r>
                      <w:r>
                        <w:rPr>
                          <w:rFonts w:ascii="Verdana" w:hAnsi="Verdana"/>
                          <w:sz w:val="16"/>
                          <w:szCs w:val="16"/>
                        </w:rPr>
                        <w:t xml:space="preserve"> </w:t>
                      </w:r>
                      <w:r w:rsidRPr="007A5B45">
                        <w:rPr>
                          <w:rFonts w:ascii="Verdana" w:hAnsi="Verdana"/>
                          <w:sz w:val="16"/>
                          <w:szCs w:val="16"/>
                        </w:rPr>
                        <w:t>Mirosław Czekaj</w:t>
                      </w:r>
                    </w:p>
                  </w:txbxContent>
                </v:textbox>
                <w10:wrap anchorx="margin"/>
              </v:shape>
            </w:pict>
          </mc:Fallback>
        </mc:AlternateContent>
      </w:r>
    </w:p>
    <w:p w:rsidR="005E5299" w:rsidRDefault="005E5299" w:rsidP="005E5299"/>
    <w:p w:rsidR="005E5299" w:rsidRDefault="005E5299" w:rsidP="005E5299"/>
    <w:p w:rsidR="00377CA9" w:rsidRPr="005E5299" w:rsidRDefault="00377CA9" w:rsidP="00377CA9">
      <w:pPr>
        <w:spacing w:before="120" w:after="120"/>
        <w:jc w:val="both"/>
        <w:rPr>
          <w:rFonts w:ascii="Verdana" w:hAnsi="Verdana" w:cs="Arial"/>
          <w:bCs/>
          <w:sz w:val="16"/>
          <w:szCs w:val="16"/>
        </w:rPr>
        <w:sectPr w:rsidR="00377CA9" w:rsidRPr="005E5299" w:rsidSect="0075399C">
          <w:headerReference w:type="default" r:id="rId57"/>
          <w:pgSz w:w="11907" w:h="16840" w:code="9"/>
          <w:pgMar w:top="1417" w:right="1417" w:bottom="1417" w:left="1417" w:header="708" w:footer="708" w:gutter="0"/>
          <w:cols w:space="708"/>
          <w:docGrid w:linePitch="360"/>
        </w:sectPr>
      </w:pPr>
    </w:p>
    <w:p w:rsidR="00F95352" w:rsidRPr="0012041D" w:rsidRDefault="00F95352" w:rsidP="00656AFD">
      <w:pPr>
        <w:pStyle w:val="Nagwek4"/>
        <w:spacing w:before="9000"/>
      </w:pPr>
      <w:bookmarkStart w:id="4" w:name="_Toc122424855"/>
      <w:bookmarkStart w:id="5" w:name="_GoBack"/>
      <w:bookmarkEnd w:id="5"/>
      <w:r w:rsidRPr="0012041D">
        <w:lastRenderedPageBreak/>
        <w:t>1.</w:t>
      </w:r>
      <w:r>
        <w:t>2. POLITYKA DŁUGU</w:t>
      </w:r>
      <w:r>
        <w:br/>
        <w:t>MIASTA STOŁECZNEGO WARSZAWY</w:t>
      </w:r>
      <w:r>
        <w:br/>
        <w:t>EDYCJA 20</w:t>
      </w:r>
      <w:r w:rsidR="0080214F">
        <w:t>2</w:t>
      </w:r>
      <w:r w:rsidR="00290D10">
        <w:t>3</w:t>
      </w:r>
      <w:r>
        <w:t xml:space="preserve"> ROK</w:t>
      </w:r>
      <w:bookmarkEnd w:id="4"/>
    </w:p>
    <w:p w:rsidR="00A478E4" w:rsidRDefault="00A478E4" w:rsidP="001C799C"/>
    <w:p w:rsidR="00A478E4" w:rsidRDefault="00A478E4" w:rsidP="001C799C">
      <w:pPr>
        <w:sectPr w:rsidR="00A478E4" w:rsidSect="00492B3A">
          <w:headerReference w:type="default" r:id="rId58"/>
          <w:type w:val="oddPage"/>
          <w:pgSz w:w="11907" w:h="16840" w:code="9"/>
          <w:pgMar w:top="1417" w:right="1417" w:bottom="1417" w:left="1417" w:header="708" w:footer="708" w:gutter="0"/>
          <w:cols w:space="708"/>
          <w:docGrid w:linePitch="360"/>
        </w:sectPr>
      </w:pPr>
    </w:p>
    <w:p w:rsidR="008853F1" w:rsidRPr="00383392" w:rsidRDefault="008853F1" w:rsidP="008853F1">
      <w:pPr>
        <w:numPr>
          <w:ilvl w:val="0"/>
          <w:numId w:val="70"/>
        </w:numPr>
        <w:spacing w:before="480"/>
        <w:ind w:left="397" w:hanging="397"/>
        <w:jc w:val="both"/>
        <w:rPr>
          <w:rFonts w:ascii="Verdana" w:hAnsi="Verdana"/>
          <w:b/>
          <w:bCs/>
        </w:rPr>
      </w:pPr>
      <w:bookmarkStart w:id="6" w:name="bookmark0"/>
      <w:r w:rsidRPr="00383392">
        <w:rPr>
          <w:rFonts w:ascii="Verdana" w:hAnsi="Verdana"/>
          <w:b/>
          <w:bCs/>
        </w:rPr>
        <w:lastRenderedPageBreak/>
        <w:t>Wstęp</w:t>
      </w:r>
      <w:bookmarkEnd w:id="6"/>
    </w:p>
    <w:p w:rsidR="008853F1" w:rsidRPr="00383392" w:rsidRDefault="008853F1" w:rsidP="008853F1">
      <w:pPr>
        <w:spacing w:before="120"/>
        <w:jc w:val="both"/>
        <w:rPr>
          <w:rFonts w:ascii="Verdana" w:hAnsi="Verdana"/>
          <w:sz w:val="16"/>
          <w:szCs w:val="16"/>
        </w:rPr>
      </w:pPr>
      <w:r w:rsidRPr="00383392">
        <w:rPr>
          <w:rFonts w:ascii="Verdana" w:hAnsi="Verdana"/>
          <w:sz w:val="16"/>
          <w:szCs w:val="16"/>
        </w:rPr>
        <w:t>Polityka długu jest elementem polityki finansowej m.st. Warszawy. Jej celem jest określenie zasad pozyskiwania środków zwrotnych na realizację projektów rozwojowych przy minimalizacji związanych z tym kosztów i ryzyka niewypłacalności lub utraty płynności.</w:t>
      </w:r>
      <w:r w:rsidRPr="00383392">
        <w:rPr>
          <w:rFonts w:ascii="Verdana" w:hAnsi="Verdana"/>
          <w:sz w:val="16"/>
          <w:szCs w:val="16"/>
          <w:vertAlign w:val="superscript"/>
        </w:rPr>
        <w:footnoteReference w:id="30"/>
      </w:r>
      <w:r w:rsidRPr="00383392">
        <w:rPr>
          <w:rFonts w:ascii="Verdana" w:hAnsi="Verdana"/>
          <w:sz w:val="16"/>
          <w:szCs w:val="16"/>
        </w:rPr>
        <w:t xml:space="preserve"> </w:t>
      </w:r>
    </w:p>
    <w:p w:rsidR="008853F1" w:rsidRPr="00947095" w:rsidRDefault="008853F1" w:rsidP="008853F1">
      <w:pPr>
        <w:spacing w:before="120"/>
        <w:jc w:val="both"/>
        <w:rPr>
          <w:rFonts w:ascii="Verdana" w:hAnsi="Verdana"/>
          <w:sz w:val="16"/>
          <w:szCs w:val="16"/>
        </w:rPr>
      </w:pPr>
      <w:r w:rsidRPr="00383392">
        <w:rPr>
          <w:rFonts w:ascii="Verdana" w:hAnsi="Verdana"/>
          <w:sz w:val="16"/>
          <w:szCs w:val="16"/>
        </w:rPr>
        <w:t xml:space="preserve">Formalno-prawnym ograniczeniem polityki długu jest indywidualny wskaźnik obsługi długu, wynikający z art. 243 ustawy o finansach publicznych (Dz. U. z 2019 r. poz. 869, z </w:t>
      </w:r>
      <w:proofErr w:type="spellStart"/>
      <w:r w:rsidRPr="00383392">
        <w:rPr>
          <w:rFonts w:ascii="Verdana" w:hAnsi="Verdana"/>
          <w:sz w:val="16"/>
          <w:szCs w:val="16"/>
        </w:rPr>
        <w:t>późn</w:t>
      </w:r>
      <w:proofErr w:type="spellEnd"/>
      <w:r w:rsidRPr="00383392">
        <w:rPr>
          <w:rFonts w:ascii="Verdana" w:hAnsi="Verdana"/>
          <w:sz w:val="16"/>
          <w:szCs w:val="16"/>
        </w:rPr>
        <w:t>. zm.</w:t>
      </w:r>
      <w:r w:rsidRPr="00383392">
        <w:rPr>
          <w:rFonts w:ascii="Verdana" w:hAnsi="Verdana"/>
          <w:sz w:val="16"/>
          <w:szCs w:val="16"/>
          <w:vertAlign w:val="superscript"/>
        </w:rPr>
        <w:footnoteReference w:id="31"/>
      </w:r>
      <w:r w:rsidRPr="00383392">
        <w:rPr>
          <w:rFonts w:ascii="Verdana" w:hAnsi="Verdana"/>
          <w:sz w:val="16"/>
          <w:szCs w:val="16"/>
        </w:rPr>
        <w:t xml:space="preserve">). Opiera się </w:t>
      </w:r>
      <w:r>
        <w:rPr>
          <w:rFonts w:ascii="Verdana" w:hAnsi="Verdana"/>
          <w:sz w:val="16"/>
          <w:szCs w:val="16"/>
        </w:rPr>
        <w:t xml:space="preserve">on </w:t>
      </w:r>
      <w:r w:rsidRPr="00383392">
        <w:rPr>
          <w:rFonts w:ascii="Verdana" w:hAnsi="Verdana"/>
          <w:sz w:val="16"/>
          <w:szCs w:val="16"/>
        </w:rPr>
        <w:t xml:space="preserve">na nadwyżce bieżącej budżetu. Jego konstrukcja zakłada, że w danym roku budżetowym relacja wydatków związanych z obsługą zadłużenia (kapitał i odsetki) i udzielonymi poręczeniami i gwarancjami do dochodów bieżących, nie może być wyższa od relacji pomiędzy różnicą dochodów bieżących powiększonych o dochody ze sprzedaży majątku </w:t>
      </w:r>
      <w:r>
        <w:rPr>
          <w:rFonts w:ascii="Verdana" w:hAnsi="Verdana"/>
          <w:sz w:val="16"/>
          <w:szCs w:val="16"/>
        </w:rPr>
        <w:br/>
      </w:r>
      <w:r w:rsidRPr="00383392">
        <w:rPr>
          <w:rFonts w:ascii="Verdana" w:hAnsi="Verdana"/>
          <w:sz w:val="16"/>
          <w:szCs w:val="16"/>
        </w:rPr>
        <w:t>i wydatkami bieżącymi do dochodów bieżących</w:t>
      </w:r>
      <w:r w:rsidRPr="00C937B6">
        <w:rPr>
          <w:rFonts w:ascii="Verdana" w:hAnsi="Verdana"/>
          <w:sz w:val="16"/>
          <w:szCs w:val="16"/>
        </w:rPr>
        <w:t>, obliczanej dla trzech</w:t>
      </w:r>
      <w:r w:rsidRPr="00383392">
        <w:rPr>
          <w:rFonts w:ascii="Verdana" w:hAnsi="Verdana"/>
          <w:sz w:val="16"/>
          <w:szCs w:val="16"/>
        </w:rPr>
        <w:t xml:space="preserve"> </w:t>
      </w:r>
      <w:r>
        <w:rPr>
          <w:rFonts w:ascii="Verdana" w:hAnsi="Verdana"/>
          <w:sz w:val="16"/>
          <w:szCs w:val="16"/>
        </w:rPr>
        <w:t xml:space="preserve">lub siedmiu </w:t>
      </w:r>
      <w:r w:rsidRPr="00383392">
        <w:rPr>
          <w:rFonts w:ascii="Verdana" w:hAnsi="Verdana"/>
          <w:sz w:val="16"/>
          <w:szCs w:val="16"/>
        </w:rPr>
        <w:t xml:space="preserve">(od 2026 roku dla siedmiu) lat poprzedzających dany rok budżetowy, jako średnia arytmetyczna z tych lat. Wskaźnik ten jest bardzo wrażliwy na wahania cyklu koniunkturalnego i poziom nadwyżki bieżącej. </w:t>
      </w:r>
    </w:p>
    <w:p w:rsidR="008853F1" w:rsidRPr="00E24860" w:rsidRDefault="008853F1" w:rsidP="008853F1">
      <w:pPr>
        <w:spacing w:before="120"/>
        <w:jc w:val="both"/>
        <w:rPr>
          <w:rFonts w:ascii="Verdana" w:hAnsi="Verdana"/>
          <w:bCs/>
          <w:sz w:val="16"/>
          <w:szCs w:val="16"/>
        </w:rPr>
      </w:pPr>
      <w:r>
        <w:rPr>
          <w:rFonts w:ascii="Verdana" w:hAnsi="Verdana"/>
          <w:sz w:val="16"/>
          <w:szCs w:val="16"/>
        </w:rPr>
        <w:t xml:space="preserve">Wprowadzone ustawą z dnia 14 października 2021 r. o zmianie ustawy o dochodach jednostek samorządu terytorialnego oraz niektórych innych ustaw nowe regulacje zakładają, że przy ustalaniu relacji określonej </w:t>
      </w:r>
      <w:r>
        <w:rPr>
          <w:rFonts w:ascii="Verdana" w:hAnsi="Verdana"/>
          <w:sz w:val="16"/>
          <w:szCs w:val="16"/>
        </w:rPr>
        <w:br/>
        <w:t xml:space="preserve">w art. 243 w latach 2022–2025 jednostki samorządu terytorialnego (JST) mają możliwość wyboru długości okresu obliczeniowego wg którego liczona jest średnia nadwyżka operacyjna - między 3-letnią a 7-letnią średnią </w:t>
      </w:r>
      <w:r w:rsidRPr="00CB32E5">
        <w:rPr>
          <w:rFonts w:ascii="Verdana" w:hAnsi="Verdana"/>
          <w:sz w:val="16"/>
          <w:szCs w:val="16"/>
        </w:rPr>
        <w:t>arytmetyczną</w:t>
      </w:r>
      <w:r w:rsidRPr="00CB32E5">
        <w:rPr>
          <w:rFonts w:ascii="Verdana" w:hAnsi="Verdana"/>
          <w:bCs/>
          <w:sz w:val="16"/>
          <w:szCs w:val="16"/>
        </w:rPr>
        <w:t xml:space="preserve">. </w:t>
      </w:r>
      <w:r w:rsidRPr="00CB32E5">
        <w:rPr>
          <w:rFonts w:ascii="Verdana" w:hAnsi="Verdana"/>
          <w:sz w:val="16"/>
          <w:szCs w:val="16"/>
        </w:rPr>
        <w:t>Na podstawie powyższych przepisów, organ wykonawczy m.st. Warszawy</w:t>
      </w:r>
      <w:r>
        <w:rPr>
          <w:rFonts w:ascii="Verdana" w:hAnsi="Verdana"/>
          <w:sz w:val="16"/>
          <w:szCs w:val="16"/>
        </w:rPr>
        <w:t>,</w:t>
      </w:r>
      <w:r w:rsidRPr="00CB32E5">
        <w:rPr>
          <w:rFonts w:ascii="Verdana" w:hAnsi="Verdana"/>
          <w:sz w:val="16"/>
          <w:szCs w:val="16"/>
        </w:rPr>
        <w:t xml:space="preserve"> tj. Prezydent </w:t>
      </w:r>
      <w:r>
        <w:rPr>
          <w:rFonts w:ascii="Verdana" w:hAnsi="Verdana"/>
          <w:sz w:val="16"/>
          <w:szCs w:val="16"/>
        </w:rPr>
        <w:br/>
      </w:r>
      <w:r w:rsidRPr="00CB32E5">
        <w:rPr>
          <w:rFonts w:ascii="Verdana" w:hAnsi="Verdana"/>
          <w:sz w:val="16"/>
          <w:szCs w:val="16"/>
        </w:rPr>
        <w:t>m.st. Warszawy postanowił, że przy ustalaniu relacji wynikającej z art. 243 od 2022 r. stosowana będzie średnia 7 letnia.</w:t>
      </w:r>
    </w:p>
    <w:p w:rsidR="008853F1" w:rsidRPr="00076125" w:rsidRDefault="008853F1" w:rsidP="008853F1">
      <w:pPr>
        <w:pStyle w:val="Akapitzlist"/>
        <w:numPr>
          <w:ilvl w:val="0"/>
          <w:numId w:val="70"/>
        </w:numPr>
        <w:spacing w:before="240"/>
        <w:ind w:left="425" w:hanging="425"/>
        <w:jc w:val="both"/>
        <w:rPr>
          <w:rFonts w:ascii="Verdana" w:hAnsi="Verdana"/>
          <w:b/>
        </w:rPr>
      </w:pPr>
      <w:r w:rsidRPr="00076125">
        <w:rPr>
          <w:rFonts w:ascii="Verdana" w:hAnsi="Verdana"/>
          <w:b/>
        </w:rPr>
        <w:t>Uwarunkowania zewnętrzne polityki długu</w:t>
      </w:r>
    </w:p>
    <w:p w:rsidR="008853F1" w:rsidRDefault="008853F1" w:rsidP="008853F1">
      <w:pPr>
        <w:spacing w:before="120"/>
        <w:jc w:val="both"/>
        <w:rPr>
          <w:rFonts w:ascii="Verdana" w:hAnsi="Verdana"/>
          <w:sz w:val="16"/>
          <w:szCs w:val="16"/>
        </w:rPr>
      </w:pPr>
      <w:r w:rsidRPr="00383392">
        <w:rPr>
          <w:rFonts w:ascii="Verdana" w:hAnsi="Verdana"/>
          <w:sz w:val="16"/>
          <w:szCs w:val="16"/>
        </w:rPr>
        <w:t>Na realizację polityki długu w 202</w:t>
      </w:r>
      <w:r>
        <w:rPr>
          <w:rFonts w:ascii="Verdana" w:hAnsi="Verdana"/>
          <w:sz w:val="16"/>
          <w:szCs w:val="16"/>
        </w:rPr>
        <w:t>2</w:t>
      </w:r>
      <w:r w:rsidRPr="00383392">
        <w:rPr>
          <w:rFonts w:ascii="Verdana" w:hAnsi="Verdana"/>
          <w:sz w:val="16"/>
          <w:szCs w:val="16"/>
        </w:rPr>
        <w:t xml:space="preserve"> r. oddziaływały i </w:t>
      </w:r>
      <w:r>
        <w:rPr>
          <w:rFonts w:ascii="Verdana" w:hAnsi="Verdana"/>
          <w:sz w:val="16"/>
          <w:szCs w:val="16"/>
        </w:rPr>
        <w:t>oddziaływać będą w kolejnych latach</w:t>
      </w:r>
      <w:r w:rsidRPr="00383392">
        <w:rPr>
          <w:rFonts w:ascii="Verdana" w:hAnsi="Verdana"/>
          <w:sz w:val="16"/>
          <w:szCs w:val="16"/>
        </w:rPr>
        <w:t xml:space="preserve"> niekorzystne zmiany </w:t>
      </w:r>
      <w:r>
        <w:rPr>
          <w:rFonts w:ascii="Verdana" w:hAnsi="Verdana"/>
          <w:sz w:val="16"/>
          <w:szCs w:val="16"/>
        </w:rPr>
        <w:br/>
      </w:r>
      <w:r w:rsidRPr="00383392">
        <w:rPr>
          <w:rFonts w:ascii="Verdana" w:hAnsi="Verdana"/>
          <w:sz w:val="16"/>
          <w:szCs w:val="16"/>
        </w:rPr>
        <w:t xml:space="preserve">w gospodarce i finansach publicznych wynikające z </w:t>
      </w:r>
      <w:r>
        <w:rPr>
          <w:rFonts w:ascii="Verdana" w:hAnsi="Verdana"/>
          <w:sz w:val="16"/>
          <w:szCs w:val="16"/>
        </w:rPr>
        <w:t>agresji Rosji na Ukrainę, oczekiwanego spowolnienia gospodarczego w warunkach wysokiej inflacji, kryzysu energetycznego oraz przyjętych przez Parlament regulacji w zakresie systemu dochodów jednostek samorządu terytorialnego (JST)</w:t>
      </w:r>
      <w:r w:rsidRPr="00383392">
        <w:rPr>
          <w:rFonts w:ascii="Verdana" w:hAnsi="Verdana"/>
          <w:sz w:val="16"/>
          <w:szCs w:val="16"/>
        </w:rPr>
        <w:t xml:space="preserve">. Zmiany te zaburzają przyjęte wcześniej plany dochodów i wydatków poprzez </w:t>
      </w:r>
      <w:r>
        <w:rPr>
          <w:rFonts w:ascii="Verdana" w:hAnsi="Verdana"/>
          <w:sz w:val="16"/>
          <w:szCs w:val="16"/>
        </w:rPr>
        <w:t xml:space="preserve">konieczność uwzględnienia w prognozach sytuacji finansowej Miasta </w:t>
      </w:r>
      <w:r>
        <w:rPr>
          <w:rFonts w:ascii="Verdana" w:hAnsi="Verdana"/>
          <w:sz w:val="16"/>
          <w:szCs w:val="16"/>
        </w:rPr>
        <w:br/>
        <w:t xml:space="preserve">i </w:t>
      </w:r>
      <w:r w:rsidRPr="00383392">
        <w:rPr>
          <w:rFonts w:ascii="Verdana" w:hAnsi="Verdana"/>
          <w:sz w:val="16"/>
          <w:szCs w:val="16"/>
        </w:rPr>
        <w:t xml:space="preserve">w polityce długu </w:t>
      </w:r>
      <w:r>
        <w:rPr>
          <w:rFonts w:ascii="Verdana" w:hAnsi="Verdana"/>
          <w:sz w:val="16"/>
          <w:szCs w:val="16"/>
        </w:rPr>
        <w:t>nowych zdarzeń</w:t>
      </w:r>
      <w:r w:rsidRPr="00383392">
        <w:rPr>
          <w:rFonts w:ascii="Verdana" w:hAnsi="Verdana"/>
          <w:sz w:val="16"/>
          <w:szCs w:val="16"/>
        </w:rPr>
        <w:t xml:space="preserve"> o istotnych skutkach finansowych (znaczący spadek </w:t>
      </w:r>
      <w:r>
        <w:rPr>
          <w:rFonts w:ascii="Verdana" w:hAnsi="Verdana"/>
          <w:sz w:val="16"/>
          <w:szCs w:val="16"/>
        </w:rPr>
        <w:t xml:space="preserve">prognozowanych </w:t>
      </w:r>
      <w:r w:rsidRPr="00383392">
        <w:rPr>
          <w:rFonts w:ascii="Verdana" w:hAnsi="Verdana"/>
          <w:sz w:val="16"/>
          <w:szCs w:val="16"/>
        </w:rPr>
        <w:t>dochodów, wydatk</w:t>
      </w:r>
      <w:r>
        <w:rPr>
          <w:rFonts w:ascii="Verdana" w:hAnsi="Verdana"/>
          <w:sz w:val="16"/>
          <w:szCs w:val="16"/>
        </w:rPr>
        <w:t>i</w:t>
      </w:r>
      <w:r w:rsidRPr="00383392">
        <w:rPr>
          <w:rFonts w:ascii="Verdana" w:hAnsi="Verdana"/>
          <w:sz w:val="16"/>
          <w:szCs w:val="16"/>
        </w:rPr>
        <w:t xml:space="preserve"> związan</w:t>
      </w:r>
      <w:r>
        <w:rPr>
          <w:rFonts w:ascii="Verdana" w:hAnsi="Verdana"/>
          <w:sz w:val="16"/>
          <w:szCs w:val="16"/>
        </w:rPr>
        <w:t>e</w:t>
      </w:r>
      <w:r w:rsidRPr="00383392">
        <w:rPr>
          <w:rFonts w:ascii="Verdana" w:hAnsi="Verdana"/>
          <w:sz w:val="16"/>
          <w:szCs w:val="16"/>
        </w:rPr>
        <w:t xml:space="preserve"> z przeciwdziałaniem epidemii</w:t>
      </w:r>
      <w:r>
        <w:rPr>
          <w:rFonts w:ascii="Verdana" w:hAnsi="Verdana"/>
          <w:sz w:val="16"/>
          <w:szCs w:val="16"/>
        </w:rPr>
        <w:t xml:space="preserve">, nowe wydatki związane z pomocą uchodźcom </w:t>
      </w:r>
      <w:r>
        <w:rPr>
          <w:rFonts w:ascii="Verdana" w:hAnsi="Verdana"/>
          <w:sz w:val="16"/>
          <w:szCs w:val="16"/>
        </w:rPr>
        <w:br/>
        <w:t>z Ukrainy, opóźnienia i wyższe koszty inwestycji, rosnące ceny energii, wzrost stóp procentowych na rynkach finansowych przekładający się na wyższe koszty finansowania zwrotnego, w tym przede wszystkim zaciągania nowych zobowiązań oraz obsługi zobowiązań opartych o zmienną stopę procentową</w:t>
      </w:r>
      <w:r w:rsidRPr="00383392">
        <w:rPr>
          <w:rFonts w:ascii="Verdana" w:hAnsi="Verdana"/>
          <w:sz w:val="16"/>
          <w:szCs w:val="16"/>
        </w:rPr>
        <w:t>).</w:t>
      </w:r>
      <w:r>
        <w:rPr>
          <w:rFonts w:ascii="Verdana" w:hAnsi="Verdana"/>
          <w:sz w:val="16"/>
          <w:szCs w:val="16"/>
        </w:rPr>
        <w:t xml:space="preserve"> </w:t>
      </w:r>
    </w:p>
    <w:p w:rsidR="008853F1" w:rsidRDefault="008853F1" w:rsidP="008853F1">
      <w:pPr>
        <w:spacing w:before="120"/>
        <w:jc w:val="both"/>
        <w:rPr>
          <w:rFonts w:ascii="Verdana" w:hAnsi="Verdana"/>
          <w:sz w:val="16"/>
          <w:szCs w:val="16"/>
        </w:rPr>
      </w:pPr>
      <w:r>
        <w:rPr>
          <w:rFonts w:ascii="Verdana" w:hAnsi="Verdana"/>
          <w:sz w:val="16"/>
          <w:szCs w:val="16"/>
        </w:rPr>
        <w:t xml:space="preserve">W przypadku Warszawy elementem kluczowym są zmiany regulacyjne w zakresie dochodów JST. </w:t>
      </w:r>
      <w:r w:rsidRPr="009F5F56">
        <w:rPr>
          <w:rFonts w:ascii="Verdana" w:hAnsi="Verdana"/>
          <w:sz w:val="16"/>
          <w:szCs w:val="16"/>
        </w:rPr>
        <w:t>Szacu</w:t>
      </w:r>
      <w:r>
        <w:rPr>
          <w:rFonts w:ascii="Verdana" w:hAnsi="Verdana"/>
          <w:sz w:val="16"/>
          <w:szCs w:val="16"/>
        </w:rPr>
        <w:t xml:space="preserve">nki na etapie wprowadzania zmian legislacyjnych </w:t>
      </w:r>
      <w:r w:rsidRPr="009F5F56">
        <w:rPr>
          <w:rFonts w:ascii="Verdana" w:hAnsi="Verdana"/>
          <w:sz w:val="16"/>
          <w:szCs w:val="16"/>
        </w:rPr>
        <w:t xml:space="preserve">w ramach  </w:t>
      </w:r>
      <w:r>
        <w:rPr>
          <w:rFonts w:ascii="Verdana" w:hAnsi="Verdana"/>
          <w:sz w:val="16"/>
          <w:szCs w:val="16"/>
        </w:rPr>
        <w:t>reformy podatkowej</w:t>
      </w:r>
      <w:r w:rsidRPr="009F5F56">
        <w:rPr>
          <w:rFonts w:ascii="Verdana" w:hAnsi="Verdana"/>
          <w:sz w:val="16"/>
          <w:szCs w:val="16"/>
        </w:rPr>
        <w:t xml:space="preserve"> i programu Polski Ład </w:t>
      </w:r>
      <w:r>
        <w:rPr>
          <w:rFonts w:ascii="Verdana" w:hAnsi="Verdana"/>
          <w:sz w:val="16"/>
          <w:szCs w:val="16"/>
        </w:rPr>
        <w:t xml:space="preserve">wskazywały, </w:t>
      </w:r>
      <w:r>
        <w:rPr>
          <w:rFonts w:ascii="Verdana" w:hAnsi="Verdana"/>
          <w:sz w:val="16"/>
          <w:szCs w:val="16"/>
        </w:rPr>
        <w:br/>
        <w:t xml:space="preserve">że </w:t>
      </w:r>
      <w:r w:rsidRPr="009F5F56">
        <w:rPr>
          <w:rFonts w:ascii="Verdana" w:hAnsi="Verdana"/>
          <w:sz w:val="16"/>
          <w:szCs w:val="16"/>
        </w:rPr>
        <w:t xml:space="preserve">dochody samorządów (po uwzględnieniu rekompensat) łącznie w latach 2020-2031 zostaną uszczuplone </w:t>
      </w:r>
      <w:r>
        <w:rPr>
          <w:rFonts w:ascii="Verdana" w:hAnsi="Verdana"/>
          <w:sz w:val="16"/>
          <w:szCs w:val="16"/>
        </w:rPr>
        <w:br/>
      </w:r>
      <w:r w:rsidRPr="009F5F56">
        <w:rPr>
          <w:rFonts w:ascii="Verdana" w:hAnsi="Verdana"/>
          <w:sz w:val="16"/>
          <w:szCs w:val="16"/>
        </w:rPr>
        <w:t>o 110 mld zł</w:t>
      </w:r>
      <w:r>
        <w:rPr>
          <w:rFonts w:ascii="Verdana" w:hAnsi="Verdana"/>
          <w:sz w:val="16"/>
          <w:szCs w:val="16"/>
        </w:rPr>
        <w:t xml:space="preserve">, a </w:t>
      </w:r>
      <w:r w:rsidRPr="009F5F56">
        <w:rPr>
          <w:rFonts w:ascii="Verdana" w:hAnsi="Verdana"/>
          <w:sz w:val="16"/>
          <w:szCs w:val="16"/>
        </w:rPr>
        <w:t>Warszawa w ww. okresie poniesie główny ciężar utraty dochodów</w:t>
      </w:r>
      <w:r>
        <w:rPr>
          <w:rFonts w:ascii="Verdana" w:hAnsi="Verdana"/>
          <w:sz w:val="16"/>
          <w:szCs w:val="16"/>
        </w:rPr>
        <w:t xml:space="preserve"> z tytułu udziału w podatku od osób fizycznych</w:t>
      </w:r>
      <w:r w:rsidRPr="009F5F56">
        <w:rPr>
          <w:rFonts w:ascii="Verdana" w:hAnsi="Verdana"/>
          <w:sz w:val="16"/>
          <w:szCs w:val="16"/>
        </w:rPr>
        <w:t xml:space="preserve"> na poziomie ok. 29 mld zł (26% ogółu utraconych przez JST dochodów). </w:t>
      </w:r>
      <w:r>
        <w:rPr>
          <w:rFonts w:ascii="Verdana" w:hAnsi="Verdana"/>
          <w:sz w:val="16"/>
          <w:szCs w:val="16"/>
        </w:rPr>
        <w:t>Z obecnych prognoz wynika, że b</w:t>
      </w:r>
      <w:r w:rsidRPr="009F5F56">
        <w:rPr>
          <w:rFonts w:ascii="Verdana" w:hAnsi="Verdana"/>
          <w:sz w:val="16"/>
          <w:szCs w:val="16"/>
        </w:rPr>
        <w:t xml:space="preserve">ez </w:t>
      </w:r>
      <w:r>
        <w:rPr>
          <w:rFonts w:ascii="Verdana" w:hAnsi="Verdana"/>
          <w:sz w:val="16"/>
          <w:szCs w:val="16"/>
        </w:rPr>
        <w:t xml:space="preserve">wprowadzonych </w:t>
      </w:r>
      <w:r w:rsidRPr="009F5F56">
        <w:rPr>
          <w:rFonts w:ascii="Verdana" w:hAnsi="Verdana"/>
          <w:sz w:val="16"/>
          <w:szCs w:val="16"/>
        </w:rPr>
        <w:t xml:space="preserve">zmian ustawowych dochody Warszawy tylko </w:t>
      </w:r>
      <w:r>
        <w:rPr>
          <w:rFonts w:ascii="Verdana" w:hAnsi="Verdana"/>
          <w:sz w:val="16"/>
          <w:szCs w:val="16"/>
        </w:rPr>
        <w:t xml:space="preserve">z tytułu PIT </w:t>
      </w:r>
      <w:r w:rsidRPr="009F5F56">
        <w:rPr>
          <w:rFonts w:ascii="Verdana" w:hAnsi="Verdana"/>
          <w:sz w:val="16"/>
          <w:szCs w:val="16"/>
        </w:rPr>
        <w:t>w</w:t>
      </w:r>
      <w:r>
        <w:rPr>
          <w:rFonts w:ascii="Verdana" w:hAnsi="Verdana"/>
          <w:sz w:val="16"/>
          <w:szCs w:val="16"/>
        </w:rPr>
        <w:t xml:space="preserve"> 2022 r. byłyby wyższe o ok. 1,9</w:t>
      </w:r>
      <w:r w:rsidRPr="009F5F56">
        <w:rPr>
          <w:rFonts w:ascii="Verdana" w:hAnsi="Verdana"/>
          <w:sz w:val="16"/>
          <w:szCs w:val="16"/>
        </w:rPr>
        <w:t xml:space="preserve"> mld zł a w 2023 r. o ok. 2,8 mld zł</w:t>
      </w:r>
      <w:r w:rsidRPr="00DB6282">
        <w:rPr>
          <w:rFonts w:ascii="Verdana" w:hAnsi="Verdana"/>
          <w:sz w:val="16"/>
          <w:szCs w:val="16"/>
        </w:rPr>
        <w:t>, co zapewni</w:t>
      </w:r>
      <w:r>
        <w:rPr>
          <w:rFonts w:ascii="Verdana" w:hAnsi="Verdana"/>
          <w:sz w:val="16"/>
          <w:szCs w:val="16"/>
        </w:rPr>
        <w:t xml:space="preserve">łoby finansowanie programu inwestycyjnego bez </w:t>
      </w:r>
      <w:r>
        <w:rPr>
          <w:rFonts w:ascii="Verdana" w:hAnsi="Verdana"/>
          <w:sz w:val="16"/>
          <w:szCs w:val="16"/>
        </w:rPr>
        <w:lastRenderedPageBreak/>
        <w:t xml:space="preserve">konieczności zaciągania zobowiązań w najbliższych latach. Ubytek dochodów ma być częściowo ograniczony poprzez </w:t>
      </w:r>
      <w:r w:rsidRPr="00CB32E5">
        <w:rPr>
          <w:rFonts w:ascii="Verdana" w:hAnsi="Verdana"/>
          <w:sz w:val="16"/>
          <w:szCs w:val="16"/>
        </w:rPr>
        <w:t>subwencj</w:t>
      </w:r>
      <w:r>
        <w:rPr>
          <w:rFonts w:ascii="Verdana" w:hAnsi="Verdana"/>
          <w:sz w:val="16"/>
          <w:szCs w:val="16"/>
        </w:rPr>
        <w:t>e rozwojowe dla JST.</w:t>
      </w:r>
    </w:p>
    <w:p w:rsidR="008853F1" w:rsidRDefault="008853F1" w:rsidP="008853F1">
      <w:pPr>
        <w:spacing w:before="120"/>
        <w:jc w:val="both"/>
        <w:rPr>
          <w:rFonts w:ascii="Verdana" w:hAnsi="Verdana"/>
          <w:sz w:val="16"/>
          <w:szCs w:val="16"/>
        </w:rPr>
      </w:pPr>
      <w:r>
        <w:rPr>
          <w:rFonts w:ascii="Verdana" w:hAnsi="Verdana"/>
          <w:sz w:val="16"/>
          <w:szCs w:val="16"/>
        </w:rPr>
        <w:t>R</w:t>
      </w:r>
      <w:r w:rsidRPr="00465970">
        <w:rPr>
          <w:rFonts w:ascii="Verdana" w:hAnsi="Verdana"/>
          <w:sz w:val="16"/>
          <w:szCs w:val="16"/>
        </w:rPr>
        <w:t xml:space="preserve">ewizja planów rozwojowych </w:t>
      </w:r>
      <w:r>
        <w:rPr>
          <w:rFonts w:ascii="Verdana" w:hAnsi="Verdana"/>
          <w:sz w:val="16"/>
          <w:szCs w:val="16"/>
        </w:rPr>
        <w:t>(w</w:t>
      </w:r>
      <w:r w:rsidRPr="00465970">
        <w:rPr>
          <w:rFonts w:ascii="Verdana" w:hAnsi="Verdana"/>
          <w:sz w:val="16"/>
          <w:szCs w:val="16"/>
        </w:rPr>
        <w:t>ymuszona pandemią, konfliktem w Ukrainie, znacznie wyższymi kosztami pozyskania kapitału i zmianami regulacyjnymi</w:t>
      </w:r>
      <w:r>
        <w:rPr>
          <w:rFonts w:ascii="Verdana" w:hAnsi="Verdana"/>
          <w:sz w:val="16"/>
          <w:szCs w:val="16"/>
        </w:rPr>
        <w:t>)</w:t>
      </w:r>
      <w:r w:rsidRPr="00465970">
        <w:rPr>
          <w:rFonts w:ascii="Verdana" w:hAnsi="Verdana"/>
          <w:sz w:val="16"/>
          <w:szCs w:val="16"/>
        </w:rPr>
        <w:t xml:space="preserve"> może skutkować koniecznością działań związanych z aktywnym zarządzaniem długiem i rozważeniem operacji polegających na przesunięciu spłaty zobowiązań dłużnych zapadających w kolejnych latach. </w:t>
      </w:r>
    </w:p>
    <w:p w:rsidR="008853F1" w:rsidRPr="00383392" w:rsidRDefault="008853F1" w:rsidP="008853F1">
      <w:pPr>
        <w:numPr>
          <w:ilvl w:val="0"/>
          <w:numId w:val="70"/>
        </w:numPr>
        <w:spacing w:before="240" w:line="312" w:lineRule="auto"/>
        <w:ind w:left="397" w:hanging="397"/>
        <w:rPr>
          <w:rFonts w:ascii="Verdana" w:hAnsi="Verdana"/>
          <w:b/>
        </w:rPr>
      </w:pPr>
      <w:bookmarkStart w:id="7" w:name="bookmark1"/>
      <w:r>
        <w:rPr>
          <w:rFonts w:ascii="Verdana" w:hAnsi="Verdana"/>
          <w:b/>
          <w:bCs/>
        </w:rPr>
        <w:t>Poziom zadłużenia</w:t>
      </w:r>
      <w:r w:rsidRPr="00383392">
        <w:rPr>
          <w:rFonts w:ascii="Verdana" w:hAnsi="Verdana"/>
          <w:b/>
        </w:rPr>
        <w:t xml:space="preserve"> Miasta oraz realizacja celów polityki długu wyznaczonych na 202</w:t>
      </w:r>
      <w:r>
        <w:rPr>
          <w:rFonts w:ascii="Verdana" w:hAnsi="Verdana"/>
          <w:b/>
        </w:rPr>
        <w:t>2</w:t>
      </w:r>
      <w:r w:rsidRPr="00383392">
        <w:rPr>
          <w:rFonts w:ascii="Verdana" w:hAnsi="Verdana"/>
          <w:b/>
        </w:rPr>
        <w:t xml:space="preserve"> r</w:t>
      </w:r>
      <w:r>
        <w:rPr>
          <w:rFonts w:ascii="Verdana" w:hAnsi="Verdana"/>
          <w:b/>
        </w:rPr>
        <w:t>.</w:t>
      </w:r>
      <w:bookmarkEnd w:id="7"/>
    </w:p>
    <w:p w:rsidR="008853F1" w:rsidRPr="00EE37CE" w:rsidRDefault="008853F1" w:rsidP="008853F1">
      <w:pPr>
        <w:spacing w:before="240"/>
        <w:jc w:val="both"/>
        <w:rPr>
          <w:rFonts w:ascii="Verdana" w:hAnsi="Verdana"/>
          <w:sz w:val="16"/>
          <w:szCs w:val="16"/>
        </w:rPr>
      </w:pPr>
      <w:r w:rsidRPr="00EE37CE">
        <w:rPr>
          <w:rFonts w:ascii="Verdana" w:hAnsi="Verdana"/>
          <w:sz w:val="16"/>
          <w:szCs w:val="16"/>
        </w:rPr>
        <w:t>Od 2015 r</w:t>
      </w:r>
      <w:r>
        <w:rPr>
          <w:rFonts w:ascii="Verdana" w:hAnsi="Verdana"/>
          <w:sz w:val="16"/>
          <w:szCs w:val="16"/>
        </w:rPr>
        <w:t>.</w:t>
      </w:r>
      <w:r w:rsidRPr="00EE37CE">
        <w:rPr>
          <w:rFonts w:ascii="Verdana" w:hAnsi="Verdana"/>
          <w:sz w:val="16"/>
          <w:szCs w:val="16"/>
        </w:rPr>
        <w:t xml:space="preserve"> do połowy roku 2020, nie były zaciągane nowe zobowiązania dłużne przy jednoczesnej spłacie części zadłużenia. W efekcie, w latach 2015-2019 poziom długu m.st. Warszawy systematycznie malał zarówno w ujęciu kwotowym jak i w relacji do dochodów. Spadek zadłużenia wynikał ze zdolności Miasta do generowania  nadwyżek, pozwalających na finansowanie programu inwestycji oraz spłaty zobowiązań. W 2020 r</w:t>
      </w:r>
      <w:r>
        <w:rPr>
          <w:rFonts w:ascii="Verdana" w:hAnsi="Verdana"/>
          <w:sz w:val="16"/>
          <w:szCs w:val="16"/>
        </w:rPr>
        <w:t>.</w:t>
      </w:r>
      <w:r w:rsidRPr="00EE37CE">
        <w:rPr>
          <w:rFonts w:ascii="Verdana" w:hAnsi="Verdana"/>
          <w:sz w:val="16"/>
          <w:szCs w:val="16"/>
        </w:rPr>
        <w:t xml:space="preserve"> Miasto wyemitowało 2</w:t>
      </w:r>
      <w:r>
        <w:rPr>
          <w:rFonts w:ascii="Verdana" w:hAnsi="Verdana"/>
          <w:sz w:val="16"/>
          <w:szCs w:val="16"/>
        </w:rPr>
        <w:t> </w:t>
      </w:r>
      <w:r w:rsidRPr="00EE37CE">
        <w:rPr>
          <w:rFonts w:ascii="Verdana" w:hAnsi="Verdana"/>
          <w:sz w:val="16"/>
          <w:szCs w:val="16"/>
        </w:rPr>
        <w:t>serie obligacji o łącznej wartości 400 mln zł oraz zaciągnęło kredyty i pożyczki o wartości 1.944 mln zł. W</w:t>
      </w:r>
      <w:r>
        <w:rPr>
          <w:rFonts w:ascii="Verdana" w:hAnsi="Verdana"/>
          <w:sz w:val="16"/>
          <w:szCs w:val="16"/>
        </w:rPr>
        <w:t> </w:t>
      </w:r>
      <w:r w:rsidRPr="00EE37CE">
        <w:rPr>
          <w:rFonts w:ascii="Verdana" w:hAnsi="Verdana"/>
          <w:sz w:val="16"/>
          <w:szCs w:val="16"/>
        </w:rPr>
        <w:t>2021 r. Miasto pozyskało 547,2 mln zł w ramach kredytów z międzynarodowych instytucji finansowych oraz 14,1 mln zł preferencyjnych pożyczek z Mazowieckiego Regionalnego Funduszu Pożyczkowego oraz Narodowego Funduszu Ochrony Środowiska i Gospodarki Wodnej. W</w:t>
      </w:r>
      <w:r>
        <w:rPr>
          <w:rFonts w:ascii="Verdana" w:hAnsi="Verdana"/>
          <w:sz w:val="16"/>
          <w:szCs w:val="16"/>
        </w:rPr>
        <w:t> </w:t>
      </w:r>
      <w:r w:rsidRPr="00EE37CE">
        <w:rPr>
          <w:rFonts w:ascii="Verdana" w:hAnsi="Verdana"/>
          <w:sz w:val="16"/>
          <w:szCs w:val="16"/>
        </w:rPr>
        <w:t xml:space="preserve"> 2022 r. Miasto </w:t>
      </w:r>
      <w:r>
        <w:rPr>
          <w:rFonts w:ascii="Verdana" w:hAnsi="Verdana"/>
          <w:sz w:val="16"/>
          <w:szCs w:val="16"/>
        </w:rPr>
        <w:t xml:space="preserve">przesunęło na 2023 r. </w:t>
      </w:r>
      <w:r w:rsidRPr="00EE37CE">
        <w:rPr>
          <w:rFonts w:ascii="Verdana" w:hAnsi="Verdana"/>
          <w:sz w:val="16"/>
          <w:szCs w:val="16"/>
        </w:rPr>
        <w:t>zaciągn</w:t>
      </w:r>
      <w:r>
        <w:rPr>
          <w:rFonts w:ascii="Verdana" w:hAnsi="Verdana"/>
          <w:sz w:val="16"/>
          <w:szCs w:val="16"/>
        </w:rPr>
        <w:t xml:space="preserve">ięcie </w:t>
      </w:r>
      <w:r w:rsidRPr="00EE37CE">
        <w:rPr>
          <w:rFonts w:ascii="Verdana" w:hAnsi="Verdana"/>
          <w:sz w:val="16"/>
          <w:szCs w:val="16"/>
        </w:rPr>
        <w:t>nowych zobowiązań</w:t>
      </w:r>
      <w:r>
        <w:rPr>
          <w:rFonts w:ascii="Verdana" w:hAnsi="Verdana"/>
          <w:sz w:val="16"/>
          <w:szCs w:val="16"/>
        </w:rPr>
        <w:t>,</w:t>
      </w:r>
      <w:r w:rsidRPr="00EE37CE">
        <w:rPr>
          <w:rFonts w:ascii="Verdana" w:hAnsi="Verdana"/>
          <w:sz w:val="16"/>
          <w:szCs w:val="16"/>
        </w:rPr>
        <w:t xml:space="preserve"> m.in. z uwagi na </w:t>
      </w:r>
      <w:r>
        <w:rPr>
          <w:rFonts w:ascii="Verdana" w:hAnsi="Verdana"/>
          <w:sz w:val="16"/>
          <w:szCs w:val="16"/>
        </w:rPr>
        <w:t xml:space="preserve">wyższy poziom środków przechodzących z 2021 r., planowany na koniec 2022 r. napływ środków z subwencji rozwojowej (zmniejszającym dochody Miasta w 2023 r.), przesunięcie części projektów inwestycyjnych </w:t>
      </w:r>
      <w:r w:rsidRPr="00EE37CE">
        <w:rPr>
          <w:rFonts w:ascii="Verdana" w:hAnsi="Verdana"/>
          <w:sz w:val="16"/>
          <w:szCs w:val="16"/>
        </w:rPr>
        <w:t xml:space="preserve">oraz </w:t>
      </w:r>
      <w:r>
        <w:rPr>
          <w:rFonts w:ascii="Verdana" w:hAnsi="Verdana"/>
          <w:sz w:val="16"/>
          <w:szCs w:val="16"/>
        </w:rPr>
        <w:t xml:space="preserve">uwarunkowania rynkowe (skokowy wzrost </w:t>
      </w:r>
      <w:r w:rsidRPr="00EE37CE">
        <w:rPr>
          <w:rFonts w:ascii="Verdana" w:hAnsi="Verdana"/>
          <w:sz w:val="16"/>
          <w:szCs w:val="16"/>
        </w:rPr>
        <w:t>kosztów finansowania zwrotnego</w:t>
      </w:r>
      <w:r>
        <w:rPr>
          <w:rFonts w:ascii="Verdana" w:hAnsi="Verdana"/>
          <w:sz w:val="16"/>
          <w:szCs w:val="16"/>
        </w:rPr>
        <w:t>)</w:t>
      </w:r>
      <w:r w:rsidRPr="00EE37CE">
        <w:rPr>
          <w:rFonts w:ascii="Verdana" w:hAnsi="Verdana"/>
          <w:sz w:val="16"/>
          <w:szCs w:val="16"/>
        </w:rPr>
        <w:t>. Jednocześnie w związku ze spłatą dwóch transz obligacji zapadających we wrześniu, na koniec 2022 r. planowany jest spadek zadłużenia. Kształtowanie się długu Miasta w okresie od 2012 r. do końca września 2022 r. przedstawia wykres 1.</w:t>
      </w:r>
    </w:p>
    <w:p w:rsidR="008853F1" w:rsidRDefault="008853F1" w:rsidP="008853F1">
      <w:pPr>
        <w:spacing w:before="120" w:after="120"/>
        <w:jc w:val="both"/>
        <w:rPr>
          <w:rFonts w:ascii="Verdana" w:hAnsi="Verdana"/>
          <w:b/>
          <w:sz w:val="14"/>
          <w:szCs w:val="14"/>
        </w:rPr>
      </w:pPr>
      <w:r w:rsidRPr="00383392">
        <w:rPr>
          <w:rFonts w:ascii="Verdana" w:hAnsi="Verdana"/>
          <w:b/>
          <w:sz w:val="14"/>
          <w:szCs w:val="14"/>
        </w:rPr>
        <w:t>WYK. 1</w:t>
      </w:r>
      <w:r w:rsidRPr="00383392">
        <w:rPr>
          <w:rFonts w:ascii="Verdana" w:hAnsi="Verdana"/>
          <w:sz w:val="14"/>
          <w:szCs w:val="14"/>
        </w:rPr>
        <w:t xml:space="preserve"> </w:t>
      </w:r>
      <w:r w:rsidRPr="006D7A64">
        <w:rPr>
          <w:rFonts w:ascii="Verdana" w:hAnsi="Verdana"/>
          <w:b/>
          <w:sz w:val="14"/>
          <w:szCs w:val="14"/>
        </w:rPr>
        <w:t>POZIOM ZADŁUŻENIA</w:t>
      </w:r>
      <w:r w:rsidRPr="00383392">
        <w:rPr>
          <w:rFonts w:ascii="Verdana" w:hAnsi="Verdana"/>
          <w:b/>
          <w:sz w:val="14"/>
          <w:szCs w:val="14"/>
        </w:rPr>
        <w:t xml:space="preserve"> M.ST. WARSZAWY W LATACH 201</w:t>
      </w:r>
      <w:r>
        <w:rPr>
          <w:rFonts w:ascii="Verdana" w:hAnsi="Verdana"/>
          <w:b/>
          <w:sz w:val="14"/>
          <w:szCs w:val="14"/>
        </w:rPr>
        <w:t>2</w:t>
      </w:r>
      <w:r w:rsidRPr="00383392">
        <w:rPr>
          <w:rFonts w:ascii="Verdana" w:hAnsi="Verdana"/>
          <w:b/>
          <w:sz w:val="14"/>
          <w:szCs w:val="14"/>
        </w:rPr>
        <w:t>-202</w:t>
      </w:r>
      <w:r>
        <w:rPr>
          <w:rFonts w:ascii="Verdana" w:hAnsi="Verdana"/>
          <w:b/>
          <w:sz w:val="14"/>
          <w:szCs w:val="14"/>
        </w:rPr>
        <w:t>1</w:t>
      </w:r>
      <w:r w:rsidRPr="00383392">
        <w:rPr>
          <w:rFonts w:ascii="Verdana" w:hAnsi="Verdana"/>
          <w:b/>
          <w:sz w:val="14"/>
          <w:szCs w:val="14"/>
        </w:rPr>
        <w:t xml:space="preserve"> </w:t>
      </w:r>
      <w:r>
        <w:rPr>
          <w:rFonts w:ascii="Verdana" w:hAnsi="Verdana"/>
          <w:b/>
          <w:sz w:val="14"/>
          <w:szCs w:val="14"/>
        </w:rPr>
        <w:t>ORAZ NA KONIEC III KWARTAŁU 2022 r.</w:t>
      </w:r>
    </w:p>
    <w:p w:rsidR="008853F1" w:rsidRPr="00383392" w:rsidRDefault="008853F1" w:rsidP="008853F1">
      <w:pPr>
        <w:jc w:val="both"/>
        <w:rPr>
          <w:rFonts w:ascii="Verdana" w:hAnsi="Verdana"/>
          <w:b/>
          <w:sz w:val="18"/>
          <w:szCs w:val="18"/>
        </w:rPr>
      </w:pPr>
      <w:r>
        <w:rPr>
          <w:noProof/>
        </w:rPr>
        <w:drawing>
          <wp:inline distT="0" distB="0" distL="0" distR="0" wp14:anchorId="7308241F" wp14:editId="1A5EA097">
            <wp:extent cx="5759450" cy="2395855"/>
            <wp:effectExtent l="0" t="0" r="0" b="4445"/>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853F1" w:rsidRDefault="008853F1" w:rsidP="008853F1">
      <w:pPr>
        <w:jc w:val="both"/>
        <w:rPr>
          <w:rFonts w:ascii="Verdana" w:hAnsi="Verdana"/>
          <w:sz w:val="16"/>
          <w:szCs w:val="16"/>
        </w:rPr>
      </w:pPr>
      <w:r w:rsidRPr="00383392">
        <w:rPr>
          <w:rFonts w:ascii="Verdana" w:hAnsi="Verdana"/>
          <w:sz w:val="16"/>
          <w:szCs w:val="16"/>
        </w:rPr>
        <w:t xml:space="preserve">Dług m.st. Warszawy na koniec </w:t>
      </w:r>
      <w:r>
        <w:rPr>
          <w:rFonts w:ascii="Verdana" w:hAnsi="Verdana"/>
          <w:sz w:val="16"/>
          <w:szCs w:val="16"/>
        </w:rPr>
        <w:t>września</w:t>
      </w:r>
      <w:r w:rsidRPr="00383392">
        <w:rPr>
          <w:rFonts w:ascii="Verdana" w:hAnsi="Verdana"/>
          <w:sz w:val="16"/>
          <w:szCs w:val="16"/>
        </w:rPr>
        <w:t xml:space="preserve"> 202</w:t>
      </w:r>
      <w:r>
        <w:rPr>
          <w:rFonts w:ascii="Verdana" w:hAnsi="Verdana"/>
          <w:sz w:val="16"/>
          <w:szCs w:val="16"/>
        </w:rPr>
        <w:t>2</w:t>
      </w:r>
      <w:r w:rsidRPr="00383392">
        <w:rPr>
          <w:rFonts w:ascii="Verdana" w:hAnsi="Verdana"/>
          <w:sz w:val="16"/>
          <w:szCs w:val="16"/>
        </w:rPr>
        <w:t xml:space="preserve"> r. wyniósł </w:t>
      </w:r>
      <w:r w:rsidRPr="00EE37CE">
        <w:rPr>
          <w:rFonts w:ascii="Verdana" w:hAnsi="Verdana"/>
          <w:color w:val="000000" w:themeColor="text1"/>
          <w:sz w:val="16"/>
          <w:szCs w:val="16"/>
        </w:rPr>
        <w:t>5.331,4</w:t>
      </w:r>
      <w:r w:rsidRPr="00383392">
        <w:rPr>
          <w:rFonts w:ascii="Verdana" w:hAnsi="Verdana"/>
          <w:color w:val="000000" w:themeColor="text1"/>
          <w:sz w:val="16"/>
          <w:szCs w:val="16"/>
        </w:rPr>
        <w:t xml:space="preserve"> </w:t>
      </w:r>
      <w:r w:rsidRPr="00383392">
        <w:rPr>
          <w:rFonts w:ascii="Verdana" w:hAnsi="Verdana"/>
          <w:sz w:val="16"/>
          <w:szCs w:val="16"/>
        </w:rPr>
        <w:t>mln zł i stanowił</w:t>
      </w:r>
      <w:r>
        <w:rPr>
          <w:rFonts w:ascii="Verdana" w:hAnsi="Verdana"/>
          <w:sz w:val="16"/>
          <w:szCs w:val="16"/>
        </w:rPr>
        <w:t xml:space="preserve"> </w:t>
      </w:r>
      <w:r w:rsidRPr="00EE37CE">
        <w:rPr>
          <w:rFonts w:ascii="Verdana" w:hAnsi="Verdana"/>
          <w:sz w:val="16"/>
          <w:szCs w:val="16"/>
        </w:rPr>
        <w:t>26,6%</w:t>
      </w:r>
      <w:r w:rsidRPr="00383392">
        <w:rPr>
          <w:rFonts w:ascii="Verdana" w:hAnsi="Verdana"/>
          <w:sz w:val="16"/>
          <w:szCs w:val="16"/>
        </w:rPr>
        <w:t xml:space="preserve"> planowanych na rok 202</w:t>
      </w:r>
      <w:r>
        <w:rPr>
          <w:rFonts w:ascii="Verdana" w:hAnsi="Verdana"/>
          <w:sz w:val="16"/>
          <w:szCs w:val="16"/>
        </w:rPr>
        <w:t>2</w:t>
      </w:r>
      <w:r w:rsidRPr="00383392">
        <w:rPr>
          <w:rFonts w:ascii="Verdana" w:hAnsi="Verdana"/>
          <w:sz w:val="16"/>
          <w:szCs w:val="16"/>
        </w:rPr>
        <w:t xml:space="preserve"> dochodów ogółem. </w:t>
      </w:r>
    </w:p>
    <w:p w:rsidR="008853F1" w:rsidRPr="00383392" w:rsidRDefault="008853F1" w:rsidP="008853F1">
      <w:pPr>
        <w:spacing w:before="240" w:after="120"/>
        <w:jc w:val="both"/>
        <w:rPr>
          <w:rFonts w:ascii="Verdana" w:hAnsi="Verdana"/>
          <w:b/>
          <w:sz w:val="18"/>
          <w:szCs w:val="18"/>
        </w:rPr>
      </w:pPr>
      <w:bookmarkStart w:id="8" w:name="bookmark2"/>
      <w:r w:rsidRPr="00383392">
        <w:rPr>
          <w:rFonts w:ascii="Verdana" w:hAnsi="Verdana"/>
          <w:b/>
          <w:sz w:val="18"/>
          <w:szCs w:val="18"/>
        </w:rPr>
        <w:t xml:space="preserve">Realizacja celów polityki długu (stan na </w:t>
      </w:r>
      <w:r w:rsidRPr="0056115D">
        <w:rPr>
          <w:rFonts w:ascii="Verdana" w:hAnsi="Verdana"/>
          <w:b/>
          <w:sz w:val="18"/>
          <w:szCs w:val="18"/>
        </w:rPr>
        <w:t>30.0</w:t>
      </w:r>
      <w:r>
        <w:rPr>
          <w:rFonts w:ascii="Verdana" w:hAnsi="Verdana"/>
          <w:b/>
          <w:sz w:val="18"/>
          <w:szCs w:val="18"/>
        </w:rPr>
        <w:t>9</w:t>
      </w:r>
      <w:r w:rsidRPr="0056115D">
        <w:rPr>
          <w:rFonts w:ascii="Verdana" w:hAnsi="Verdana"/>
          <w:b/>
          <w:sz w:val="18"/>
          <w:szCs w:val="18"/>
        </w:rPr>
        <w:t>.202</w:t>
      </w:r>
      <w:r>
        <w:rPr>
          <w:rFonts w:ascii="Verdana" w:hAnsi="Verdana"/>
          <w:b/>
          <w:sz w:val="18"/>
          <w:szCs w:val="18"/>
        </w:rPr>
        <w:t>2</w:t>
      </w:r>
      <w:bookmarkEnd w:id="8"/>
      <w:r w:rsidRPr="0056115D">
        <w:rPr>
          <w:rFonts w:ascii="Verdana" w:hAnsi="Verdana"/>
          <w:b/>
          <w:sz w:val="18"/>
          <w:szCs w:val="18"/>
        </w:rPr>
        <w:t xml:space="preserve"> r.</w:t>
      </w:r>
      <w:r w:rsidRPr="00C444D6">
        <w:rPr>
          <w:rFonts w:ascii="Verdana" w:hAnsi="Verdana"/>
          <w:b/>
          <w:sz w:val="18"/>
          <w:szCs w:val="18"/>
        </w:rPr>
        <w:t>)</w:t>
      </w:r>
    </w:p>
    <w:p w:rsidR="008853F1" w:rsidRDefault="008853F1" w:rsidP="008853F1">
      <w:pPr>
        <w:jc w:val="both"/>
        <w:rPr>
          <w:rFonts w:ascii="Verdana" w:hAnsi="Verdana"/>
          <w:sz w:val="16"/>
          <w:szCs w:val="16"/>
        </w:rPr>
      </w:pPr>
      <w:r>
        <w:rPr>
          <w:rFonts w:ascii="Verdana" w:hAnsi="Verdana"/>
          <w:sz w:val="16"/>
          <w:szCs w:val="16"/>
        </w:rPr>
        <w:t>Struktura zobowiązań zapewnia realizację celów polityki długu, które prezentowane są w tabeli 1.</w:t>
      </w:r>
      <w:r>
        <w:rPr>
          <w:rFonts w:ascii="Verdana" w:hAnsi="Verdana"/>
          <w:sz w:val="16"/>
          <w:szCs w:val="16"/>
        </w:rPr>
        <w:br w:type="page"/>
      </w:r>
    </w:p>
    <w:p w:rsidR="008853F1" w:rsidRPr="00383392" w:rsidRDefault="008853F1" w:rsidP="008853F1">
      <w:pPr>
        <w:autoSpaceDE w:val="0"/>
        <w:autoSpaceDN w:val="0"/>
        <w:adjustRightInd w:val="0"/>
        <w:spacing w:before="120"/>
        <w:jc w:val="both"/>
        <w:rPr>
          <w:rFonts w:ascii="Verdana" w:hAnsi="Verdana" w:cs="Arial"/>
          <w:b/>
          <w:color w:val="000000"/>
          <w:sz w:val="14"/>
          <w:szCs w:val="14"/>
        </w:rPr>
      </w:pPr>
      <w:r w:rsidRPr="00383392">
        <w:rPr>
          <w:rFonts w:ascii="Verdana" w:hAnsi="Verdana" w:cs="Arial"/>
          <w:b/>
          <w:color w:val="000000"/>
          <w:sz w:val="14"/>
          <w:szCs w:val="14"/>
        </w:rPr>
        <w:lastRenderedPageBreak/>
        <w:t xml:space="preserve">TAB. 1 CELE POLITYKI DŁUGU </w:t>
      </w:r>
      <w:r w:rsidRPr="00383392">
        <w:rPr>
          <w:rFonts w:ascii="Verdana" w:hAnsi="Verdana"/>
          <w:b/>
          <w:sz w:val="14"/>
          <w:szCs w:val="14"/>
        </w:rPr>
        <w:t>M.ST. WARSZAWY</w:t>
      </w:r>
      <w:r w:rsidRPr="00383392">
        <w:rPr>
          <w:rFonts w:ascii="Verdana" w:hAnsi="Verdana" w:cs="Arial"/>
          <w:b/>
          <w:color w:val="000000"/>
          <w:sz w:val="14"/>
          <w:szCs w:val="14"/>
        </w:rPr>
        <w:t xml:space="preserve"> I POZIOM ICH REALIZACJI</w:t>
      </w:r>
    </w:p>
    <w:tbl>
      <w:tblPr>
        <w:tblW w:w="9032" w:type="dxa"/>
        <w:tblCellMar>
          <w:left w:w="70" w:type="dxa"/>
          <w:right w:w="70" w:type="dxa"/>
        </w:tblCellMar>
        <w:tblLook w:val="04A0" w:firstRow="1" w:lastRow="0" w:firstColumn="1" w:lastColumn="0" w:noHBand="0" w:noVBand="1"/>
      </w:tblPr>
      <w:tblGrid>
        <w:gridCol w:w="2149"/>
        <w:gridCol w:w="2026"/>
        <w:gridCol w:w="3191"/>
        <w:gridCol w:w="1666"/>
      </w:tblGrid>
      <w:tr w:rsidR="008853F1" w:rsidRPr="00383392" w:rsidTr="004A1B29">
        <w:trPr>
          <w:trHeight w:val="259"/>
        </w:trPr>
        <w:tc>
          <w:tcPr>
            <w:tcW w:w="4175" w:type="dxa"/>
            <w:gridSpan w:val="2"/>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8853F1" w:rsidRPr="00383392" w:rsidRDefault="008853F1" w:rsidP="004A1B29">
            <w:pPr>
              <w:jc w:val="center"/>
              <w:rPr>
                <w:rFonts w:ascii="Verdana" w:hAnsi="Verdana" w:cs="Calibri"/>
                <w:b/>
                <w:bCs/>
                <w:color w:val="000000"/>
                <w:sz w:val="16"/>
                <w:szCs w:val="16"/>
              </w:rPr>
            </w:pPr>
            <w:r w:rsidRPr="00383392">
              <w:rPr>
                <w:rFonts w:ascii="Verdana" w:hAnsi="Verdana" w:cs="Calibri"/>
                <w:b/>
                <w:bCs/>
                <w:color w:val="000000"/>
                <w:sz w:val="16"/>
                <w:szCs w:val="16"/>
              </w:rPr>
              <w:t>Wyszczególnienie</w:t>
            </w:r>
          </w:p>
        </w:tc>
        <w:tc>
          <w:tcPr>
            <w:tcW w:w="3191"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8853F1" w:rsidRPr="00383392" w:rsidRDefault="008853F1" w:rsidP="004A1B29">
            <w:pPr>
              <w:jc w:val="center"/>
              <w:rPr>
                <w:rFonts w:ascii="Verdana" w:hAnsi="Verdana" w:cs="Calibri"/>
                <w:b/>
                <w:bCs/>
                <w:color w:val="000000"/>
                <w:sz w:val="16"/>
                <w:szCs w:val="16"/>
              </w:rPr>
            </w:pPr>
            <w:r w:rsidRPr="00383392">
              <w:rPr>
                <w:rFonts w:ascii="Verdana" w:hAnsi="Verdana" w:cs="Calibri"/>
                <w:b/>
                <w:bCs/>
                <w:color w:val="000000"/>
                <w:sz w:val="16"/>
                <w:szCs w:val="16"/>
              </w:rPr>
              <w:t>Cele</w:t>
            </w:r>
          </w:p>
        </w:tc>
        <w:tc>
          <w:tcPr>
            <w:tcW w:w="1666" w:type="dxa"/>
            <w:tcBorders>
              <w:top w:val="single" w:sz="4" w:space="0" w:color="auto"/>
              <w:left w:val="nil"/>
              <w:bottom w:val="nil"/>
              <w:right w:val="single" w:sz="4" w:space="0" w:color="auto"/>
            </w:tcBorders>
            <w:shd w:val="clear" w:color="000000" w:fill="C5D9F1"/>
            <w:vAlign w:val="center"/>
            <w:hideMark/>
          </w:tcPr>
          <w:p w:rsidR="008853F1" w:rsidRPr="00383392" w:rsidRDefault="008853F1" w:rsidP="004A1B29">
            <w:pPr>
              <w:jc w:val="center"/>
              <w:rPr>
                <w:rFonts w:ascii="Verdana" w:hAnsi="Verdana" w:cs="Calibri"/>
                <w:b/>
                <w:bCs/>
                <w:color w:val="000000"/>
                <w:sz w:val="16"/>
                <w:szCs w:val="16"/>
              </w:rPr>
            </w:pPr>
            <w:r w:rsidRPr="00383392">
              <w:rPr>
                <w:rFonts w:ascii="Verdana" w:hAnsi="Verdana" w:cs="Calibri"/>
                <w:b/>
                <w:bCs/>
                <w:color w:val="000000"/>
                <w:sz w:val="16"/>
                <w:szCs w:val="16"/>
              </w:rPr>
              <w:t>Realizacja na.</w:t>
            </w:r>
          </w:p>
        </w:tc>
      </w:tr>
      <w:tr w:rsidR="008853F1" w:rsidRPr="00383392" w:rsidTr="004A1B29">
        <w:trPr>
          <w:trHeight w:val="259"/>
        </w:trPr>
        <w:tc>
          <w:tcPr>
            <w:tcW w:w="4175" w:type="dxa"/>
            <w:gridSpan w:val="2"/>
            <w:vMerge/>
            <w:tcBorders>
              <w:top w:val="single" w:sz="4" w:space="0" w:color="auto"/>
              <w:left w:val="single" w:sz="4" w:space="0" w:color="auto"/>
              <w:bottom w:val="single" w:sz="4" w:space="0" w:color="auto"/>
              <w:right w:val="single" w:sz="4" w:space="0" w:color="auto"/>
            </w:tcBorders>
            <w:vAlign w:val="center"/>
            <w:hideMark/>
          </w:tcPr>
          <w:p w:rsidR="008853F1" w:rsidRPr="00383392" w:rsidRDefault="008853F1" w:rsidP="004A1B29">
            <w:pPr>
              <w:rPr>
                <w:rFonts w:ascii="Verdana" w:hAnsi="Verdana" w:cs="Calibri"/>
                <w:b/>
                <w:bCs/>
                <w:color w:val="000000"/>
                <w:sz w:val="16"/>
                <w:szCs w:val="16"/>
              </w:rPr>
            </w:pPr>
          </w:p>
        </w:tc>
        <w:tc>
          <w:tcPr>
            <w:tcW w:w="3191" w:type="dxa"/>
            <w:vMerge/>
            <w:tcBorders>
              <w:top w:val="single" w:sz="4" w:space="0" w:color="auto"/>
              <w:left w:val="single" w:sz="4" w:space="0" w:color="auto"/>
              <w:bottom w:val="single" w:sz="4" w:space="0" w:color="auto"/>
              <w:right w:val="single" w:sz="4" w:space="0" w:color="auto"/>
            </w:tcBorders>
            <w:vAlign w:val="center"/>
            <w:hideMark/>
          </w:tcPr>
          <w:p w:rsidR="008853F1" w:rsidRPr="00383392" w:rsidRDefault="008853F1" w:rsidP="004A1B29">
            <w:pPr>
              <w:rPr>
                <w:rFonts w:ascii="Verdana" w:hAnsi="Verdana" w:cs="Calibri"/>
                <w:b/>
                <w:bCs/>
                <w:color w:val="000000"/>
                <w:sz w:val="16"/>
                <w:szCs w:val="16"/>
              </w:rPr>
            </w:pPr>
          </w:p>
        </w:tc>
        <w:tc>
          <w:tcPr>
            <w:tcW w:w="1666" w:type="dxa"/>
            <w:tcBorders>
              <w:top w:val="nil"/>
              <w:left w:val="nil"/>
              <w:bottom w:val="single" w:sz="4" w:space="0" w:color="auto"/>
              <w:right w:val="single" w:sz="4" w:space="0" w:color="auto"/>
            </w:tcBorders>
            <w:shd w:val="clear" w:color="000000" w:fill="C5D9F1"/>
            <w:vAlign w:val="center"/>
            <w:hideMark/>
          </w:tcPr>
          <w:p w:rsidR="008853F1" w:rsidRPr="00383392" w:rsidRDefault="008853F1" w:rsidP="004A1B29">
            <w:pPr>
              <w:jc w:val="center"/>
              <w:rPr>
                <w:rFonts w:ascii="Verdana" w:hAnsi="Verdana" w:cs="Calibri"/>
                <w:b/>
                <w:bCs/>
                <w:color w:val="000000"/>
                <w:sz w:val="16"/>
                <w:szCs w:val="16"/>
              </w:rPr>
            </w:pPr>
            <w:r w:rsidRPr="00383392">
              <w:rPr>
                <w:rFonts w:ascii="Verdana" w:hAnsi="Verdana" w:cs="Calibri"/>
                <w:b/>
                <w:bCs/>
                <w:color w:val="000000"/>
                <w:sz w:val="16"/>
                <w:szCs w:val="16"/>
              </w:rPr>
              <w:t>30.0</w:t>
            </w:r>
            <w:r>
              <w:rPr>
                <w:rFonts w:ascii="Verdana" w:hAnsi="Verdana" w:cs="Calibri"/>
                <w:b/>
                <w:bCs/>
                <w:color w:val="000000"/>
                <w:sz w:val="16"/>
                <w:szCs w:val="16"/>
              </w:rPr>
              <w:t>9</w:t>
            </w:r>
            <w:r w:rsidRPr="00383392">
              <w:rPr>
                <w:rFonts w:ascii="Verdana" w:hAnsi="Verdana" w:cs="Calibri"/>
                <w:b/>
                <w:bCs/>
                <w:color w:val="000000"/>
                <w:sz w:val="16"/>
                <w:szCs w:val="16"/>
              </w:rPr>
              <w:t>.202</w:t>
            </w:r>
            <w:r>
              <w:rPr>
                <w:rFonts w:ascii="Verdana" w:hAnsi="Verdana" w:cs="Calibri"/>
                <w:b/>
                <w:bCs/>
                <w:color w:val="000000"/>
                <w:sz w:val="16"/>
                <w:szCs w:val="16"/>
              </w:rPr>
              <w:t>2</w:t>
            </w:r>
            <w:r w:rsidRPr="00383392">
              <w:rPr>
                <w:rFonts w:ascii="Verdana" w:hAnsi="Verdana" w:cs="Calibri"/>
                <w:b/>
                <w:bCs/>
                <w:color w:val="000000"/>
                <w:sz w:val="16"/>
                <w:szCs w:val="16"/>
              </w:rPr>
              <w:t xml:space="preserve"> r.</w:t>
            </w:r>
          </w:p>
        </w:tc>
      </w:tr>
      <w:tr w:rsidR="008853F1" w:rsidRPr="00383392" w:rsidTr="004A1B29">
        <w:trPr>
          <w:trHeight w:val="363"/>
        </w:trPr>
        <w:tc>
          <w:tcPr>
            <w:tcW w:w="41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853F1" w:rsidRPr="00383392" w:rsidRDefault="008853F1" w:rsidP="004A1B29">
            <w:pPr>
              <w:jc w:val="center"/>
              <w:rPr>
                <w:rFonts w:ascii="Verdana" w:hAnsi="Verdana" w:cs="Calibri"/>
                <w:b/>
                <w:bCs/>
                <w:color w:val="000000"/>
                <w:sz w:val="16"/>
                <w:szCs w:val="16"/>
              </w:rPr>
            </w:pPr>
            <w:r w:rsidRPr="00383392">
              <w:rPr>
                <w:rFonts w:ascii="Verdana" w:hAnsi="Verdana" w:cs="Calibri"/>
                <w:b/>
                <w:bCs/>
                <w:color w:val="000000"/>
                <w:sz w:val="16"/>
                <w:szCs w:val="16"/>
              </w:rPr>
              <w:t>Oprocentowanie:</w:t>
            </w:r>
          </w:p>
        </w:tc>
        <w:tc>
          <w:tcPr>
            <w:tcW w:w="3191" w:type="dxa"/>
            <w:tcBorders>
              <w:top w:val="nil"/>
              <w:left w:val="nil"/>
              <w:bottom w:val="single" w:sz="4" w:space="0" w:color="auto"/>
              <w:right w:val="single" w:sz="4" w:space="0" w:color="auto"/>
            </w:tcBorders>
            <w:shd w:val="clear" w:color="auto" w:fill="auto"/>
            <w:vAlign w:val="center"/>
            <w:hideMark/>
          </w:tcPr>
          <w:p w:rsidR="008853F1" w:rsidRDefault="008853F1" w:rsidP="004A1B29">
            <w:pPr>
              <w:jc w:val="center"/>
              <w:rPr>
                <w:rFonts w:ascii="Verdana" w:hAnsi="Verdana" w:cs="Calibri"/>
                <w:color w:val="000000"/>
                <w:sz w:val="16"/>
                <w:szCs w:val="16"/>
              </w:rPr>
            </w:pPr>
            <w:r w:rsidRPr="00383392">
              <w:rPr>
                <w:rFonts w:ascii="Verdana" w:hAnsi="Verdana" w:cs="Calibri"/>
                <w:color w:val="000000"/>
                <w:sz w:val="16"/>
                <w:szCs w:val="16"/>
              </w:rPr>
              <w:t>oprocentowanie stałe;</w:t>
            </w:r>
          </w:p>
          <w:p w:rsidR="008853F1" w:rsidRPr="00383392" w:rsidRDefault="008853F1" w:rsidP="004A1B29">
            <w:pPr>
              <w:jc w:val="center"/>
              <w:rPr>
                <w:rFonts w:ascii="Verdana" w:hAnsi="Verdana" w:cs="Calibri"/>
                <w:color w:val="000000"/>
                <w:sz w:val="16"/>
                <w:szCs w:val="16"/>
              </w:rPr>
            </w:pPr>
            <w:r w:rsidRPr="00383392">
              <w:rPr>
                <w:rFonts w:ascii="Verdana" w:hAnsi="Verdana" w:cs="Calibri"/>
                <w:color w:val="000000"/>
                <w:sz w:val="16"/>
                <w:szCs w:val="16"/>
              </w:rPr>
              <w:t>co najmniej 50%</w:t>
            </w:r>
          </w:p>
        </w:tc>
        <w:tc>
          <w:tcPr>
            <w:tcW w:w="1666" w:type="dxa"/>
            <w:tcBorders>
              <w:top w:val="nil"/>
              <w:left w:val="nil"/>
              <w:bottom w:val="single" w:sz="4" w:space="0" w:color="auto"/>
              <w:right w:val="single" w:sz="4" w:space="0" w:color="auto"/>
            </w:tcBorders>
            <w:shd w:val="clear" w:color="auto" w:fill="auto"/>
            <w:vAlign w:val="center"/>
            <w:hideMark/>
          </w:tcPr>
          <w:p w:rsidR="008853F1" w:rsidRPr="00383392" w:rsidRDefault="008853F1" w:rsidP="004A1B29">
            <w:pPr>
              <w:jc w:val="center"/>
              <w:rPr>
                <w:rFonts w:ascii="Verdana" w:hAnsi="Verdana" w:cs="Calibri"/>
                <w:sz w:val="16"/>
                <w:szCs w:val="16"/>
              </w:rPr>
            </w:pPr>
            <w:r w:rsidRPr="00700387">
              <w:rPr>
                <w:rFonts w:ascii="Verdana" w:hAnsi="Verdana" w:cs="Calibri"/>
                <w:sz w:val="16"/>
                <w:szCs w:val="16"/>
              </w:rPr>
              <w:t>69,0%</w:t>
            </w:r>
          </w:p>
        </w:tc>
      </w:tr>
      <w:tr w:rsidR="008853F1" w:rsidRPr="00383392" w:rsidTr="004A1B29">
        <w:trPr>
          <w:trHeight w:val="363"/>
        </w:trPr>
        <w:tc>
          <w:tcPr>
            <w:tcW w:w="41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53F1" w:rsidRPr="00383392" w:rsidRDefault="008853F1" w:rsidP="004A1B29">
            <w:pPr>
              <w:jc w:val="center"/>
              <w:rPr>
                <w:rFonts w:ascii="Verdana" w:hAnsi="Verdana" w:cs="Calibri"/>
                <w:b/>
                <w:bCs/>
                <w:color w:val="000000"/>
                <w:sz w:val="16"/>
                <w:szCs w:val="16"/>
              </w:rPr>
            </w:pPr>
            <w:r w:rsidRPr="00383392">
              <w:rPr>
                <w:rFonts w:ascii="Verdana" w:hAnsi="Verdana" w:cs="Calibri"/>
                <w:b/>
                <w:bCs/>
                <w:color w:val="000000"/>
                <w:sz w:val="16"/>
                <w:szCs w:val="16"/>
              </w:rPr>
              <w:t>Zadłużenie w walucie</w:t>
            </w:r>
            <w:r>
              <w:rPr>
                <w:rFonts w:ascii="Verdana" w:hAnsi="Verdana" w:cs="Calibri"/>
                <w:b/>
                <w:bCs/>
                <w:color w:val="000000"/>
                <w:sz w:val="16"/>
                <w:szCs w:val="16"/>
              </w:rPr>
              <w:t xml:space="preserve"> obcej</w:t>
            </w:r>
            <w:r w:rsidRPr="00383392">
              <w:rPr>
                <w:rFonts w:ascii="Verdana" w:hAnsi="Verdana" w:cs="Calibri"/>
                <w:b/>
                <w:bCs/>
                <w:color w:val="000000"/>
                <w:sz w:val="16"/>
                <w:szCs w:val="16"/>
              </w:rPr>
              <w:t>:</w:t>
            </w:r>
          </w:p>
        </w:tc>
        <w:tc>
          <w:tcPr>
            <w:tcW w:w="3191" w:type="dxa"/>
            <w:tcBorders>
              <w:top w:val="nil"/>
              <w:left w:val="nil"/>
              <w:bottom w:val="nil"/>
              <w:right w:val="single" w:sz="4" w:space="0" w:color="auto"/>
            </w:tcBorders>
            <w:shd w:val="clear" w:color="auto" w:fill="auto"/>
            <w:vAlign w:val="center"/>
            <w:hideMark/>
          </w:tcPr>
          <w:p w:rsidR="008853F1" w:rsidRPr="00383392" w:rsidRDefault="008853F1" w:rsidP="004A1B29">
            <w:pPr>
              <w:jc w:val="center"/>
              <w:rPr>
                <w:rFonts w:ascii="Verdana" w:hAnsi="Verdana" w:cs="Calibri"/>
                <w:color w:val="000000"/>
                <w:sz w:val="16"/>
                <w:szCs w:val="16"/>
              </w:rPr>
            </w:pPr>
            <w:r>
              <w:rPr>
                <w:rFonts w:ascii="Verdana" w:hAnsi="Verdana" w:cs="Calibri"/>
                <w:color w:val="000000"/>
                <w:sz w:val="16"/>
                <w:szCs w:val="16"/>
              </w:rPr>
              <w:t xml:space="preserve"> ograniczone, </w:t>
            </w:r>
            <w:r w:rsidRPr="00383392">
              <w:rPr>
                <w:rFonts w:ascii="Verdana" w:hAnsi="Verdana" w:cs="Calibri"/>
                <w:color w:val="000000"/>
                <w:sz w:val="16"/>
                <w:szCs w:val="16"/>
              </w:rPr>
              <w:t>stosowane tylko</w:t>
            </w:r>
          </w:p>
        </w:tc>
        <w:tc>
          <w:tcPr>
            <w:tcW w:w="1666" w:type="dxa"/>
            <w:vMerge w:val="restart"/>
            <w:tcBorders>
              <w:top w:val="nil"/>
              <w:left w:val="single" w:sz="4" w:space="0" w:color="auto"/>
              <w:bottom w:val="single" w:sz="4" w:space="0" w:color="auto"/>
              <w:right w:val="single" w:sz="4" w:space="0" w:color="auto"/>
            </w:tcBorders>
            <w:shd w:val="clear" w:color="auto" w:fill="auto"/>
            <w:vAlign w:val="center"/>
            <w:hideMark/>
          </w:tcPr>
          <w:p w:rsidR="008853F1" w:rsidRPr="00383392" w:rsidRDefault="008853F1" w:rsidP="004A1B29">
            <w:pPr>
              <w:jc w:val="center"/>
              <w:rPr>
                <w:rFonts w:ascii="Verdana" w:hAnsi="Verdana" w:cs="Calibri"/>
                <w:sz w:val="16"/>
                <w:szCs w:val="16"/>
              </w:rPr>
            </w:pPr>
            <w:r>
              <w:rPr>
                <w:rFonts w:ascii="Verdana" w:hAnsi="Verdana" w:cs="Calibri"/>
                <w:sz w:val="16"/>
                <w:szCs w:val="16"/>
              </w:rPr>
              <w:t>12,2</w:t>
            </w:r>
            <w:r w:rsidRPr="00383392">
              <w:rPr>
                <w:rFonts w:ascii="Verdana" w:hAnsi="Verdana" w:cs="Calibri"/>
                <w:sz w:val="16"/>
                <w:szCs w:val="16"/>
              </w:rPr>
              <w:t>%</w:t>
            </w:r>
          </w:p>
        </w:tc>
      </w:tr>
      <w:tr w:rsidR="008853F1" w:rsidRPr="00383392" w:rsidTr="004A1B29">
        <w:trPr>
          <w:trHeight w:val="363"/>
        </w:trPr>
        <w:tc>
          <w:tcPr>
            <w:tcW w:w="4175" w:type="dxa"/>
            <w:gridSpan w:val="2"/>
            <w:vMerge/>
            <w:tcBorders>
              <w:top w:val="single" w:sz="4" w:space="0" w:color="auto"/>
              <w:left w:val="single" w:sz="4" w:space="0" w:color="auto"/>
              <w:bottom w:val="single" w:sz="4" w:space="0" w:color="auto"/>
              <w:right w:val="single" w:sz="4" w:space="0" w:color="auto"/>
            </w:tcBorders>
            <w:vAlign w:val="center"/>
            <w:hideMark/>
          </w:tcPr>
          <w:p w:rsidR="008853F1" w:rsidRPr="00383392" w:rsidRDefault="008853F1" w:rsidP="004A1B29">
            <w:pPr>
              <w:rPr>
                <w:rFonts w:ascii="Verdana" w:hAnsi="Verdana" w:cs="Calibri"/>
                <w:b/>
                <w:bCs/>
                <w:color w:val="000000"/>
                <w:sz w:val="16"/>
                <w:szCs w:val="16"/>
              </w:rPr>
            </w:pPr>
          </w:p>
        </w:tc>
        <w:tc>
          <w:tcPr>
            <w:tcW w:w="3191" w:type="dxa"/>
            <w:tcBorders>
              <w:top w:val="nil"/>
              <w:left w:val="nil"/>
              <w:bottom w:val="single" w:sz="4" w:space="0" w:color="auto"/>
              <w:right w:val="single" w:sz="4" w:space="0" w:color="auto"/>
            </w:tcBorders>
            <w:shd w:val="clear" w:color="auto" w:fill="auto"/>
            <w:vAlign w:val="center"/>
            <w:hideMark/>
          </w:tcPr>
          <w:p w:rsidR="008853F1" w:rsidRDefault="008853F1" w:rsidP="004A1B29">
            <w:pPr>
              <w:jc w:val="center"/>
              <w:rPr>
                <w:rFonts w:ascii="Verdana" w:hAnsi="Verdana" w:cs="Calibri"/>
                <w:color w:val="000000"/>
                <w:sz w:val="16"/>
                <w:szCs w:val="16"/>
              </w:rPr>
            </w:pPr>
            <w:r w:rsidRPr="00383392">
              <w:rPr>
                <w:rFonts w:ascii="Verdana" w:hAnsi="Verdana" w:cs="Calibri"/>
                <w:color w:val="000000"/>
                <w:sz w:val="16"/>
                <w:szCs w:val="16"/>
              </w:rPr>
              <w:t>w sytuacjach uzasadnionych</w:t>
            </w:r>
            <w:r>
              <w:rPr>
                <w:rFonts w:ascii="Verdana" w:hAnsi="Verdana" w:cs="Calibri"/>
                <w:color w:val="000000"/>
                <w:sz w:val="16"/>
                <w:szCs w:val="16"/>
              </w:rPr>
              <w:t xml:space="preserve">, </w:t>
            </w:r>
          </w:p>
          <w:p w:rsidR="008853F1" w:rsidRPr="00383392" w:rsidRDefault="008853F1" w:rsidP="004A1B29">
            <w:pPr>
              <w:jc w:val="center"/>
              <w:rPr>
                <w:rFonts w:ascii="Verdana" w:hAnsi="Verdana" w:cs="Calibri"/>
                <w:color w:val="000000"/>
                <w:sz w:val="16"/>
                <w:szCs w:val="16"/>
              </w:rPr>
            </w:pPr>
            <w:r>
              <w:rPr>
                <w:rFonts w:ascii="Verdana" w:hAnsi="Verdana" w:cs="Calibri"/>
                <w:color w:val="000000"/>
                <w:sz w:val="16"/>
                <w:szCs w:val="16"/>
              </w:rPr>
              <w:t>max. 25% zadłużenia ogółem</w:t>
            </w:r>
          </w:p>
        </w:tc>
        <w:tc>
          <w:tcPr>
            <w:tcW w:w="1666" w:type="dxa"/>
            <w:vMerge/>
            <w:tcBorders>
              <w:top w:val="nil"/>
              <w:left w:val="single" w:sz="4" w:space="0" w:color="auto"/>
              <w:bottom w:val="single" w:sz="4" w:space="0" w:color="auto"/>
              <w:right w:val="single" w:sz="4" w:space="0" w:color="auto"/>
            </w:tcBorders>
            <w:vAlign w:val="center"/>
            <w:hideMark/>
          </w:tcPr>
          <w:p w:rsidR="008853F1" w:rsidRPr="00383392" w:rsidRDefault="008853F1" w:rsidP="004A1B29">
            <w:pPr>
              <w:rPr>
                <w:rFonts w:ascii="Verdana" w:hAnsi="Verdana" w:cs="Calibri"/>
                <w:sz w:val="16"/>
                <w:szCs w:val="16"/>
              </w:rPr>
            </w:pPr>
          </w:p>
        </w:tc>
      </w:tr>
      <w:tr w:rsidR="008853F1" w:rsidRPr="00383392" w:rsidTr="004A1B29">
        <w:trPr>
          <w:trHeight w:val="428"/>
        </w:trPr>
        <w:tc>
          <w:tcPr>
            <w:tcW w:w="2149" w:type="dxa"/>
            <w:vMerge w:val="restart"/>
            <w:tcBorders>
              <w:top w:val="nil"/>
              <w:left w:val="single" w:sz="4" w:space="0" w:color="auto"/>
              <w:bottom w:val="single" w:sz="4" w:space="0" w:color="auto"/>
              <w:right w:val="single" w:sz="4" w:space="0" w:color="auto"/>
            </w:tcBorders>
            <w:shd w:val="clear" w:color="auto" w:fill="auto"/>
            <w:vAlign w:val="center"/>
            <w:hideMark/>
          </w:tcPr>
          <w:p w:rsidR="008853F1" w:rsidRPr="00383392" w:rsidRDefault="008853F1" w:rsidP="004A1B29">
            <w:pPr>
              <w:jc w:val="center"/>
              <w:rPr>
                <w:rFonts w:ascii="Verdana" w:hAnsi="Verdana" w:cs="Calibri"/>
                <w:b/>
                <w:bCs/>
                <w:color w:val="000000"/>
                <w:sz w:val="16"/>
                <w:szCs w:val="16"/>
              </w:rPr>
            </w:pPr>
            <w:r w:rsidRPr="00383392">
              <w:rPr>
                <w:rFonts w:ascii="Verdana" w:hAnsi="Verdana" w:cs="Calibri"/>
                <w:b/>
                <w:bCs/>
                <w:color w:val="000000"/>
                <w:sz w:val="16"/>
                <w:szCs w:val="16"/>
              </w:rPr>
              <w:t>Zadłużenie z tytułu:</w:t>
            </w:r>
          </w:p>
        </w:tc>
        <w:tc>
          <w:tcPr>
            <w:tcW w:w="2026" w:type="dxa"/>
            <w:tcBorders>
              <w:top w:val="nil"/>
              <w:left w:val="nil"/>
              <w:bottom w:val="single" w:sz="4" w:space="0" w:color="auto"/>
              <w:right w:val="single" w:sz="4" w:space="0" w:color="auto"/>
            </w:tcBorders>
            <w:shd w:val="clear" w:color="auto" w:fill="auto"/>
            <w:noWrap/>
            <w:vAlign w:val="center"/>
            <w:hideMark/>
          </w:tcPr>
          <w:p w:rsidR="008853F1" w:rsidRPr="00383392" w:rsidRDefault="008853F1" w:rsidP="004A1B29">
            <w:pPr>
              <w:jc w:val="center"/>
              <w:rPr>
                <w:rFonts w:ascii="Verdana" w:hAnsi="Verdana" w:cs="Calibri"/>
                <w:color w:val="000000"/>
                <w:sz w:val="16"/>
                <w:szCs w:val="16"/>
              </w:rPr>
            </w:pPr>
            <w:r>
              <w:rPr>
                <w:rFonts w:ascii="Verdana" w:hAnsi="Verdana" w:cs="Calibri"/>
                <w:color w:val="000000"/>
                <w:sz w:val="16"/>
                <w:szCs w:val="16"/>
              </w:rPr>
              <w:t>o</w:t>
            </w:r>
            <w:r w:rsidRPr="00383392">
              <w:rPr>
                <w:rFonts w:ascii="Verdana" w:hAnsi="Verdana" w:cs="Calibri"/>
                <w:color w:val="000000"/>
                <w:sz w:val="16"/>
                <w:szCs w:val="16"/>
              </w:rPr>
              <w:t>bligacji</w:t>
            </w:r>
          </w:p>
        </w:tc>
        <w:tc>
          <w:tcPr>
            <w:tcW w:w="3191" w:type="dxa"/>
            <w:vMerge w:val="restart"/>
            <w:tcBorders>
              <w:top w:val="nil"/>
              <w:left w:val="single" w:sz="4" w:space="0" w:color="auto"/>
              <w:bottom w:val="single" w:sz="4" w:space="0" w:color="auto"/>
              <w:right w:val="single" w:sz="4" w:space="0" w:color="auto"/>
            </w:tcBorders>
            <w:shd w:val="clear" w:color="auto" w:fill="auto"/>
            <w:vAlign w:val="center"/>
            <w:hideMark/>
          </w:tcPr>
          <w:p w:rsidR="008853F1" w:rsidRPr="00383392" w:rsidRDefault="008853F1" w:rsidP="004A1B29">
            <w:pPr>
              <w:jc w:val="center"/>
              <w:rPr>
                <w:rFonts w:ascii="Verdana" w:hAnsi="Verdana" w:cs="Calibri"/>
                <w:color w:val="000000"/>
                <w:sz w:val="16"/>
                <w:szCs w:val="16"/>
              </w:rPr>
            </w:pPr>
            <w:r w:rsidRPr="00383392">
              <w:rPr>
                <w:rFonts w:ascii="Verdana" w:hAnsi="Verdana" w:cs="Calibri"/>
                <w:color w:val="000000"/>
                <w:sz w:val="16"/>
                <w:szCs w:val="16"/>
              </w:rPr>
              <w:t xml:space="preserve">uzyskanie optymalnej struktury zadłużenia w ramach mix </w:t>
            </w:r>
            <w:proofErr w:type="spellStart"/>
            <w:r w:rsidRPr="00383392">
              <w:rPr>
                <w:rFonts w:ascii="Verdana" w:hAnsi="Verdana" w:cs="Calibri"/>
                <w:color w:val="000000"/>
                <w:sz w:val="16"/>
                <w:szCs w:val="16"/>
              </w:rPr>
              <w:t>financing</w:t>
            </w:r>
            <w:proofErr w:type="spellEnd"/>
          </w:p>
        </w:tc>
        <w:tc>
          <w:tcPr>
            <w:tcW w:w="1666" w:type="dxa"/>
            <w:tcBorders>
              <w:top w:val="nil"/>
              <w:left w:val="nil"/>
              <w:bottom w:val="single" w:sz="4" w:space="0" w:color="auto"/>
              <w:right w:val="single" w:sz="4" w:space="0" w:color="auto"/>
            </w:tcBorders>
            <w:shd w:val="clear" w:color="auto" w:fill="auto"/>
            <w:noWrap/>
            <w:vAlign w:val="center"/>
            <w:hideMark/>
          </w:tcPr>
          <w:p w:rsidR="008853F1" w:rsidRPr="00383392" w:rsidRDefault="008853F1" w:rsidP="004A1B29">
            <w:pPr>
              <w:jc w:val="center"/>
              <w:rPr>
                <w:rFonts w:ascii="Verdana" w:hAnsi="Verdana" w:cs="Calibri"/>
                <w:sz w:val="16"/>
                <w:szCs w:val="16"/>
              </w:rPr>
            </w:pPr>
            <w:r>
              <w:rPr>
                <w:rFonts w:ascii="Verdana" w:hAnsi="Verdana" w:cs="Calibri"/>
                <w:sz w:val="16"/>
                <w:szCs w:val="16"/>
              </w:rPr>
              <w:t>9,4</w:t>
            </w:r>
            <w:r w:rsidRPr="00383392">
              <w:rPr>
                <w:rFonts w:ascii="Verdana" w:hAnsi="Verdana" w:cs="Calibri"/>
                <w:sz w:val="16"/>
                <w:szCs w:val="16"/>
              </w:rPr>
              <w:t>%</w:t>
            </w:r>
          </w:p>
        </w:tc>
      </w:tr>
      <w:tr w:rsidR="008853F1" w:rsidRPr="00383392" w:rsidTr="004A1B29">
        <w:trPr>
          <w:trHeight w:val="468"/>
        </w:trPr>
        <w:tc>
          <w:tcPr>
            <w:tcW w:w="2149" w:type="dxa"/>
            <w:vMerge/>
            <w:tcBorders>
              <w:top w:val="nil"/>
              <w:left w:val="single" w:sz="4" w:space="0" w:color="auto"/>
              <w:bottom w:val="single" w:sz="4" w:space="0" w:color="auto"/>
              <w:right w:val="single" w:sz="4" w:space="0" w:color="auto"/>
            </w:tcBorders>
            <w:vAlign w:val="center"/>
            <w:hideMark/>
          </w:tcPr>
          <w:p w:rsidR="008853F1" w:rsidRPr="00383392" w:rsidRDefault="008853F1" w:rsidP="004A1B29">
            <w:pPr>
              <w:rPr>
                <w:rFonts w:ascii="Verdana" w:hAnsi="Verdana" w:cs="Calibri"/>
                <w:b/>
                <w:bCs/>
                <w:color w:val="000000"/>
                <w:sz w:val="16"/>
                <w:szCs w:val="16"/>
              </w:rPr>
            </w:pPr>
          </w:p>
        </w:tc>
        <w:tc>
          <w:tcPr>
            <w:tcW w:w="2026" w:type="dxa"/>
            <w:tcBorders>
              <w:top w:val="nil"/>
              <w:left w:val="nil"/>
              <w:bottom w:val="single" w:sz="4" w:space="0" w:color="auto"/>
              <w:right w:val="single" w:sz="4" w:space="0" w:color="auto"/>
            </w:tcBorders>
            <w:shd w:val="clear" w:color="auto" w:fill="auto"/>
            <w:noWrap/>
            <w:vAlign w:val="center"/>
            <w:hideMark/>
          </w:tcPr>
          <w:p w:rsidR="008853F1" w:rsidRPr="00383392" w:rsidRDefault="008853F1" w:rsidP="004A1B29">
            <w:pPr>
              <w:jc w:val="center"/>
              <w:rPr>
                <w:rFonts w:ascii="Verdana" w:hAnsi="Verdana" w:cs="Calibri"/>
                <w:color w:val="000000"/>
                <w:sz w:val="16"/>
                <w:szCs w:val="16"/>
              </w:rPr>
            </w:pPr>
            <w:r w:rsidRPr="00383392">
              <w:rPr>
                <w:rFonts w:ascii="Verdana" w:hAnsi="Verdana" w:cs="Calibri"/>
                <w:color w:val="000000"/>
                <w:sz w:val="16"/>
                <w:szCs w:val="16"/>
              </w:rPr>
              <w:t>kredytów i pożyczek</w:t>
            </w:r>
          </w:p>
        </w:tc>
        <w:tc>
          <w:tcPr>
            <w:tcW w:w="3191" w:type="dxa"/>
            <w:vMerge/>
            <w:tcBorders>
              <w:top w:val="nil"/>
              <w:left w:val="single" w:sz="4" w:space="0" w:color="auto"/>
              <w:bottom w:val="single" w:sz="4" w:space="0" w:color="auto"/>
              <w:right w:val="single" w:sz="4" w:space="0" w:color="auto"/>
            </w:tcBorders>
            <w:vAlign w:val="center"/>
            <w:hideMark/>
          </w:tcPr>
          <w:p w:rsidR="008853F1" w:rsidRPr="00383392" w:rsidRDefault="008853F1" w:rsidP="004A1B29">
            <w:pPr>
              <w:rPr>
                <w:rFonts w:ascii="Verdana" w:hAnsi="Verdana" w:cs="Calibri"/>
                <w:color w:val="000000"/>
                <w:sz w:val="16"/>
                <w:szCs w:val="16"/>
              </w:rPr>
            </w:pPr>
          </w:p>
        </w:tc>
        <w:tc>
          <w:tcPr>
            <w:tcW w:w="1666" w:type="dxa"/>
            <w:tcBorders>
              <w:top w:val="nil"/>
              <w:left w:val="nil"/>
              <w:bottom w:val="single" w:sz="4" w:space="0" w:color="auto"/>
              <w:right w:val="single" w:sz="4" w:space="0" w:color="auto"/>
            </w:tcBorders>
            <w:shd w:val="clear" w:color="auto" w:fill="auto"/>
            <w:noWrap/>
            <w:vAlign w:val="center"/>
            <w:hideMark/>
          </w:tcPr>
          <w:p w:rsidR="008853F1" w:rsidRPr="00383392" w:rsidRDefault="008853F1" w:rsidP="004A1B29">
            <w:pPr>
              <w:jc w:val="center"/>
              <w:rPr>
                <w:rFonts w:ascii="Verdana" w:hAnsi="Verdana" w:cs="Calibri"/>
                <w:sz w:val="16"/>
                <w:szCs w:val="16"/>
              </w:rPr>
            </w:pPr>
            <w:r>
              <w:rPr>
                <w:rFonts w:ascii="Verdana" w:hAnsi="Verdana" w:cs="Calibri"/>
                <w:sz w:val="16"/>
                <w:szCs w:val="16"/>
              </w:rPr>
              <w:t>90,6</w:t>
            </w:r>
            <w:r w:rsidRPr="00383392">
              <w:rPr>
                <w:rFonts w:ascii="Verdana" w:hAnsi="Verdana" w:cs="Calibri"/>
                <w:sz w:val="16"/>
                <w:szCs w:val="16"/>
              </w:rPr>
              <w:t>%</w:t>
            </w:r>
          </w:p>
        </w:tc>
      </w:tr>
      <w:tr w:rsidR="008853F1" w:rsidRPr="00383392" w:rsidTr="004A1B29">
        <w:trPr>
          <w:trHeight w:val="441"/>
        </w:trPr>
        <w:tc>
          <w:tcPr>
            <w:tcW w:w="41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853F1" w:rsidRPr="00383392" w:rsidRDefault="008853F1" w:rsidP="004A1B29">
            <w:pPr>
              <w:jc w:val="center"/>
              <w:rPr>
                <w:rFonts w:ascii="Verdana" w:hAnsi="Verdana" w:cs="Calibri"/>
                <w:b/>
                <w:bCs/>
                <w:color w:val="000000"/>
                <w:sz w:val="16"/>
                <w:szCs w:val="16"/>
              </w:rPr>
            </w:pPr>
            <w:r w:rsidRPr="00383392">
              <w:rPr>
                <w:rFonts w:ascii="Verdana" w:hAnsi="Verdana" w:cs="Calibri"/>
                <w:b/>
                <w:bCs/>
                <w:color w:val="000000"/>
                <w:sz w:val="16"/>
                <w:szCs w:val="16"/>
              </w:rPr>
              <w:t>Relacja stanu zadłużenia/dochodów ogółem</w:t>
            </w:r>
          </w:p>
        </w:tc>
        <w:tc>
          <w:tcPr>
            <w:tcW w:w="3191" w:type="dxa"/>
            <w:tcBorders>
              <w:top w:val="nil"/>
              <w:left w:val="nil"/>
              <w:bottom w:val="single" w:sz="4" w:space="0" w:color="auto"/>
              <w:right w:val="single" w:sz="4" w:space="0" w:color="auto"/>
            </w:tcBorders>
            <w:shd w:val="clear" w:color="auto" w:fill="auto"/>
            <w:vAlign w:val="center"/>
            <w:hideMark/>
          </w:tcPr>
          <w:p w:rsidR="008853F1" w:rsidRPr="00383392" w:rsidRDefault="008853F1" w:rsidP="004A1B29">
            <w:pPr>
              <w:jc w:val="center"/>
              <w:rPr>
                <w:rFonts w:ascii="Verdana" w:hAnsi="Verdana" w:cs="Calibri"/>
                <w:color w:val="000000"/>
                <w:sz w:val="16"/>
                <w:szCs w:val="16"/>
              </w:rPr>
            </w:pPr>
            <w:r>
              <w:rPr>
                <w:rFonts w:ascii="Verdana" w:hAnsi="Verdana" w:cs="Calibri"/>
                <w:color w:val="000000"/>
                <w:sz w:val="16"/>
                <w:szCs w:val="16"/>
              </w:rPr>
              <w:t>p</w:t>
            </w:r>
            <w:r w:rsidRPr="00383392">
              <w:rPr>
                <w:rFonts w:ascii="Verdana" w:hAnsi="Verdana" w:cs="Calibri"/>
                <w:color w:val="000000"/>
                <w:sz w:val="16"/>
                <w:szCs w:val="16"/>
              </w:rPr>
              <w:t xml:space="preserve">oniżej </w:t>
            </w:r>
            <w:r>
              <w:rPr>
                <w:rFonts w:ascii="Verdana" w:hAnsi="Verdana" w:cs="Calibri"/>
                <w:color w:val="000000"/>
                <w:sz w:val="16"/>
                <w:szCs w:val="16"/>
              </w:rPr>
              <w:t>55</w:t>
            </w:r>
            <w:r w:rsidRPr="00383392">
              <w:rPr>
                <w:rFonts w:ascii="Verdana" w:hAnsi="Verdana" w:cs="Calibri"/>
                <w:color w:val="000000"/>
                <w:sz w:val="16"/>
                <w:szCs w:val="16"/>
              </w:rPr>
              <w:t>%</w:t>
            </w:r>
          </w:p>
        </w:tc>
        <w:tc>
          <w:tcPr>
            <w:tcW w:w="1666" w:type="dxa"/>
            <w:tcBorders>
              <w:top w:val="nil"/>
              <w:left w:val="nil"/>
              <w:bottom w:val="single" w:sz="4" w:space="0" w:color="auto"/>
              <w:right w:val="single" w:sz="4" w:space="0" w:color="auto"/>
            </w:tcBorders>
            <w:shd w:val="clear" w:color="auto" w:fill="auto"/>
            <w:vAlign w:val="center"/>
            <w:hideMark/>
          </w:tcPr>
          <w:p w:rsidR="008853F1" w:rsidRPr="00383392" w:rsidRDefault="008853F1" w:rsidP="004A1B29">
            <w:pPr>
              <w:jc w:val="center"/>
              <w:rPr>
                <w:rFonts w:ascii="Verdana" w:hAnsi="Verdana" w:cs="Calibri"/>
                <w:sz w:val="16"/>
                <w:szCs w:val="16"/>
              </w:rPr>
            </w:pPr>
            <w:r w:rsidRPr="00597EFF">
              <w:rPr>
                <w:rFonts w:ascii="Verdana" w:hAnsi="Verdana" w:cs="Calibri"/>
                <w:sz w:val="16"/>
                <w:szCs w:val="16"/>
              </w:rPr>
              <w:t>26,</w:t>
            </w:r>
            <w:r>
              <w:rPr>
                <w:rFonts w:ascii="Verdana" w:hAnsi="Verdana" w:cs="Calibri"/>
                <w:sz w:val="16"/>
                <w:szCs w:val="16"/>
              </w:rPr>
              <w:t>6</w:t>
            </w:r>
            <w:r w:rsidRPr="00597EFF">
              <w:rPr>
                <w:rFonts w:ascii="Verdana" w:hAnsi="Verdana" w:cs="Calibri"/>
                <w:sz w:val="16"/>
                <w:szCs w:val="16"/>
              </w:rPr>
              <w:t>%</w:t>
            </w:r>
          </w:p>
        </w:tc>
      </w:tr>
    </w:tbl>
    <w:p w:rsidR="008853F1" w:rsidRDefault="008853F1" w:rsidP="008853F1">
      <w:pPr>
        <w:jc w:val="both"/>
        <w:rPr>
          <w:rFonts w:ascii="Verdana" w:hAnsi="Verdana"/>
          <w:sz w:val="16"/>
          <w:szCs w:val="16"/>
        </w:rPr>
      </w:pPr>
    </w:p>
    <w:p w:rsidR="008853F1" w:rsidRPr="00383392" w:rsidRDefault="008853F1" w:rsidP="008853F1">
      <w:pPr>
        <w:jc w:val="both"/>
        <w:rPr>
          <w:rFonts w:ascii="Verdana" w:hAnsi="Verdana"/>
          <w:sz w:val="18"/>
          <w:szCs w:val="18"/>
        </w:rPr>
      </w:pPr>
      <w:r w:rsidRPr="00383392">
        <w:rPr>
          <w:rFonts w:ascii="Verdana" w:hAnsi="Verdana"/>
          <w:sz w:val="16"/>
          <w:szCs w:val="16"/>
        </w:rPr>
        <w:t>Strukturę zobowiązań dłużnych m.st. Warszawy według instrumentów przedstawia tabela 2.</w:t>
      </w:r>
    </w:p>
    <w:p w:rsidR="008853F1" w:rsidRPr="00383392" w:rsidRDefault="008853F1" w:rsidP="008853F1">
      <w:pPr>
        <w:jc w:val="both"/>
        <w:rPr>
          <w:rFonts w:ascii="Verdana" w:hAnsi="Verdana" w:cs="Arial"/>
          <w:b/>
          <w:sz w:val="14"/>
          <w:szCs w:val="14"/>
        </w:rPr>
      </w:pPr>
    </w:p>
    <w:p w:rsidR="008853F1" w:rsidRPr="00383392" w:rsidRDefault="008853F1" w:rsidP="008853F1">
      <w:pPr>
        <w:jc w:val="both"/>
        <w:rPr>
          <w:rFonts w:ascii="Verdana" w:hAnsi="Verdana" w:cs="Arial"/>
          <w:sz w:val="14"/>
          <w:szCs w:val="14"/>
        </w:rPr>
      </w:pPr>
      <w:r w:rsidRPr="00383392">
        <w:rPr>
          <w:rFonts w:ascii="Verdana" w:hAnsi="Verdana" w:cs="Arial"/>
          <w:b/>
          <w:sz w:val="14"/>
          <w:szCs w:val="14"/>
        </w:rPr>
        <w:t xml:space="preserve">TAB. 2 STRUKTURA ZADŁUŻENIA </w:t>
      </w:r>
      <w:r w:rsidRPr="00383392">
        <w:rPr>
          <w:rFonts w:ascii="Verdana" w:hAnsi="Verdana"/>
          <w:b/>
          <w:sz w:val="14"/>
          <w:szCs w:val="14"/>
        </w:rPr>
        <w:t>M.ST. WARSZAWY</w:t>
      </w:r>
      <w:r w:rsidRPr="00383392">
        <w:rPr>
          <w:rFonts w:ascii="Verdana" w:hAnsi="Verdana" w:cs="Arial"/>
          <w:b/>
          <w:sz w:val="14"/>
          <w:szCs w:val="14"/>
        </w:rPr>
        <w:t xml:space="preserve"> NA </w:t>
      </w:r>
      <w:r w:rsidRPr="0056115D">
        <w:rPr>
          <w:rFonts w:ascii="Verdana" w:hAnsi="Verdana" w:cs="Arial"/>
          <w:b/>
          <w:sz w:val="14"/>
          <w:szCs w:val="14"/>
        </w:rPr>
        <w:t>30.0</w:t>
      </w:r>
      <w:r>
        <w:rPr>
          <w:rFonts w:ascii="Verdana" w:hAnsi="Verdana" w:cs="Arial"/>
          <w:b/>
          <w:sz w:val="14"/>
          <w:szCs w:val="14"/>
        </w:rPr>
        <w:t>9</w:t>
      </w:r>
      <w:r w:rsidRPr="0056115D">
        <w:rPr>
          <w:rFonts w:ascii="Verdana" w:hAnsi="Verdana" w:cs="Arial"/>
          <w:b/>
          <w:sz w:val="14"/>
          <w:szCs w:val="14"/>
        </w:rPr>
        <w:t>.202</w:t>
      </w:r>
      <w:r>
        <w:rPr>
          <w:rFonts w:ascii="Verdana" w:hAnsi="Verdana" w:cs="Arial"/>
          <w:b/>
          <w:sz w:val="14"/>
          <w:szCs w:val="14"/>
        </w:rPr>
        <w:t>2</w:t>
      </w:r>
      <w:r w:rsidRPr="00383392">
        <w:rPr>
          <w:rFonts w:ascii="Verdana" w:hAnsi="Verdana" w:cs="Arial"/>
          <w:b/>
          <w:sz w:val="14"/>
          <w:szCs w:val="14"/>
        </w:rPr>
        <w:t xml:space="preserve"> R. </w:t>
      </w:r>
      <w:r w:rsidRPr="00383392">
        <w:rPr>
          <w:rFonts w:ascii="Verdana" w:hAnsi="Verdana" w:cs="Arial"/>
          <w:sz w:val="14"/>
          <w:szCs w:val="14"/>
        </w:rPr>
        <w:t>[w mln zł]</w:t>
      </w:r>
    </w:p>
    <w:tbl>
      <w:tblPr>
        <w:tblW w:w="9002" w:type="dxa"/>
        <w:tblCellMar>
          <w:left w:w="70" w:type="dxa"/>
          <w:right w:w="70" w:type="dxa"/>
        </w:tblCellMar>
        <w:tblLook w:val="04A0" w:firstRow="1" w:lastRow="0" w:firstColumn="1" w:lastColumn="0" w:noHBand="0" w:noVBand="1"/>
      </w:tblPr>
      <w:tblGrid>
        <w:gridCol w:w="3036"/>
        <w:gridCol w:w="3172"/>
        <w:gridCol w:w="2794"/>
      </w:tblGrid>
      <w:tr w:rsidR="008853F1" w:rsidRPr="00383392" w:rsidTr="004A1B29">
        <w:trPr>
          <w:trHeight w:val="295"/>
        </w:trPr>
        <w:tc>
          <w:tcPr>
            <w:tcW w:w="3036"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8853F1" w:rsidRPr="00383392" w:rsidRDefault="008853F1" w:rsidP="004A1B29">
            <w:pPr>
              <w:jc w:val="center"/>
              <w:rPr>
                <w:rFonts w:ascii="Verdana" w:hAnsi="Verdana" w:cs="Calibri"/>
                <w:b/>
                <w:bCs/>
                <w:color w:val="000000"/>
                <w:sz w:val="16"/>
                <w:szCs w:val="16"/>
              </w:rPr>
            </w:pPr>
            <w:r w:rsidRPr="00383392">
              <w:rPr>
                <w:rFonts w:ascii="Verdana" w:hAnsi="Verdana" w:cs="Calibri"/>
                <w:b/>
                <w:bCs/>
                <w:color w:val="000000"/>
                <w:sz w:val="16"/>
                <w:szCs w:val="16"/>
              </w:rPr>
              <w:t>Wyszczególnienie</w:t>
            </w:r>
          </w:p>
        </w:tc>
        <w:tc>
          <w:tcPr>
            <w:tcW w:w="3172" w:type="dxa"/>
            <w:tcBorders>
              <w:top w:val="single" w:sz="4" w:space="0" w:color="auto"/>
              <w:left w:val="nil"/>
              <w:bottom w:val="nil"/>
              <w:right w:val="single" w:sz="4" w:space="0" w:color="auto"/>
            </w:tcBorders>
            <w:shd w:val="clear" w:color="000000" w:fill="C5D9F1"/>
            <w:vAlign w:val="center"/>
            <w:hideMark/>
          </w:tcPr>
          <w:p w:rsidR="008853F1" w:rsidRPr="00383392" w:rsidRDefault="008853F1" w:rsidP="004A1B29">
            <w:pPr>
              <w:jc w:val="center"/>
              <w:rPr>
                <w:rFonts w:ascii="Verdana" w:hAnsi="Verdana" w:cs="Calibri"/>
                <w:b/>
                <w:bCs/>
                <w:color w:val="000000"/>
                <w:sz w:val="16"/>
                <w:szCs w:val="16"/>
              </w:rPr>
            </w:pPr>
            <w:r w:rsidRPr="00383392">
              <w:rPr>
                <w:rFonts w:ascii="Verdana" w:hAnsi="Verdana" w:cs="Calibri"/>
                <w:b/>
                <w:bCs/>
                <w:color w:val="000000"/>
                <w:sz w:val="16"/>
                <w:szCs w:val="16"/>
              </w:rPr>
              <w:t xml:space="preserve">Stan na </w:t>
            </w:r>
          </w:p>
        </w:tc>
        <w:tc>
          <w:tcPr>
            <w:tcW w:w="2794"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8853F1" w:rsidRPr="00383392" w:rsidRDefault="008853F1" w:rsidP="004A1B29">
            <w:pPr>
              <w:jc w:val="center"/>
              <w:rPr>
                <w:rFonts w:ascii="Verdana" w:hAnsi="Verdana" w:cs="Calibri"/>
                <w:b/>
                <w:bCs/>
                <w:color w:val="000000"/>
                <w:sz w:val="16"/>
                <w:szCs w:val="16"/>
              </w:rPr>
            </w:pPr>
            <w:r w:rsidRPr="00383392">
              <w:rPr>
                <w:rFonts w:ascii="Verdana" w:hAnsi="Verdana" w:cs="Calibri"/>
                <w:b/>
                <w:bCs/>
                <w:color w:val="000000"/>
                <w:sz w:val="16"/>
                <w:szCs w:val="16"/>
              </w:rPr>
              <w:t>Udział % w długu</w:t>
            </w:r>
          </w:p>
        </w:tc>
      </w:tr>
      <w:tr w:rsidR="008853F1" w:rsidRPr="00383392" w:rsidTr="004A1B29">
        <w:trPr>
          <w:trHeight w:val="295"/>
        </w:trPr>
        <w:tc>
          <w:tcPr>
            <w:tcW w:w="3036" w:type="dxa"/>
            <w:vMerge/>
            <w:tcBorders>
              <w:top w:val="single" w:sz="4" w:space="0" w:color="auto"/>
              <w:left w:val="single" w:sz="4" w:space="0" w:color="auto"/>
              <w:bottom w:val="single" w:sz="4" w:space="0" w:color="auto"/>
              <w:right w:val="single" w:sz="4" w:space="0" w:color="auto"/>
            </w:tcBorders>
            <w:vAlign w:val="center"/>
            <w:hideMark/>
          </w:tcPr>
          <w:p w:rsidR="008853F1" w:rsidRPr="00383392" w:rsidRDefault="008853F1" w:rsidP="004A1B29">
            <w:pPr>
              <w:rPr>
                <w:rFonts w:ascii="Verdana" w:hAnsi="Verdana" w:cs="Calibri"/>
                <w:b/>
                <w:bCs/>
                <w:color w:val="000000"/>
                <w:sz w:val="16"/>
                <w:szCs w:val="16"/>
              </w:rPr>
            </w:pPr>
          </w:p>
        </w:tc>
        <w:tc>
          <w:tcPr>
            <w:tcW w:w="3172" w:type="dxa"/>
            <w:tcBorders>
              <w:top w:val="nil"/>
              <w:left w:val="nil"/>
              <w:bottom w:val="single" w:sz="4" w:space="0" w:color="auto"/>
              <w:right w:val="single" w:sz="4" w:space="0" w:color="auto"/>
            </w:tcBorders>
            <w:shd w:val="clear" w:color="000000" w:fill="C5D9F1"/>
            <w:vAlign w:val="center"/>
            <w:hideMark/>
          </w:tcPr>
          <w:p w:rsidR="008853F1" w:rsidRPr="00383392" w:rsidRDefault="008853F1" w:rsidP="004A1B29">
            <w:pPr>
              <w:jc w:val="center"/>
              <w:rPr>
                <w:rFonts w:ascii="Verdana" w:hAnsi="Verdana" w:cs="Calibri"/>
                <w:b/>
                <w:bCs/>
                <w:color w:val="000000"/>
                <w:sz w:val="16"/>
                <w:szCs w:val="16"/>
              </w:rPr>
            </w:pPr>
            <w:r w:rsidRPr="00383392">
              <w:rPr>
                <w:rFonts w:ascii="Verdana" w:hAnsi="Verdana" w:cs="Calibri"/>
                <w:b/>
                <w:bCs/>
                <w:color w:val="000000"/>
                <w:sz w:val="16"/>
                <w:szCs w:val="16"/>
              </w:rPr>
              <w:t>30.0</w:t>
            </w:r>
            <w:r>
              <w:rPr>
                <w:rFonts w:ascii="Verdana" w:hAnsi="Verdana" w:cs="Calibri"/>
                <w:b/>
                <w:bCs/>
                <w:color w:val="000000"/>
                <w:sz w:val="16"/>
                <w:szCs w:val="16"/>
              </w:rPr>
              <w:t>9</w:t>
            </w:r>
            <w:r w:rsidRPr="00383392">
              <w:rPr>
                <w:rFonts w:ascii="Verdana" w:hAnsi="Verdana" w:cs="Calibri"/>
                <w:b/>
                <w:bCs/>
                <w:color w:val="000000"/>
                <w:sz w:val="16"/>
                <w:szCs w:val="16"/>
              </w:rPr>
              <w:t>.20</w:t>
            </w:r>
            <w:r>
              <w:rPr>
                <w:rFonts w:ascii="Verdana" w:hAnsi="Verdana" w:cs="Calibri"/>
                <w:b/>
                <w:bCs/>
                <w:color w:val="000000"/>
                <w:sz w:val="16"/>
                <w:szCs w:val="16"/>
              </w:rPr>
              <w:t>22</w:t>
            </w:r>
            <w:r w:rsidRPr="00383392">
              <w:rPr>
                <w:rFonts w:ascii="Verdana" w:hAnsi="Verdana" w:cs="Calibri"/>
                <w:b/>
                <w:bCs/>
                <w:color w:val="000000"/>
                <w:sz w:val="16"/>
                <w:szCs w:val="16"/>
              </w:rPr>
              <w:t xml:space="preserve"> r.</w:t>
            </w:r>
          </w:p>
        </w:tc>
        <w:tc>
          <w:tcPr>
            <w:tcW w:w="2794" w:type="dxa"/>
            <w:vMerge/>
            <w:tcBorders>
              <w:top w:val="single" w:sz="4" w:space="0" w:color="auto"/>
              <w:left w:val="single" w:sz="4" w:space="0" w:color="auto"/>
              <w:bottom w:val="single" w:sz="4" w:space="0" w:color="000000"/>
              <w:right w:val="single" w:sz="4" w:space="0" w:color="auto"/>
            </w:tcBorders>
            <w:vAlign w:val="center"/>
            <w:hideMark/>
          </w:tcPr>
          <w:p w:rsidR="008853F1" w:rsidRPr="00383392" w:rsidRDefault="008853F1" w:rsidP="004A1B29">
            <w:pPr>
              <w:rPr>
                <w:rFonts w:ascii="Verdana" w:hAnsi="Verdana" w:cs="Calibri"/>
                <w:b/>
                <w:bCs/>
                <w:color w:val="000000"/>
                <w:sz w:val="16"/>
                <w:szCs w:val="16"/>
              </w:rPr>
            </w:pPr>
          </w:p>
        </w:tc>
      </w:tr>
      <w:tr w:rsidR="008853F1" w:rsidRPr="00383392" w:rsidTr="004A1B29">
        <w:trPr>
          <w:trHeight w:val="295"/>
        </w:trPr>
        <w:tc>
          <w:tcPr>
            <w:tcW w:w="3036" w:type="dxa"/>
            <w:tcBorders>
              <w:top w:val="nil"/>
              <w:left w:val="single" w:sz="4" w:space="0" w:color="auto"/>
              <w:bottom w:val="single" w:sz="4" w:space="0" w:color="auto"/>
              <w:right w:val="single" w:sz="4" w:space="0" w:color="auto"/>
            </w:tcBorders>
            <w:shd w:val="clear" w:color="auto" w:fill="auto"/>
            <w:vAlign w:val="center"/>
            <w:hideMark/>
          </w:tcPr>
          <w:p w:rsidR="008853F1" w:rsidRPr="00383392" w:rsidRDefault="008853F1" w:rsidP="004A1B29">
            <w:pPr>
              <w:jc w:val="center"/>
              <w:rPr>
                <w:rFonts w:ascii="Verdana" w:hAnsi="Verdana" w:cs="Calibri"/>
                <w:b/>
                <w:bCs/>
                <w:color w:val="000000"/>
                <w:sz w:val="16"/>
                <w:szCs w:val="16"/>
              </w:rPr>
            </w:pPr>
            <w:r w:rsidRPr="00383392">
              <w:rPr>
                <w:rFonts w:ascii="Verdana" w:hAnsi="Verdana" w:cs="Calibri"/>
                <w:b/>
                <w:bCs/>
                <w:color w:val="000000"/>
                <w:sz w:val="16"/>
                <w:szCs w:val="16"/>
              </w:rPr>
              <w:t>Kredyty i pożyczki</w:t>
            </w:r>
          </w:p>
        </w:tc>
        <w:tc>
          <w:tcPr>
            <w:tcW w:w="3172" w:type="dxa"/>
            <w:tcBorders>
              <w:top w:val="nil"/>
              <w:left w:val="nil"/>
              <w:bottom w:val="single" w:sz="4" w:space="0" w:color="auto"/>
              <w:right w:val="single" w:sz="4" w:space="0" w:color="auto"/>
            </w:tcBorders>
            <w:shd w:val="clear" w:color="auto" w:fill="auto"/>
            <w:vAlign w:val="center"/>
            <w:hideMark/>
          </w:tcPr>
          <w:p w:rsidR="008853F1" w:rsidRPr="00383392" w:rsidRDefault="008853F1" w:rsidP="004A1B29">
            <w:pPr>
              <w:jc w:val="center"/>
              <w:rPr>
                <w:rFonts w:ascii="Verdana" w:hAnsi="Verdana" w:cs="Calibri"/>
                <w:sz w:val="16"/>
                <w:szCs w:val="16"/>
              </w:rPr>
            </w:pPr>
            <w:r>
              <w:rPr>
                <w:rFonts w:ascii="Verdana" w:hAnsi="Verdana" w:cs="Calibri"/>
                <w:sz w:val="16"/>
                <w:szCs w:val="16"/>
              </w:rPr>
              <w:t>4 831,4</w:t>
            </w:r>
          </w:p>
        </w:tc>
        <w:tc>
          <w:tcPr>
            <w:tcW w:w="2794" w:type="dxa"/>
            <w:tcBorders>
              <w:top w:val="nil"/>
              <w:left w:val="nil"/>
              <w:bottom w:val="single" w:sz="4" w:space="0" w:color="auto"/>
              <w:right w:val="single" w:sz="4" w:space="0" w:color="auto"/>
            </w:tcBorders>
            <w:shd w:val="clear" w:color="auto" w:fill="auto"/>
            <w:vAlign w:val="center"/>
            <w:hideMark/>
          </w:tcPr>
          <w:p w:rsidR="008853F1" w:rsidRPr="00700387" w:rsidRDefault="008853F1" w:rsidP="004A1B29">
            <w:pPr>
              <w:jc w:val="center"/>
              <w:rPr>
                <w:rFonts w:ascii="Verdana" w:hAnsi="Verdana" w:cs="Calibri"/>
                <w:sz w:val="16"/>
                <w:szCs w:val="16"/>
              </w:rPr>
            </w:pPr>
            <w:r w:rsidRPr="00700387">
              <w:rPr>
                <w:rFonts w:ascii="Verdana" w:hAnsi="Verdana" w:cs="Calibri"/>
                <w:sz w:val="16"/>
                <w:szCs w:val="16"/>
              </w:rPr>
              <w:t>90,6</w:t>
            </w:r>
          </w:p>
        </w:tc>
      </w:tr>
      <w:tr w:rsidR="008853F1" w:rsidRPr="00383392" w:rsidTr="004A1B29">
        <w:trPr>
          <w:trHeight w:val="295"/>
        </w:trPr>
        <w:tc>
          <w:tcPr>
            <w:tcW w:w="3036" w:type="dxa"/>
            <w:tcBorders>
              <w:top w:val="nil"/>
              <w:left w:val="single" w:sz="4" w:space="0" w:color="auto"/>
              <w:bottom w:val="single" w:sz="4" w:space="0" w:color="auto"/>
              <w:right w:val="single" w:sz="4" w:space="0" w:color="auto"/>
            </w:tcBorders>
            <w:shd w:val="clear" w:color="auto" w:fill="auto"/>
            <w:vAlign w:val="center"/>
            <w:hideMark/>
          </w:tcPr>
          <w:p w:rsidR="008853F1" w:rsidRPr="00383392" w:rsidRDefault="008853F1" w:rsidP="004A1B29">
            <w:pPr>
              <w:jc w:val="center"/>
              <w:rPr>
                <w:rFonts w:ascii="Verdana" w:hAnsi="Verdana" w:cs="Calibri"/>
                <w:b/>
                <w:bCs/>
                <w:color w:val="000000"/>
                <w:sz w:val="16"/>
                <w:szCs w:val="16"/>
              </w:rPr>
            </w:pPr>
            <w:r w:rsidRPr="00383392">
              <w:rPr>
                <w:rFonts w:ascii="Verdana" w:hAnsi="Verdana" w:cs="Calibri"/>
                <w:b/>
                <w:bCs/>
                <w:color w:val="000000"/>
                <w:sz w:val="16"/>
                <w:szCs w:val="16"/>
              </w:rPr>
              <w:t>Obligacje</w:t>
            </w:r>
          </w:p>
        </w:tc>
        <w:tc>
          <w:tcPr>
            <w:tcW w:w="3172" w:type="dxa"/>
            <w:tcBorders>
              <w:top w:val="nil"/>
              <w:left w:val="nil"/>
              <w:bottom w:val="single" w:sz="4" w:space="0" w:color="auto"/>
              <w:right w:val="single" w:sz="4" w:space="0" w:color="auto"/>
            </w:tcBorders>
            <w:shd w:val="clear" w:color="auto" w:fill="auto"/>
            <w:vAlign w:val="center"/>
            <w:hideMark/>
          </w:tcPr>
          <w:p w:rsidR="008853F1" w:rsidRPr="00383392" w:rsidRDefault="008853F1" w:rsidP="004A1B29">
            <w:pPr>
              <w:jc w:val="center"/>
              <w:rPr>
                <w:rFonts w:ascii="Verdana" w:hAnsi="Verdana" w:cs="Calibri"/>
                <w:sz w:val="16"/>
                <w:szCs w:val="16"/>
              </w:rPr>
            </w:pPr>
            <w:r>
              <w:rPr>
                <w:rFonts w:ascii="Verdana" w:hAnsi="Verdana" w:cs="Calibri"/>
                <w:sz w:val="16"/>
                <w:szCs w:val="16"/>
              </w:rPr>
              <w:t>499,4</w:t>
            </w:r>
          </w:p>
        </w:tc>
        <w:tc>
          <w:tcPr>
            <w:tcW w:w="2794" w:type="dxa"/>
            <w:tcBorders>
              <w:top w:val="nil"/>
              <w:left w:val="nil"/>
              <w:bottom w:val="single" w:sz="4" w:space="0" w:color="auto"/>
              <w:right w:val="single" w:sz="4" w:space="0" w:color="auto"/>
            </w:tcBorders>
            <w:shd w:val="clear" w:color="auto" w:fill="auto"/>
            <w:vAlign w:val="center"/>
            <w:hideMark/>
          </w:tcPr>
          <w:p w:rsidR="008853F1" w:rsidRPr="00700387" w:rsidRDefault="008853F1" w:rsidP="004A1B29">
            <w:pPr>
              <w:jc w:val="center"/>
              <w:rPr>
                <w:rFonts w:ascii="Verdana" w:hAnsi="Verdana" w:cs="Calibri"/>
                <w:sz w:val="16"/>
                <w:szCs w:val="16"/>
              </w:rPr>
            </w:pPr>
            <w:r w:rsidRPr="00700387">
              <w:rPr>
                <w:rFonts w:ascii="Verdana" w:hAnsi="Verdana" w:cs="Calibri"/>
                <w:sz w:val="16"/>
                <w:szCs w:val="16"/>
              </w:rPr>
              <w:t>9,4</w:t>
            </w:r>
          </w:p>
        </w:tc>
      </w:tr>
      <w:tr w:rsidR="008853F1" w:rsidRPr="00383392" w:rsidTr="004A1B29">
        <w:trPr>
          <w:trHeight w:val="295"/>
        </w:trPr>
        <w:tc>
          <w:tcPr>
            <w:tcW w:w="3036" w:type="dxa"/>
            <w:tcBorders>
              <w:top w:val="nil"/>
              <w:left w:val="single" w:sz="4" w:space="0" w:color="auto"/>
              <w:bottom w:val="single" w:sz="4" w:space="0" w:color="auto"/>
              <w:right w:val="single" w:sz="4" w:space="0" w:color="auto"/>
            </w:tcBorders>
            <w:shd w:val="clear" w:color="auto" w:fill="auto"/>
            <w:vAlign w:val="center"/>
            <w:hideMark/>
          </w:tcPr>
          <w:p w:rsidR="008853F1" w:rsidRPr="00383392" w:rsidRDefault="008853F1" w:rsidP="004A1B29">
            <w:pPr>
              <w:jc w:val="center"/>
              <w:rPr>
                <w:rFonts w:ascii="Verdana" w:hAnsi="Verdana" w:cs="Calibri"/>
                <w:b/>
                <w:bCs/>
                <w:color w:val="000000"/>
                <w:sz w:val="16"/>
                <w:szCs w:val="16"/>
              </w:rPr>
            </w:pPr>
            <w:r w:rsidRPr="00383392">
              <w:rPr>
                <w:rFonts w:ascii="Verdana" w:hAnsi="Verdana" w:cs="Calibri"/>
                <w:b/>
                <w:bCs/>
                <w:color w:val="000000"/>
                <w:sz w:val="16"/>
                <w:szCs w:val="16"/>
              </w:rPr>
              <w:t>Zadłużenie ogółem</w:t>
            </w:r>
          </w:p>
        </w:tc>
        <w:tc>
          <w:tcPr>
            <w:tcW w:w="3172" w:type="dxa"/>
            <w:tcBorders>
              <w:top w:val="nil"/>
              <w:left w:val="nil"/>
              <w:bottom w:val="single" w:sz="4" w:space="0" w:color="auto"/>
              <w:right w:val="single" w:sz="4" w:space="0" w:color="auto"/>
            </w:tcBorders>
            <w:shd w:val="clear" w:color="auto" w:fill="auto"/>
            <w:vAlign w:val="center"/>
            <w:hideMark/>
          </w:tcPr>
          <w:p w:rsidR="008853F1" w:rsidRPr="00383392" w:rsidRDefault="008853F1" w:rsidP="004A1B29">
            <w:pPr>
              <w:jc w:val="center"/>
              <w:rPr>
                <w:rFonts w:ascii="Verdana" w:hAnsi="Verdana" w:cs="Calibri"/>
                <w:sz w:val="16"/>
                <w:szCs w:val="16"/>
              </w:rPr>
            </w:pPr>
            <w:r>
              <w:rPr>
                <w:rFonts w:ascii="Verdana" w:hAnsi="Verdana" w:cs="Calibri"/>
                <w:sz w:val="16"/>
                <w:szCs w:val="16"/>
              </w:rPr>
              <w:t>5 330,8</w:t>
            </w:r>
          </w:p>
        </w:tc>
        <w:tc>
          <w:tcPr>
            <w:tcW w:w="2794" w:type="dxa"/>
            <w:tcBorders>
              <w:top w:val="nil"/>
              <w:left w:val="nil"/>
              <w:bottom w:val="single" w:sz="4" w:space="0" w:color="auto"/>
              <w:right w:val="single" w:sz="4" w:space="0" w:color="auto"/>
            </w:tcBorders>
            <w:shd w:val="clear" w:color="auto" w:fill="auto"/>
            <w:vAlign w:val="center"/>
            <w:hideMark/>
          </w:tcPr>
          <w:p w:rsidR="008853F1" w:rsidRPr="00700387" w:rsidRDefault="008853F1" w:rsidP="004A1B29">
            <w:pPr>
              <w:jc w:val="center"/>
              <w:rPr>
                <w:rFonts w:ascii="Verdana" w:hAnsi="Verdana" w:cs="Calibri"/>
                <w:sz w:val="16"/>
                <w:szCs w:val="16"/>
              </w:rPr>
            </w:pPr>
            <w:r w:rsidRPr="00700387">
              <w:rPr>
                <w:rFonts w:ascii="Verdana" w:hAnsi="Verdana" w:cs="Calibri"/>
                <w:sz w:val="16"/>
                <w:szCs w:val="16"/>
              </w:rPr>
              <w:t>100,0</w:t>
            </w:r>
          </w:p>
        </w:tc>
      </w:tr>
    </w:tbl>
    <w:p w:rsidR="008853F1" w:rsidRPr="00383392" w:rsidRDefault="008853F1" w:rsidP="008853F1">
      <w:pPr>
        <w:jc w:val="both"/>
        <w:rPr>
          <w:rFonts w:ascii="Verdana" w:hAnsi="Verdana"/>
          <w:sz w:val="18"/>
          <w:szCs w:val="18"/>
        </w:rPr>
      </w:pPr>
    </w:p>
    <w:p w:rsidR="008853F1" w:rsidRPr="00383392" w:rsidRDefault="008853F1" w:rsidP="008853F1">
      <w:pPr>
        <w:jc w:val="both"/>
        <w:rPr>
          <w:rFonts w:ascii="Verdana" w:hAnsi="Verdana"/>
          <w:sz w:val="16"/>
          <w:szCs w:val="16"/>
        </w:rPr>
      </w:pPr>
      <w:r w:rsidRPr="00383392">
        <w:rPr>
          <w:rFonts w:ascii="Verdana" w:hAnsi="Verdana"/>
          <w:sz w:val="16"/>
          <w:szCs w:val="16"/>
        </w:rPr>
        <w:t xml:space="preserve">W pierwszych </w:t>
      </w:r>
      <w:r>
        <w:rPr>
          <w:rFonts w:ascii="Verdana" w:hAnsi="Verdana"/>
          <w:sz w:val="16"/>
          <w:szCs w:val="16"/>
        </w:rPr>
        <w:t>9</w:t>
      </w:r>
      <w:r w:rsidRPr="00383392">
        <w:rPr>
          <w:rFonts w:ascii="Verdana" w:hAnsi="Verdana"/>
          <w:sz w:val="16"/>
          <w:szCs w:val="16"/>
        </w:rPr>
        <w:t xml:space="preserve"> miesiącach 202</w:t>
      </w:r>
      <w:r>
        <w:rPr>
          <w:rFonts w:ascii="Verdana" w:hAnsi="Verdana"/>
          <w:sz w:val="16"/>
          <w:szCs w:val="16"/>
        </w:rPr>
        <w:t>2</w:t>
      </w:r>
      <w:r w:rsidRPr="00383392">
        <w:rPr>
          <w:rFonts w:ascii="Verdana" w:hAnsi="Verdana"/>
          <w:sz w:val="16"/>
          <w:szCs w:val="16"/>
        </w:rPr>
        <w:t xml:space="preserve"> r. koszty odsetkowe Miasta wyniosły </w:t>
      </w:r>
      <w:r w:rsidRPr="00EE37CE">
        <w:rPr>
          <w:rFonts w:ascii="Verdana" w:hAnsi="Verdana"/>
          <w:sz w:val="16"/>
          <w:szCs w:val="16"/>
        </w:rPr>
        <w:t>112,9</w:t>
      </w:r>
      <w:r w:rsidRPr="00383392">
        <w:rPr>
          <w:rFonts w:ascii="Verdana" w:hAnsi="Verdana"/>
          <w:sz w:val="16"/>
          <w:szCs w:val="16"/>
        </w:rPr>
        <w:t xml:space="preserve"> mln zł. Płatności z tytułu poręczeń i gwarancji nie występowały. Spłata kapitału w omawianym okresie wyniosła </w:t>
      </w:r>
      <w:r w:rsidRPr="00EE37CE">
        <w:rPr>
          <w:rFonts w:ascii="Verdana" w:hAnsi="Verdana"/>
          <w:sz w:val="16"/>
          <w:szCs w:val="16"/>
        </w:rPr>
        <w:t>515,9</w:t>
      </w:r>
      <w:r w:rsidRPr="00383392">
        <w:rPr>
          <w:rFonts w:ascii="Verdana" w:hAnsi="Verdana"/>
          <w:sz w:val="16"/>
          <w:szCs w:val="16"/>
        </w:rPr>
        <w:t xml:space="preserve"> mln zł.</w:t>
      </w:r>
    </w:p>
    <w:p w:rsidR="008853F1" w:rsidRPr="00383392" w:rsidRDefault="008853F1" w:rsidP="008853F1">
      <w:pPr>
        <w:numPr>
          <w:ilvl w:val="0"/>
          <w:numId w:val="70"/>
        </w:numPr>
        <w:spacing w:before="240" w:line="312" w:lineRule="auto"/>
        <w:ind w:left="397" w:hanging="397"/>
        <w:rPr>
          <w:rFonts w:ascii="Verdana" w:hAnsi="Verdana"/>
          <w:b/>
        </w:rPr>
      </w:pPr>
      <w:bookmarkStart w:id="9" w:name="bookmark3"/>
      <w:r w:rsidRPr="00383392">
        <w:rPr>
          <w:rFonts w:ascii="Verdana" w:hAnsi="Verdana"/>
          <w:b/>
        </w:rPr>
        <w:t>Wsparcie możliwości inwestycyjnych Miasta środkami zwrotnymi</w:t>
      </w:r>
      <w:bookmarkEnd w:id="9"/>
      <w:r w:rsidRPr="00383392">
        <w:rPr>
          <w:rFonts w:ascii="Verdana" w:hAnsi="Verdana"/>
          <w:iCs/>
          <w:sz w:val="18"/>
          <w:szCs w:val="18"/>
        </w:rPr>
        <w:t xml:space="preserve"> </w:t>
      </w:r>
    </w:p>
    <w:p w:rsidR="008853F1" w:rsidRDefault="008853F1" w:rsidP="008853F1">
      <w:pPr>
        <w:spacing w:before="120"/>
        <w:jc w:val="both"/>
        <w:rPr>
          <w:rFonts w:ascii="Verdana" w:hAnsi="Verdana"/>
          <w:sz w:val="16"/>
          <w:szCs w:val="16"/>
        </w:rPr>
      </w:pPr>
      <w:r>
        <w:rPr>
          <w:rFonts w:ascii="Verdana" w:hAnsi="Verdana"/>
          <w:sz w:val="16"/>
          <w:szCs w:val="16"/>
        </w:rPr>
        <w:t xml:space="preserve">Plany nakładów inwestycyjnych m.st. Warszawy z jednej strony oraz ograniczenia związane z limitem określanym przez wskaźnik z art. 243 ustawy o finansach publicznych z drugiej strony, determinują wielkość zadłużenia </w:t>
      </w:r>
      <w:r>
        <w:rPr>
          <w:rFonts w:ascii="Verdana" w:hAnsi="Verdana"/>
          <w:sz w:val="16"/>
          <w:szCs w:val="16"/>
        </w:rPr>
        <w:br/>
        <w:t xml:space="preserve">i wielkości jego spłaty w poszczególnych latach. W okresie 2023-27 m.st. Warszawa planuje zaciąganie nowych zobowiązań finansowych na realizację inwestycji, w tym także inwestycji, które będą mogły być współfinansowane przez Unię Europejską w ramach perspektywy finansowej 2021-2027. Przesunięcie czasowe wykorzystania środków w stosunku do ich alokacji w ramach programów unijnych wymaga dostosowywania struktury czasowej zaciągania zobowiązań zwrotnych. </w:t>
      </w:r>
    </w:p>
    <w:p w:rsidR="008853F1" w:rsidRPr="00F03BA3" w:rsidRDefault="008853F1" w:rsidP="008853F1">
      <w:pPr>
        <w:spacing w:before="120"/>
        <w:jc w:val="both"/>
        <w:rPr>
          <w:rFonts w:ascii="Verdana" w:hAnsi="Verdana"/>
          <w:sz w:val="16"/>
          <w:szCs w:val="16"/>
        </w:rPr>
      </w:pPr>
      <w:r>
        <w:rPr>
          <w:rFonts w:ascii="Verdana" w:hAnsi="Verdana"/>
          <w:sz w:val="16"/>
          <w:szCs w:val="16"/>
        </w:rPr>
        <w:t xml:space="preserve">Zwiększanie potencjału rozwojowego poprzez inwestycje stanowi główny priorytet polityki zadłużeniowej. Planowane wydatki inwestycyjne w latach 2023-2027 na poziomie 13,2 mld zł, będą sfinansowane: </w:t>
      </w:r>
    </w:p>
    <w:p w:rsidR="008853F1" w:rsidRPr="00383392" w:rsidRDefault="008853F1" w:rsidP="008853F1">
      <w:pPr>
        <w:numPr>
          <w:ilvl w:val="0"/>
          <w:numId w:val="43"/>
        </w:numPr>
        <w:spacing w:before="60"/>
        <w:ind w:left="641" w:hanging="284"/>
        <w:jc w:val="both"/>
        <w:rPr>
          <w:rFonts w:ascii="Verdana" w:hAnsi="Verdana"/>
          <w:iCs/>
          <w:sz w:val="16"/>
          <w:szCs w:val="16"/>
        </w:rPr>
      </w:pPr>
      <w:r w:rsidRPr="00383392">
        <w:rPr>
          <w:rFonts w:ascii="Verdana" w:hAnsi="Verdana"/>
          <w:iCs/>
          <w:sz w:val="16"/>
          <w:szCs w:val="16"/>
        </w:rPr>
        <w:t xml:space="preserve">wkładem własnym w wysokości </w:t>
      </w:r>
      <w:r>
        <w:rPr>
          <w:rFonts w:ascii="Verdana" w:hAnsi="Verdana"/>
          <w:iCs/>
          <w:sz w:val="16"/>
          <w:szCs w:val="16"/>
        </w:rPr>
        <w:t>4,8</w:t>
      </w:r>
      <w:r w:rsidRPr="00383392">
        <w:rPr>
          <w:rFonts w:ascii="Verdana" w:hAnsi="Verdana"/>
          <w:iCs/>
          <w:sz w:val="16"/>
          <w:szCs w:val="16"/>
        </w:rPr>
        <w:t xml:space="preserve"> mld zł, </w:t>
      </w:r>
    </w:p>
    <w:p w:rsidR="008853F1" w:rsidRPr="00EE37CE" w:rsidRDefault="008853F1" w:rsidP="008853F1">
      <w:pPr>
        <w:numPr>
          <w:ilvl w:val="0"/>
          <w:numId w:val="43"/>
        </w:numPr>
        <w:spacing w:before="60"/>
        <w:ind w:left="641" w:hanging="284"/>
        <w:jc w:val="both"/>
        <w:rPr>
          <w:rFonts w:ascii="Verdana" w:hAnsi="Verdana"/>
          <w:iCs/>
          <w:sz w:val="16"/>
          <w:szCs w:val="16"/>
        </w:rPr>
      </w:pPr>
      <w:r>
        <w:rPr>
          <w:rFonts w:ascii="Verdana" w:hAnsi="Verdana"/>
          <w:iCs/>
          <w:sz w:val="16"/>
          <w:szCs w:val="16"/>
        </w:rPr>
        <w:t>środkami unijnymi</w:t>
      </w:r>
      <w:r w:rsidRPr="00EE37CE">
        <w:rPr>
          <w:rFonts w:ascii="Verdana" w:hAnsi="Verdana"/>
          <w:iCs/>
          <w:sz w:val="16"/>
          <w:szCs w:val="16"/>
        </w:rPr>
        <w:t xml:space="preserve"> w wysokości 1,0 mld zł,</w:t>
      </w:r>
    </w:p>
    <w:p w:rsidR="008853F1" w:rsidRPr="00DA40CE" w:rsidRDefault="008853F1" w:rsidP="008853F1">
      <w:pPr>
        <w:numPr>
          <w:ilvl w:val="0"/>
          <w:numId w:val="43"/>
        </w:numPr>
        <w:spacing w:before="60"/>
        <w:ind w:left="641" w:hanging="284"/>
        <w:jc w:val="both"/>
        <w:rPr>
          <w:rFonts w:ascii="Verdana" w:hAnsi="Verdana"/>
          <w:iCs/>
          <w:sz w:val="16"/>
          <w:szCs w:val="16"/>
        </w:rPr>
      </w:pPr>
      <w:r w:rsidRPr="00383392">
        <w:rPr>
          <w:rFonts w:ascii="Verdana" w:hAnsi="Verdana"/>
          <w:b/>
          <w:iCs/>
          <w:sz w:val="16"/>
          <w:szCs w:val="16"/>
        </w:rPr>
        <w:t xml:space="preserve">środkami zwrotnymi w wysokości </w:t>
      </w:r>
      <w:r>
        <w:rPr>
          <w:rFonts w:ascii="Verdana" w:hAnsi="Verdana"/>
          <w:b/>
          <w:iCs/>
          <w:sz w:val="16"/>
          <w:szCs w:val="16"/>
        </w:rPr>
        <w:t>7,4</w:t>
      </w:r>
      <w:r w:rsidRPr="00383392">
        <w:rPr>
          <w:rFonts w:ascii="Verdana" w:hAnsi="Verdana"/>
          <w:b/>
          <w:iCs/>
          <w:sz w:val="16"/>
          <w:szCs w:val="16"/>
        </w:rPr>
        <w:t xml:space="preserve"> mld zł.</w:t>
      </w:r>
      <w:r w:rsidRPr="00383392">
        <w:rPr>
          <w:rFonts w:ascii="Verdana" w:hAnsi="Verdana"/>
          <w:iCs/>
          <w:sz w:val="16"/>
          <w:szCs w:val="16"/>
        </w:rPr>
        <w:t xml:space="preserve"> </w:t>
      </w:r>
    </w:p>
    <w:p w:rsidR="008853F1" w:rsidRPr="00383392" w:rsidRDefault="008853F1" w:rsidP="008853F1">
      <w:pPr>
        <w:numPr>
          <w:ilvl w:val="0"/>
          <w:numId w:val="70"/>
        </w:numPr>
        <w:spacing w:before="240" w:line="312" w:lineRule="auto"/>
        <w:ind w:left="397" w:hanging="397"/>
        <w:jc w:val="both"/>
        <w:rPr>
          <w:rFonts w:ascii="Verdana" w:hAnsi="Verdana"/>
          <w:b/>
        </w:rPr>
      </w:pPr>
      <w:bookmarkStart w:id="10" w:name="bookmark5"/>
      <w:r w:rsidRPr="00383392">
        <w:rPr>
          <w:rFonts w:ascii="Verdana" w:hAnsi="Verdana"/>
          <w:b/>
        </w:rPr>
        <w:t>Cele polityki długu w latach 202</w:t>
      </w:r>
      <w:r>
        <w:rPr>
          <w:rFonts w:ascii="Verdana" w:hAnsi="Verdana"/>
          <w:b/>
        </w:rPr>
        <w:t>3</w:t>
      </w:r>
      <w:r w:rsidRPr="00383392">
        <w:rPr>
          <w:rFonts w:ascii="Verdana" w:hAnsi="Verdana"/>
          <w:b/>
        </w:rPr>
        <w:t>-</w:t>
      </w:r>
      <w:bookmarkEnd w:id="10"/>
      <w:r w:rsidRPr="00383392">
        <w:rPr>
          <w:rFonts w:ascii="Verdana" w:hAnsi="Verdana"/>
          <w:b/>
        </w:rPr>
        <w:t>20</w:t>
      </w:r>
      <w:r>
        <w:rPr>
          <w:rFonts w:ascii="Verdana" w:hAnsi="Verdana"/>
          <w:b/>
        </w:rPr>
        <w:t>27</w:t>
      </w:r>
    </w:p>
    <w:p w:rsidR="008853F1" w:rsidRPr="00383392" w:rsidRDefault="008853F1" w:rsidP="008853F1">
      <w:pPr>
        <w:spacing w:before="120"/>
        <w:jc w:val="both"/>
        <w:rPr>
          <w:rFonts w:ascii="Verdana" w:hAnsi="Verdana"/>
          <w:iCs/>
          <w:sz w:val="16"/>
          <w:szCs w:val="16"/>
        </w:rPr>
      </w:pPr>
      <w:r w:rsidRPr="00CB32E5">
        <w:rPr>
          <w:rFonts w:ascii="Verdana" w:hAnsi="Verdana"/>
          <w:iCs/>
          <w:sz w:val="16"/>
          <w:szCs w:val="16"/>
        </w:rPr>
        <w:t xml:space="preserve">W związku z ograniczonymi możliwościami finansowania programu inwestycyjnego środkami własnymi </w:t>
      </w:r>
      <w:r>
        <w:rPr>
          <w:rFonts w:ascii="Verdana" w:hAnsi="Verdana"/>
          <w:iCs/>
          <w:sz w:val="16"/>
          <w:szCs w:val="16"/>
        </w:rPr>
        <w:t xml:space="preserve">nastąpi </w:t>
      </w:r>
      <w:r w:rsidRPr="00CB32E5">
        <w:rPr>
          <w:rFonts w:ascii="Verdana" w:hAnsi="Verdana"/>
          <w:iCs/>
          <w:sz w:val="16"/>
          <w:szCs w:val="16"/>
        </w:rPr>
        <w:t xml:space="preserve"> zwi</w:t>
      </w:r>
      <w:r>
        <w:rPr>
          <w:rFonts w:ascii="Verdana" w:hAnsi="Verdana"/>
          <w:iCs/>
          <w:sz w:val="16"/>
          <w:szCs w:val="16"/>
        </w:rPr>
        <w:t>ę</w:t>
      </w:r>
      <w:r w:rsidRPr="00CB32E5">
        <w:rPr>
          <w:rFonts w:ascii="Verdana" w:hAnsi="Verdana"/>
          <w:iCs/>
          <w:sz w:val="16"/>
          <w:szCs w:val="16"/>
        </w:rPr>
        <w:t xml:space="preserve">kszenie programu </w:t>
      </w:r>
      <w:r>
        <w:rPr>
          <w:rFonts w:ascii="Verdana" w:hAnsi="Verdana"/>
          <w:iCs/>
          <w:sz w:val="16"/>
          <w:szCs w:val="16"/>
        </w:rPr>
        <w:t>zaciągania zobowiązań</w:t>
      </w:r>
      <w:r w:rsidRPr="00CB32E5">
        <w:rPr>
          <w:rFonts w:ascii="Verdana" w:hAnsi="Verdana"/>
          <w:iCs/>
          <w:sz w:val="16"/>
          <w:szCs w:val="16"/>
        </w:rPr>
        <w:t>. W</w:t>
      </w:r>
      <w:r>
        <w:rPr>
          <w:rFonts w:ascii="Verdana" w:hAnsi="Verdana"/>
          <w:iCs/>
          <w:sz w:val="16"/>
          <w:szCs w:val="16"/>
        </w:rPr>
        <w:t xml:space="preserve"> projekcie przedkładanej WPF</w:t>
      </w:r>
      <w:r w:rsidRPr="00383392">
        <w:rPr>
          <w:rFonts w:ascii="Verdana" w:hAnsi="Verdana"/>
          <w:iCs/>
          <w:sz w:val="16"/>
          <w:szCs w:val="16"/>
        </w:rPr>
        <w:t xml:space="preserve"> zakłada się </w:t>
      </w:r>
      <w:r>
        <w:rPr>
          <w:rFonts w:ascii="Verdana" w:hAnsi="Verdana"/>
          <w:iCs/>
          <w:sz w:val="16"/>
          <w:szCs w:val="16"/>
        </w:rPr>
        <w:t>zaciągnięcie w latach</w:t>
      </w:r>
      <w:r w:rsidRPr="00383392">
        <w:rPr>
          <w:rFonts w:ascii="Verdana" w:hAnsi="Verdana"/>
          <w:iCs/>
          <w:sz w:val="16"/>
          <w:szCs w:val="16"/>
        </w:rPr>
        <w:t xml:space="preserve"> 202</w:t>
      </w:r>
      <w:r>
        <w:rPr>
          <w:rFonts w:ascii="Verdana" w:hAnsi="Verdana"/>
          <w:iCs/>
          <w:sz w:val="16"/>
          <w:szCs w:val="16"/>
        </w:rPr>
        <w:t xml:space="preserve">3 – 2027 nowych zobowiązań zwrotnych </w:t>
      </w:r>
      <w:r w:rsidRPr="00383392">
        <w:rPr>
          <w:rFonts w:ascii="Verdana" w:hAnsi="Verdana"/>
          <w:iCs/>
          <w:sz w:val="16"/>
          <w:szCs w:val="16"/>
        </w:rPr>
        <w:t xml:space="preserve">do kwoty </w:t>
      </w:r>
      <w:r>
        <w:rPr>
          <w:rFonts w:ascii="Verdana" w:hAnsi="Verdana"/>
          <w:iCs/>
          <w:sz w:val="16"/>
          <w:szCs w:val="16"/>
        </w:rPr>
        <w:t>7,4</w:t>
      </w:r>
      <w:r w:rsidRPr="00383392">
        <w:rPr>
          <w:rFonts w:ascii="Verdana" w:hAnsi="Verdana"/>
          <w:iCs/>
          <w:sz w:val="16"/>
          <w:szCs w:val="16"/>
        </w:rPr>
        <w:t xml:space="preserve"> mld zł</w:t>
      </w:r>
      <w:r>
        <w:rPr>
          <w:rFonts w:ascii="Verdana" w:hAnsi="Verdana"/>
          <w:iCs/>
          <w:sz w:val="16"/>
          <w:szCs w:val="16"/>
        </w:rPr>
        <w:t>.</w:t>
      </w:r>
    </w:p>
    <w:p w:rsidR="008853F1" w:rsidRPr="00383392" w:rsidRDefault="008853F1" w:rsidP="008853F1">
      <w:pPr>
        <w:spacing w:before="120"/>
        <w:jc w:val="both"/>
        <w:rPr>
          <w:rFonts w:ascii="Verdana" w:hAnsi="Verdana"/>
          <w:iCs/>
          <w:sz w:val="16"/>
          <w:szCs w:val="16"/>
        </w:rPr>
      </w:pPr>
      <w:r w:rsidRPr="00383392">
        <w:rPr>
          <w:rFonts w:ascii="Verdana" w:hAnsi="Verdana"/>
          <w:iCs/>
          <w:sz w:val="16"/>
          <w:szCs w:val="16"/>
        </w:rPr>
        <w:lastRenderedPageBreak/>
        <w:t xml:space="preserve">Polityka </w:t>
      </w:r>
      <w:r>
        <w:rPr>
          <w:rFonts w:ascii="Verdana" w:hAnsi="Verdana"/>
          <w:iCs/>
          <w:sz w:val="16"/>
          <w:szCs w:val="16"/>
        </w:rPr>
        <w:t>zaciągania zobowiązań</w:t>
      </w:r>
      <w:r w:rsidRPr="00383392">
        <w:rPr>
          <w:rFonts w:ascii="Verdana" w:hAnsi="Verdana"/>
          <w:iCs/>
          <w:sz w:val="16"/>
          <w:szCs w:val="16"/>
        </w:rPr>
        <w:t xml:space="preserve"> w latach 202</w:t>
      </w:r>
      <w:r>
        <w:rPr>
          <w:rFonts w:ascii="Verdana" w:hAnsi="Verdana"/>
          <w:iCs/>
          <w:sz w:val="16"/>
          <w:szCs w:val="16"/>
        </w:rPr>
        <w:t>3</w:t>
      </w:r>
      <w:r w:rsidRPr="00383392">
        <w:rPr>
          <w:rFonts w:ascii="Verdana" w:hAnsi="Verdana"/>
          <w:iCs/>
          <w:sz w:val="16"/>
          <w:szCs w:val="16"/>
        </w:rPr>
        <w:t>-20</w:t>
      </w:r>
      <w:r>
        <w:rPr>
          <w:rFonts w:ascii="Verdana" w:hAnsi="Verdana"/>
          <w:iCs/>
          <w:sz w:val="16"/>
          <w:szCs w:val="16"/>
        </w:rPr>
        <w:t>27</w:t>
      </w:r>
      <w:r w:rsidRPr="00383392">
        <w:rPr>
          <w:rFonts w:ascii="Verdana" w:hAnsi="Verdana"/>
          <w:iCs/>
          <w:sz w:val="16"/>
          <w:szCs w:val="16"/>
        </w:rPr>
        <w:t xml:space="preserve"> będzie wynikiem:</w:t>
      </w:r>
    </w:p>
    <w:p w:rsidR="008853F1" w:rsidRPr="00383392" w:rsidRDefault="008853F1" w:rsidP="008853F1">
      <w:pPr>
        <w:numPr>
          <w:ilvl w:val="0"/>
          <w:numId w:val="48"/>
        </w:numPr>
        <w:spacing w:before="60"/>
        <w:ind w:left="641" w:hanging="284"/>
        <w:jc w:val="both"/>
        <w:rPr>
          <w:rFonts w:ascii="Verdana" w:eastAsia="Calibri" w:hAnsi="Verdana"/>
          <w:color w:val="000000"/>
          <w:sz w:val="16"/>
          <w:szCs w:val="16"/>
        </w:rPr>
      </w:pPr>
      <w:r w:rsidRPr="00383392">
        <w:rPr>
          <w:rFonts w:ascii="Verdana" w:eastAsia="Calibri" w:hAnsi="Verdana"/>
          <w:color w:val="000000"/>
          <w:sz w:val="16"/>
          <w:szCs w:val="16"/>
        </w:rPr>
        <w:t xml:space="preserve">w dłuższej perspektywie - polityki finansowej Miasta i wydatków inwestycyjnych, które mają być finansowane poprzez zaciąganie długu, w konsekwencji wpływając na poziom długu ustalony w WPF; </w:t>
      </w:r>
    </w:p>
    <w:p w:rsidR="008853F1" w:rsidRDefault="008853F1" w:rsidP="008853F1">
      <w:pPr>
        <w:numPr>
          <w:ilvl w:val="0"/>
          <w:numId w:val="48"/>
        </w:numPr>
        <w:autoSpaceDE w:val="0"/>
        <w:autoSpaceDN w:val="0"/>
        <w:adjustRightInd w:val="0"/>
        <w:spacing w:before="60"/>
        <w:ind w:left="641" w:hanging="284"/>
        <w:jc w:val="both"/>
        <w:rPr>
          <w:rFonts w:ascii="Verdana" w:eastAsia="Calibri" w:hAnsi="Verdana"/>
          <w:color w:val="000000"/>
          <w:sz w:val="16"/>
          <w:szCs w:val="16"/>
        </w:rPr>
      </w:pPr>
      <w:r>
        <w:rPr>
          <w:rFonts w:ascii="Verdana" w:eastAsia="Calibri" w:hAnsi="Verdana"/>
          <w:color w:val="000000"/>
          <w:sz w:val="16"/>
          <w:szCs w:val="16"/>
        </w:rPr>
        <w:t xml:space="preserve">w ujęciu krótkoterminowym - </w:t>
      </w:r>
      <w:r w:rsidRPr="00383392">
        <w:rPr>
          <w:rFonts w:ascii="Verdana" w:eastAsia="Calibri" w:hAnsi="Verdana"/>
          <w:color w:val="000000"/>
          <w:sz w:val="16"/>
          <w:szCs w:val="16"/>
        </w:rPr>
        <w:t xml:space="preserve">wyzwań związanych z </w:t>
      </w:r>
      <w:r>
        <w:rPr>
          <w:rFonts w:ascii="Verdana" w:eastAsia="Calibri" w:hAnsi="Verdana"/>
          <w:color w:val="000000"/>
          <w:sz w:val="16"/>
          <w:szCs w:val="16"/>
        </w:rPr>
        <w:t xml:space="preserve">odbudowywaniem się lokalnej gospodarki po okresie </w:t>
      </w:r>
      <w:r w:rsidRPr="00383392">
        <w:rPr>
          <w:rFonts w:ascii="Verdana" w:eastAsia="Calibri" w:hAnsi="Verdana"/>
          <w:color w:val="000000"/>
          <w:sz w:val="16"/>
          <w:szCs w:val="16"/>
        </w:rPr>
        <w:t>pandemi</w:t>
      </w:r>
      <w:r>
        <w:rPr>
          <w:rFonts w:ascii="Verdana" w:eastAsia="Calibri" w:hAnsi="Verdana"/>
          <w:color w:val="000000"/>
          <w:sz w:val="16"/>
          <w:szCs w:val="16"/>
        </w:rPr>
        <w:t>i</w:t>
      </w:r>
      <w:r w:rsidRPr="00383392">
        <w:rPr>
          <w:rFonts w:ascii="Verdana" w:eastAsia="Calibri" w:hAnsi="Verdana"/>
          <w:color w:val="000000"/>
          <w:sz w:val="16"/>
          <w:szCs w:val="16"/>
        </w:rPr>
        <w:t xml:space="preserve"> i jej skutkami finansowymi, takimi jak </w:t>
      </w:r>
      <w:r>
        <w:rPr>
          <w:rFonts w:ascii="Verdana" w:eastAsia="Calibri" w:hAnsi="Verdana"/>
          <w:color w:val="000000"/>
          <w:sz w:val="16"/>
          <w:szCs w:val="16"/>
        </w:rPr>
        <w:t>relatywnie niski poziom</w:t>
      </w:r>
      <w:r w:rsidRPr="00383392">
        <w:rPr>
          <w:rFonts w:ascii="Verdana" w:eastAsia="Calibri" w:hAnsi="Verdana"/>
          <w:color w:val="000000"/>
          <w:sz w:val="16"/>
          <w:szCs w:val="16"/>
        </w:rPr>
        <w:t xml:space="preserve"> dochodów, </w:t>
      </w:r>
      <w:r w:rsidRPr="00383392">
        <w:rPr>
          <w:rFonts w:ascii="Verdana" w:eastAsia="Calibri" w:hAnsi="Verdana"/>
          <w:sz w:val="16"/>
          <w:szCs w:val="16"/>
        </w:rPr>
        <w:t>zmiany</w:t>
      </w:r>
      <w:r w:rsidRPr="00383392">
        <w:rPr>
          <w:rFonts w:ascii="Verdana" w:eastAsia="Calibri" w:hAnsi="Verdana"/>
          <w:color w:val="000000"/>
          <w:sz w:val="16"/>
          <w:szCs w:val="16"/>
        </w:rPr>
        <w:t xml:space="preserve"> w </w:t>
      </w:r>
      <w:r>
        <w:rPr>
          <w:rFonts w:ascii="Verdana" w:eastAsia="Calibri" w:hAnsi="Verdana"/>
          <w:color w:val="000000"/>
          <w:sz w:val="16"/>
          <w:szCs w:val="16"/>
        </w:rPr>
        <w:t xml:space="preserve">programie realizacji inwestycji; zmian społeczno-ekonomicznych będących skutkiem wojny rosyjsko-ukraińskiej; </w:t>
      </w:r>
      <w:r w:rsidRPr="004B5D43">
        <w:rPr>
          <w:rFonts w:ascii="Verdana" w:eastAsia="Calibri" w:hAnsi="Verdana"/>
          <w:color w:val="000000"/>
          <w:sz w:val="16"/>
          <w:szCs w:val="16"/>
        </w:rPr>
        <w:t xml:space="preserve"> </w:t>
      </w:r>
      <w:r>
        <w:rPr>
          <w:rFonts w:ascii="Verdana" w:eastAsia="Calibri" w:hAnsi="Verdana"/>
          <w:color w:val="000000"/>
          <w:sz w:val="16"/>
          <w:szCs w:val="16"/>
        </w:rPr>
        <w:t>dostosowania do zmian regulacyjnych</w:t>
      </w:r>
      <w:r w:rsidRPr="00CB32E5">
        <w:rPr>
          <w:rFonts w:ascii="Verdana" w:eastAsia="Calibri" w:hAnsi="Verdana"/>
          <w:color w:val="000000"/>
          <w:sz w:val="16"/>
          <w:szCs w:val="16"/>
        </w:rPr>
        <w:t xml:space="preserve"> w zakresie dochodów JST</w:t>
      </w:r>
      <w:r>
        <w:rPr>
          <w:rFonts w:ascii="Verdana" w:eastAsia="Calibri" w:hAnsi="Verdana"/>
          <w:color w:val="000000"/>
          <w:sz w:val="16"/>
          <w:szCs w:val="16"/>
        </w:rPr>
        <w:t>,</w:t>
      </w:r>
    </w:p>
    <w:p w:rsidR="008853F1" w:rsidRPr="009040A5" w:rsidRDefault="008853F1" w:rsidP="008853F1">
      <w:pPr>
        <w:numPr>
          <w:ilvl w:val="0"/>
          <w:numId w:val="48"/>
        </w:numPr>
        <w:autoSpaceDE w:val="0"/>
        <w:autoSpaceDN w:val="0"/>
        <w:adjustRightInd w:val="0"/>
        <w:spacing w:before="60"/>
        <w:ind w:left="641" w:hanging="284"/>
        <w:jc w:val="both"/>
        <w:rPr>
          <w:rFonts w:ascii="Verdana" w:hAnsi="Verdana"/>
          <w:sz w:val="16"/>
          <w:szCs w:val="16"/>
        </w:rPr>
      </w:pPr>
      <w:r>
        <w:rPr>
          <w:rFonts w:ascii="Verdana" w:eastAsia="Calibri" w:hAnsi="Verdana"/>
          <w:color w:val="000000"/>
          <w:sz w:val="16"/>
          <w:szCs w:val="16"/>
        </w:rPr>
        <w:t xml:space="preserve">w bieżącym </w:t>
      </w:r>
      <w:r w:rsidRPr="00CB32E5">
        <w:rPr>
          <w:rFonts w:ascii="Verdana" w:eastAsia="Calibri" w:hAnsi="Verdana"/>
          <w:color w:val="000000"/>
          <w:sz w:val="16"/>
          <w:szCs w:val="16"/>
        </w:rPr>
        <w:t>działaniu – reakcji na</w:t>
      </w:r>
      <w:r>
        <w:rPr>
          <w:rFonts w:ascii="Verdana" w:eastAsia="Calibri" w:hAnsi="Verdana"/>
          <w:color w:val="000000"/>
          <w:sz w:val="16"/>
          <w:szCs w:val="16"/>
        </w:rPr>
        <w:t xml:space="preserve"> zmiany spowodowane szybko rosnącymi kosztami finansowania. </w:t>
      </w:r>
      <w:r w:rsidRPr="00383392">
        <w:rPr>
          <w:rFonts w:ascii="Verdana" w:eastAsia="Calibri" w:hAnsi="Verdana"/>
          <w:color w:val="000000"/>
          <w:sz w:val="16"/>
          <w:szCs w:val="16"/>
        </w:rPr>
        <w:t xml:space="preserve"> </w:t>
      </w:r>
    </w:p>
    <w:p w:rsidR="008853F1" w:rsidRDefault="008853F1" w:rsidP="008853F1">
      <w:pPr>
        <w:spacing w:before="120"/>
        <w:rPr>
          <w:rFonts w:ascii="Verdana" w:hAnsi="Verdana"/>
          <w:sz w:val="16"/>
          <w:szCs w:val="16"/>
        </w:rPr>
      </w:pPr>
      <w:r w:rsidRPr="00383392">
        <w:rPr>
          <w:rFonts w:ascii="Verdana" w:hAnsi="Verdana"/>
          <w:sz w:val="16"/>
          <w:szCs w:val="16"/>
        </w:rPr>
        <w:t xml:space="preserve">Biorąc pod </w:t>
      </w:r>
      <w:r w:rsidRPr="00383392">
        <w:rPr>
          <w:rFonts w:ascii="Verdana" w:hAnsi="Verdana"/>
          <w:iCs/>
          <w:sz w:val="16"/>
          <w:szCs w:val="16"/>
        </w:rPr>
        <w:t>uwagę</w:t>
      </w:r>
      <w:r w:rsidRPr="00383392">
        <w:rPr>
          <w:rFonts w:ascii="Verdana" w:hAnsi="Verdana"/>
          <w:sz w:val="16"/>
          <w:szCs w:val="16"/>
        </w:rPr>
        <w:t xml:space="preserve"> zalecenia w zakresie zarządzania długiem dla podmiotów publicznych</w:t>
      </w:r>
      <w:r>
        <w:rPr>
          <w:rFonts w:ascii="Verdana" w:hAnsi="Verdana"/>
          <w:sz w:val="16"/>
          <w:szCs w:val="16"/>
        </w:rPr>
        <w:t xml:space="preserve"> </w:t>
      </w:r>
      <w:r w:rsidRPr="00383392">
        <w:rPr>
          <w:rFonts w:ascii="Verdana" w:hAnsi="Verdana"/>
          <w:sz w:val="16"/>
          <w:szCs w:val="16"/>
        </w:rPr>
        <w:t xml:space="preserve">sformułowane zostały </w:t>
      </w:r>
      <w:r>
        <w:rPr>
          <w:rFonts w:ascii="Verdana" w:hAnsi="Verdana"/>
          <w:sz w:val="16"/>
          <w:szCs w:val="16"/>
        </w:rPr>
        <w:t xml:space="preserve">jakościowe i ilościowe </w:t>
      </w:r>
      <w:r w:rsidRPr="00383392">
        <w:rPr>
          <w:rFonts w:ascii="Verdana" w:hAnsi="Verdana"/>
          <w:sz w:val="16"/>
          <w:szCs w:val="16"/>
        </w:rPr>
        <w:t xml:space="preserve">zasady wytyczające </w:t>
      </w:r>
      <w:r>
        <w:rPr>
          <w:rFonts w:ascii="Verdana" w:hAnsi="Verdana"/>
          <w:sz w:val="16"/>
          <w:szCs w:val="16"/>
        </w:rPr>
        <w:t xml:space="preserve">ograniczenia w zakresie </w:t>
      </w:r>
      <w:r w:rsidRPr="00383392">
        <w:rPr>
          <w:rFonts w:ascii="Verdana" w:hAnsi="Verdana"/>
          <w:sz w:val="16"/>
          <w:szCs w:val="16"/>
        </w:rPr>
        <w:t>polityki długu</w:t>
      </w:r>
      <w:r>
        <w:rPr>
          <w:rFonts w:ascii="Verdana" w:hAnsi="Verdana"/>
          <w:sz w:val="16"/>
          <w:szCs w:val="16"/>
        </w:rPr>
        <w:t>, tak aby finansowanie potrzeb pożyczkowych nie generowało nadmiernego ryzyka rynkowego, płynności i operacyjnego</w:t>
      </w:r>
      <w:r w:rsidRPr="00383392">
        <w:rPr>
          <w:rFonts w:ascii="Verdana" w:hAnsi="Verdana"/>
          <w:sz w:val="16"/>
          <w:szCs w:val="16"/>
        </w:rPr>
        <w:t>:</w:t>
      </w:r>
    </w:p>
    <w:p w:rsidR="008853F1" w:rsidRPr="00383392" w:rsidRDefault="008853F1" w:rsidP="008853F1">
      <w:pPr>
        <w:numPr>
          <w:ilvl w:val="0"/>
          <w:numId w:val="37"/>
        </w:numPr>
        <w:spacing w:before="60"/>
        <w:ind w:left="641" w:hanging="284"/>
        <w:jc w:val="both"/>
        <w:rPr>
          <w:rFonts w:ascii="Verdana" w:hAnsi="Verdana"/>
          <w:sz w:val="16"/>
          <w:szCs w:val="16"/>
        </w:rPr>
      </w:pPr>
      <w:r w:rsidRPr="00383392">
        <w:rPr>
          <w:rFonts w:ascii="Verdana" w:hAnsi="Verdana"/>
          <w:b/>
          <w:sz w:val="16"/>
          <w:szCs w:val="16"/>
        </w:rPr>
        <w:t xml:space="preserve">ograniczania ryzyka stopy procentowej </w:t>
      </w:r>
      <w:r w:rsidRPr="00383392">
        <w:rPr>
          <w:rFonts w:ascii="Verdana" w:hAnsi="Verdana"/>
          <w:sz w:val="16"/>
          <w:szCs w:val="16"/>
        </w:rPr>
        <w:t xml:space="preserve">- poprzez utrzymanie udziału zadłużenia o stałym oprocentowaniu powyżej 50% w zadłużeniu ogółem, </w:t>
      </w:r>
    </w:p>
    <w:p w:rsidR="008853F1" w:rsidRPr="00383392" w:rsidRDefault="008853F1" w:rsidP="008853F1">
      <w:pPr>
        <w:numPr>
          <w:ilvl w:val="0"/>
          <w:numId w:val="37"/>
        </w:numPr>
        <w:spacing w:before="60"/>
        <w:ind w:left="641" w:hanging="284"/>
        <w:jc w:val="both"/>
        <w:rPr>
          <w:rFonts w:ascii="Verdana" w:eastAsia="MS Mincho" w:hAnsi="Verdana"/>
          <w:sz w:val="16"/>
          <w:szCs w:val="16"/>
        </w:rPr>
      </w:pPr>
      <w:r w:rsidRPr="00383392">
        <w:rPr>
          <w:rFonts w:ascii="Verdana" w:hAnsi="Verdana"/>
          <w:b/>
          <w:sz w:val="16"/>
          <w:szCs w:val="16"/>
        </w:rPr>
        <w:t xml:space="preserve">ograniczania ryzyka kursowego </w:t>
      </w:r>
      <w:r w:rsidRPr="00383392">
        <w:rPr>
          <w:rFonts w:ascii="Verdana" w:hAnsi="Verdana"/>
          <w:sz w:val="16"/>
          <w:szCs w:val="16"/>
        </w:rPr>
        <w:t xml:space="preserve">- poprzez utrzymanie udziału zadłużenia w walucie obcej poniżej 25% zadłużenia ogółem; zaciąganie długu w walucie obcej ograniczone będzie do waluty euro i tylko do przypadków uzasadnionych możliwością pozyskania finansowania o parametrach wyraźnie korzystniejszych od finansowania w walucie krajowej, </w:t>
      </w:r>
    </w:p>
    <w:p w:rsidR="008853F1" w:rsidRPr="00383392" w:rsidRDefault="008853F1" w:rsidP="008853F1">
      <w:pPr>
        <w:numPr>
          <w:ilvl w:val="0"/>
          <w:numId w:val="37"/>
        </w:numPr>
        <w:spacing w:before="60"/>
        <w:ind w:left="641" w:hanging="284"/>
        <w:jc w:val="both"/>
        <w:rPr>
          <w:rFonts w:ascii="Verdana" w:hAnsi="Verdana"/>
          <w:sz w:val="16"/>
          <w:szCs w:val="16"/>
        </w:rPr>
      </w:pPr>
      <w:r w:rsidRPr="00383392">
        <w:rPr>
          <w:rFonts w:ascii="Verdana" w:hAnsi="Verdana"/>
          <w:b/>
          <w:sz w:val="16"/>
          <w:szCs w:val="16"/>
        </w:rPr>
        <w:t xml:space="preserve">ograniczania ryzyka refinansowania - </w:t>
      </w:r>
      <w:r w:rsidRPr="00383392">
        <w:rPr>
          <w:rFonts w:ascii="Verdana" w:hAnsi="Verdana"/>
          <w:sz w:val="16"/>
          <w:szCs w:val="16"/>
        </w:rPr>
        <w:t xml:space="preserve">poprzez zapewnienie odpowiednich parametrów długu pod względem średniej zapadalności oraz równomiernego rozłożenia wykupów w kolejnych latach, </w:t>
      </w:r>
    </w:p>
    <w:p w:rsidR="008853F1" w:rsidRPr="00383392" w:rsidRDefault="008853F1" w:rsidP="008853F1">
      <w:pPr>
        <w:numPr>
          <w:ilvl w:val="0"/>
          <w:numId w:val="37"/>
        </w:numPr>
        <w:spacing w:before="60"/>
        <w:ind w:left="641" w:hanging="284"/>
        <w:jc w:val="both"/>
        <w:rPr>
          <w:rFonts w:ascii="Verdana" w:eastAsia="MS Mincho" w:hAnsi="Verdana"/>
          <w:sz w:val="16"/>
          <w:szCs w:val="16"/>
        </w:rPr>
      </w:pPr>
      <w:r w:rsidRPr="00383392">
        <w:rPr>
          <w:rFonts w:ascii="Verdana" w:eastAsia="MS Mincho" w:hAnsi="Verdana"/>
          <w:b/>
          <w:sz w:val="16"/>
          <w:szCs w:val="16"/>
        </w:rPr>
        <w:t>ograniczania ryzyka utraty płynności budżetu</w:t>
      </w:r>
      <w:r w:rsidRPr="00383392">
        <w:rPr>
          <w:rFonts w:ascii="Verdana" w:eastAsia="MS Mincho" w:hAnsi="Verdana"/>
          <w:sz w:val="16"/>
          <w:szCs w:val="16"/>
        </w:rPr>
        <w:t xml:space="preserve"> (zdolności do regulowania bieżących zobowiązań oraz terminowej realizacji wydatków budżetowych) - poprzez bieżące zarządzanie i kontrolę strumieni wydatków, ustalanie odpowiedniego, optymalnego stanu płynnych rezerw na najbliższe okresy planistyczne oraz zagwarantowanie stałego dostępu do standardowych instrumentów pozyskiwania środków w razie potrzeby dodatkowej płynności,</w:t>
      </w:r>
    </w:p>
    <w:p w:rsidR="008853F1" w:rsidRPr="00383392" w:rsidRDefault="008853F1" w:rsidP="008853F1">
      <w:pPr>
        <w:numPr>
          <w:ilvl w:val="0"/>
          <w:numId w:val="37"/>
        </w:numPr>
        <w:spacing w:before="60"/>
        <w:ind w:left="641" w:hanging="284"/>
        <w:jc w:val="both"/>
        <w:rPr>
          <w:rFonts w:ascii="Verdana" w:eastAsia="MS Mincho" w:hAnsi="Verdana"/>
          <w:sz w:val="16"/>
          <w:szCs w:val="16"/>
        </w:rPr>
      </w:pPr>
      <w:r w:rsidRPr="00383392">
        <w:rPr>
          <w:rFonts w:ascii="Verdana" w:eastAsia="MS Mincho" w:hAnsi="Verdana"/>
          <w:b/>
          <w:sz w:val="16"/>
          <w:szCs w:val="16"/>
        </w:rPr>
        <w:t>ograniczenia ryzyka operacyjnego</w:t>
      </w:r>
      <w:r w:rsidRPr="00383392">
        <w:rPr>
          <w:rFonts w:ascii="Verdana" w:eastAsia="MS Mincho" w:hAnsi="Verdana"/>
          <w:sz w:val="16"/>
          <w:szCs w:val="16"/>
        </w:rPr>
        <w:t xml:space="preserve"> - poprzez stosowanie procedur, nadzór i monitoring,</w:t>
      </w:r>
    </w:p>
    <w:p w:rsidR="008853F1" w:rsidRPr="00B66D72" w:rsidRDefault="008853F1" w:rsidP="008853F1">
      <w:pPr>
        <w:numPr>
          <w:ilvl w:val="0"/>
          <w:numId w:val="37"/>
        </w:numPr>
        <w:spacing w:before="60"/>
        <w:ind w:left="641" w:hanging="284"/>
        <w:jc w:val="both"/>
        <w:rPr>
          <w:rFonts w:ascii="Verdana" w:eastAsia="MS Mincho" w:hAnsi="Verdana"/>
          <w:sz w:val="16"/>
          <w:szCs w:val="16"/>
        </w:rPr>
      </w:pPr>
      <w:r w:rsidRPr="00383392">
        <w:rPr>
          <w:rFonts w:ascii="Verdana" w:eastAsia="MS Mincho" w:hAnsi="Verdana"/>
          <w:b/>
          <w:sz w:val="16"/>
          <w:szCs w:val="16"/>
        </w:rPr>
        <w:t>ograniczenia ryzyka prawnego</w:t>
      </w:r>
      <w:r w:rsidRPr="00383392">
        <w:rPr>
          <w:rFonts w:ascii="Verdana" w:eastAsia="MS Mincho" w:hAnsi="Verdana"/>
          <w:sz w:val="16"/>
          <w:szCs w:val="16"/>
        </w:rPr>
        <w:t xml:space="preserve"> - </w:t>
      </w:r>
      <w:r w:rsidRPr="00B66D72">
        <w:rPr>
          <w:rFonts w:ascii="Verdana" w:eastAsia="MS Mincho" w:hAnsi="Verdana"/>
          <w:sz w:val="16"/>
          <w:szCs w:val="16"/>
        </w:rPr>
        <w:t xml:space="preserve">poprzez </w:t>
      </w:r>
      <w:r w:rsidRPr="00B90C3B">
        <w:rPr>
          <w:rFonts w:ascii="Verdana" w:eastAsia="MS Mincho" w:hAnsi="Verdana"/>
          <w:sz w:val="16"/>
          <w:szCs w:val="16"/>
        </w:rPr>
        <w:t>utrzymanie</w:t>
      </w:r>
      <w:r w:rsidRPr="00B66D72">
        <w:rPr>
          <w:rFonts w:ascii="Verdana" w:eastAsia="MS Mincho" w:hAnsi="Verdana"/>
          <w:sz w:val="16"/>
          <w:szCs w:val="16"/>
        </w:rPr>
        <w:t xml:space="preserve"> w średniej perspektywie odpowiedniej rezerwy wskaźnikowej określonej w art. 242 i 243 </w:t>
      </w:r>
      <w:r w:rsidRPr="00B66D72">
        <w:rPr>
          <w:rFonts w:ascii="Verdana" w:eastAsia="MS Mincho" w:hAnsi="Verdana"/>
          <w:iCs/>
          <w:sz w:val="16"/>
          <w:szCs w:val="16"/>
        </w:rPr>
        <w:t>ustawy o finansach publicznych</w:t>
      </w:r>
      <w:r w:rsidRPr="00B66D72" w:rsidDel="008A7E2E">
        <w:rPr>
          <w:rFonts w:ascii="Verdana" w:eastAsia="MS Mincho" w:hAnsi="Verdana"/>
          <w:sz w:val="16"/>
          <w:szCs w:val="16"/>
        </w:rPr>
        <w:t xml:space="preserve"> </w:t>
      </w:r>
      <w:r w:rsidRPr="00B66D72">
        <w:rPr>
          <w:rFonts w:ascii="Verdana" w:eastAsia="MS Mincho" w:hAnsi="Verdana"/>
          <w:sz w:val="16"/>
          <w:szCs w:val="16"/>
        </w:rPr>
        <w:t>oraz optymalny dobór instrumentów dłużnych.</w:t>
      </w:r>
    </w:p>
    <w:p w:rsidR="00FC2B53" w:rsidRDefault="008853F1" w:rsidP="008853F1">
      <w:pPr>
        <w:spacing w:before="120"/>
        <w:rPr>
          <w:rFonts w:ascii="Verdana" w:hAnsi="Verdana"/>
          <w:sz w:val="16"/>
          <w:szCs w:val="16"/>
        </w:rPr>
      </w:pPr>
      <w:r>
        <w:rPr>
          <w:rFonts w:ascii="Verdana" w:hAnsi="Verdana"/>
          <w:sz w:val="16"/>
          <w:szCs w:val="16"/>
        </w:rPr>
        <w:t xml:space="preserve">Zdefiniowanie ograniczeń stosowanych przy zaciąganiu zobowiązań oraz uwzględnienie </w:t>
      </w:r>
      <w:r w:rsidRPr="00383392">
        <w:rPr>
          <w:rFonts w:ascii="Verdana" w:hAnsi="Verdana"/>
          <w:sz w:val="16"/>
          <w:szCs w:val="16"/>
        </w:rPr>
        <w:t>regulacj</w:t>
      </w:r>
      <w:r>
        <w:rPr>
          <w:rFonts w:ascii="Verdana" w:hAnsi="Verdana"/>
          <w:sz w:val="16"/>
          <w:szCs w:val="16"/>
        </w:rPr>
        <w:t>i</w:t>
      </w:r>
      <w:r w:rsidRPr="00383392">
        <w:rPr>
          <w:rFonts w:ascii="Verdana" w:hAnsi="Verdana"/>
          <w:sz w:val="16"/>
          <w:szCs w:val="16"/>
        </w:rPr>
        <w:t xml:space="preserve"> ustawow</w:t>
      </w:r>
      <w:r>
        <w:rPr>
          <w:rFonts w:ascii="Verdana" w:hAnsi="Verdana"/>
          <w:sz w:val="16"/>
          <w:szCs w:val="16"/>
        </w:rPr>
        <w:t>ych</w:t>
      </w:r>
      <w:r w:rsidRPr="00383392">
        <w:rPr>
          <w:rFonts w:ascii="Verdana" w:hAnsi="Verdana"/>
          <w:sz w:val="16"/>
          <w:szCs w:val="16"/>
        </w:rPr>
        <w:t xml:space="preserve"> związan</w:t>
      </w:r>
      <w:r>
        <w:rPr>
          <w:rFonts w:ascii="Verdana" w:hAnsi="Verdana"/>
          <w:sz w:val="16"/>
          <w:szCs w:val="16"/>
        </w:rPr>
        <w:t>ych</w:t>
      </w:r>
      <w:r w:rsidRPr="00383392">
        <w:rPr>
          <w:rFonts w:ascii="Verdana" w:hAnsi="Verdana"/>
          <w:sz w:val="16"/>
          <w:szCs w:val="16"/>
        </w:rPr>
        <w:t xml:space="preserve"> z limitami </w:t>
      </w:r>
      <w:r>
        <w:rPr>
          <w:rFonts w:ascii="Verdana" w:hAnsi="Verdana"/>
          <w:sz w:val="16"/>
          <w:szCs w:val="16"/>
        </w:rPr>
        <w:t xml:space="preserve">obsługi długu i </w:t>
      </w:r>
      <w:r w:rsidRPr="00383392">
        <w:rPr>
          <w:rFonts w:ascii="Verdana" w:hAnsi="Verdana"/>
          <w:sz w:val="16"/>
          <w:szCs w:val="16"/>
        </w:rPr>
        <w:t>przede wszystkim sytuacj</w:t>
      </w:r>
      <w:r>
        <w:rPr>
          <w:rFonts w:ascii="Verdana" w:hAnsi="Verdana"/>
          <w:sz w:val="16"/>
          <w:szCs w:val="16"/>
        </w:rPr>
        <w:t>i</w:t>
      </w:r>
      <w:r w:rsidRPr="00383392">
        <w:rPr>
          <w:rFonts w:ascii="Verdana" w:hAnsi="Verdana"/>
          <w:sz w:val="16"/>
          <w:szCs w:val="16"/>
        </w:rPr>
        <w:t xml:space="preserve"> finansow</w:t>
      </w:r>
      <w:r>
        <w:rPr>
          <w:rFonts w:ascii="Verdana" w:hAnsi="Verdana"/>
          <w:sz w:val="16"/>
          <w:szCs w:val="16"/>
        </w:rPr>
        <w:t>ej</w:t>
      </w:r>
      <w:r w:rsidRPr="00383392">
        <w:rPr>
          <w:rFonts w:ascii="Verdana" w:hAnsi="Verdana"/>
          <w:sz w:val="16"/>
          <w:szCs w:val="16"/>
        </w:rPr>
        <w:t xml:space="preserve"> Miasta, </w:t>
      </w:r>
      <w:r>
        <w:rPr>
          <w:rFonts w:ascii="Verdana" w:hAnsi="Verdana"/>
          <w:sz w:val="16"/>
          <w:szCs w:val="16"/>
        </w:rPr>
        <w:t xml:space="preserve">przełożone zostało na sformułowanie </w:t>
      </w:r>
      <w:r w:rsidRPr="00383392">
        <w:rPr>
          <w:rFonts w:ascii="Verdana" w:hAnsi="Verdana"/>
          <w:sz w:val="16"/>
          <w:szCs w:val="16"/>
        </w:rPr>
        <w:t>cel</w:t>
      </w:r>
      <w:r>
        <w:rPr>
          <w:rFonts w:ascii="Verdana" w:hAnsi="Verdana"/>
          <w:sz w:val="16"/>
          <w:szCs w:val="16"/>
        </w:rPr>
        <w:t>ów</w:t>
      </w:r>
      <w:r w:rsidRPr="00383392">
        <w:rPr>
          <w:rFonts w:ascii="Verdana" w:hAnsi="Verdana"/>
          <w:sz w:val="16"/>
          <w:szCs w:val="16"/>
        </w:rPr>
        <w:t xml:space="preserve"> polityki długu</w:t>
      </w:r>
      <w:r>
        <w:rPr>
          <w:rFonts w:ascii="Verdana" w:hAnsi="Verdana"/>
          <w:sz w:val="16"/>
          <w:szCs w:val="16"/>
        </w:rPr>
        <w:t>.</w:t>
      </w:r>
      <w:r w:rsidR="00FC2B53">
        <w:rPr>
          <w:rFonts w:ascii="Verdana" w:hAnsi="Verdana"/>
          <w:sz w:val="16"/>
          <w:szCs w:val="16"/>
        </w:rPr>
        <w:br w:type="page"/>
      </w:r>
    </w:p>
    <w:p w:rsidR="008853F1" w:rsidRPr="00455692" w:rsidRDefault="00FC2B53" w:rsidP="008853F1">
      <w:pPr>
        <w:spacing w:before="120"/>
        <w:rPr>
          <w:rFonts w:ascii="Verdana" w:hAnsi="Verdana"/>
          <w:b/>
          <w:sz w:val="16"/>
          <w:szCs w:val="16"/>
        </w:rPr>
      </w:pPr>
      <w:r>
        <w:rPr>
          <w:rFonts w:ascii="Verdana" w:hAnsi="Verdana"/>
          <w:noProof/>
          <w:sz w:val="16"/>
          <w:szCs w:val="16"/>
        </w:rPr>
        <w:lastRenderedPageBreak/>
        <mc:AlternateContent>
          <mc:Choice Requires="wps">
            <w:drawing>
              <wp:anchor distT="0" distB="0" distL="114300" distR="114300" simplePos="0" relativeHeight="251715584" behindDoc="0" locked="0" layoutInCell="1" allowOverlap="1" wp14:anchorId="3B4386EA" wp14:editId="289B927B">
                <wp:simplePos x="0" y="0"/>
                <wp:positionH relativeFrom="column">
                  <wp:posOffset>5715</wp:posOffset>
                </wp:positionH>
                <wp:positionV relativeFrom="paragraph">
                  <wp:posOffset>153035</wp:posOffset>
                </wp:positionV>
                <wp:extent cx="5861538" cy="2985477"/>
                <wp:effectExtent l="0" t="0" r="25400" b="24765"/>
                <wp:wrapNone/>
                <wp:docPr id="101" name="Prostokąt 101"/>
                <wp:cNvGraphicFramePr/>
                <a:graphic xmlns:a="http://schemas.openxmlformats.org/drawingml/2006/main">
                  <a:graphicData uri="http://schemas.microsoft.com/office/word/2010/wordprocessingShape">
                    <wps:wsp>
                      <wps:cNvSpPr/>
                      <wps:spPr>
                        <a:xfrm>
                          <a:off x="0" y="0"/>
                          <a:ext cx="5861538" cy="2985477"/>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BE76F" id="Prostokąt 101" o:spid="_x0000_s1026" style="position:absolute;margin-left:.45pt;margin-top:12.05pt;width:461.55pt;height:235.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" filled="f" strokecolor="black [3213]" strokeweight="1.75pt"/>
            </w:pict>
          </mc:Fallback>
        </mc:AlternateContent>
      </w:r>
      <w:r w:rsidR="008853F1" w:rsidRPr="00455692">
        <w:rPr>
          <w:rFonts w:ascii="Verdana" w:hAnsi="Verdana"/>
          <w:b/>
          <w:sz w:val="16"/>
          <w:szCs w:val="16"/>
        </w:rPr>
        <w:t>Cele polityki długu</w:t>
      </w:r>
      <w:r w:rsidR="008853F1">
        <w:rPr>
          <w:rFonts w:ascii="Verdana" w:hAnsi="Verdana"/>
          <w:b/>
          <w:sz w:val="16"/>
          <w:szCs w:val="16"/>
        </w:rPr>
        <w:t>:</w:t>
      </w:r>
    </w:p>
    <w:p w:rsidR="008853F1" w:rsidRPr="00E841E9" w:rsidRDefault="008853F1" w:rsidP="008853F1">
      <w:pPr>
        <w:numPr>
          <w:ilvl w:val="0"/>
          <w:numId w:val="40"/>
        </w:numPr>
        <w:spacing w:before="120"/>
        <w:ind w:left="641" w:hanging="284"/>
        <w:jc w:val="both"/>
        <w:rPr>
          <w:rFonts w:ascii="Verdana" w:hAnsi="Verdana"/>
          <w:b/>
          <w:sz w:val="16"/>
          <w:szCs w:val="16"/>
        </w:rPr>
      </w:pPr>
      <w:r>
        <w:rPr>
          <w:rFonts w:ascii="Verdana" w:hAnsi="Verdana"/>
          <w:b/>
          <w:sz w:val="16"/>
          <w:szCs w:val="16"/>
        </w:rPr>
        <w:t xml:space="preserve">Utrzymywanie relacji </w:t>
      </w:r>
      <w:r w:rsidRPr="00383392">
        <w:rPr>
          <w:rFonts w:ascii="Verdana" w:hAnsi="Verdana"/>
          <w:b/>
          <w:sz w:val="16"/>
          <w:szCs w:val="16"/>
        </w:rPr>
        <w:t xml:space="preserve">długu </w:t>
      </w:r>
      <w:r>
        <w:rPr>
          <w:rFonts w:ascii="Verdana" w:hAnsi="Verdana"/>
          <w:b/>
          <w:sz w:val="16"/>
          <w:szCs w:val="16"/>
        </w:rPr>
        <w:t xml:space="preserve">do dochodów ogółem poniżej </w:t>
      </w:r>
      <w:r w:rsidRPr="00AD6B78">
        <w:rPr>
          <w:rFonts w:ascii="Verdana" w:hAnsi="Verdana"/>
          <w:b/>
          <w:sz w:val="16"/>
          <w:szCs w:val="16"/>
        </w:rPr>
        <w:t>55%</w:t>
      </w:r>
      <w:r>
        <w:rPr>
          <w:rFonts w:ascii="Verdana" w:hAnsi="Verdana"/>
          <w:b/>
          <w:sz w:val="16"/>
          <w:szCs w:val="16"/>
        </w:rPr>
        <w:t xml:space="preserve"> </w:t>
      </w:r>
      <w:r w:rsidRPr="00E841E9">
        <w:rPr>
          <w:rFonts w:ascii="Verdana" w:hAnsi="Verdana"/>
          <w:sz w:val="16"/>
          <w:szCs w:val="16"/>
        </w:rPr>
        <w:t>- z możliwością okresowych odchyleń w sytuacjach wystąpienia zewnętrznych okoliczności nadzwyczajnych.</w:t>
      </w:r>
    </w:p>
    <w:p w:rsidR="008853F1" w:rsidRDefault="008853F1" w:rsidP="008853F1">
      <w:pPr>
        <w:numPr>
          <w:ilvl w:val="0"/>
          <w:numId w:val="40"/>
        </w:numPr>
        <w:spacing w:before="120"/>
        <w:ind w:left="641" w:hanging="284"/>
        <w:jc w:val="both"/>
        <w:rPr>
          <w:rFonts w:ascii="Verdana" w:hAnsi="Verdana"/>
          <w:b/>
          <w:sz w:val="16"/>
          <w:szCs w:val="16"/>
        </w:rPr>
      </w:pPr>
      <w:r>
        <w:rPr>
          <w:rFonts w:ascii="Verdana" w:hAnsi="Verdana"/>
          <w:b/>
          <w:sz w:val="16"/>
          <w:szCs w:val="16"/>
        </w:rPr>
        <w:t xml:space="preserve">Kształtowanie struktury terminowej </w:t>
      </w:r>
      <w:r w:rsidRPr="00E841E9">
        <w:rPr>
          <w:rFonts w:ascii="Verdana" w:hAnsi="Verdana"/>
          <w:b/>
          <w:sz w:val="16"/>
          <w:szCs w:val="16"/>
        </w:rPr>
        <w:t>obsługi zadłużenia</w:t>
      </w:r>
      <w:r w:rsidRPr="00383392">
        <w:rPr>
          <w:rFonts w:ascii="Verdana" w:hAnsi="Verdana"/>
          <w:sz w:val="16"/>
          <w:szCs w:val="16"/>
        </w:rPr>
        <w:t xml:space="preserve"> (kapitał i odsetki)</w:t>
      </w:r>
      <w:r>
        <w:rPr>
          <w:rFonts w:ascii="Verdana" w:hAnsi="Verdana"/>
          <w:sz w:val="16"/>
          <w:szCs w:val="16"/>
        </w:rPr>
        <w:t xml:space="preserve"> – adekwatnej do limitu </w:t>
      </w:r>
      <w:r w:rsidRPr="00383392">
        <w:rPr>
          <w:rFonts w:ascii="Verdana" w:hAnsi="Verdana"/>
          <w:sz w:val="16"/>
          <w:szCs w:val="16"/>
        </w:rPr>
        <w:t>indywidualn</w:t>
      </w:r>
      <w:r>
        <w:rPr>
          <w:rFonts w:ascii="Verdana" w:hAnsi="Verdana"/>
          <w:sz w:val="16"/>
          <w:szCs w:val="16"/>
        </w:rPr>
        <w:t>ego</w:t>
      </w:r>
      <w:r w:rsidRPr="00383392">
        <w:rPr>
          <w:rFonts w:ascii="Verdana" w:hAnsi="Verdana"/>
          <w:sz w:val="16"/>
          <w:szCs w:val="16"/>
        </w:rPr>
        <w:t xml:space="preserve"> wskaźnik</w:t>
      </w:r>
      <w:r>
        <w:rPr>
          <w:rFonts w:ascii="Verdana" w:hAnsi="Verdana"/>
          <w:sz w:val="16"/>
          <w:szCs w:val="16"/>
        </w:rPr>
        <w:t>a</w:t>
      </w:r>
      <w:r w:rsidRPr="00383392">
        <w:rPr>
          <w:rFonts w:ascii="Verdana" w:hAnsi="Verdana"/>
          <w:sz w:val="16"/>
          <w:szCs w:val="16"/>
        </w:rPr>
        <w:t xml:space="preserve"> obsługi długu</w:t>
      </w:r>
      <w:r>
        <w:rPr>
          <w:rFonts w:ascii="Verdana" w:hAnsi="Verdana"/>
          <w:sz w:val="16"/>
          <w:szCs w:val="16"/>
        </w:rPr>
        <w:t xml:space="preserve"> (</w:t>
      </w:r>
      <w:r w:rsidRPr="00383392">
        <w:rPr>
          <w:rFonts w:ascii="Verdana" w:hAnsi="Verdana"/>
          <w:sz w:val="16"/>
          <w:szCs w:val="16"/>
        </w:rPr>
        <w:t>wynikając</w:t>
      </w:r>
      <w:r>
        <w:rPr>
          <w:rFonts w:ascii="Verdana" w:hAnsi="Verdana"/>
          <w:sz w:val="16"/>
          <w:szCs w:val="16"/>
        </w:rPr>
        <w:t>ego</w:t>
      </w:r>
      <w:r w:rsidRPr="00383392">
        <w:rPr>
          <w:rFonts w:ascii="Verdana" w:hAnsi="Verdana"/>
          <w:sz w:val="16"/>
          <w:szCs w:val="16"/>
        </w:rPr>
        <w:t xml:space="preserve"> z art. 243 ustawy o finansach publicznych</w:t>
      </w:r>
      <w:r>
        <w:rPr>
          <w:rFonts w:ascii="Verdana" w:hAnsi="Verdana"/>
          <w:sz w:val="16"/>
          <w:szCs w:val="16"/>
        </w:rPr>
        <w:t>).</w:t>
      </w:r>
    </w:p>
    <w:p w:rsidR="008853F1" w:rsidRPr="00383392" w:rsidRDefault="008853F1" w:rsidP="008853F1">
      <w:pPr>
        <w:numPr>
          <w:ilvl w:val="0"/>
          <w:numId w:val="40"/>
        </w:numPr>
        <w:spacing w:before="120"/>
        <w:ind w:left="641" w:hanging="284"/>
        <w:jc w:val="both"/>
        <w:rPr>
          <w:rFonts w:ascii="Verdana" w:hAnsi="Verdana"/>
          <w:b/>
          <w:sz w:val="16"/>
          <w:szCs w:val="16"/>
        </w:rPr>
      </w:pPr>
      <w:r>
        <w:rPr>
          <w:rFonts w:ascii="Verdana" w:hAnsi="Verdana"/>
          <w:b/>
          <w:sz w:val="16"/>
          <w:szCs w:val="16"/>
        </w:rPr>
        <w:t>M</w:t>
      </w:r>
      <w:r w:rsidRPr="00383392">
        <w:rPr>
          <w:rFonts w:ascii="Verdana" w:hAnsi="Verdana"/>
          <w:b/>
          <w:sz w:val="16"/>
          <w:szCs w:val="16"/>
        </w:rPr>
        <w:t>inim</w:t>
      </w:r>
      <w:r>
        <w:rPr>
          <w:rFonts w:ascii="Verdana" w:hAnsi="Verdana"/>
          <w:b/>
          <w:sz w:val="16"/>
          <w:szCs w:val="16"/>
        </w:rPr>
        <w:t>alizowanie</w:t>
      </w:r>
      <w:r w:rsidRPr="00383392">
        <w:rPr>
          <w:rFonts w:ascii="Verdana" w:hAnsi="Verdana"/>
          <w:b/>
          <w:sz w:val="16"/>
          <w:szCs w:val="16"/>
        </w:rPr>
        <w:t xml:space="preserve"> kosztów obsługi długu w długim okresie</w:t>
      </w:r>
      <w:r w:rsidRPr="00383392">
        <w:rPr>
          <w:rFonts w:ascii="Verdana" w:hAnsi="Verdana"/>
          <w:sz w:val="16"/>
          <w:szCs w:val="16"/>
        </w:rPr>
        <w:t xml:space="preserve"> - poprzez optymalny dobór instrumentów zarządzania długiem, jego struktury i terminów emisji</w:t>
      </w:r>
      <w:r>
        <w:rPr>
          <w:rFonts w:ascii="Verdana" w:hAnsi="Verdana"/>
          <w:sz w:val="16"/>
          <w:szCs w:val="16"/>
        </w:rPr>
        <w:t>.</w:t>
      </w:r>
    </w:p>
    <w:p w:rsidR="008853F1" w:rsidRPr="00E841E9" w:rsidRDefault="008853F1" w:rsidP="008853F1">
      <w:pPr>
        <w:numPr>
          <w:ilvl w:val="0"/>
          <w:numId w:val="40"/>
        </w:numPr>
        <w:spacing w:before="120"/>
        <w:ind w:left="641" w:hanging="284"/>
        <w:jc w:val="both"/>
        <w:rPr>
          <w:rFonts w:ascii="Verdana" w:hAnsi="Verdana"/>
          <w:sz w:val="16"/>
          <w:szCs w:val="16"/>
        </w:rPr>
      </w:pPr>
      <w:r>
        <w:rPr>
          <w:rFonts w:ascii="Verdana" w:hAnsi="Verdana"/>
          <w:b/>
          <w:sz w:val="16"/>
          <w:szCs w:val="16"/>
        </w:rPr>
        <w:t>Utrzymywanie z</w:t>
      </w:r>
      <w:r w:rsidRPr="00383392">
        <w:rPr>
          <w:rFonts w:ascii="Verdana" w:hAnsi="Verdana"/>
          <w:b/>
          <w:sz w:val="16"/>
          <w:szCs w:val="16"/>
        </w:rPr>
        <w:t>adłużeni</w:t>
      </w:r>
      <w:r>
        <w:rPr>
          <w:rFonts w:ascii="Verdana" w:hAnsi="Verdana"/>
          <w:b/>
          <w:sz w:val="16"/>
          <w:szCs w:val="16"/>
        </w:rPr>
        <w:t>a</w:t>
      </w:r>
      <w:r w:rsidRPr="00383392">
        <w:rPr>
          <w:rFonts w:ascii="Verdana" w:hAnsi="Verdana"/>
          <w:b/>
          <w:sz w:val="16"/>
          <w:szCs w:val="16"/>
        </w:rPr>
        <w:t xml:space="preserve"> w walucie obcej </w:t>
      </w:r>
      <w:r>
        <w:rPr>
          <w:rFonts w:ascii="Verdana" w:hAnsi="Verdana"/>
          <w:b/>
          <w:sz w:val="16"/>
          <w:szCs w:val="16"/>
        </w:rPr>
        <w:t>poniżej</w:t>
      </w:r>
      <w:r w:rsidRPr="00383392">
        <w:rPr>
          <w:rFonts w:ascii="Verdana" w:hAnsi="Verdana"/>
          <w:b/>
          <w:sz w:val="16"/>
          <w:szCs w:val="16"/>
        </w:rPr>
        <w:t xml:space="preserve"> poziomu 25% całego zadłużenia </w:t>
      </w:r>
      <w:r w:rsidRPr="00E841E9">
        <w:rPr>
          <w:rFonts w:ascii="Verdana" w:hAnsi="Verdana"/>
          <w:sz w:val="16"/>
          <w:szCs w:val="16"/>
        </w:rPr>
        <w:t xml:space="preserve">- stosowane tylko w przypadkach uzasadnionych i dokonywane tylko w euro. </w:t>
      </w:r>
    </w:p>
    <w:p w:rsidR="008853F1" w:rsidRPr="00383392" w:rsidRDefault="008853F1" w:rsidP="008853F1">
      <w:pPr>
        <w:numPr>
          <w:ilvl w:val="0"/>
          <w:numId w:val="40"/>
        </w:numPr>
        <w:spacing w:before="120"/>
        <w:ind w:left="641" w:hanging="284"/>
        <w:jc w:val="both"/>
        <w:rPr>
          <w:rFonts w:ascii="Verdana" w:hAnsi="Verdana"/>
          <w:b/>
          <w:sz w:val="16"/>
          <w:szCs w:val="16"/>
        </w:rPr>
      </w:pPr>
      <w:r>
        <w:rPr>
          <w:rFonts w:ascii="Verdana" w:hAnsi="Verdana"/>
          <w:b/>
          <w:sz w:val="16"/>
          <w:szCs w:val="16"/>
        </w:rPr>
        <w:t>Utrzymywanie z</w:t>
      </w:r>
      <w:r w:rsidRPr="00383392">
        <w:rPr>
          <w:rFonts w:ascii="Verdana" w:hAnsi="Verdana"/>
          <w:b/>
          <w:sz w:val="16"/>
          <w:szCs w:val="16"/>
        </w:rPr>
        <w:t>adłużenia o</w:t>
      </w:r>
      <w:r>
        <w:rPr>
          <w:rFonts w:ascii="Verdana" w:hAnsi="Verdana"/>
          <w:b/>
          <w:sz w:val="16"/>
          <w:szCs w:val="16"/>
        </w:rPr>
        <w:t xml:space="preserve"> </w:t>
      </w:r>
      <w:r w:rsidRPr="00383392">
        <w:rPr>
          <w:rFonts w:ascii="Verdana" w:hAnsi="Verdana"/>
          <w:b/>
          <w:sz w:val="16"/>
          <w:szCs w:val="16"/>
        </w:rPr>
        <w:t>stał</w:t>
      </w:r>
      <w:r>
        <w:rPr>
          <w:rFonts w:ascii="Verdana" w:hAnsi="Verdana"/>
          <w:b/>
          <w:sz w:val="16"/>
          <w:szCs w:val="16"/>
        </w:rPr>
        <w:t>ym o</w:t>
      </w:r>
      <w:r w:rsidRPr="00383392">
        <w:rPr>
          <w:rFonts w:ascii="Verdana" w:hAnsi="Verdana"/>
          <w:b/>
          <w:sz w:val="16"/>
          <w:szCs w:val="16"/>
        </w:rPr>
        <w:t>procentow</w:t>
      </w:r>
      <w:r>
        <w:rPr>
          <w:rFonts w:ascii="Verdana" w:hAnsi="Verdana"/>
          <w:b/>
          <w:sz w:val="16"/>
          <w:szCs w:val="16"/>
        </w:rPr>
        <w:t>aniu na poziomie nie mniejszym niż 50% całego zadłużenia</w:t>
      </w:r>
      <w:r w:rsidRPr="00383392">
        <w:rPr>
          <w:rFonts w:ascii="Verdana" w:hAnsi="Verdana"/>
          <w:b/>
          <w:sz w:val="16"/>
          <w:szCs w:val="16"/>
        </w:rPr>
        <w:t>.</w:t>
      </w:r>
    </w:p>
    <w:p w:rsidR="008853F1" w:rsidRPr="00E841E9" w:rsidRDefault="008853F1" w:rsidP="008853F1">
      <w:pPr>
        <w:numPr>
          <w:ilvl w:val="0"/>
          <w:numId w:val="40"/>
        </w:numPr>
        <w:spacing w:before="120"/>
        <w:ind w:left="641" w:hanging="284"/>
        <w:jc w:val="both"/>
        <w:rPr>
          <w:rFonts w:ascii="Verdana" w:hAnsi="Verdana"/>
          <w:sz w:val="16"/>
          <w:szCs w:val="16"/>
        </w:rPr>
      </w:pPr>
      <w:r>
        <w:rPr>
          <w:rFonts w:ascii="Verdana" w:hAnsi="Verdana"/>
          <w:b/>
          <w:sz w:val="16"/>
          <w:szCs w:val="16"/>
        </w:rPr>
        <w:t xml:space="preserve">Utrzymywanie możliwości dywersyfikacji </w:t>
      </w:r>
      <w:r w:rsidRPr="00383392">
        <w:rPr>
          <w:rFonts w:ascii="Verdana" w:hAnsi="Verdana"/>
          <w:b/>
          <w:sz w:val="16"/>
          <w:szCs w:val="16"/>
        </w:rPr>
        <w:t>portfel</w:t>
      </w:r>
      <w:r>
        <w:rPr>
          <w:rFonts w:ascii="Verdana" w:hAnsi="Verdana"/>
          <w:b/>
          <w:sz w:val="16"/>
          <w:szCs w:val="16"/>
        </w:rPr>
        <w:t>a</w:t>
      </w:r>
      <w:r w:rsidRPr="00383392">
        <w:rPr>
          <w:rFonts w:ascii="Verdana" w:hAnsi="Verdana"/>
          <w:b/>
          <w:sz w:val="16"/>
          <w:szCs w:val="16"/>
        </w:rPr>
        <w:t xml:space="preserve"> długu </w:t>
      </w:r>
      <w:r w:rsidRPr="00E841E9">
        <w:rPr>
          <w:rFonts w:ascii="Verdana" w:hAnsi="Verdana"/>
          <w:sz w:val="16"/>
          <w:szCs w:val="16"/>
        </w:rPr>
        <w:t>- w oparciu o kredyty i obligacje uzupełniane preferencyjnymi pożyczkami.</w:t>
      </w:r>
    </w:p>
    <w:p w:rsidR="008853F1" w:rsidRPr="00383392" w:rsidRDefault="008853F1" w:rsidP="008853F1">
      <w:pPr>
        <w:numPr>
          <w:ilvl w:val="0"/>
          <w:numId w:val="40"/>
        </w:numPr>
        <w:spacing w:before="120"/>
        <w:ind w:left="641" w:hanging="284"/>
        <w:jc w:val="both"/>
        <w:rPr>
          <w:rFonts w:ascii="Verdana" w:hAnsi="Verdana"/>
          <w:b/>
          <w:sz w:val="16"/>
          <w:szCs w:val="16"/>
        </w:rPr>
      </w:pPr>
      <w:r w:rsidRPr="00383392">
        <w:rPr>
          <w:rFonts w:ascii="Verdana" w:hAnsi="Verdana"/>
          <w:b/>
          <w:sz w:val="16"/>
          <w:szCs w:val="16"/>
        </w:rPr>
        <w:t>Utrzymywanie adekwatnego do ryzyka poziomu rezerw.</w:t>
      </w:r>
    </w:p>
    <w:p w:rsidR="008853F1" w:rsidRPr="00383392" w:rsidRDefault="008853F1" w:rsidP="008853F1">
      <w:pPr>
        <w:spacing w:before="120"/>
        <w:jc w:val="both"/>
        <w:rPr>
          <w:sz w:val="16"/>
          <w:szCs w:val="16"/>
        </w:rPr>
      </w:pPr>
      <w:r w:rsidRPr="00383392">
        <w:rPr>
          <w:rFonts w:ascii="Verdana" w:hAnsi="Verdana"/>
          <w:sz w:val="16"/>
          <w:szCs w:val="16"/>
        </w:rPr>
        <w:t xml:space="preserve">W długookresowych projekcjach, uwzględniając zewnętrzne uwarunkowania związane między innymi </w:t>
      </w:r>
      <w:r w:rsidRPr="00383392">
        <w:rPr>
          <w:rFonts w:ascii="Verdana" w:hAnsi="Verdana"/>
          <w:sz w:val="16"/>
          <w:szCs w:val="16"/>
        </w:rPr>
        <w:br/>
        <w:t>z wahaniami koniunktury, Wieloletnia Prognoza Finansowa zapewnia utrzymywan</w:t>
      </w:r>
      <w:r>
        <w:rPr>
          <w:rFonts w:ascii="Verdana" w:hAnsi="Verdana"/>
          <w:sz w:val="16"/>
          <w:szCs w:val="16"/>
        </w:rPr>
        <w:t>ie poziomu zadłużenia poniżej 55</w:t>
      </w:r>
      <w:r w:rsidRPr="00383392">
        <w:rPr>
          <w:rFonts w:ascii="Verdana" w:hAnsi="Verdana"/>
          <w:sz w:val="16"/>
          <w:szCs w:val="16"/>
        </w:rPr>
        <w:t xml:space="preserve">% w relacji do dochodów budżetowych. </w:t>
      </w:r>
      <w:r w:rsidRPr="00EE37CE">
        <w:rPr>
          <w:rFonts w:ascii="Verdana" w:hAnsi="Verdana"/>
          <w:sz w:val="16"/>
          <w:szCs w:val="16"/>
        </w:rPr>
        <w:t xml:space="preserve">Przewiduje się, że w okresie rosnącego zadłużenia (lata 2023-2026) wskaźnik ten nie powinien przekroczyć poziomu 55% (według prognozy jego najwyższy poziom to </w:t>
      </w:r>
      <w:r>
        <w:rPr>
          <w:rFonts w:ascii="Verdana" w:hAnsi="Verdana"/>
          <w:sz w:val="16"/>
          <w:szCs w:val="16"/>
        </w:rPr>
        <w:t>51,5</w:t>
      </w:r>
      <w:r w:rsidRPr="00EE37CE">
        <w:rPr>
          <w:rFonts w:ascii="Verdana" w:hAnsi="Verdana"/>
          <w:sz w:val="16"/>
          <w:szCs w:val="16"/>
        </w:rPr>
        <w:t xml:space="preserve">% </w:t>
      </w:r>
      <w:r>
        <w:rPr>
          <w:rFonts w:ascii="Verdana" w:hAnsi="Verdana"/>
          <w:sz w:val="16"/>
          <w:szCs w:val="16"/>
        </w:rPr>
        <w:br/>
      </w:r>
      <w:r w:rsidRPr="00EE37CE">
        <w:rPr>
          <w:rFonts w:ascii="Verdana" w:hAnsi="Verdana"/>
          <w:sz w:val="16"/>
          <w:szCs w:val="16"/>
        </w:rPr>
        <w:t>w 20</w:t>
      </w:r>
      <w:r w:rsidRPr="00D82F15">
        <w:rPr>
          <w:rFonts w:ascii="Verdana" w:hAnsi="Verdana"/>
          <w:sz w:val="16"/>
          <w:szCs w:val="16"/>
        </w:rPr>
        <w:t>26</w:t>
      </w:r>
      <w:r>
        <w:rPr>
          <w:rFonts w:ascii="Verdana" w:hAnsi="Verdana"/>
          <w:sz w:val="16"/>
          <w:szCs w:val="16"/>
        </w:rPr>
        <w:t>r.</w:t>
      </w:r>
      <w:r w:rsidRPr="00EE37CE">
        <w:rPr>
          <w:rFonts w:ascii="Verdana" w:hAnsi="Verdana"/>
          <w:sz w:val="16"/>
          <w:szCs w:val="16"/>
        </w:rPr>
        <w:t>). Założenie wewnętrznego limitu 55% długu do dochodów, tworzy margines bezpieczeństwa</w:t>
      </w:r>
      <w:r w:rsidRPr="00EE37CE">
        <w:rPr>
          <w:rFonts w:ascii="Verdana" w:hAnsi="Verdana"/>
          <w:color w:val="00B0F0"/>
          <w:sz w:val="16"/>
          <w:szCs w:val="16"/>
        </w:rPr>
        <w:t xml:space="preserve"> </w:t>
      </w:r>
      <w:r w:rsidRPr="00EE37CE">
        <w:rPr>
          <w:rFonts w:ascii="Verdana" w:hAnsi="Verdana"/>
          <w:sz w:val="16"/>
          <w:szCs w:val="16"/>
        </w:rPr>
        <w:t>dla absorpcji ewentualnych zmian zewnętrznych wywołanych wzrostem oprocentowania, modyfikacjami systemu fiskalnego, czy spadkiem PKB i dochodów podatkowych. Biorąc jednak pod uwagę dużą zmienność uwarunkowań zewnętrznych i wpływ czynników egzogenicznych na sytuację finansową Miasta</w:t>
      </w:r>
      <w:r>
        <w:rPr>
          <w:rFonts w:ascii="Verdana" w:hAnsi="Verdana"/>
          <w:sz w:val="16"/>
          <w:szCs w:val="16"/>
        </w:rPr>
        <w:t>,</w:t>
      </w:r>
      <w:r w:rsidRPr="00EE37CE">
        <w:rPr>
          <w:rFonts w:ascii="Verdana" w:hAnsi="Verdana"/>
          <w:sz w:val="16"/>
          <w:szCs w:val="16"/>
        </w:rPr>
        <w:t xml:space="preserve"> zwłaszcza w obszarze dochodów</w:t>
      </w:r>
      <w:r>
        <w:rPr>
          <w:rFonts w:ascii="Verdana" w:hAnsi="Verdana"/>
          <w:sz w:val="16"/>
          <w:szCs w:val="16"/>
        </w:rPr>
        <w:t>,</w:t>
      </w:r>
      <w:r w:rsidRPr="00EE37CE">
        <w:rPr>
          <w:rFonts w:ascii="Verdana" w:hAnsi="Verdana"/>
          <w:sz w:val="16"/>
          <w:szCs w:val="16"/>
        </w:rPr>
        <w:t xml:space="preserve"> </w:t>
      </w:r>
      <w:r>
        <w:rPr>
          <w:rFonts w:ascii="Verdana" w:hAnsi="Verdana"/>
          <w:sz w:val="16"/>
          <w:szCs w:val="16"/>
        </w:rPr>
        <w:t xml:space="preserve">dopuszczalne jest </w:t>
      </w:r>
      <w:r w:rsidRPr="00EE37CE">
        <w:rPr>
          <w:rFonts w:ascii="Verdana" w:hAnsi="Verdana"/>
          <w:sz w:val="16"/>
          <w:szCs w:val="16"/>
        </w:rPr>
        <w:t xml:space="preserve">ewentualne odchylenie od przyjętego limitu </w:t>
      </w:r>
      <w:r>
        <w:rPr>
          <w:rFonts w:ascii="Verdana" w:hAnsi="Verdana"/>
          <w:sz w:val="16"/>
          <w:szCs w:val="16"/>
        </w:rPr>
        <w:t xml:space="preserve">w </w:t>
      </w:r>
      <w:r w:rsidRPr="00EE37CE">
        <w:rPr>
          <w:rFonts w:ascii="Verdana" w:hAnsi="Verdana"/>
          <w:sz w:val="16"/>
          <w:szCs w:val="16"/>
        </w:rPr>
        <w:t>ograniczony</w:t>
      </w:r>
      <w:r>
        <w:rPr>
          <w:rFonts w:ascii="Verdana" w:hAnsi="Verdana"/>
          <w:sz w:val="16"/>
          <w:szCs w:val="16"/>
        </w:rPr>
        <w:t>m czasowo</w:t>
      </w:r>
      <w:r w:rsidRPr="00EE37CE">
        <w:rPr>
          <w:rFonts w:ascii="Verdana" w:hAnsi="Verdana"/>
          <w:sz w:val="16"/>
          <w:szCs w:val="16"/>
        </w:rPr>
        <w:t xml:space="preserve"> horyzon</w:t>
      </w:r>
      <w:r>
        <w:rPr>
          <w:rFonts w:ascii="Verdana" w:hAnsi="Verdana"/>
          <w:sz w:val="16"/>
          <w:szCs w:val="16"/>
        </w:rPr>
        <w:t>cie</w:t>
      </w:r>
      <w:r w:rsidRPr="003E0131">
        <w:rPr>
          <w:rFonts w:ascii="Verdana" w:hAnsi="Verdana"/>
          <w:sz w:val="16"/>
          <w:szCs w:val="16"/>
        </w:rPr>
        <w:t>.</w:t>
      </w:r>
    </w:p>
    <w:p w:rsidR="008853F1" w:rsidRPr="00383392" w:rsidRDefault="008853F1" w:rsidP="008853F1">
      <w:pPr>
        <w:spacing w:before="120"/>
        <w:jc w:val="both"/>
        <w:rPr>
          <w:rFonts w:ascii="Verdana" w:hAnsi="Verdana"/>
          <w:sz w:val="16"/>
          <w:szCs w:val="16"/>
        </w:rPr>
      </w:pPr>
      <w:r w:rsidRPr="00383392">
        <w:rPr>
          <w:rFonts w:ascii="Verdana" w:hAnsi="Verdana"/>
          <w:sz w:val="16"/>
          <w:szCs w:val="16"/>
        </w:rPr>
        <w:t xml:space="preserve">Koszty obsługi zobowiązań w części opartej o zmienną stopę procentową ulegają zmianom w zależności od stóp rynku pieniężnego kształtowanych w istotnym stopniu przez decyzje Rady Polityki Pieniężnej NBP. </w:t>
      </w:r>
      <w:r>
        <w:rPr>
          <w:rFonts w:ascii="Verdana" w:hAnsi="Verdana"/>
          <w:sz w:val="16"/>
          <w:szCs w:val="16"/>
        </w:rPr>
        <w:t xml:space="preserve">RPP głównie w wyniku gwałtownie rosnącej inflacji w październiku 2021 r. rozpoczęła cykl podwyżek stóp procentowych i </w:t>
      </w:r>
      <w:r w:rsidRPr="00AB2717">
        <w:rPr>
          <w:rFonts w:ascii="Verdana" w:hAnsi="Verdana"/>
          <w:sz w:val="16"/>
          <w:szCs w:val="16"/>
        </w:rPr>
        <w:t>są one najwyższe od 2012 roku</w:t>
      </w:r>
      <w:r>
        <w:rPr>
          <w:rFonts w:ascii="Verdana" w:hAnsi="Verdana"/>
          <w:sz w:val="16"/>
          <w:szCs w:val="16"/>
        </w:rPr>
        <w:t xml:space="preserve">. Po jedenastu podwyżkach, stopa referencyjna NBP wynosi 6,75%, a stawki </w:t>
      </w:r>
      <w:proofErr w:type="spellStart"/>
      <w:r>
        <w:rPr>
          <w:rFonts w:ascii="Verdana" w:hAnsi="Verdana"/>
          <w:sz w:val="16"/>
          <w:szCs w:val="16"/>
        </w:rPr>
        <w:t>Wibor</w:t>
      </w:r>
      <w:proofErr w:type="spellEnd"/>
      <w:r>
        <w:rPr>
          <w:rFonts w:ascii="Verdana" w:hAnsi="Verdana"/>
          <w:sz w:val="16"/>
          <w:szCs w:val="16"/>
        </w:rPr>
        <w:t xml:space="preserve"> 3M </w:t>
      </w:r>
      <w:r>
        <w:rPr>
          <w:rFonts w:ascii="Verdana" w:hAnsi="Verdana"/>
          <w:sz w:val="16"/>
          <w:szCs w:val="16"/>
        </w:rPr>
        <w:br/>
        <w:t xml:space="preserve">i 6M, na których najczęściej oparte jest oprocentowanie zmienne zobowiązań, kształtują się w przedziale 7,08% - 7,21% (na dzień 15.12.2022 r.). </w:t>
      </w:r>
      <w:r w:rsidRPr="00383392">
        <w:rPr>
          <w:rFonts w:ascii="Verdana" w:hAnsi="Verdana"/>
          <w:sz w:val="16"/>
          <w:szCs w:val="16"/>
        </w:rPr>
        <w:t>Przyjęte ograniczenie ryzyka stopy procentowej, poprzez utrzymanie udziału zadłużenia o stałym oprocentowaniu powyżej 50% w zadłużeniu ogółem, zmniejsza potencjalne negatywne oddziaływanie wzrostu stóp na wydatki Miasta,</w:t>
      </w:r>
      <w:r>
        <w:rPr>
          <w:rFonts w:ascii="Verdana" w:hAnsi="Verdana"/>
          <w:sz w:val="16"/>
          <w:szCs w:val="16"/>
        </w:rPr>
        <w:t xml:space="preserve"> </w:t>
      </w:r>
      <w:r w:rsidRPr="00383392">
        <w:rPr>
          <w:rFonts w:ascii="Verdana" w:hAnsi="Verdana"/>
          <w:sz w:val="16"/>
          <w:szCs w:val="16"/>
        </w:rPr>
        <w:t xml:space="preserve">a tym samym i na wzrost wskaźnika obsługi zadłużenia ponad planowany poziom. </w:t>
      </w:r>
    </w:p>
    <w:p w:rsidR="008853F1" w:rsidRPr="00383392" w:rsidRDefault="008853F1" w:rsidP="008853F1">
      <w:pPr>
        <w:spacing w:before="120"/>
        <w:jc w:val="both"/>
        <w:rPr>
          <w:rFonts w:ascii="Verdana" w:hAnsi="Verdana"/>
          <w:sz w:val="16"/>
          <w:szCs w:val="16"/>
        </w:rPr>
      </w:pPr>
      <w:r w:rsidRPr="00383392">
        <w:rPr>
          <w:rFonts w:ascii="Verdana" w:hAnsi="Verdana"/>
          <w:sz w:val="16"/>
          <w:szCs w:val="16"/>
        </w:rPr>
        <w:t xml:space="preserve">Możliwość zadłużenia w walutach obcych pozostanie ograniczona do sytuacji uzasadnionych. Na wypadek wystąpienia takich sytuacji wprowadzono limit udziału zadłużenia w walutach obcych poniżej 25% zadłużenia ogółem. </w:t>
      </w:r>
      <w:r>
        <w:rPr>
          <w:rFonts w:ascii="Verdana" w:hAnsi="Verdana"/>
          <w:sz w:val="16"/>
          <w:szCs w:val="16"/>
        </w:rPr>
        <w:t>Utrzymywanie</w:t>
      </w:r>
      <w:r w:rsidRPr="00383392">
        <w:rPr>
          <w:rFonts w:ascii="Verdana" w:hAnsi="Verdana"/>
          <w:sz w:val="16"/>
          <w:szCs w:val="16"/>
        </w:rPr>
        <w:t xml:space="preserve"> stóp procentowych w strefie euro</w:t>
      </w:r>
      <w:r w:rsidRPr="00383392">
        <w:rPr>
          <w:rFonts w:ascii="Verdana" w:hAnsi="Verdana"/>
          <w:color w:val="FF0000"/>
          <w:sz w:val="16"/>
          <w:szCs w:val="16"/>
        </w:rPr>
        <w:t xml:space="preserve"> </w:t>
      </w:r>
      <w:r w:rsidRPr="00383392">
        <w:rPr>
          <w:rFonts w:ascii="Verdana" w:hAnsi="Verdana"/>
          <w:sz w:val="16"/>
          <w:szCs w:val="16"/>
        </w:rPr>
        <w:t xml:space="preserve">poniżej zera, awersja do ryzyka na rynkach finansowych i utrzymanie stabilnego ratingu inwestycyjnego przez Polskę i m.st. Warszawę spowodowało wystąpienie </w:t>
      </w:r>
      <w:r>
        <w:rPr>
          <w:rFonts w:ascii="Verdana" w:hAnsi="Verdana"/>
          <w:sz w:val="16"/>
          <w:szCs w:val="16"/>
        </w:rPr>
        <w:t xml:space="preserve">w latach  2020-21 </w:t>
      </w:r>
      <w:r w:rsidRPr="00383392">
        <w:rPr>
          <w:rFonts w:ascii="Verdana" w:hAnsi="Verdana"/>
          <w:sz w:val="16"/>
          <w:szCs w:val="16"/>
        </w:rPr>
        <w:t>sytuacji, w której możliwe okaza</w:t>
      </w:r>
      <w:r>
        <w:rPr>
          <w:rFonts w:ascii="Verdana" w:hAnsi="Verdana"/>
          <w:sz w:val="16"/>
          <w:szCs w:val="16"/>
        </w:rPr>
        <w:t>ło</w:t>
      </w:r>
      <w:r w:rsidRPr="00383392">
        <w:rPr>
          <w:rFonts w:ascii="Verdana" w:hAnsi="Verdana"/>
          <w:sz w:val="16"/>
          <w:szCs w:val="16"/>
        </w:rPr>
        <w:t xml:space="preserve"> się pozyskanie </w:t>
      </w:r>
      <w:r>
        <w:rPr>
          <w:rFonts w:ascii="Verdana" w:hAnsi="Verdana"/>
          <w:sz w:val="16"/>
          <w:szCs w:val="16"/>
        </w:rPr>
        <w:t xml:space="preserve">długoterminowego </w:t>
      </w:r>
      <w:r w:rsidRPr="00383392">
        <w:rPr>
          <w:rFonts w:ascii="Verdana" w:hAnsi="Verdana"/>
          <w:sz w:val="16"/>
          <w:szCs w:val="16"/>
        </w:rPr>
        <w:t xml:space="preserve">finansowania w euro o </w:t>
      </w:r>
      <w:r>
        <w:rPr>
          <w:rFonts w:ascii="Verdana" w:hAnsi="Verdana"/>
          <w:sz w:val="16"/>
          <w:szCs w:val="16"/>
        </w:rPr>
        <w:t>zerowym oprocentowaniu</w:t>
      </w:r>
      <w:r w:rsidRPr="00383392">
        <w:rPr>
          <w:rFonts w:ascii="Verdana" w:hAnsi="Verdana"/>
          <w:sz w:val="16"/>
          <w:szCs w:val="16"/>
        </w:rPr>
        <w:t xml:space="preserve">. </w:t>
      </w:r>
      <w:r>
        <w:rPr>
          <w:rFonts w:ascii="Verdana" w:hAnsi="Verdana"/>
          <w:sz w:val="16"/>
          <w:szCs w:val="16"/>
        </w:rPr>
        <w:t>Wzrost stóp procentowych na rynkach bazowych spowodował, że w 2022 r. pozyskanie takiego finansowania stało się niemożliwe</w:t>
      </w:r>
      <w:r w:rsidRPr="00383392">
        <w:rPr>
          <w:rFonts w:ascii="Verdana" w:hAnsi="Verdana"/>
          <w:sz w:val="16"/>
          <w:szCs w:val="16"/>
        </w:rPr>
        <w:t xml:space="preserve">. </w:t>
      </w:r>
    </w:p>
    <w:p w:rsidR="008853F1" w:rsidRPr="00383392" w:rsidRDefault="008853F1" w:rsidP="008853F1">
      <w:pPr>
        <w:spacing w:before="120"/>
        <w:jc w:val="both"/>
        <w:rPr>
          <w:rFonts w:ascii="Verdana" w:hAnsi="Verdana"/>
          <w:sz w:val="16"/>
          <w:szCs w:val="16"/>
        </w:rPr>
      </w:pPr>
      <w:r w:rsidRPr="00383392">
        <w:rPr>
          <w:rFonts w:ascii="Verdana" w:hAnsi="Verdana"/>
          <w:sz w:val="16"/>
          <w:szCs w:val="16"/>
        </w:rPr>
        <w:t>W prognozie WPF przyjęto założenie finansowania potrzeb pożyczkowych budżetu zgodnie z dotychczasową zasadą, korzystając z dwóch zasadniczych źródeł finansowania:</w:t>
      </w:r>
    </w:p>
    <w:p w:rsidR="008853F1" w:rsidRPr="00383392" w:rsidRDefault="008853F1" w:rsidP="008853F1">
      <w:pPr>
        <w:numPr>
          <w:ilvl w:val="0"/>
          <w:numId w:val="38"/>
        </w:numPr>
        <w:spacing w:before="120"/>
        <w:ind w:left="641" w:hanging="284"/>
        <w:jc w:val="both"/>
        <w:rPr>
          <w:rFonts w:ascii="Verdana" w:hAnsi="Verdana"/>
          <w:sz w:val="16"/>
          <w:szCs w:val="16"/>
        </w:rPr>
      </w:pPr>
      <w:r w:rsidRPr="00383392">
        <w:rPr>
          <w:rFonts w:ascii="Verdana" w:hAnsi="Verdana"/>
          <w:sz w:val="16"/>
          <w:szCs w:val="16"/>
        </w:rPr>
        <w:t>na rynku zagranicznym w formie kredytu w międzynarodowyc</w:t>
      </w:r>
      <w:r>
        <w:rPr>
          <w:rFonts w:ascii="Verdana" w:hAnsi="Verdana"/>
          <w:sz w:val="16"/>
          <w:szCs w:val="16"/>
        </w:rPr>
        <w:t xml:space="preserve">h instytucjach finansowych </w:t>
      </w:r>
      <w:r>
        <w:rPr>
          <w:rFonts w:ascii="Verdana" w:hAnsi="Verdana"/>
          <w:sz w:val="16"/>
          <w:szCs w:val="16"/>
        </w:rPr>
        <w:br/>
        <w:t>(w tym w szczególności w</w:t>
      </w:r>
      <w:r w:rsidRPr="00383392">
        <w:rPr>
          <w:rFonts w:ascii="Verdana" w:hAnsi="Verdana"/>
          <w:sz w:val="16"/>
          <w:szCs w:val="16"/>
        </w:rPr>
        <w:t xml:space="preserve"> Europejski</w:t>
      </w:r>
      <w:r>
        <w:rPr>
          <w:rFonts w:ascii="Verdana" w:hAnsi="Verdana"/>
          <w:sz w:val="16"/>
          <w:szCs w:val="16"/>
        </w:rPr>
        <w:t>m</w:t>
      </w:r>
      <w:r w:rsidRPr="00383392">
        <w:rPr>
          <w:rFonts w:ascii="Verdana" w:hAnsi="Verdana"/>
          <w:sz w:val="16"/>
          <w:szCs w:val="16"/>
        </w:rPr>
        <w:t xml:space="preserve"> Bank</w:t>
      </w:r>
      <w:r>
        <w:rPr>
          <w:rFonts w:ascii="Verdana" w:hAnsi="Verdana"/>
          <w:sz w:val="16"/>
          <w:szCs w:val="16"/>
        </w:rPr>
        <w:t>u</w:t>
      </w:r>
      <w:r w:rsidRPr="00383392">
        <w:rPr>
          <w:rFonts w:ascii="Verdana" w:hAnsi="Verdana"/>
          <w:sz w:val="16"/>
          <w:szCs w:val="16"/>
        </w:rPr>
        <w:t xml:space="preserve"> Inwestycyjny</w:t>
      </w:r>
      <w:r>
        <w:rPr>
          <w:rFonts w:ascii="Verdana" w:hAnsi="Verdana"/>
          <w:sz w:val="16"/>
          <w:szCs w:val="16"/>
        </w:rPr>
        <w:t>m</w:t>
      </w:r>
      <w:r w:rsidRPr="00383392">
        <w:rPr>
          <w:rFonts w:ascii="Verdana" w:hAnsi="Verdana"/>
          <w:sz w:val="16"/>
          <w:szCs w:val="16"/>
        </w:rPr>
        <w:t xml:space="preserve">) lub alternatywnie poprzez emisje obligacji, </w:t>
      </w:r>
    </w:p>
    <w:p w:rsidR="008853F1" w:rsidRPr="00383392" w:rsidRDefault="008853F1" w:rsidP="008853F1">
      <w:pPr>
        <w:numPr>
          <w:ilvl w:val="0"/>
          <w:numId w:val="38"/>
        </w:numPr>
        <w:spacing w:before="120"/>
        <w:ind w:left="641" w:hanging="284"/>
        <w:jc w:val="both"/>
        <w:rPr>
          <w:rFonts w:ascii="Verdana" w:hAnsi="Verdana"/>
          <w:sz w:val="16"/>
          <w:szCs w:val="16"/>
        </w:rPr>
      </w:pPr>
      <w:r w:rsidRPr="00383392">
        <w:rPr>
          <w:rFonts w:ascii="Verdana" w:hAnsi="Verdana"/>
          <w:sz w:val="16"/>
          <w:szCs w:val="16"/>
        </w:rPr>
        <w:lastRenderedPageBreak/>
        <w:t>na rynku krajowym w postaci obligacji lub kredytów bankowych.</w:t>
      </w:r>
    </w:p>
    <w:p w:rsidR="008853F1" w:rsidRPr="00383392" w:rsidRDefault="008853F1" w:rsidP="008853F1">
      <w:pPr>
        <w:spacing w:before="120"/>
        <w:jc w:val="both"/>
        <w:rPr>
          <w:rFonts w:ascii="Verdana" w:hAnsi="Verdana"/>
          <w:sz w:val="16"/>
          <w:szCs w:val="16"/>
        </w:rPr>
      </w:pPr>
      <w:r w:rsidRPr="00383392">
        <w:rPr>
          <w:rFonts w:ascii="Verdana" w:hAnsi="Verdana"/>
          <w:sz w:val="16"/>
          <w:szCs w:val="16"/>
        </w:rPr>
        <w:t xml:space="preserve">Wymienione źródła będą uzupełniane o środki pochodzące z preferencyjnych pożyczek. </w:t>
      </w:r>
      <w:r>
        <w:rPr>
          <w:rFonts w:ascii="Verdana" w:hAnsi="Verdana"/>
          <w:sz w:val="16"/>
          <w:szCs w:val="16"/>
        </w:rPr>
        <w:t xml:space="preserve">Poprzez utrzymywanie możliwości </w:t>
      </w:r>
      <w:r w:rsidRPr="00383392">
        <w:rPr>
          <w:rFonts w:ascii="Verdana" w:hAnsi="Verdana"/>
          <w:sz w:val="16"/>
          <w:szCs w:val="16"/>
        </w:rPr>
        <w:t>dywersyfikacj</w:t>
      </w:r>
      <w:r>
        <w:rPr>
          <w:rFonts w:ascii="Verdana" w:hAnsi="Verdana"/>
          <w:sz w:val="16"/>
          <w:szCs w:val="16"/>
        </w:rPr>
        <w:t>i</w:t>
      </w:r>
      <w:r w:rsidRPr="00383392">
        <w:rPr>
          <w:rFonts w:ascii="Verdana" w:hAnsi="Verdana"/>
          <w:sz w:val="16"/>
          <w:szCs w:val="16"/>
        </w:rPr>
        <w:t xml:space="preserve"> w ten sposób źródeł finansowania potrzeb pożyczkowych </w:t>
      </w:r>
      <w:r>
        <w:rPr>
          <w:rFonts w:ascii="Verdana" w:hAnsi="Verdana"/>
          <w:sz w:val="16"/>
          <w:szCs w:val="16"/>
        </w:rPr>
        <w:t xml:space="preserve">będzie możliwe </w:t>
      </w:r>
      <w:r w:rsidRPr="00383392">
        <w:rPr>
          <w:rFonts w:ascii="Verdana" w:hAnsi="Verdana"/>
          <w:sz w:val="16"/>
          <w:szCs w:val="16"/>
        </w:rPr>
        <w:t>realizowan</w:t>
      </w:r>
      <w:r>
        <w:rPr>
          <w:rFonts w:ascii="Verdana" w:hAnsi="Verdana"/>
          <w:sz w:val="16"/>
          <w:szCs w:val="16"/>
        </w:rPr>
        <w:t>ie</w:t>
      </w:r>
      <w:r w:rsidRPr="00383392">
        <w:rPr>
          <w:rFonts w:ascii="Verdana" w:hAnsi="Verdana"/>
          <w:sz w:val="16"/>
          <w:szCs w:val="16"/>
        </w:rPr>
        <w:t xml:space="preserve"> polityk</w:t>
      </w:r>
      <w:r>
        <w:rPr>
          <w:rFonts w:ascii="Verdana" w:hAnsi="Verdana"/>
          <w:sz w:val="16"/>
          <w:szCs w:val="16"/>
        </w:rPr>
        <w:t>i</w:t>
      </w:r>
      <w:r w:rsidRPr="00383392">
        <w:rPr>
          <w:rFonts w:ascii="Verdana" w:hAnsi="Verdana"/>
          <w:sz w:val="16"/>
          <w:szCs w:val="16"/>
        </w:rPr>
        <w:t xml:space="preserve"> mix-</w:t>
      </w:r>
      <w:proofErr w:type="spellStart"/>
      <w:r w:rsidRPr="00383392">
        <w:rPr>
          <w:rFonts w:ascii="Verdana" w:hAnsi="Verdana"/>
          <w:sz w:val="16"/>
          <w:szCs w:val="16"/>
        </w:rPr>
        <w:t>financing</w:t>
      </w:r>
      <w:proofErr w:type="spellEnd"/>
      <w:r w:rsidRPr="00383392">
        <w:rPr>
          <w:rFonts w:ascii="Verdana" w:hAnsi="Verdana"/>
          <w:sz w:val="16"/>
          <w:szCs w:val="16"/>
        </w:rPr>
        <w:t xml:space="preserve">. </w:t>
      </w:r>
    </w:p>
    <w:p w:rsidR="008853F1" w:rsidRDefault="008853F1" w:rsidP="008853F1">
      <w:pPr>
        <w:spacing w:before="120"/>
        <w:jc w:val="both"/>
        <w:rPr>
          <w:rFonts w:ascii="Verdana" w:hAnsi="Verdana"/>
          <w:iCs/>
          <w:sz w:val="16"/>
          <w:szCs w:val="16"/>
        </w:rPr>
      </w:pPr>
      <w:r w:rsidRPr="00383392">
        <w:rPr>
          <w:rFonts w:ascii="Verdana" w:hAnsi="Verdana"/>
          <w:sz w:val="16"/>
          <w:szCs w:val="16"/>
        </w:rPr>
        <w:t>W realizacji celów polityki długu zakłada się</w:t>
      </w:r>
      <w:r>
        <w:rPr>
          <w:rFonts w:ascii="Verdana" w:hAnsi="Verdana"/>
          <w:sz w:val="16"/>
          <w:szCs w:val="16"/>
        </w:rPr>
        <w:t>, że</w:t>
      </w:r>
      <w:r w:rsidRPr="00383392">
        <w:rPr>
          <w:rFonts w:ascii="Verdana" w:hAnsi="Verdana"/>
          <w:iCs/>
          <w:sz w:val="16"/>
          <w:szCs w:val="16"/>
        </w:rPr>
        <w:t xml:space="preserve"> w najbliższych latach</w:t>
      </w:r>
      <w:r>
        <w:rPr>
          <w:rFonts w:ascii="Verdana" w:hAnsi="Verdana"/>
          <w:sz w:val="16"/>
          <w:szCs w:val="16"/>
        </w:rPr>
        <w:t xml:space="preserve"> </w:t>
      </w:r>
      <w:r w:rsidRPr="00383392">
        <w:rPr>
          <w:rFonts w:ascii="Verdana" w:hAnsi="Verdana"/>
          <w:iCs/>
          <w:sz w:val="16"/>
          <w:szCs w:val="16"/>
        </w:rPr>
        <w:t xml:space="preserve">uzupełnieniem kredytów zaciąganych </w:t>
      </w:r>
      <w:r w:rsidRPr="00383392">
        <w:rPr>
          <w:rFonts w:ascii="Verdana" w:hAnsi="Verdana"/>
          <w:iCs/>
          <w:sz w:val="16"/>
          <w:szCs w:val="16"/>
        </w:rPr>
        <w:br/>
        <w:t xml:space="preserve">w międzynarodowych instytucjach finansowych </w:t>
      </w:r>
      <w:r>
        <w:rPr>
          <w:rFonts w:ascii="Verdana" w:hAnsi="Verdana"/>
          <w:iCs/>
          <w:sz w:val="16"/>
          <w:szCs w:val="16"/>
        </w:rPr>
        <w:t xml:space="preserve">może być </w:t>
      </w:r>
      <w:r w:rsidRPr="00383392">
        <w:rPr>
          <w:rFonts w:ascii="Verdana" w:hAnsi="Verdana"/>
          <w:iCs/>
          <w:sz w:val="16"/>
          <w:szCs w:val="16"/>
        </w:rPr>
        <w:t>pozyskanie części środków zwrotnych poprzez emisje obligacji na rynku krajowym</w:t>
      </w:r>
      <w:r>
        <w:rPr>
          <w:rFonts w:ascii="Verdana" w:hAnsi="Verdana"/>
          <w:iCs/>
          <w:sz w:val="16"/>
          <w:szCs w:val="16"/>
        </w:rPr>
        <w:t xml:space="preserve"> oraz pożyczki preferencyjne</w:t>
      </w:r>
      <w:r w:rsidRPr="00383392">
        <w:rPr>
          <w:rFonts w:ascii="Verdana" w:hAnsi="Verdana"/>
          <w:iCs/>
          <w:sz w:val="16"/>
          <w:szCs w:val="16"/>
        </w:rPr>
        <w:t xml:space="preserve">. Podobnie do Skarbu Państwa, Miasto nie wyklucza emisji obligacji detalicznych, obligacji zrównoważonego rozwoju, obligacji zielonych (ekologicznych) i obligacji społecznych. </w:t>
      </w:r>
    </w:p>
    <w:p w:rsidR="00D35878" w:rsidRDefault="00D35878" w:rsidP="008853F1">
      <w:pPr>
        <w:spacing w:before="120"/>
        <w:jc w:val="both"/>
        <w:rPr>
          <w:rFonts w:ascii="Verdana" w:hAnsi="Verdana"/>
          <w:iCs/>
          <w:sz w:val="16"/>
          <w:szCs w:val="16"/>
        </w:rPr>
      </w:pPr>
    </w:p>
    <w:p w:rsidR="008853F1" w:rsidRPr="00383392" w:rsidRDefault="008853F1" w:rsidP="008853F1">
      <w:pPr>
        <w:numPr>
          <w:ilvl w:val="0"/>
          <w:numId w:val="70"/>
        </w:numPr>
        <w:spacing w:before="360" w:line="312" w:lineRule="auto"/>
        <w:ind w:left="397" w:hanging="397"/>
        <w:jc w:val="both"/>
        <w:rPr>
          <w:rFonts w:ascii="Verdana" w:hAnsi="Verdana"/>
          <w:b/>
          <w:iCs/>
          <w:sz w:val="18"/>
          <w:szCs w:val="18"/>
        </w:rPr>
      </w:pPr>
      <w:r>
        <w:rPr>
          <w:rFonts w:ascii="Verdana" w:hAnsi="Verdana"/>
          <w:b/>
        </w:rPr>
        <w:t>Prognoza zadłużenia i p</w:t>
      </w:r>
      <w:r w:rsidRPr="00383392">
        <w:rPr>
          <w:rFonts w:ascii="Verdana" w:hAnsi="Verdana"/>
          <w:b/>
        </w:rPr>
        <w:t xml:space="preserve">erspektywa </w:t>
      </w:r>
      <w:r>
        <w:rPr>
          <w:rFonts w:ascii="Verdana" w:hAnsi="Verdana"/>
          <w:b/>
        </w:rPr>
        <w:t xml:space="preserve">jego </w:t>
      </w:r>
      <w:r w:rsidRPr="00383392">
        <w:rPr>
          <w:rFonts w:ascii="Verdana" w:hAnsi="Verdana"/>
          <w:b/>
        </w:rPr>
        <w:t>spłaty</w:t>
      </w:r>
    </w:p>
    <w:p w:rsidR="008853F1" w:rsidRDefault="008853F1" w:rsidP="008853F1">
      <w:pPr>
        <w:spacing w:before="240" w:after="120"/>
        <w:jc w:val="both"/>
        <w:rPr>
          <w:rFonts w:ascii="Verdana" w:hAnsi="Verdana"/>
          <w:sz w:val="16"/>
          <w:szCs w:val="16"/>
        </w:rPr>
      </w:pPr>
      <w:r w:rsidRPr="00383392">
        <w:rPr>
          <w:rFonts w:ascii="Verdana" w:hAnsi="Verdana"/>
          <w:iCs/>
          <w:sz w:val="16"/>
          <w:szCs w:val="16"/>
        </w:rPr>
        <w:t>Realizowane</w:t>
      </w:r>
      <w:r w:rsidRPr="00383392">
        <w:rPr>
          <w:rFonts w:ascii="Verdana" w:hAnsi="Verdana"/>
          <w:sz w:val="16"/>
          <w:szCs w:val="16"/>
        </w:rPr>
        <w:t xml:space="preserve"> spłaty zadłużenia wraz z prognozowanym do zaciągnięcia nowym finansowaniem zwrotnym wpłyną na poziom zadłużenia przedstawiony na wykresie 2.</w:t>
      </w:r>
    </w:p>
    <w:p w:rsidR="008853F1" w:rsidRPr="002A5089" w:rsidRDefault="008853F1" w:rsidP="008853F1">
      <w:pPr>
        <w:jc w:val="both"/>
        <w:rPr>
          <w:noProof/>
        </w:rPr>
      </w:pPr>
      <w:r w:rsidRPr="00383392">
        <w:rPr>
          <w:rFonts w:ascii="Verdana" w:hAnsi="Verdana"/>
          <w:b/>
          <w:sz w:val="14"/>
          <w:szCs w:val="14"/>
        </w:rPr>
        <w:t>WYK. 2 ZADŁUŻENIE M.ST. WARSZAW</w:t>
      </w:r>
      <w:r>
        <w:rPr>
          <w:rFonts w:ascii="Verdana" w:hAnsi="Verdana"/>
          <w:b/>
          <w:sz w:val="14"/>
          <w:szCs w:val="14"/>
        </w:rPr>
        <w:t>Y W RAMACH WPF 2023</w:t>
      </w:r>
      <w:r w:rsidRPr="00383392">
        <w:rPr>
          <w:rFonts w:ascii="Verdana" w:hAnsi="Verdana"/>
          <w:b/>
          <w:sz w:val="14"/>
          <w:szCs w:val="14"/>
        </w:rPr>
        <w:t xml:space="preserve">-2050 </w:t>
      </w:r>
    </w:p>
    <w:p w:rsidR="008853F1" w:rsidRDefault="008853F1" w:rsidP="008853F1">
      <w:pPr>
        <w:spacing w:before="120"/>
        <w:jc w:val="both"/>
        <w:rPr>
          <w:rFonts w:ascii="Verdana" w:hAnsi="Verdana"/>
          <w:iCs/>
          <w:sz w:val="16"/>
          <w:szCs w:val="16"/>
        </w:rPr>
      </w:pPr>
      <w:r>
        <w:rPr>
          <w:rFonts w:ascii="Verdana" w:hAnsi="Verdana"/>
          <w:iCs/>
          <w:noProof/>
          <w:sz w:val="16"/>
          <w:szCs w:val="16"/>
        </w:rPr>
        <w:drawing>
          <wp:inline distT="0" distB="0" distL="0" distR="0" wp14:anchorId="734F397E" wp14:editId="415D9B8C">
            <wp:extent cx="5763895" cy="2675382"/>
            <wp:effectExtent l="0" t="0" r="8255"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00375" cy="2692315"/>
                    </a:xfrm>
                    <a:prstGeom prst="rect">
                      <a:avLst/>
                    </a:prstGeom>
                    <a:noFill/>
                  </pic:spPr>
                </pic:pic>
              </a:graphicData>
            </a:graphic>
          </wp:inline>
        </w:drawing>
      </w:r>
    </w:p>
    <w:p w:rsidR="008853F1" w:rsidRPr="00383392" w:rsidRDefault="008853F1" w:rsidP="008853F1">
      <w:pPr>
        <w:spacing w:before="120"/>
        <w:jc w:val="both"/>
        <w:rPr>
          <w:rFonts w:ascii="Verdana" w:hAnsi="Verdana"/>
          <w:iCs/>
          <w:sz w:val="16"/>
          <w:szCs w:val="16"/>
        </w:rPr>
      </w:pPr>
      <w:r w:rsidRPr="00383392">
        <w:rPr>
          <w:rFonts w:ascii="Verdana" w:hAnsi="Verdana"/>
          <w:iCs/>
          <w:sz w:val="16"/>
          <w:szCs w:val="16"/>
        </w:rPr>
        <w:t xml:space="preserve">Z </w:t>
      </w:r>
      <w:r>
        <w:rPr>
          <w:rFonts w:ascii="Verdana" w:hAnsi="Verdana"/>
          <w:iCs/>
          <w:sz w:val="16"/>
          <w:szCs w:val="16"/>
        </w:rPr>
        <w:t xml:space="preserve">planów finansowania potrzeb pożyczkowych związanych z realizacją programu inwestycyjnego wynika, </w:t>
      </w:r>
      <w:r>
        <w:rPr>
          <w:rFonts w:ascii="Verdana" w:hAnsi="Verdana"/>
          <w:iCs/>
          <w:sz w:val="16"/>
          <w:szCs w:val="16"/>
        </w:rPr>
        <w:br/>
        <w:t xml:space="preserve">że </w:t>
      </w:r>
      <w:r w:rsidRPr="00383392">
        <w:rPr>
          <w:rFonts w:ascii="Verdana" w:hAnsi="Verdana"/>
          <w:iCs/>
          <w:sz w:val="16"/>
          <w:szCs w:val="16"/>
        </w:rPr>
        <w:t>najwyższa przewidywana kwota długu zostanie osiągnięta w 202</w:t>
      </w:r>
      <w:r>
        <w:rPr>
          <w:rFonts w:ascii="Verdana" w:hAnsi="Verdana"/>
          <w:iCs/>
          <w:sz w:val="16"/>
          <w:szCs w:val="16"/>
        </w:rPr>
        <w:t>6</w:t>
      </w:r>
      <w:r w:rsidRPr="00383392">
        <w:rPr>
          <w:rFonts w:ascii="Verdana" w:hAnsi="Verdana"/>
          <w:iCs/>
          <w:sz w:val="16"/>
          <w:szCs w:val="16"/>
        </w:rPr>
        <w:t xml:space="preserve"> r</w:t>
      </w:r>
      <w:r>
        <w:rPr>
          <w:rFonts w:ascii="Verdana" w:hAnsi="Verdana"/>
          <w:iCs/>
          <w:sz w:val="16"/>
          <w:szCs w:val="16"/>
        </w:rPr>
        <w:t xml:space="preserve">. </w:t>
      </w:r>
      <w:r w:rsidRPr="00383392">
        <w:rPr>
          <w:rFonts w:ascii="Verdana" w:hAnsi="Verdana"/>
          <w:iCs/>
          <w:sz w:val="16"/>
          <w:szCs w:val="16"/>
        </w:rPr>
        <w:t xml:space="preserve">i będzie wynosić </w:t>
      </w:r>
      <w:r>
        <w:rPr>
          <w:rFonts w:ascii="Verdana" w:hAnsi="Verdana"/>
          <w:iCs/>
          <w:sz w:val="16"/>
          <w:szCs w:val="16"/>
        </w:rPr>
        <w:t>10.911,4</w:t>
      </w:r>
      <w:r w:rsidRPr="00383392">
        <w:rPr>
          <w:rFonts w:ascii="Verdana" w:hAnsi="Verdana"/>
          <w:iCs/>
          <w:sz w:val="16"/>
          <w:szCs w:val="16"/>
        </w:rPr>
        <w:t xml:space="preserve"> mln zł.</w:t>
      </w:r>
    </w:p>
    <w:p w:rsidR="008853F1" w:rsidRDefault="008853F1" w:rsidP="008853F1">
      <w:pPr>
        <w:spacing w:before="120" w:after="120"/>
        <w:jc w:val="both"/>
        <w:rPr>
          <w:rFonts w:ascii="Verdana" w:hAnsi="Verdana"/>
          <w:iCs/>
          <w:sz w:val="16"/>
          <w:szCs w:val="16"/>
        </w:rPr>
      </w:pPr>
      <w:r w:rsidRPr="00383392">
        <w:rPr>
          <w:rFonts w:ascii="Verdana" w:hAnsi="Verdana"/>
          <w:iCs/>
          <w:sz w:val="16"/>
          <w:szCs w:val="16"/>
        </w:rPr>
        <w:t xml:space="preserve">Zasadnicza spłata zadłużenia zaciąganego w perspektywie finansowej 2007-2013 jest realizowana </w:t>
      </w:r>
      <w:r w:rsidRPr="00383392">
        <w:rPr>
          <w:rFonts w:ascii="Verdana" w:hAnsi="Verdana"/>
          <w:iCs/>
          <w:sz w:val="16"/>
          <w:szCs w:val="16"/>
        </w:rPr>
        <w:br/>
        <w:t xml:space="preserve">w latach 2017-2025. </w:t>
      </w:r>
      <w:r>
        <w:rPr>
          <w:rFonts w:ascii="Verdana" w:hAnsi="Verdana"/>
          <w:iCs/>
          <w:sz w:val="16"/>
          <w:szCs w:val="16"/>
        </w:rPr>
        <w:t xml:space="preserve">Spłata zadłużenia planowanego do zaciągnięcia po 2022 r. rozpocznie się od 2028 r. </w:t>
      </w:r>
      <w:r w:rsidRPr="00383392">
        <w:rPr>
          <w:rFonts w:ascii="Verdana" w:hAnsi="Verdana"/>
          <w:iCs/>
          <w:sz w:val="16"/>
          <w:szCs w:val="16"/>
        </w:rPr>
        <w:t xml:space="preserve">Rozkład w czasie spłat zadłużenia istniejącego oraz </w:t>
      </w:r>
      <w:r>
        <w:rPr>
          <w:rFonts w:ascii="Verdana" w:hAnsi="Verdana"/>
          <w:iCs/>
          <w:sz w:val="16"/>
          <w:szCs w:val="16"/>
        </w:rPr>
        <w:t xml:space="preserve">realizowanego i </w:t>
      </w:r>
      <w:r w:rsidRPr="00383392">
        <w:rPr>
          <w:rFonts w:ascii="Verdana" w:hAnsi="Verdana"/>
          <w:iCs/>
          <w:sz w:val="16"/>
          <w:szCs w:val="16"/>
        </w:rPr>
        <w:t xml:space="preserve">planowanego do zaciągnięcia </w:t>
      </w:r>
      <w:r>
        <w:rPr>
          <w:rFonts w:ascii="Verdana" w:hAnsi="Verdana"/>
          <w:iCs/>
          <w:sz w:val="16"/>
          <w:szCs w:val="16"/>
        </w:rPr>
        <w:t xml:space="preserve">po 2022 r. </w:t>
      </w:r>
      <w:r w:rsidRPr="00383392">
        <w:rPr>
          <w:rFonts w:ascii="Verdana" w:hAnsi="Verdana"/>
          <w:iCs/>
          <w:sz w:val="16"/>
          <w:szCs w:val="16"/>
        </w:rPr>
        <w:t>przedstawia wykres 3.</w:t>
      </w:r>
    </w:p>
    <w:p w:rsidR="00FC2B53" w:rsidRDefault="00FC2B53" w:rsidP="008853F1">
      <w:pPr>
        <w:spacing w:before="120" w:after="120"/>
        <w:jc w:val="both"/>
        <w:rPr>
          <w:rFonts w:ascii="Verdana" w:hAnsi="Verdana"/>
          <w:iCs/>
          <w:sz w:val="16"/>
          <w:szCs w:val="16"/>
        </w:rPr>
      </w:pPr>
      <w:r>
        <w:rPr>
          <w:rFonts w:ascii="Verdana" w:hAnsi="Verdana"/>
          <w:iCs/>
          <w:sz w:val="16"/>
          <w:szCs w:val="16"/>
        </w:rPr>
        <w:br w:type="page"/>
      </w:r>
    </w:p>
    <w:p w:rsidR="008853F1" w:rsidRDefault="008853F1" w:rsidP="008853F1">
      <w:pPr>
        <w:spacing w:before="240" w:after="120"/>
        <w:rPr>
          <w:rFonts w:ascii="Verdana" w:hAnsi="Verdana"/>
          <w:sz w:val="14"/>
          <w:szCs w:val="14"/>
        </w:rPr>
      </w:pPr>
      <w:r w:rsidRPr="00383392">
        <w:rPr>
          <w:rFonts w:ascii="Verdana" w:hAnsi="Verdana"/>
          <w:b/>
          <w:sz w:val="14"/>
          <w:szCs w:val="14"/>
        </w:rPr>
        <w:lastRenderedPageBreak/>
        <w:t>WYK. 3 SPŁATA ZADŁUŻENIA M.ST. WARSZAWY</w:t>
      </w:r>
      <w:r w:rsidRPr="00383392">
        <w:rPr>
          <w:rFonts w:ascii="Verdana" w:hAnsi="Verdana"/>
          <w:sz w:val="14"/>
          <w:szCs w:val="14"/>
        </w:rPr>
        <w:t xml:space="preserve"> </w:t>
      </w:r>
      <w:r w:rsidRPr="00080104">
        <w:rPr>
          <w:rFonts w:ascii="Verdana" w:hAnsi="Verdana"/>
          <w:b/>
          <w:sz w:val="14"/>
          <w:szCs w:val="14"/>
        </w:rPr>
        <w:t>W RAMACH WPF 202</w:t>
      </w:r>
      <w:r>
        <w:rPr>
          <w:rFonts w:ascii="Verdana" w:hAnsi="Verdana"/>
          <w:b/>
          <w:sz w:val="14"/>
          <w:szCs w:val="14"/>
        </w:rPr>
        <w:t>3</w:t>
      </w:r>
      <w:r w:rsidRPr="00080104">
        <w:rPr>
          <w:rFonts w:ascii="Verdana" w:hAnsi="Verdana"/>
          <w:b/>
          <w:sz w:val="14"/>
          <w:szCs w:val="14"/>
        </w:rPr>
        <w:t>-2050</w:t>
      </w:r>
    </w:p>
    <w:p w:rsidR="008853F1" w:rsidRPr="00383392" w:rsidRDefault="008853F1" w:rsidP="008853F1">
      <w:pPr>
        <w:rPr>
          <w:rFonts w:ascii="Verdana" w:hAnsi="Verdana"/>
          <w:b/>
          <w:noProof/>
          <w:sz w:val="14"/>
          <w:szCs w:val="14"/>
        </w:rPr>
      </w:pPr>
      <w:r>
        <w:rPr>
          <w:rFonts w:ascii="Verdana" w:hAnsi="Verdana"/>
          <w:b/>
          <w:noProof/>
          <w:sz w:val="14"/>
          <w:szCs w:val="14"/>
        </w:rPr>
        <w:drawing>
          <wp:inline distT="0" distB="0" distL="0" distR="0" wp14:anchorId="3F251E9B" wp14:editId="0E13E47F">
            <wp:extent cx="5702300" cy="2671110"/>
            <wp:effectExtent l="0" t="0" r="0"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7988" cy="2697196"/>
                    </a:xfrm>
                    <a:prstGeom prst="rect">
                      <a:avLst/>
                    </a:prstGeom>
                    <a:noFill/>
                  </pic:spPr>
                </pic:pic>
              </a:graphicData>
            </a:graphic>
          </wp:inline>
        </w:drawing>
      </w:r>
    </w:p>
    <w:p w:rsidR="008853F1" w:rsidRPr="00383392" w:rsidRDefault="008853F1" w:rsidP="008853F1">
      <w:pPr>
        <w:spacing w:before="120"/>
        <w:jc w:val="both"/>
        <w:rPr>
          <w:rFonts w:ascii="Verdana" w:hAnsi="Verdana"/>
          <w:iCs/>
          <w:sz w:val="16"/>
          <w:szCs w:val="16"/>
        </w:rPr>
      </w:pPr>
      <w:r w:rsidRPr="00383392">
        <w:rPr>
          <w:rFonts w:ascii="Verdana" w:hAnsi="Verdana"/>
          <w:iCs/>
          <w:sz w:val="16"/>
          <w:szCs w:val="16"/>
        </w:rPr>
        <w:t xml:space="preserve">Charakterystyka planowanego zadłużenia sprzyjać będzie bezpiecznemu rozkładowi rocznych spłat zobowiązań  Miasta. Spłata zadłużenia </w:t>
      </w:r>
      <w:r>
        <w:rPr>
          <w:rFonts w:ascii="Verdana" w:hAnsi="Verdana"/>
          <w:iCs/>
          <w:sz w:val="16"/>
          <w:szCs w:val="16"/>
        </w:rPr>
        <w:t xml:space="preserve">nominalnie </w:t>
      </w:r>
      <w:r w:rsidRPr="00383392">
        <w:rPr>
          <w:rFonts w:ascii="Verdana" w:hAnsi="Verdana"/>
          <w:iCs/>
          <w:sz w:val="16"/>
          <w:szCs w:val="16"/>
        </w:rPr>
        <w:t xml:space="preserve">będzie najwyższa w roku 2030 – </w:t>
      </w:r>
      <w:r>
        <w:rPr>
          <w:rFonts w:ascii="Verdana" w:hAnsi="Verdana"/>
          <w:iCs/>
          <w:sz w:val="16"/>
          <w:szCs w:val="16"/>
        </w:rPr>
        <w:t>715</w:t>
      </w:r>
      <w:r w:rsidRPr="00CB32E5">
        <w:rPr>
          <w:rFonts w:ascii="Verdana" w:hAnsi="Verdana"/>
          <w:iCs/>
          <w:sz w:val="16"/>
          <w:szCs w:val="16"/>
        </w:rPr>
        <w:t xml:space="preserve"> mln zł. Poza spłatą zadłużenia</w:t>
      </w:r>
      <w:r w:rsidRPr="00383392">
        <w:rPr>
          <w:rFonts w:ascii="Verdana" w:hAnsi="Verdana"/>
          <w:iCs/>
          <w:sz w:val="16"/>
          <w:szCs w:val="16"/>
        </w:rPr>
        <w:t xml:space="preserve"> istotne znaczenie posiada rozkład kosztów odsetkowych w poszczególnych latach. W całym okresie 202</w:t>
      </w:r>
      <w:r>
        <w:rPr>
          <w:rFonts w:ascii="Verdana" w:hAnsi="Verdana"/>
          <w:iCs/>
          <w:sz w:val="16"/>
          <w:szCs w:val="16"/>
        </w:rPr>
        <w:t>3</w:t>
      </w:r>
      <w:r w:rsidRPr="00383392">
        <w:rPr>
          <w:rFonts w:ascii="Verdana" w:hAnsi="Verdana"/>
          <w:iCs/>
          <w:sz w:val="16"/>
          <w:szCs w:val="16"/>
        </w:rPr>
        <w:t xml:space="preserve">–2050 nie </w:t>
      </w:r>
      <w:r>
        <w:rPr>
          <w:rFonts w:ascii="Verdana" w:hAnsi="Verdana"/>
          <w:iCs/>
          <w:sz w:val="16"/>
          <w:szCs w:val="16"/>
        </w:rPr>
        <w:t xml:space="preserve">powinny one </w:t>
      </w:r>
      <w:r w:rsidRPr="00383392">
        <w:rPr>
          <w:rFonts w:ascii="Verdana" w:hAnsi="Verdana"/>
          <w:iCs/>
          <w:sz w:val="16"/>
          <w:szCs w:val="16"/>
        </w:rPr>
        <w:t>przekrocz</w:t>
      </w:r>
      <w:r>
        <w:rPr>
          <w:rFonts w:ascii="Verdana" w:hAnsi="Verdana"/>
          <w:iCs/>
          <w:sz w:val="16"/>
          <w:szCs w:val="16"/>
        </w:rPr>
        <w:t>yć</w:t>
      </w:r>
      <w:r w:rsidRPr="00383392">
        <w:rPr>
          <w:rFonts w:ascii="Verdana" w:hAnsi="Verdana"/>
          <w:iCs/>
          <w:sz w:val="16"/>
          <w:szCs w:val="16"/>
        </w:rPr>
        <w:t xml:space="preserve"> </w:t>
      </w:r>
      <w:r w:rsidRPr="00EE37CE">
        <w:rPr>
          <w:rFonts w:ascii="Verdana" w:hAnsi="Verdana"/>
          <w:iCs/>
          <w:sz w:val="16"/>
          <w:szCs w:val="16"/>
        </w:rPr>
        <w:t>2</w:t>
      </w:r>
      <w:r w:rsidRPr="00D2105D">
        <w:rPr>
          <w:rFonts w:ascii="Verdana" w:hAnsi="Verdana"/>
          <w:iCs/>
          <w:sz w:val="16"/>
          <w:szCs w:val="16"/>
        </w:rPr>
        <w:t>%</w:t>
      </w:r>
      <w:r w:rsidRPr="002E1967">
        <w:rPr>
          <w:rFonts w:ascii="Verdana" w:hAnsi="Verdana"/>
          <w:iCs/>
          <w:sz w:val="16"/>
          <w:szCs w:val="16"/>
        </w:rPr>
        <w:t xml:space="preserve"> wydatków</w:t>
      </w:r>
      <w:r w:rsidRPr="00383392">
        <w:rPr>
          <w:rFonts w:ascii="Verdana" w:hAnsi="Verdana"/>
          <w:iCs/>
          <w:sz w:val="16"/>
          <w:szCs w:val="16"/>
        </w:rPr>
        <w:t xml:space="preserve"> budżetowych (średnio </w:t>
      </w:r>
      <w:r w:rsidRPr="00EE37CE">
        <w:rPr>
          <w:rFonts w:ascii="Verdana" w:hAnsi="Verdana"/>
          <w:iCs/>
          <w:sz w:val="16"/>
          <w:szCs w:val="16"/>
        </w:rPr>
        <w:t>0,</w:t>
      </w:r>
      <w:r w:rsidRPr="00D2105D">
        <w:rPr>
          <w:rFonts w:ascii="Verdana" w:hAnsi="Verdana"/>
          <w:iCs/>
          <w:sz w:val="16"/>
          <w:szCs w:val="16"/>
        </w:rPr>
        <w:t>9%).</w:t>
      </w:r>
      <w:r w:rsidRPr="00383392">
        <w:rPr>
          <w:rFonts w:ascii="Verdana" w:hAnsi="Verdana"/>
          <w:iCs/>
          <w:sz w:val="16"/>
          <w:szCs w:val="16"/>
        </w:rPr>
        <w:t xml:space="preserve"> Rozłożenie obciążeń</w:t>
      </w:r>
      <w:r>
        <w:rPr>
          <w:rFonts w:ascii="Verdana" w:hAnsi="Verdana"/>
          <w:iCs/>
          <w:sz w:val="16"/>
          <w:szCs w:val="16"/>
        </w:rPr>
        <w:t xml:space="preserve"> z tytułu spłaty kapitału oraz odsetek </w:t>
      </w:r>
      <w:r w:rsidRPr="00383392">
        <w:rPr>
          <w:rFonts w:ascii="Verdana" w:hAnsi="Verdana"/>
          <w:iCs/>
          <w:sz w:val="16"/>
          <w:szCs w:val="16"/>
        </w:rPr>
        <w:t xml:space="preserve">na poszczególne lata prognozy sprzyja stabilności finansowej Miasta w ramach realizowanego harmonijnego rozwoju oraz zabezpiecza je przed ryzykiem przekroczenia </w:t>
      </w:r>
      <w:r w:rsidRPr="00383392">
        <w:rPr>
          <w:rFonts w:ascii="Verdana" w:hAnsi="Verdana"/>
          <w:sz w:val="16"/>
          <w:szCs w:val="16"/>
        </w:rPr>
        <w:t>ustawowo</w:t>
      </w:r>
      <w:r w:rsidRPr="00383392">
        <w:rPr>
          <w:rFonts w:ascii="Verdana" w:hAnsi="Verdana"/>
          <w:iCs/>
          <w:sz w:val="16"/>
          <w:szCs w:val="16"/>
        </w:rPr>
        <w:t xml:space="preserve"> wyznacz</w:t>
      </w:r>
      <w:r>
        <w:rPr>
          <w:rFonts w:ascii="Verdana" w:hAnsi="Verdana"/>
          <w:iCs/>
          <w:sz w:val="16"/>
          <w:szCs w:val="16"/>
        </w:rPr>
        <w:t>a</w:t>
      </w:r>
      <w:r w:rsidRPr="00383392">
        <w:rPr>
          <w:rFonts w:ascii="Verdana" w:hAnsi="Verdana"/>
          <w:iCs/>
          <w:sz w:val="16"/>
          <w:szCs w:val="16"/>
        </w:rPr>
        <w:t>nego limitu.</w:t>
      </w:r>
    </w:p>
    <w:p w:rsidR="008853F1" w:rsidRDefault="008853F1" w:rsidP="008853F1">
      <w:pPr>
        <w:spacing w:before="120"/>
        <w:jc w:val="both"/>
        <w:rPr>
          <w:rFonts w:ascii="Verdana" w:hAnsi="Verdana"/>
          <w:sz w:val="16"/>
          <w:szCs w:val="16"/>
        </w:rPr>
      </w:pPr>
      <w:r w:rsidRPr="00383392">
        <w:rPr>
          <w:rFonts w:ascii="Verdana" w:hAnsi="Verdana"/>
          <w:sz w:val="16"/>
          <w:szCs w:val="16"/>
        </w:rPr>
        <w:t xml:space="preserve">Wykres nr 4 </w:t>
      </w:r>
      <w:r>
        <w:rPr>
          <w:rFonts w:ascii="Verdana" w:hAnsi="Verdana"/>
          <w:sz w:val="16"/>
          <w:szCs w:val="16"/>
        </w:rPr>
        <w:t>prezentuje</w:t>
      </w:r>
      <w:r w:rsidRPr="00383392">
        <w:rPr>
          <w:rFonts w:ascii="Verdana" w:hAnsi="Verdana"/>
          <w:sz w:val="16"/>
          <w:szCs w:val="16"/>
        </w:rPr>
        <w:t xml:space="preserve"> udział płatności rat kapitałowych i odsetek do dochodów bieżących Miasta w relacji do limitu wyznaczanego ustawowo (art.</w:t>
      </w:r>
      <w:r>
        <w:rPr>
          <w:rFonts w:ascii="Verdana" w:hAnsi="Verdana"/>
          <w:sz w:val="16"/>
          <w:szCs w:val="16"/>
        </w:rPr>
        <w:t xml:space="preserve"> </w:t>
      </w:r>
      <w:r w:rsidRPr="00383392">
        <w:rPr>
          <w:rFonts w:ascii="Verdana" w:hAnsi="Verdana"/>
          <w:sz w:val="16"/>
          <w:szCs w:val="16"/>
        </w:rPr>
        <w:t xml:space="preserve">243 </w:t>
      </w:r>
      <w:r w:rsidRPr="008A7E2E">
        <w:rPr>
          <w:rFonts w:ascii="Verdana" w:hAnsi="Verdana"/>
          <w:iCs/>
          <w:sz w:val="16"/>
          <w:szCs w:val="16"/>
        </w:rPr>
        <w:t>ustawy o finansach publicznych</w:t>
      </w:r>
      <w:r w:rsidRPr="00383392">
        <w:rPr>
          <w:rFonts w:ascii="Verdana" w:hAnsi="Verdana"/>
          <w:sz w:val="16"/>
          <w:szCs w:val="16"/>
        </w:rPr>
        <w:t xml:space="preserve">). Wielkości uwzględniają prognozowane wyłączenia ze wskaźnika obsługi zadłużenia. </w:t>
      </w:r>
      <w:r w:rsidRPr="00F87313">
        <w:rPr>
          <w:rFonts w:ascii="Verdana" w:hAnsi="Verdana"/>
          <w:sz w:val="16"/>
          <w:szCs w:val="16"/>
        </w:rPr>
        <w:t xml:space="preserve">W roku </w:t>
      </w:r>
      <w:r>
        <w:rPr>
          <w:rFonts w:ascii="Verdana" w:hAnsi="Verdana"/>
          <w:sz w:val="16"/>
          <w:szCs w:val="16"/>
        </w:rPr>
        <w:t xml:space="preserve">2027 </w:t>
      </w:r>
      <w:r w:rsidRPr="00F87313">
        <w:rPr>
          <w:rFonts w:ascii="Verdana" w:hAnsi="Verdana"/>
          <w:sz w:val="16"/>
          <w:szCs w:val="16"/>
        </w:rPr>
        <w:t>przestrzeń pomiędzy limitem a wskaźnikiem obsługi zadłużenia</w:t>
      </w:r>
      <w:r w:rsidRPr="00383392">
        <w:rPr>
          <w:rFonts w:ascii="Verdana" w:hAnsi="Verdana"/>
          <w:sz w:val="16"/>
          <w:szCs w:val="16"/>
        </w:rPr>
        <w:t xml:space="preserve"> będzie najniższa w całym okresie objętym WPF. Główną przyczyną zawęż</w:t>
      </w:r>
      <w:r>
        <w:rPr>
          <w:rFonts w:ascii="Verdana" w:hAnsi="Verdana"/>
          <w:sz w:val="16"/>
          <w:szCs w:val="16"/>
        </w:rPr>
        <w:t>a</w:t>
      </w:r>
      <w:r w:rsidRPr="00383392">
        <w:rPr>
          <w:rFonts w:ascii="Verdana" w:hAnsi="Verdana"/>
          <w:sz w:val="16"/>
          <w:szCs w:val="16"/>
        </w:rPr>
        <w:t xml:space="preserve">nia limitu do wskaźnika obsługi długu </w:t>
      </w:r>
      <w:r>
        <w:rPr>
          <w:rFonts w:ascii="Verdana" w:hAnsi="Verdana"/>
          <w:sz w:val="16"/>
          <w:szCs w:val="16"/>
        </w:rPr>
        <w:t xml:space="preserve">w latach 2023-2028 jest oczekiwane </w:t>
      </w:r>
      <w:r w:rsidRPr="00383392">
        <w:rPr>
          <w:rFonts w:ascii="Verdana" w:hAnsi="Verdana"/>
          <w:sz w:val="16"/>
          <w:szCs w:val="16"/>
        </w:rPr>
        <w:t>pogorszeni</w:t>
      </w:r>
      <w:r>
        <w:rPr>
          <w:rFonts w:ascii="Verdana" w:hAnsi="Verdana"/>
          <w:sz w:val="16"/>
          <w:szCs w:val="16"/>
        </w:rPr>
        <w:t>e</w:t>
      </w:r>
      <w:r w:rsidRPr="00383392">
        <w:rPr>
          <w:rFonts w:ascii="Verdana" w:hAnsi="Verdana"/>
          <w:sz w:val="16"/>
          <w:szCs w:val="16"/>
        </w:rPr>
        <w:t xml:space="preserve"> stanu finansów </w:t>
      </w:r>
      <w:r>
        <w:rPr>
          <w:rFonts w:ascii="Verdana" w:hAnsi="Verdana"/>
          <w:sz w:val="16"/>
          <w:szCs w:val="16"/>
        </w:rPr>
        <w:t>podsektora samorządowego</w:t>
      </w:r>
      <w:r w:rsidRPr="00383392">
        <w:rPr>
          <w:rFonts w:ascii="Verdana" w:hAnsi="Verdana"/>
          <w:sz w:val="16"/>
          <w:szCs w:val="16"/>
        </w:rPr>
        <w:t xml:space="preserve">, </w:t>
      </w:r>
      <w:r>
        <w:rPr>
          <w:rFonts w:ascii="Verdana" w:hAnsi="Verdana"/>
          <w:sz w:val="16"/>
          <w:szCs w:val="16"/>
        </w:rPr>
        <w:br/>
      </w:r>
      <w:r w:rsidRPr="00383392">
        <w:rPr>
          <w:rFonts w:ascii="Verdana" w:hAnsi="Verdana"/>
          <w:sz w:val="16"/>
          <w:szCs w:val="16"/>
        </w:rPr>
        <w:t xml:space="preserve">w tym także finansów m.st. Warszawy, na skutek </w:t>
      </w:r>
      <w:r>
        <w:rPr>
          <w:rFonts w:ascii="Verdana" w:hAnsi="Verdana"/>
          <w:sz w:val="16"/>
          <w:szCs w:val="16"/>
        </w:rPr>
        <w:t xml:space="preserve">zmian regulacyjnych w zakresie dochodów JST (zwłaszcza </w:t>
      </w:r>
      <w:r>
        <w:rPr>
          <w:rFonts w:ascii="Verdana" w:hAnsi="Verdana"/>
          <w:sz w:val="16"/>
          <w:szCs w:val="16"/>
        </w:rPr>
        <w:br/>
        <w:t>w obszarze udziału w dochodach z PIT), wysokiego poziomu inflacji i w konsekwencji wzrostu kosztów finansowania</w:t>
      </w:r>
      <w:r w:rsidRPr="00383392">
        <w:rPr>
          <w:rFonts w:ascii="Verdana" w:hAnsi="Verdana"/>
          <w:sz w:val="16"/>
          <w:szCs w:val="16"/>
        </w:rPr>
        <w:t xml:space="preserve"> </w:t>
      </w:r>
      <w:r>
        <w:rPr>
          <w:rFonts w:ascii="Verdana" w:hAnsi="Verdana"/>
          <w:sz w:val="16"/>
          <w:szCs w:val="16"/>
        </w:rPr>
        <w:t xml:space="preserve">oraz </w:t>
      </w:r>
      <w:r w:rsidRPr="00383392">
        <w:rPr>
          <w:rFonts w:ascii="Verdana" w:hAnsi="Verdana"/>
          <w:sz w:val="16"/>
          <w:szCs w:val="16"/>
        </w:rPr>
        <w:t xml:space="preserve">społecznych i gospodarczych </w:t>
      </w:r>
      <w:r>
        <w:rPr>
          <w:rFonts w:ascii="Verdana" w:hAnsi="Verdana"/>
          <w:sz w:val="16"/>
          <w:szCs w:val="16"/>
        </w:rPr>
        <w:t xml:space="preserve">konsekwencji </w:t>
      </w:r>
      <w:r w:rsidRPr="00383392">
        <w:rPr>
          <w:rFonts w:ascii="Verdana" w:hAnsi="Verdana"/>
          <w:sz w:val="16"/>
          <w:szCs w:val="16"/>
        </w:rPr>
        <w:t>spowodowanych</w:t>
      </w:r>
      <w:r>
        <w:rPr>
          <w:rFonts w:ascii="Verdana" w:hAnsi="Verdana"/>
          <w:sz w:val="16"/>
          <w:szCs w:val="16"/>
        </w:rPr>
        <w:t xml:space="preserve"> agresją Rosji na Ukrainę</w:t>
      </w:r>
      <w:r w:rsidRPr="00383392">
        <w:rPr>
          <w:rFonts w:ascii="Verdana" w:hAnsi="Verdana"/>
          <w:sz w:val="16"/>
          <w:szCs w:val="16"/>
        </w:rPr>
        <w:t xml:space="preserve">. </w:t>
      </w:r>
      <w:r>
        <w:rPr>
          <w:rFonts w:ascii="Verdana" w:hAnsi="Verdana"/>
          <w:sz w:val="16"/>
          <w:szCs w:val="16"/>
        </w:rPr>
        <w:t xml:space="preserve">Czynniki te mają wpływ na </w:t>
      </w:r>
      <w:r w:rsidRPr="00383392">
        <w:rPr>
          <w:rFonts w:ascii="Verdana" w:hAnsi="Verdana"/>
          <w:sz w:val="16"/>
          <w:szCs w:val="16"/>
        </w:rPr>
        <w:t>prognoz</w:t>
      </w:r>
      <w:r>
        <w:rPr>
          <w:rFonts w:ascii="Verdana" w:hAnsi="Verdana"/>
          <w:sz w:val="16"/>
          <w:szCs w:val="16"/>
        </w:rPr>
        <w:t>owany</w:t>
      </w:r>
      <w:r w:rsidRPr="00383392">
        <w:rPr>
          <w:rFonts w:ascii="Verdana" w:hAnsi="Verdana"/>
          <w:sz w:val="16"/>
          <w:szCs w:val="16"/>
        </w:rPr>
        <w:t xml:space="preserve"> znaczny ubytek dochodów bieżących przy jednoczesnym wzroście wydatków bieżących (stanowiących element limitu obsługi długu)</w:t>
      </w:r>
      <w:r>
        <w:rPr>
          <w:rFonts w:ascii="Verdana" w:hAnsi="Verdana"/>
          <w:sz w:val="16"/>
          <w:szCs w:val="16"/>
        </w:rPr>
        <w:t xml:space="preserve"> oraz </w:t>
      </w:r>
      <w:r w:rsidRPr="00383392">
        <w:rPr>
          <w:rFonts w:ascii="Verdana" w:hAnsi="Verdana"/>
          <w:sz w:val="16"/>
          <w:szCs w:val="16"/>
        </w:rPr>
        <w:t xml:space="preserve">zmniejszenie limitu i ograniczenie zdolności kredytowej, mierzonej jako różnica między limitem a wskaźnikiem obsługi długu. </w:t>
      </w:r>
    </w:p>
    <w:p w:rsidR="008853F1" w:rsidRPr="00D35878" w:rsidRDefault="008853F1" w:rsidP="00D35878">
      <w:pPr>
        <w:rPr>
          <w:rFonts w:ascii="Verdana" w:hAnsi="Verdana"/>
          <w:sz w:val="16"/>
          <w:szCs w:val="16"/>
        </w:rPr>
      </w:pPr>
      <w:r w:rsidRPr="00D35878">
        <w:rPr>
          <w:rFonts w:ascii="Verdana" w:hAnsi="Verdana"/>
          <w:sz w:val="16"/>
          <w:szCs w:val="16"/>
        </w:rPr>
        <w:t>M.st. Warszawa, przy ustalaniu relacji wynikającej z art. 243 ustawy o finansach publicznych na lata 2022-2025, do obliczania nadwyżki operacyjnej stosuje 7-letnią średnią arytmetyczną.</w:t>
      </w:r>
    </w:p>
    <w:p w:rsidR="008853F1" w:rsidRPr="00D35878" w:rsidRDefault="008853F1" w:rsidP="00D35878">
      <w:pPr>
        <w:rPr>
          <w:rFonts w:ascii="Verdana" w:hAnsi="Verdana"/>
          <w:sz w:val="16"/>
          <w:szCs w:val="16"/>
        </w:rPr>
      </w:pPr>
      <w:r w:rsidRPr="00D35878">
        <w:rPr>
          <w:rFonts w:ascii="Verdana" w:hAnsi="Verdana"/>
          <w:sz w:val="16"/>
          <w:szCs w:val="16"/>
        </w:rPr>
        <w:t xml:space="preserve">Ustawa o zmianie ustawy o dochodach jednostek samorządu terytorialnego oraz niektórych innych ustaw, z 15 września 2022 r., wprowadziła nowe regulacje w zakresie indywidualnego limitu spłaty zobowiązań. Relacja wynikająca z art. 243 ustawy o finansach publicznych w latach 2023-2025 została zawieszona, pod warunkiem spełnienia przez JST określonych wymogów określonych w ustawie. Nowy mechanizm przewiduje możliwość niezachowania przez JST w latach 2023–2025 indywidualnego limitu spłaty zobowiązań, o którym mowa </w:t>
      </w:r>
      <w:r w:rsidRPr="00D35878">
        <w:rPr>
          <w:rFonts w:ascii="Verdana" w:hAnsi="Verdana"/>
          <w:sz w:val="16"/>
          <w:szCs w:val="16"/>
        </w:rPr>
        <w:br/>
        <w:t xml:space="preserve">w art. 243 ustawy o finansach publicznych, pod warunkiem, że prognozowana łączna kwota długu jednostki na koniec danego roku nie przekroczy 100% planowanych dochodów ogółem, pomniejszonych o planowane kwoty dotacji i środków o podobnym charakterze oraz powiększonych o przychody z tytułów określonych w art. 217 </w:t>
      </w:r>
      <w:r w:rsidRPr="00D35878">
        <w:rPr>
          <w:rFonts w:ascii="Verdana" w:hAnsi="Verdana"/>
          <w:sz w:val="16"/>
          <w:szCs w:val="16"/>
        </w:rPr>
        <w:br/>
        <w:t>ust. 2 pkt 4–8 ustawy o finansach publicznych nieprzeznaczone na sfinansowanie deficytu budżetowego. Niezachowanie ww. relacji nie może zagrażać realizacji zadań publicznych w danym roku budżetowym i latach następnych.</w:t>
      </w:r>
    </w:p>
    <w:p w:rsidR="00D35878" w:rsidRDefault="008853F1" w:rsidP="00D35878">
      <w:pPr>
        <w:rPr>
          <w:rFonts w:ascii="Verdana" w:hAnsi="Verdana"/>
          <w:sz w:val="16"/>
          <w:szCs w:val="16"/>
        </w:rPr>
      </w:pPr>
      <w:r w:rsidRPr="00D35878">
        <w:rPr>
          <w:rFonts w:ascii="Verdana" w:hAnsi="Verdana"/>
          <w:sz w:val="16"/>
          <w:szCs w:val="16"/>
        </w:rPr>
        <w:lastRenderedPageBreak/>
        <w:t xml:space="preserve">Nowe regulacje nie mają wpływu na sytuację finansową Warszawy ponieważ w latach 2023-2025, tj. w okresie kiedy obowiązuje zawieszenie relacji wynikającej z art. 243 ustawy o finansach publicznych, m.st. Warszawa utrzyma znaczny bufor pomiędzy dopuszczalnym limitem a wskaźnikiem obsługi zadłużenia. Zawężanie przestrzeni pomiędzy ustawowym limitem a wskaźnikiem obsługi długu, m.in. na skutek zmian regulacyjnych </w:t>
      </w:r>
      <w:r w:rsidRPr="00D35878">
        <w:rPr>
          <w:rFonts w:ascii="Verdana" w:hAnsi="Verdana"/>
          <w:sz w:val="16"/>
          <w:szCs w:val="16"/>
        </w:rPr>
        <w:br/>
        <w:t>w zakresie dochodów JST, prognozowane jest natomiast dla okresu 2026-2027 (wykres 4).</w:t>
      </w:r>
    </w:p>
    <w:p w:rsidR="00D35878" w:rsidRDefault="00D35878" w:rsidP="00D35878">
      <w:pPr>
        <w:rPr>
          <w:rFonts w:ascii="Verdana" w:hAnsi="Verdana"/>
          <w:sz w:val="16"/>
          <w:szCs w:val="16"/>
        </w:rPr>
      </w:pPr>
    </w:p>
    <w:p w:rsidR="008853F1" w:rsidRDefault="008853F1" w:rsidP="008853F1">
      <w:pPr>
        <w:spacing w:before="240" w:after="120" w:line="288" w:lineRule="auto"/>
        <w:rPr>
          <w:noProof/>
        </w:rPr>
      </w:pPr>
      <w:r w:rsidRPr="00383392">
        <w:rPr>
          <w:rFonts w:ascii="Verdana" w:hAnsi="Verdana"/>
          <w:b/>
          <w:sz w:val="14"/>
          <w:szCs w:val="14"/>
        </w:rPr>
        <w:t xml:space="preserve">WYK. 4 PORÓWNANIE WSKAŹNIKA OBSŁUGI DŁUGU I DOPUSZCZALNEGO LIMITU OBSŁUGI DŁUGU MIASTA </w:t>
      </w:r>
      <w:r w:rsidRPr="00383392">
        <w:rPr>
          <w:rFonts w:ascii="Verdana" w:hAnsi="Verdana"/>
          <w:b/>
          <w:sz w:val="14"/>
          <w:szCs w:val="14"/>
        </w:rPr>
        <w:br/>
        <w:t xml:space="preserve">            Z UWZGLĘDNIENIEM USTAWOWYCH WYŁĄCZEŃ</w:t>
      </w:r>
      <w:r w:rsidRPr="002458C2">
        <w:rPr>
          <w:noProof/>
        </w:rPr>
        <w:t xml:space="preserve"> </w:t>
      </w:r>
    </w:p>
    <w:p w:rsidR="008853F1" w:rsidRDefault="008853F1" w:rsidP="008853F1">
      <w:pPr>
        <w:spacing w:before="240" w:after="120" w:line="288" w:lineRule="auto"/>
        <w:rPr>
          <w:noProof/>
        </w:rPr>
      </w:pPr>
      <w:r>
        <w:rPr>
          <w:noProof/>
        </w:rPr>
        <w:drawing>
          <wp:inline distT="0" distB="0" distL="0" distR="0" wp14:anchorId="2C319ADA" wp14:editId="060E7850">
            <wp:extent cx="5500480" cy="3105150"/>
            <wp:effectExtent l="0" t="0" r="5080" b="0"/>
            <wp:docPr id="104" name="Wykres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noProof/>
        </w:rPr>
        <w:br w:type="page"/>
      </w:r>
    </w:p>
    <w:p w:rsidR="008853F1" w:rsidRPr="00383392" w:rsidRDefault="008853F1" w:rsidP="008853F1">
      <w:pPr>
        <w:numPr>
          <w:ilvl w:val="0"/>
          <w:numId w:val="70"/>
        </w:numPr>
        <w:spacing w:before="360" w:line="312" w:lineRule="auto"/>
        <w:ind w:left="397" w:hanging="397"/>
        <w:jc w:val="both"/>
        <w:rPr>
          <w:rFonts w:ascii="Verdana" w:hAnsi="Verdana"/>
          <w:b/>
        </w:rPr>
      </w:pPr>
      <w:bookmarkStart w:id="11" w:name="bookmark7"/>
      <w:r w:rsidRPr="00383392">
        <w:rPr>
          <w:rFonts w:ascii="Verdana" w:hAnsi="Verdana"/>
          <w:b/>
        </w:rPr>
        <w:lastRenderedPageBreak/>
        <w:t>Ocena ryzyka związanego z długiem m.st. Warszawy</w:t>
      </w:r>
      <w:bookmarkEnd w:id="11"/>
    </w:p>
    <w:p w:rsidR="008853F1" w:rsidRPr="00383392" w:rsidRDefault="008853F1" w:rsidP="008853F1">
      <w:pPr>
        <w:numPr>
          <w:ilvl w:val="0"/>
          <w:numId w:val="41"/>
        </w:numPr>
        <w:spacing w:before="240"/>
        <w:ind w:left="360"/>
        <w:jc w:val="both"/>
        <w:rPr>
          <w:rFonts w:ascii="Verdana" w:hAnsi="Verdana"/>
          <w:sz w:val="16"/>
          <w:szCs w:val="16"/>
        </w:rPr>
      </w:pPr>
      <w:r w:rsidRPr="00383392">
        <w:rPr>
          <w:rFonts w:ascii="Verdana" w:hAnsi="Verdana"/>
          <w:b/>
          <w:sz w:val="16"/>
          <w:szCs w:val="16"/>
        </w:rPr>
        <w:t>Ryzyko stóp procentowych</w:t>
      </w:r>
      <w:r w:rsidRPr="00383392">
        <w:rPr>
          <w:rFonts w:ascii="Verdana" w:hAnsi="Verdana"/>
          <w:sz w:val="16"/>
          <w:szCs w:val="16"/>
        </w:rPr>
        <w:t xml:space="preserve"> </w:t>
      </w:r>
      <w:r>
        <w:rPr>
          <w:rFonts w:ascii="Verdana" w:hAnsi="Verdana"/>
          <w:sz w:val="16"/>
          <w:szCs w:val="16"/>
        </w:rPr>
        <w:t xml:space="preserve">– </w:t>
      </w:r>
      <w:r>
        <w:rPr>
          <w:rFonts w:ascii="Verdana" w:hAnsi="Verdana"/>
          <w:sz w:val="16"/>
          <w:szCs w:val="16"/>
          <w:shd w:val="clear" w:color="auto" w:fill="FFFFFF" w:themeFill="background1"/>
        </w:rPr>
        <w:t>u</w:t>
      </w:r>
      <w:r w:rsidRPr="00383392">
        <w:rPr>
          <w:rFonts w:ascii="Verdana" w:hAnsi="Verdana"/>
          <w:sz w:val="16"/>
          <w:szCs w:val="16"/>
          <w:shd w:val="clear" w:color="auto" w:fill="FFFFFF" w:themeFill="background1"/>
        </w:rPr>
        <w:t xml:space="preserve">dział </w:t>
      </w:r>
      <w:r w:rsidRPr="00383392">
        <w:rPr>
          <w:rFonts w:ascii="Verdana" w:hAnsi="Verdana"/>
          <w:sz w:val="16"/>
          <w:szCs w:val="16"/>
        </w:rPr>
        <w:t xml:space="preserve">zobowiązań Miasta opartych o </w:t>
      </w:r>
      <w:r w:rsidRPr="00383392">
        <w:rPr>
          <w:rFonts w:ascii="Verdana" w:hAnsi="Verdana"/>
          <w:sz w:val="16"/>
          <w:szCs w:val="16"/>
          <w:shd w:val="clear" w:color="auto" w:fill="FFFFFF" w:themeFill="background1"/>
        </w:rPr>
        <w:t xml:space="preserve">zmienną stopę procentową na koniec </w:t>
      </w:r>
      <w:r>
        <w:rPr>
          <w:rFonts w:ascii="Verdana" w:hAnsi="Verdana"/>
          <w:sz w:val="16"/>
          <w:szCs w:val="16"/>
          <w:shd w:val="clear" w:color="auto" w:fill="FFFFFF" w:themeFill="background1"/>
        </w:rPr>
        <w:t>września</w:t>
      </w:r>
      <w:r w:rsidRPr="00383392">
        <w:rPr>
          <w:rFonts w:ascii="Verdana" w:hAnsi="Verdana"/>
          <w:sz w:val="16"/>
          <w:szCs w:val="16"/>
          <w:shd w:val="clear" w:color="auto" w:fill="FFFFFF" w:themeFill="background1"/>
        </w:rPr>
        <w:t xml:space="preserve"> 202</w:t>
      </w:r>
      <w:r>
        <w:rPr>
          <w:rFonts w:ascii="Verdana" w:hAnsi="Verdana"/>
          <w:sz w:val="16"/>
          <w:szCs w:val="16"/>
          <w:shd w:val="clear" w:color="auto" w:fill="FFFFFF" w:themeFill="background1"/>
        </w:rPr>
        <w:t>2</w:t>
      </w:r>
      <w:r w:rsidRPr="00383392">
        <w:rPr>
          <w:rFonts w:ascii="Verdana" w:hAnsi="Verdana"/>
          <w:sz w:val="16"/>
          <w:szCs w:val="16"/>
          <w:shd w:val="clear" w:color="auto" w:fill="FFFFFF" w:themeFill="background1"/>
        </w:rPr>
        <w:t xml:space="preserve">r. wynosił </w:t>
      </w:r>
      <w:r>
        <w:rPr>
          <w:rFonts w:ascii="Verdana" w:hAnsi="Verdana"/>
          <w:sz w:val="16"/>
          <w:szCs w:val="16"/>
          <w:shd w:val="clear" w:color="auto" w:fill="FFFFFF" w:themeFill="background1"/>
        </w:rPr>
        <w:t>31</w:t>
      </w:r>
      <w:r w:rsidRPr="00383392">
        <w:rPr>
          <w:rFonts w:ascii="Verdana" w:hAnsi="Verdana"/>
          <w:sz w:val="16"/>
          <w:szCs w:val="16"/>
          <w:shd w:val="clear" w:color="auto" w:fill="FFFFFF" w:themeFill="background1"/>
        </w:rPr>
        <w:t>%.</w:t>
      </w:r>
      <w:r w:rsidRPr="00383392">
        <w:rPr>
          <w:rFonts w:ascii="Verdana" w:hAnsi="Verdana"/>
          <w:noProof/>
          <w:sz w:val="16"/>
          <w:szCs w:val="16"/>
          <w:shd w:val="clear" w:color="auto" w:fill="FFFFFF" w:themeFill="background1"/>
        </w:rPr>
        <w:t xml:space="preserve"> Udział tych</w:t>
      </w:r>
      <w:r w:rsidRPr="00383392">
        <w:rPr>
          <w:rFonts w:ascii="Verdana" w:hAnsi="Verdana"/>
          <w:sz w:val="16"/>
          <w:szCs w:val="16"/>
        </w:rPr>
        <w:t xml:space="preserve"> zobowiązań</w:t>
      </w:r>
      <w:r w:rsidRPr="00383392">
        <w:rPr>
          <w:rFonts w:ascii="Verdana" w:hAnsi="Verdana"/>
          <w:sz w:val="16"/>
          <w:szCs w:val="16"/>
          <w:shd w:val="clear" w:color="auto" w:fill="FFFFFF" w:themeFill="background1"/>
        </w:rPr>
        <w:t xml:space="preserve"> w najbliższych latach pozostanie poniżej poziomu 50%, a tym samym ryzyko</w:t>
      </w:r>
      <w:r w:rsidRPr="00383392">
        <w:rPr>
          <w:rFonts w:ascii="Verdana" w:hAnsi="Verdana"/>
          <w:sz w:val="16"/>
          <w:szCs w:val="16"/>
        </w:rPr>
        <w:t xml:space="preserve"> stopy procentowej pozostanie</w:t>
      </w:r>
      <w:r>
        <w:rPr>
          <w:rFonts w:ascii="Verdana" w:hAnsi="Verdana"/>
          <w:sz w:val="16"/>
          <w:szCs w:val="16"/>
        </w:rPr>
        <w:t xml:space="preserve"> </w:t>
      </w:r>
      <w:r w:rsidRPr="00383392">
        <w:rPr>
          <w:rFonts w:ascii="Verdana" w:hAnsi="Verdana"/>
          <w:sz w:val="16"/>
          <w:szCs w:val="16"/>
        </w:rPr>
        <w:t>ograniczone.</w:t>
      </w:r>
      <w:r>
        <w:rPr>
          <w:rFonts w:ascii="Verdana" w:hAnsi="Verdana"/>
          <w:sz w:val="16"/>
          <w:szCs w:val="16"/>
        </w:rPr>
        <w:t xml:space="preserve"> Zobowiązania oparte o zmienną stopę procentową obejmują kredyty zaciągnięte w BRRE w latach 2005-2021, kredyty z EBI zaciągnięte w latach 2004-2009 oraz obligacje wyemitowane w 2020 r. </w:t>
      </w:r>
      <w:r w:rsidRPr="00A81447">
        <w:rPr>
          <w:rFonts w:ascii="Verdana" w:hAnsi="Verdana"/>
          <w:sz w:val="16"/>
          <w:szCs w:val="16"/>
        </w:rPr>
        <w:t xml:space="preserve">Z analizy wrażliwości wynika, że wzrost stawki WIBOR </w:t>
      </w:r>
      <w:r>
        <w:rPr>
          <w:rFonts w:ascii="Verdana" w:hAnsi="Verdana"/>
          <w:sz w:val="16"/>
          <w:szCs w:val="16"/>
        </w:rPr>
        <w:br/>
      </w:r>
      <w:r w:rsidRPr="00A81447">
        <w:rPr>
          <w:rFonts w:ascii="Verdana" w:hAnsi="Verdana"/>
          <w:sz w:val="16"/>
          <w:szCs w:val="16"/>
        </w:rPr>
        <w:t>o 1 punkt procentowy spowoduje wzrost kosztu obsługi obecnego długu w 2023 r. o 16,5 mln zł.</w:t>
      </w:r>
      <w:r>
        <w:rPr>
          <w:rFonts w:ascii="Verdana" w:hAnsi="Verdana"/>
          <w:sz w:val="16"/>
          <w:szCs w:val="16"/>
        </w:rPr>
        <w:t xml:space="preserve"> </w:t>
      </w:r>
      <w:r w:rsidRPr="00383392">
        <w:rPr>
          <w:rFonts w:ascii="Verdana" w:hAnsi="Verdana"/>
          <w:sz w:val="16"/>
          <w:szCs w:val="16"/>
        </w:rPr>
        <w:t>Z</w:t>
      </w:r>
      <w:r>
        <w:rPr>
          <w:rFonts w:ascii="Verdana" w:hAnsi="Verdana"/>
          <w:sz w:val="16"/>
          <w:szCs w:val="16"/>
        </w:rPr>
        <w:t> </w:t>
      </w:r>
      <w:r w:rsidRPr="00383392">
        <w:rPr>
          <w:rFonts w:ascii="Verdana" w:hAnsi="Verdana"/>
          <w:sz w:val="16"/>
          <w:szCs w:val="16"/>
        </w:rPr>
        <w:t>poziomem stopy procentowej skorelowane są dochody Miasta z loko</w:t>
      </w:r>
      <w:r>
        <w:rPr>
          <w:rFonts w:ascii="Verdana" w:hAnsi="Verdana"/>
          <w:sz w:val="16"/>
          <w:szCs w:val="16"/>
        </w:rPr>
        <w:t>wania okresowo wolnych środków. Skutkiem wzrostu stóp rynkowych będą również wyższe wpływy z tytułu lokowania wolnych środków, rekompensujące wyższy koszt obsługi zadłużenia zaciągniętego na stopę zmienną</w:t>
      </w:r>
      <w:r w:rsidRPr="00383392">
        <w:rPr>
          <w:rFonts w:ascii="Verdana" w:hAnsi="Verdana"/>
          <w:sz w:val="16"/>
          <w:szCs w:val="16"/>
        </w:rPr>
        <w:t>.</w:t>
      </w:r>
      <w:r>
        <w:rPr>
          <w:rFonts w:ascii="Verdana" w:hAnsi="Verdana"/>
          <w:sz w:val="16"/>
          <w:szCs w:val="16"/>
        </w:rPr>
        <w:t xml:space="preserve"> </w:t>
      </w:r>
    </w:p>
    <w:p w:rsidR="008853F1" w:rsidRPr="00383392" w:rsidRDefault="008853F1" w:rsidP="008853F1">
      <w:pPr>
        <w:numPr>
          <w:ilvl w:val="0"/>
          <w:numId w:val="41"/>
        </w:numPr>
        <w:spacing w:before="120"/>
        <w:ind w:left="284" w:hanging="284"/>
        <w:jc w:val="both"/>
        <w:rPr>
          <w:rFonts w:ascii="Verdana" w:hAnsi="Verdana"/>
          <w:sz w:val="16"/>
          <w:szCs w:val="16"/>
        </w:rPr>
      </w:pPr>
      <w:r w:rsidRPr="00383392">
        <w:rPr>
          <w:rFonts w:ascii="Verdana" w:hAnsi="Verdana"/>
          <w:b/>
          <w:sz w:val="16"/>
          <w:szCs w:val="16"/>
        </w:rPr>
        <w:t>Ryzyko walutowe</w:t>
      </w:r>
      <w:r w:rsidRPr="00383392">
        <w:rPr>
          <w:rFonts w:ascii="Verdana" w:hAnsi="Verdana"/>
          <w:sz w:val="16"/>
          <w:szCs w:val="16"/>
        </w:rPr>
        <w:t xml:space="preserve"> –</w:t>
      </w:r>
      <w:r>
        <w:rPr>
          <w:rFonts w:ascii="Verdana" w:hAnsi="Verdana"/>
          <w:sz w:val="16"/>
          <w:szCs w:val="16"/>
        </w:rPr>
        <w:t xml:space="preserve"> w grudniu 2020 r. oraz w grudniu 2021 r. zostało zaciągnięte zadłużenie w walucie obcej o zerowym oprocentowaniu w łącznej  kwocie 134 mln euro </w:t>
      </w:r>
      <w:r w:rsidRPr="002B68EB">
        <w:rPr>
          <w:rFonts w:ascii="Verdana" w:hAnsi="Verdana"/>
          <w:sz w:val="16"/>
          <w:szCs w:val="16"/>
        </w:rPr>
        <w:t xml:space="preserve">(na koniec </w:t>
      </w:r>
      <w:r>
        <w:rPr>
          <w:rFonts w:ascii="Verdana" w:hAnsi="Verdana"/>
          <w:sz w:val="16"/>
          <w:szCs w:val="16"/>
        </w:rPr>
        <w:t>września</w:t>
      </w:r>
      <w:r w:rsidRPr="002B68EB">
        <w:rPr>
          <w:rFonts w:ascii="Verdana" w:hAnsi="Verdana"/>
          <w:sz w:val="16"/>
          <w:szCs w:val="16"/>
        </w:rPr>
        <w:t xml:space="preserve"> </w:t>
      </w:r>
      <w:r w:rsidRPr="00431B25">
        <w:rPr>
          <w:rFonts w:ascii="Verdana" w:hAnsi="Verdana"/>
          <w:sz w:val="16"/>
          <w:szCs w:val="16"/>
        </w:rPr>
        <w:t>202</w:t>
      </w:r>
      <w:r>
        <w:rPr>
          <w:rFonts w:ascii="Verdana" w:hAnsi="Verdana"/>
          <w:sz w:val="16"/>
          <w:szCs w:val="16"/>
        </w:rPr>
        <w:t>2</w:t>
      </w:r>
      <w:r w:rsidRPr="00431B25">
        <w:rPr>
          <w:rFonts w:ascii="Verdana" w:hAnsi="Verdana"/>
          <w:sz w:val="16"/>
          <w:szCs w:val="16"/>
        </w:rPr>
        <w:t xml:space="preserve"> r. stanowiło to</w:t>
      </w:r>
      <w:r>
        <w:rPr>
          <w:rFonts w:ascii="Verdana" w:hAnsi="Verdana"/>
          <w:sz w:val="16"/>
          <w:szCs w:val="16"/>
        </w:rPr>
        <w:t xml:space="preserve"> ok.</w:t>
      </w:r>
      <w:r w:rsidRPr="00431B25">
        <w:rPr>
          <w:rFonts w:ascii="Verdana" w:hAnsi="Verdana"/>
          <w:sz w:val="16"/>
          <w:szCs w:val="16"/>
        </w:rPr>
        <w:t xml:space="preserve"> </w:t>
      </w:r>
      <w:r>
        <w:rPr>
          <w:rFonts w:ascii="Verdana" w:hAnsi="Verdana"/>
          <w:sz w:val="16"/>
          <w:szCs w:val="16"/>
        </w:rPr>
        <w:t>12,2</w:t>
      </w:r>
      <w:r w:rsidRPr="002B68EB">
        <w:rPr>
          <w:rFonts w:ascii="Verdana" w:hAnsi="Verdana"/>
          <w:sz w:val="16"/>
          <w:szCs w:val="16"/>
        </w:rPr>
        <w:t>% zadłużenia ogółem).</w:t>
      </w:r>
      <w:r w:rsidRPr="00383392">
        <w:rPr>
          <w:rFonts w:ascii="Verdana" w:hAnsi="Verdana"/>
          <w:sz w:val="16"/>
          <w:szCs w:val="16"/>
        </w:rPr>
        <w:t xml:space="preserve"> Zaciąganie długu w walucie obcej </w:t>
      </w:r>
      <w:r>
        <w:rPr>
          <w:rFonts w:ascii="Verdana" w:hAnsi="Verdana"/>
          <w:sz w:val="16"/>
          <w:szCs w:val="16"/>
        </w:rPr>
        <w:t xml:space="preserve">w kolejnych latach </w:t>
      </w:r>
      <w:r w:rsidRPr="00383392">
        <w:rPr>
          <w:rFonts w:ascii="Verdana" w:hAnsi="Verdana"/>
          <w:sz w:val="16"/>
          <w:szCs w:val="16"/>
        </w:rPr>
        <w:t>ograniczone będzie do waluty euro i tylko do przypadków uzasadnionych możliwością pozyskania finansowania o parametrach wyraźnie korzystniejszych od finansowania w walucie krajowej. Udział zadłużenia w walucie obcej nie przekroczy 25% zadłużenia ogółem.</w:t>
      </w:r>
    </w:p>
    <w:p w:rsidR="008853F1" w:rsidRPr="00383392" w:rsidRDefault="008853F1" w:rsidP="008853F1">
      <w:pPr>
        <w:numPr>
          <w:ilvl w:val="0"/>
          <w:numId w:val="41"/>
        </w:numPr>
        <w:spacing w:before="120"/>
        <w:ind w:left="284" w:hanging="284"/>
        <w:jc w:val="both"/>
        <w:rPr>
          <w:rFonts w:ascii="Verdana" w:hAnsi="Verdana"/>
          <w:sz w:val="16"/>
          <w:szCs w:val="16"/>
        </w:rPr>
      </w:pPr>
      <w:r w:rsidRPr="00383392">
        <w:rPr>
          <w:rFonts w:ascii="Verdana" w:hAnsi="Verdana"/>
          <w:b/>
          <w:noProof/>
          <w:sz w:val="16"/>
          <w:szCs w:val="16"/>
        </w:rPr>
        <w:t xml:space="preserve">Ryzyko </w:t>
      </w:r>
      <w:r w:rsidRPr="00383392">
        <w:rPr>
          <w:rFonts w:ascii="Verdana" w:hAnsi="Verdana"/>
          <w:b/>
          <w:sz w:val="16"/>
          <w:szCs w:val="16"/>
        </w:rPr>
        <w:t>refinansowania</w:t>
      </w:r>
      <w:r w:rsidRPr="00383392">
        <w:rPr>
          <w:rFonts w:ascii="Verdana" w:hAnsi="Verdana"/>
          <w:noProof/>
          <w:sz w:val="16"/>
          <w:szCs w:val="16"/>
        </w:rPr>
        <w:t xml:space="preserve"> - ograniczenie tego ryzyka zostanie zapewnione poprzez wysoki poziom średniej zapadalności długu. </w:t>
      </w:r>
      <w:r w:rsidRPr="0056115D">
        <w:rPr>
          <w:rFonts w:ascii="Verdana" w:hAnsi="Verdana"/>
          <w:noProof/>
          <w:sz w:val="16"/>
          <w:szCs w:val="16"/>
        </w:rPr>
        <w:t>N</w:t>
      </w:r>
      <w:r w:rsidRPr="0056115D">
        <w:rPr>
          <w:rFonts w:ascii="Verdana" w:hAnsi="Verdana"/>
          <w:sz w:val="16"/>
          <w:szCs w:val="16"/>
        </w:rPr>
        <w:t xml:space="preserve">a koniec </w:t>
      </w:r>
      <w:r>
        <w:rPr>
          <w:rFonts w:ascii="Verdana" w:hAnsi="Verdana"/>
          <w:sz w:val="16"/>
          <w:szCs w:val="16"/>
        </w:rPr>
        <w:t xml:space="preserve">września </w:t>
      </w:r>
      <w:r w:rsidRPr="0056115D">
        <w:rPr>
          <w:rFonts w:ascii="Verdana" w:hAnsi="Verdana"/>
          <w:sz w:val="16"/>
          <w:szCs w:val="16"/>
        </w:rPr>
        <w:t>202</w:t>
      </w:r>
      <w:r>
        <w:rPr>
          <w:rFonts w:ascii="Verdana" w:hAnsi="Verdana"/>
          <w:sz w:val="16"/>
          <w:szCs w:val="16"/>
        </w:rPr>
        <w:t>2</w:t>
      </w:r>
      <w:r w:rsidRPr="0056115D">
        <w:rPr>
          <w:rFonts w:ascii="Verdana" w:hAnsi="Verdana"/>
          <w:sz w:val="16"/>
          <w:szCs w:val="16"/>
        </w:rPr>
        <w:t xml:space="preserve"> r. wartość ta wyniosła </w:t>
      </w:r>
      <w:r>
        <w:rPr>
          <w:rFonts w:ascii="Verdana" w:hAnsi="Verdana"/>
          <w:sz w:val="16"/>
          <w:szCs w:val="16"/>
        </w:rPr>
        <w:t>9,2</w:t>
      </w:r>
      <w:r w:rsidRPr="0056115D">
        <w:rPr>
          <w:rFonts w:ascii="Verdana" w:hAnsi="Verdana"/>
          <w:sz w:val="16"/>
          <w:szCs w:val="16"/>
        </w:rPr>
        <w:t> lat</w:t>
      </w:r>
      <w:r w:rsidRPr="00383392">
        <w:rPr>
          <w:rFonts w:ascii="Verdana" w:hAnsi="Verdana"/>
          <w:sz w:val="16"/>
          <w:szCs w:val="16"/>
        </w:rPr>
        <w:t xml:space="preserve">, z czego średnia zapadalność długu zagranicznego wyniosła </w:t>
      </w:r>
      <w:r>
        <w:rPr>
          <w:rFonts w:ascii="Verdana" w:hAnsi="Verdana"/>
          <w:sz w:val="16"/>
          <w:szCs w:val="16"/>
        </w:rPr>
        <w:t>9,4</w:t>
      </w:r>
      <w:r w:rsidRPr="0056115D">
        <w:rPr>
          <w:rFonts w:ascii="Verdana" w:hAnsi="Verdana"/>
          <w:sz w:val="16"/>
          <w:szCs w:val="16"/>
        </w:rPr>
        <w:t xml:space="preserve"> lat</w:t>
      </w:r>
      <w:r w:rsidRPr="00383392">
        <w:rPr>
          <w:rFonts w:ascii="Verdana" w:hAnsi="Verdana"/>
          <w:sz w:val="16"/>
          <w:szCs w:val="16"/>
        </w:rPr>
        <w:t xml:space="preserve">, a średnia zapadalność długu krajowego </w:t>
      </w:r>
      <w:r>
        <w:rPr>
          <w:rFonts w:ascii="Verdana" w:hAnsi="Verdana"/>
          <w:sz w:val="16"/>
          <w:szCs w:val="16"/>
        </w:rPr>
        <w:t>6,4</w:t>
      </w:r>
      <w:r w:rsidRPr="0056115D">
        <w:rPr>
          <w:rFonts w:ascii="Verdana" w:hAnsi="Verdana"/>
          <w:sz w:val="16"/>
          <w:szCs w:val="16"/>
        </w:rPr>
        <w:t xml:space="preserve"> roku</w:t>
      </w:r>
      <w:r w:rsidRPr="00BA644C">
        <w:rPr>
          <w:rFonts w:ascii="Verdana" w:hAnsi="Verdana"/>
          <w:sz w:val="16"/>
          <w:szCs w:val="16"/>
        </w:rPr>
        <w:t>.</w:t>
      </w:r>
    </w:p>
    <w:p w:rsidR="008853F1" w:rsidRPr="00A3034D" w:rsidRDefault="008853F1" w:rsidP="008853F1">
      <w:pPr>
        <w:numPr>
          <w:ilvl w:val="0"/>
          <w:numId w:val="41"/>
        </w:numPr>
        <w:spacing w:before="120"/>
        <w:ind w:left="284" w:hanging="284"/>
        <w:jc w:val="both"/>
        <w:rPr>
          <w:rFonts w:ascii="Verdana" w:hAnsi="Verdana"/>
          <w:sz w:val="16"/>
          <w:szCs w:val="16"/>
        </w:rPr>
      </w:pPr>
      <w:r w:rsidRPr="00383392">
        <w:rPr>
          <w:rFonts w:ascii="Verdana" w:hAnsi="Verdana"/>
          <w:b/>
          <w:sz w:val="16"/>
          <w:szCs w:val="16"/>
        </w:rPr>
        <w:t>Ryzyko przekroczenia limitu obsługi zadłużenia</w:t>
      </w:r>
      <w:r w:rsidRPr="00383392">
        <w:rPr>
          <w:rFonts w:ascii="Verdana" w:hAnsi="Verdana"/>
          <w:sz w:val="16"/>
          <w:szCs w:val="16"/>
        </w:rPr>
        <w:t xml:space="preserve"> (wynikającego z art. 243</w:t>
      </w:r>
      <w:r>
        <w:rPr>
          <w:rFonts w:ascii="Verdana" w:hAnsi="Verdana"/>
          <w:sz w:val="16"/>
          <w:szCs w:val="16"/>
        </w:rPr>
        <w:t xml:space="preserve"> </w:t>
      </w:r>
      <w:r w:rsidRPr="00992B91">
        <w:rPr>
          <w:rFonts w:ascii="Verdana" w:hAnsi="Verdana"/>
          <w:iCs/>
          <w:sz w:val="16"/>
          <w:szCs w:val="16"/>
        </w:rPr>
        <w:t>ustawy o finansach publicznych</w:t>
      </w:r>
      <w:r w:rsidRPr="001B4C7D">
        <w:rPr>
          <w:rFonts w:ascii="Verdana" w:hAnsi="Verdana"/>
          <w:sz w:val="16"/>
          <w:szCs w:val="16"/>
        </w:rPr>
        <w:t>)</w:t>
      </w:r>
      <w:r w:rsidRPr="00383392">
        <w:rPr>
          <w:rFonts w:ascii="Verdana" w:hAnsi="Verdana"/>
          <w:sz w:val="16"/>
          <w:szCs w:val="16"/>
        </w:rPr>
        <w:t xml:space="preserve"> - istotną kwestią będą związane z pandemią zmiany w dochodach z tytułu udziału JST </w:t>
      </w:r>
      <w:r>
        <w:rPr>
          <w:rFonts w:ascii="Verdana" w:hAnsi="Verdana"/>
          <w:sz w:val="16"/>
          <w:szCs w:val="16"/>
        </w:rPr>
        <w:br/>
      </w:r>
      <w:r w:rsidRPr="00383392">
        <w:rPr>
          <w:rFonts w:ascii="Verdana" w:hAnsi="Verdana"/>
          <w:sz w:val="16"/>
          <w:szCs w:val="16"/>
        </w:rPr>
        <w:t xml:space="preserve">w podatkach CIT i PIT a także dochodach własnych, w znacznej części zależnych od </w:t>
      </w:r>
      <w:r>
        <w:rPr>
          <w:rFonts w:ascii="Verdana" w:hAnsi="Verdana"/>
          <w:sz w:val="16"/>
          <w:szCs w:val="16"/>
        </w:rPr>
        <w:t>zmian regulacyjnych</w:t>
      </w:r>
      <w:r w:rsidRPr="00383392">
        <w:rPr>
          <w:rFonts w:ascii="Verdana" w:hAnsi="Verdana"/>
          <w:sz w:val="16"/>
          <w:szCs w:val="16"/>
        </w:rPr>
        <w:t>, wpływając</w:t>
      </w:r>
      <w:r>
        <w:rPr>
          <w:rFonts w:ascii="Verdana" w:hAnsi="Verdana"/>
          <w:sz w:val="16"/>
          <w:szCs w:val="16"/>
        </w:rPr>
        <w:t>e</w:t>
      </w:r>
      <w:r w:rsidRPr="00383392">
        <w:rPr>
          <w:rFonts w:ascii="Verdana" w:hAnsi="Verdana"/>
          <w:sz w:val="16"/>
          <w:szCs w:val="16"/>
        </w:rPr>
        <w:t xml:space="preserve"> na obniżenie nadwyżki bieżącej. </w:t>
      </w:r>
      <w:r w:rsidRPr="00BA644C">
        <w:rPr>
          <w:rFonts w:ascii="Verdana" w:hAnsi="Verdana"/>
          <w:sz w:val="16"/>
          <w:szCs w:val="16"/>
        </w:rPr>
        <w:t>Najniższy poziom prognozowanej różnicy pomiędzy dopuszczalnym limitem, a wskaźnikiem obsługi długu (z uwzględnieniem ustawowych wył</w:t>
      </w:r>
      <w:r>
        <w:rPr>
          <w:rFonts w:ascii="Verdana" w:hAnsi="Verdana"/>
          <w:sz w:val="16"/>
          <w:szCs w:val="16"/>
        </w:rPr>
        <w:t>ą</w:t>
      </w:r>
      <w:r w:rsidRPr="00BA644C">
        <w:rPr>
          <w:rFonts w:ascii="Verdana" w:hAnsi="Verdana"/>
          <w:sz w:val="16"/>
          <w:szCs w:val="16"/>
        </w:rPr>
        <w:t xml:space="preserve">czeń) wystąpi </w:t>
      </w:r>
      <w:r>
        <w:rPr>
          <w:rFonts w:ascii="Verdana" w:hAnsi="Verdana"/>
          <w:sz w:val="16"/>
          <w:szCs w:val="16"/>
        </w:rPr>
        <w:br/>
      </w:r>
      <w:r w:rsidRPr="00BA644C">
        <w:rPr>
          <w:rFonts w:ascii="Verdana" w:hAnsi="Verdana"/>
          <w:sz w:val="16"/>
          <w:szCs w:val="16"/>
        </w:rPr>
        <w:t>w 2027</w:t>
      </w:r>
      <w:r>
        <w:rPr>
          <w:rFonts w:ascii="Verdana" w:hAnsi="Verdana"/>
          <w:sz w:val="16"/>
          <w:szCs w:val="16"/>
        </w:rPr>
        <w:t xml:space="preserve"> r.</w:t>
      </w:r>
      <w:r w:rsidRPr="00BA644C">
        <w:rPr>
          <w:rFonts w:ascii="Verdana" w:hAnsi="Verdana"/>
          <w:sz w:val="16"/>
          <w:szCs w:val="16"/>
        </w:rPr>
        <w:t xml:space="preserve"> i wyniesie </w:t>
      </w:r>
      <w:r>
        <w:rPr>
          <w:rFonts w:ascii="Verdana" w:hAnsi="Verdana"/>
          <w:sz w:val="16"/>
          <w:szCs w:val="16"/>
        </w:rPr>
        <w:t>0,36</w:t>
      </w:r>
      <w:r w:rsidRPr="00BA644C">
        <w:rPr>
          <w:rFonts w:ascii="Verdana" w:hAnsi="Verdana"/>
          <w:sz w:val="16"/>
          <w:szCs w:val="16"/>
        </w:rPr>
        <w:t xml:space="preserve"> pkt proc.</w:t>
      </w:r>
    </w:p>
    <w:p w:rsidR="008853F1" w:rsidRDefault="008853F1" w:rsidP="008853F1">
      <w:pPr>
        <w:numPr>
          <w:ilvl w:val="0"/>
          <w:numId w:val="41"/>
        </w:numPr>
        <w:spacing w:before="120"/>
        <w:ind w:left="284" w:hanging="284"/>
        <w:jc w:val="both"/>
        <w:rPr>
          <w:rFonts w:ascii="Verdana" w:hAnsi="Verdana" w:cs="Verdana"/>
          <w:sz w:val="16"/>
          <w:szCs w:val="16"/>
        </w:rPr>
      </w:pPr>
      <w:r w:rsidRPr="002905BC">
        <w:rPr>
          <w:rFonts w:ascii="Verdana" w:hAnsi="Verdana"/>
          <w:b/>
          <w:sz w:val="16"/>
          <w:szCs w:val="16"/>
        </w:rPr>
        <w:t>Ryzyko dotyczące zobowiązań finansowych podmiotów zależnych</w:t>
      </w:r>
      <w:r w:rsidRPr="002905BC">
        <w:rPr>
          <w:rFonts w:ascii="Verdana" w:hAnsi="Verdana"/>
          <w:sz w:val="16"/>
          <w:szCs w:val="16"/>
        </w:rPr>
        <w:t xml:space="preserve"> - </w:t>
      </w:r>
      <w:r w:rsidRPr="002905BC">
        <w:rPr>
          <w:rFonts w:ascii="Verdana" w:hAnsi="Verdana" w:cs="Verdana"/>
          <w:sz w:val="16"/>
          <w:szCs w:val="16"/>
        </w:rPr>
        <w:t>zadłużenie podmiotów zależnych</w:t>
      </w:r>
      <w:r w:rsidRPr="00383392">
        <w:rPr>
          <w:rFonts w:ascii="Verdana" w:hAnsi="Verdana"/>
          <w:sz w:val="16"/>
          <w:szCs w:val="16"/>
          <w:vertAlign w:val="superscript"/>
        </w:rPr>
        <w:footnoteReference w:id="32"/>
      </w:r>
      <w:r w:rsidRPr="002905BC">
        <w:rPr>
          <w:rFonts w:ascii="Verdana" w:hAnsi="Verdana" w:cs="Verdana"/>
          <w:sz w:val="16"/>
          <w:szCs w:val="16"/>
        </w:rPr>
        <w:t xml:space="preserve"> nie jest zobowiązaniem Miasta i jedynie pośrednio, w szczególnych sytuacjach, może mieć wpływ na jego sytuację finansową. </w:t>
      </w:r>
      <w:r w:rsidRPr="002905BC">
        <w:rPr>
          <w:rFonts w:ascii="Verdana" w:hAnsi="Verdana"/>
          <w:sz w:val="16"/>
          <w:szCs w:val="16"/>
        </w:rPr>
        <w:t xml:space="preserve">Realizacja inwestycji samorządowych ma charakter kompleksowy, tj. </w:t>
      </w:r>
      <w:r>
        <w:rPr>
          <w:rFonts w:ascii="Verdana" w:hAnsi="Verdana"/>
          <w:sz w:val="16"/>
          <w:szCs w:val="16"/>
        </w:rPr>
        <w:t>prowadzona jest</w:t>
      </w:r>
      <w:r w:rsidRPr="002905BC">
        <w:rPr>
          <w:rFonts w:ascii="Verdana" w:hAnsi="Verdana"/>
          <w:sz w:val="16"/>
          <w:szCs w:val="16"/>
        </w:rPr>
        <w:t xml:space="preserve"> przez Miasto i za pośrednictwem in</w:t>
      </w:r>
      <w:r>
        <w:rPr>
          <w:rFonts w:ascii="Verdana" w:hAnsi="Verdana"/>
          <w:sz w:val="16"/>
          <w:szCs w:val="16"/>
        </w:rPr>
        <w:t>westycji</w:t>
      </w:r>
      <w:r w:rsidRPr="002905BC">
        <w:rPr>
          <w:rFonts w:ascii="Verdana" w:hAnsi="Verdana"/>
          <w:sz w:val="16"/>
          <w:szCs w:val="16"/>
        </w:rPr>
        <w:t xml:space="preserve"> spółek komunalnych, które zaciągają zobowiązania na własny rachunek. Banki </w:t>
      </w:r>
      <w:r>
        <w:rPr>
          <w:rFonts w:ascii="Verdana" w:hAnsi="Verdana"/>
          <w:sz w:val="16"/>
          <w:szCs w:val="16"/>
        </w:rPr>
        <w:t>udzielające</w:t>
      </w:r>
      <w:r w:rsidRPr="002905BC">
        <w:rPr>
          <w:rFonts w:ascii="Verdana" w:hAnsi="Verdana"/>
          <w:sz w:val="16"/>
          <w:szCs w:val="16"/>
        </w:rPr>
        <w:t xml:space="preserve"> kredytów spółkom komunalnym mogą wymagać zabezpieczenia ze strony samorządu w formie poręczenia kredytu, które jest zobowiązaniem wykazywanym we wskaźniku obsługi długu. Pomimo tego, iż </w:t>
      </w:r>
      <w:r>
        <w:rPr>
          <w:rFonts w:ascii="Verdana" w:hAnsi="Verdana"/>
          <w:sz w:val="16"/>
          <w:szCs w:val="16"/>
        </w:rPr>
        <w:t xml:space="preserve">samodzielne </w:t>
      </w:r>
      <w:r w:rsidRPr="002905BC">
        <w:rPr>
          <w:rFonts w:ascii="Verdana" w:hAnsi="Verdana" w:cs="Verdana"/>
          <w:sz w:val="16"/>
          <w:szCs w:val="16"/>
        </w:rPr>
        <w:t>zadłużenie podmiotów zależnych nie jest uwzględniane we wskaźnikach zadłużenia Miasta i w WPF, jest analizowane i brane pod uwagę przez agencje ratingowe i podmioty finansujące przy ocenie zdolności kredytowej Miasta. Biuro Długu i Restrukturyzacji Wierzytelności Urzędu m.st. Warszawy prowadzi stały monitoring oceny zdolności kredytowej i równowagi finansowej podmiotów zależnych. Zgodnie z obowiązującymi przepisami Miasto sporządza i przesyła do RIO (a RIO przekazuje do Ministra Finansów) skonsolidowany bilans (zawierają</w:t>
      </w:r>
      <w:r>
        <w:rPr>
          <w:rFonts w:ascii="Verdana" w:hAnsi="Verdana" w:cs="Verdana"/>
          <w:sz w:val="16"/>
          <w:szCs w:val="16"/>
        </w:rPr>
        <w:t>cy</w:t>
      </w:r>
      <w:r w:rsidRPr="002905BC">
        <w:rPr>
          <w:rFonts w:ascii="Verdana" w:hAnsi="Verdana" w:cs="Verdana"/>
          <w:sz w:val="16"/>
          <w:szCs w:val="16"/>
        </w:rPr>
        <w:t xml:space="preserve"> zobowiązania finansowe długo- i krótkoterminowe)</w:t>
      </w:r>
      <w:r>
        <w:rPr>
          <w:rFonts w:ascii="Verdana" w:hAnsi="Verdana" w:cs="Verdana"/>
          <w:sz w:val="16"/>
          <w:szCs w:val="16"/>
        </w:rPr>
        <w:t xml:space="preserve"> </w:t>
      </w:r>
      <w:r w:rsidRPr="002905BC">
        <w:rPr>
          <w:rFonts w:ascii="Verdana" w:hAnsi="Verdana" w:cs="Verdana"/>
          <w:sz w:val="16"/>
          <w:szCs w:val="16"/>
        </w:rPr>
        <w:t>obejmujący bilanse wszystkich jednostek podległych oraz bilanse jednostek podporządkowanych Miastu, bez względu na ich status formalnoprawny.</w:t>
      </w:r>
      <w:r>
        <w:rPr>
          <w:rFonts w:ascii="Verdana" w:hAnsi="Verdana" w:cs="Verdana"/>
          <w:sz w:val="16"/>
          <w:szCs w:val="16"/>
        </w:rPr>
        <w:br w:type="page"/>
      </w:r>
    </w:p>
    <w:p w:rsidR="008853F1" w:rsidRPr="00383392" w:rsidRDefault="008853F1" w:rsidP="008853F1">
      <w:pPr>
        <w:numPr>
          <w:ilvl w:val="0"/>
          <w:numId w:val="70"/>
        </w:numPr>
        <w:spacing w:before="360" w:line="312" w:lineRule="auto"/>
        <w:ind w:left="397" w:hanging="397"/>
        <w:jc w:val="both"/>
        <w:rPr>
          <w:rFonts w:ascii="Verdana" w:hAnsi="Verdana"/>
          <w:b/>
        </w:rPr>
      </w:pPr>
      <w:bookmarkStart w:id="12" w:name="bookmark9"/>
      <w:r w:rsidRPr="00383392">
        <w:rPr>
          <w:rFonts w:ascii="Verdana" w:hAnsi="Verdana"/>
          <w:b/>
        </w:rPr>
        <w:lastRenderedPageBreak/>
        <w:t>Kontrola realizacji polityki długu</w:t>
      </w:r>
      <w:bookmarkEnd w:id="12"/>
    </w:p>
    <w:p w:rsidR="008853F1" w:rsidRPr="00383392" w:rsidRDefault="008853F1" w:rsidP="008853F1">
      <w:pPr>
        <w:spacing w:before="240"/>
        <w:jc w:val="both"/>
        <w:rPr>
          <w:rFonts w:ascii="Verdana" w:hAnsi="Verdana"/>
          <w:sz w:val="16"/>
          <w:szCs w:val="16"/>
        </w:rPr>
      </w:pPr>
      <w:r w:rsidRPr="00383392">
        <w:rPr>
          <w:rFonts w:ascii="Verdana" w:hAnsi="Verdana"/>
          <w:sz w:val="16"/>
          <w:szCs w:val="16"/>
        </w:rPr>
        <w:t xml:space="preserve">Bieżące </w:t>
      </w:r>
      <w:r w:rsidRPr="00383392">
        <w:rPr>
          <w:rFonts w:ascii="Verdana" w:hAnsi="Verdana"/>
          <w:iCs/>
          <w:sz w:val="16"/>
          <w:szCs w:val="16"/>
        </w:rPr>
        <w:t>monitorowanie</w:t>
      </w:r>
      <w:r w:rsidRPr="00383392">
        <w:rPr>
          <w:rFonts w:ascii="Verdana" w:hAnsi="Verdana"/>
          <w:sz w:val="16"/>
          <w:szCs w:val="16"/>
        </w:rPr>
        <w:t xml:space="preserve"> parametrów określonych w polityce długu możliwe jest poprzez wykorzystanie następujących instrumentów:</w:t>
      </w:r>
    </w:p>
    <w:p w:rsidR="008853F1" w:rsidRPr="00383392" w:rsidRDefault="008853F1" w:rsidP="008853F1">
      <w:pPr>
        <w:numPr>
          <w:ilvl w:val="0"/>
          <w:numId w:val="42"/>
        </w:numPr>
        <w:spacing w:before="120"/>
        <w:ind w:left="284" w:hanging="284"/>
        <w:jc w:val="both"/>
        <w:rPr>
          <w:rFonts w:ascii="Verdana" w:hAnsi="Verdana"/>
          <w:sz w:val="16"/>
          <w:szCs w:val="16"/>
        </w:rPr>
      </w:pPr>
      <w:r w:rsidRPr="00383392">
        <w:rPr>
          <w:rFonts w:ascii="Verdana" w:hAnsi="Verdana"/>
          <w:b/>
          <w:sz w:val="16"/>
          <w:szCs w:val="16"/>
        </w:rPr>
        <w:t>Raportowanie</w:t>
      </w:r>
      <w:r w:rsidRPr="00383392">
        <w:rPr>
          <w:rFonts w:ascii="Verdana" w:hAnsi="Verdana"/>
          <w:sz w:val="16"/>
          <w:szCs w:val="16"/>
        </w:rPr>
        <w:t xml:space="preserve">. W cyklach kwartalnych przygotowywane są raporty dotyczące długu bezpośredniego oraz </w:t>
      </w:r>
      <w:r>
        <w:rPr>
          <w:rFonts w:ascii="Verdana" w:hAnsi="Verdana"/>
          <w:sz w:val="16"/>
          <w:szCs w:val="16"/>
        </w:rPr>
        <w:t xml:space="preserve">długu </w:t>
      </w:r>
      <w:r w:rsidRPr="00383392">
        <w:rPr>
          <w:rFonts w:ascii="Verdana" w:hAnsi="Verdana"/>
          <w:sz w:val="16"/>
          <w:szCs w:val="16"/>
        </w:rPr>
        <w:t xml:space="preserve">podmiotów zależnych, a w cyklach półrocznych dokonywany jest przegląd zidentyfikowanych </w:t>
      </w:r>
      <w:proofErr w:type="spellStart"/>
      <w:r w:rsidRPr="00383392">
        <w:rPr>
          <w:rFonts w:ascii="Verdana" w:hAnsi="Verdana"/>
          <w:sz w:val="16"/>
          <w:szCs w:val="16"/>
        </w:rPr>
        <w:t>ryzyk</w:t>
      </w:r>
      <w:proofErr w:type="spellEnd"/>
      <w:r w:rsidRPr="00383392">
        <w:rPr>
          <w:rFonts w:ascii="Verdana" w:hAnsi="Verdana"/>
          <w:sz w:val="16"/>
          <w:szCs w:val="16"/>
        </w:rPr>
        <w:t xml:space="preserve"> związanych z zadłużeniem.</w:t>
      </w:r>
    </w:p>
    <w:p w:rsidR="008853F1" w:rsidRPr="00383392" w:rsidRDefault="008853F1" w:rsidP="008853F1">
      <w:pPr>
        <w:numPr>
          <w:ilvl w:val="0"/>
          <w:numId w:val="42"/>
        </w:numPr>
        <w:spacing w:before="120"/>
        <w:ind w:left="284" w:hanging="284"/>
        <w:jc w:val="both"/>
        <w:rPr>
          <w:rFonts w:ascii="Verdana" w:hAnsi="Verdana"/>
          <w:sz w:val="16"/>
          <w:szCs w:val="16"/>
        </w:rPr>
      </w:pPr>
      <w:r w:rsidRPr="00383392">
        <w:rPr>
          <w:rFonts w:ascii="Verdana" w:hAnsi="Verdana"/>
          <w:b/>
          <w:sz w:val="16"/>
          <w:szCs w:val="16"/>
        </w:rPr>
        <w:t>Przejrzyste zasady zarządzania finansami</w:t>
      </w:r>
      <w:r w:rsidRPr="00383392">
        <w:rPr>
          <w:rFonts w:ascii="Verdana" w:hAnsi="Verdana"/>
          <w:sz w:val="16"/>
          <w:szCs w:val="16"/>
        </w:rPr>
        <w:t xml:space="preserve">. Mają one istotne znaczenie dla pozyskiwania zewnętrznego finansowania inwestycji m.st. Warszawy, zwłaszcza w postaci środków zwrotnych. Przejrzystość finansów wzmacnia wiarygodność kredytową Miasta i </w:t>
      </w:r>
      <w:r>
        <w:rPr>
          <w:rFonts w:ascii="Verdana" w:hAnsi="Verdana"/>
          <w:sz w:val="16"/>
          <w:szCs w:val="16"/>
        </w:rPr>
        <w:t>wpływa na poziom</w:t>
      </w:r>
      <w:r w:rsidRPr="00383392">
        <w:rPr>
          <w:rFonts w:ascii="Verdana" w:hAnsi="Verdana"/>
          <w:sz w:val="16"/>
          <w:szCs w:val="16"/>
        </w:rPr>
        <w:t xml:space="preserve"> ocen ratingow</w:t>
      </w:r>
      <w:r>
        <w:rPr>
          <w:rFonts w:ascii="Verdana" w:hAnsi="Verdana"/>
          <w:sz w:val="16"/>
          <w:szCs w:val="16"/>
        </w:rPr>
        <w:t>ych</w:t>
      </w:r>
      <w:r w:rsidRPr="00383392">
        <w:rPr>
          <w:rFonts w:ascii="Verdana" w:hAnsi="Verdana"/>
          <w:sz w:val="16"/>
          <w:szCs w:val="16"/>
        </w:rPr>
        <w:t xml:space="preserve">. Miasto na swoich stronach internetowych publikuje raporty finansowe o charakterze sprawozdawczym, wykonanie budżetu (kwartalne </w:t>
      </w:r>
      <w:r w:rsidRPr="00383392">
        <w:rPr>
          <w:rFonts w:ascii="Verdana" w:hAnsi="Verdana"/>
          <w:sz w:val="16"/>
          <w:szCs w:val="16"/>
        </w:rPr>
        <w:br/>
        <w:t>i roczne), WPF i szczegółowe dane o swoim zadłużeniu.</w:t>
      </w:r>
    </w:p>
    <w:p w:rsidR="008853F1" w:rsidRPr="00383392" w:rsidRDefault="008853F1" w:rsidP="008853F1">
      <w:pPr>
        <w:numPr>
          <w:ilvl w:val="0"/>
          <w:numId w:val="42"/>
        </w:numPr>
        <w:spacing w:before="120"/>
        <w:ind w:left="284" w:hanging="284"/>
        <w:jc w:val="both"/>
        <w:rPr>
          <w:rFonts w:ascii="Verdana" w:hAnsi="Verdana"/>
          <w:sz w:val="16"/>
          <w:szCs w:val="16"/>
        </w:rPr>
      </w:pPr>
      <w:r w:rsidRPr="00383392">
        <w:rPr>
          <w:rFonts w:ascii="Verdana" w:hAnsi="Verdana"/>
          <w:b/>
          <w:sz w:val="16"/>
          <w:szCs w:val="16"/>
        </w:rPr>
        <w:t>Kontrole Regionalnej Izby Obrachunkowej (RIO).</w:t>
      </w:r>
      <w:r w:rsidRPr="00383392">
        <w:rPr>
          <w:rFonts w:ascii="Verdana" w:hAnsi="Verdana"/>
          <w:sz w:val="16"/>
          <w:szCs w:val="16"/>
        </w:rPr>
        <w:t xml:space="preserve"> RIO opiniuje projekty budżetu i WPF oraz sprawozdania z wykonania budżetu. Wydaje opinie w zakresie: </w:t>
      </w:r>
    </w:p>
    <w:p w:rsidR="008853F1" w:rsidRPr="00383392" w:rsidRDefault="008853F1" w:rsidP="008853F1">
      <w:pPr>
        <w:spacing w:before="60"/>
        <w:ind w:left="284"/>
        <w:jc w:val="both"/>
        <w:rPr>
          <w:rFonts w:ascii="Verdana" w:hAnsi="Verdana"/>
          <w:sz w:val="16"/>
          <w:szCs w:val="16"/>
        </w:rPr>
      </w:pPr>
      <w:r w:rsidRPr="00383392">
        <w:rPr>
          <w:rFonts w:ascii="Verdana" w:hAnsi="Verdana"/>
          <w:sz w:val="16"/>
          <w:szCs w:val="16"/>
        </w:rPr>
        <w:t xml:space="preserve">- prawidłowości planowanej kwoty długu, </w:t>
      </w:r>
    </w:p>
    <w:p w:rsidR="008853F1" w:rsidRPr="00383392" w:rsidRDefault="008853F1" w:rsidP="008853F1">
      <w:pPr>
        <w:spacing w:before="60"/>
        <w:ind w:left="284"/>
        <w:jc w:val="both"/>
        <w:rPr>
          <w:rFonts w:ascii="Verdana" w:hAnsi="Verdana"/>
          <w:sz w:val="16"/>
          <w:szCs w:val="16"/>
        </w:rPr>
      </w:pPr>
      <w:r w:rsidRPr="00383392">
        <w:rPr>
          <w:rFonts w:ascii="Verdana" w:hAnsi="Verdana"/>
          <w:sz w:val="16"/>
          <w:szCs w:val="16"/>
        </w:rPr>
        <w:t>- możliwości sfinansowania deficytu,</w:t>
      </w:r>
    </w:p>
    <w:p w:rsidR="008853F1" w:rsidRPr="00383392" w:rsidRDefault="008853F1" w:rsidP="008853F1">
      <w:pPr>
        <w:spacing w:before="60"/>
        <w:ind w:left="284"/>
        <w:jc w:val="both"/>
        <w:rPr>
          <w:rFonts w:ascii="Verdana" w:hAnsi="Verdana"/>
          <w:sz w:val="16"/>
          <w:szCs w:val="16"/>
        </w:rPr>
      </w:pPr>
      <w:r w:rsidRPr="00383392">
        <w:rPr>
          <w:rFonts w:ascii="Verdana" w:hAnsi="Verdana"/>
          <w:sz w:val="16"/>
          <w:szCs w:val="16"/>
        </w:rPr>
        <w:t>- możliwości spłaty planowanego zadłużenia.</w:t>
      </w:r>
    </w:p>
    <w:p w:rsidR="008853F1" w:rsidRPr="00383392" w:rsidRDefault="008853F1" w:rsidP="008853F1">
      <w:pPr>
        <w:numPr>
          <w:ilvl w:val="0"/>
          <w:numId w:val="42"/>
        </w:numPr>
        <w:spacing w:before="120"/>
        <w:ind w:left="284" w:hanging="284"/>
        <w:jc w:val="both"/>
        <w:rPr>
          <w:rFonts w:ascii="Verdana" w:hAnsi="Verdana"/>
          <w:sz w:val="16"/>
          <w:szCs w:val="16"/>
        </w:rPr>
      </w:pPr>
      <w:r w:rsidRPr="00383392">
        <w:rPr>
          <w:rFonts w:ascii="Verdana" w:hAnsi="Verdana"/>
          <w:b/>
          <w:sz w:val="16"/>
          <w:szCs w:val="16"/>
        </w:rPr>
        <w:t>Ocena ratingowa</w:t>
      </w:r>
      <w:r w:rsidRPr="00383392">
        <w:rPr>
          <w:rFonts w:ascii="Verdana" w:hAnsi="Verdana"/>
          <w:sz w:val="16"/>
          <w:szCs w:val="16"/>
        </w:rPr>
        <w:t xml:space="preserve">. Stanowi uzupełnienie przeprowadzanych głównie w zakresie formalno-prawnym kontroli nadzorczych. Odnosi się ona do posiadanego zadłużenia oraz sposobu jego zarządzania. Miasto posiada oceny </w:t>
      </w:r>
      <w:r>
        <w:rPr>
          <w:rFonts w:ascii="Verdana" w:hAnsi="Verdana"/>
          <w:sz w:val="16"/>
          <w:szCs w:val="16"/>
        </w:rPr>
        <w:t xml:space="preserve">dwóch </w:t>
      </w:r>
      <w:r w:rsidRPr="00383392">
        <w:rPr>
          <w:rFonts w:ascii="Verdana" w:hAnsi="Verdana"/>
          <w:sz w:val="16"/>
          <w:szCs w:val="16"/>
        </w:rPr>
        <w:t xml:space="preserve">agencji ratingowych: </w:t>
      </w:r>
    </w:p>
    <w:p w:rsidR="008853F1" w:rsidRPr="00383392" w:rsidRDefault="008853F1" w:rsidP="008853F1">
      <w:pPr>
        <w:numPr>
          <w:ilvl w:val="0"/>
          <w:numId w:val="49"/>
        </w:numPr>
        <w:spacing w:before="60"/>
        <w:ind w:left="568" w:hanging="284"/>
        <w:jc w:val="both"/>
        <w:rPr>
          <w:rFonts w:ascii="Verdana" w:hAnsi="Verdana"/>
          <w:sz w:val="16"/>
          <w:szCs w:val="16"/>
        </w:rPr>
      </w:pPr>
      <w:r w:rsidRPr="00383392">
        <w:rPr>
          <w:rFonts w:ascii="Verdana" w:hAnsi="Verdana"/>
          <w:b/>
          <w:sz w:val="16"/>
          <w:szCs w:val="16"/>
        </w:rPr>
        <w:t xml:space="preserve">A2 z perspektywą </w:t>
      </w:r>
      <w:r>
        <w:rPr>
          <w:rFonts w:ascii="Verdana" w:hAnsi="Verdana"/>
          <w:b/>
          <w:sz w:val="16"/>
          <w:szCs w:val="16"/>
        </w:rPr>
        <w:t>negatywną</w:t>
      </w:r>
      <w:r w:rsidRPr="00383392">
        <w:rPr>
          <w:rFonts w:ascii="Verdana" w:hAnsi="Verdana"/>
          <w:sz w:val="16"/>
          <w:szCs w:val="16"/>
        </w:rPr>
        <w:t xml:space="preserve"> nadaną przez międzynarodową </w:t>
      </w:r>
      <w:r w:rsidRPr="00383392">
        <w:rPr>
          <w:rFonts w:ascii="Verdana" w:hAnsi="Verdana"/>
          <w:b/>
          <w:sz w:val="16"/>
          <w:szCs w:val="16"/>
        </w:rPr>
        <w:t xml:space="preserve">agencję </w:t>
      </w:r>
      <w:proofErr w:type="spellStart"/>
      <w:r w:rsidRPr="00383392">
        <w:rPr>
          <w:rFonts w:ascii="Verdana" w:hAnsi="Verdana"/>
          <w:b/>
          <w:sz w:val="16"/>
          <w:szCs w:val="16"/>
        </w:rPr>
        <w:t>Moody’s</w:t>
      </w:r>
      <w:proofErr w:type="spellEnd"/>
      <w:r w:rsidRPr="00383392">
        <w:rPr>
          <w:rFonts w:ascii="Verdana" w:hAnsi="Verdana"/>
          <w:sz w:val="16"/>
          <w:szCs w:val="16"/>
        </w:rPr>
        <w:t xml:space="preserve"> (ostatnia weryfikacja </w:t>
      </w:r>
      <w:r>
        <w:rPr>
          <w:rFonts w:ascii="Verdana" w:hAnsi="Verdana"/>
          <w:sz w:val="16"/>
          <w:szCs w:val="16"/>
        </w:rPr>
        <w:t>4</w:t>
      </w:r>
      <w:r w:rsidRPr="00383392">
        <w:rPr>
          <w:rFonts w:ascii="Verdana" w:hAnsi="Verdana"/>
          <w:sz w:val="16"/>
          <w:szCs w:val="16"/>
        </w:rPr>
        <w:t> </w:t>
      </w:r>
      <w:r>
        <w:rPr>
          <w:rFonts w:ascii="Verdana" w:hAnsi="Verdana"/>
          <w:sz w:val="16"/>
          <w:szCs w:val="16"/>
        </w:rPr>
        <w:t xml:space="preserve">listopada 2022 </w:t>
      </w:r>
      <w:r w:rsidRPr="00383392">
        <w:rPr>
          <w:rFonts w:ascii="Verdana" w:hAnsi="Verdana"/>
          <w:sz w:val="16"/>
          <w:szCs w:val="16"/>
        </w:rPr>
        <w:t>r.),</w:t>
      </w:r>
    </w:p>
    <w:p w:rsidR="008853F1" w:rsidRPr="00383392" w:rsidRDefault="008853F1" w:rsidP="008853F1">
      <w:pPr>
        <w:numPr>
          <w:ilvl w:val="0"/>
          <w:numId w:val="49"/>
        </w:numPr>
        <w:spacing w:before="60"/>
        <w:ind w:left="568" w:hanging="284"/>
        <w:jc w:val="both"/>
        <w:rPr>
          <w:rFonts w:ascii="Verdana" w:hAnsi="Verdana"/>
          <w:sz w:val="16"/>
          <w:szCs w:val="16"/>
        </w:rPr>
      </w:pPr>
      <w:r w:rsidRPr="00383392">
        <w:rPr>
          <w:rFonts w:ascii="Verdana" w:hAnsi="Verdana"/>
          <w:b/>
          <w:sz w:val="16"/>
          <w:szCs w:val="16"/>
        </w:rPr>
        <w:t>A- z perspektywą stabilną oraz AAA (</w:t>
      </w:r>
      <w:proofErr w:type="spellStart"/>
      <w:r w:rsidRPr="00383392">
        <w:rPr>
          <w:rFonts w:ascii="Verdana" w:hAnsi="Verdana"/>
          <w:b/>
          <w:sz w:val="16"/>
          <w:szCs w:val="16"/>
        </w:rPr>
        <w:t>pol</w:t>
      </w:r>
      <w:proofErr w:type="spellEnd"/>
      <w:r w:rsidRPr="00383392">
        <w:rPr>
          <w:rFonts w:ascii="Verdana" w:hAnsi="Verdana"/>
          <w:b/>
          <w:sz w:val="16"/>
          <w:szCs w:val="16"/>
        </w:rPr>
        <w:t>)</w:t>
      </w:r>
      <w:r>
        <w:rPr>
          <w:rFonts w:ascii="Verdana" w:hAnsi="Verdana"/>
          <w:b/>
          <w:sz w:val="16"/>
          <w:szCs w:val="16"/>
        </w:rPr>
        <w:t xml:space="preserve"> z perspektywą stabilną</w:t>
      </w:r>
      <w:r w:rsidRPr="00383392">
        <w:rPr>
          <w:rFonts w:ascii="Verdana" w:hAnsi="Verdana"/>
          <w:b/>
          <w:sz w:val="16"/>
          <w:szCs w:val="16"/>
        </w:rPr>
        <w:t xml:space="preserve"> </w:t>
      </w:r>
      <w:r w:rsidRPr="00383392">
        <w:rPr>
          <w:rFonts w:ascii="Verdana" w:hAnsi="Verdana"/>
          <w:sz w:val="16"/>
          <w:szCs w:val="16"/>
        </w:rPr>
        <w:t xml:space="preserve">– nadaną przez międzynarodową </w:t>
      </w:r>
      <w:r w:rsidRPr="00383392">
        <w:rPr>
          <w:rFonts w:ascii="Verdana" w:hAnsi="Verdana"/>
          <w:b/>
          <w:sz w:val="16"/>
          <w:szCs w:val="16"/>
        </w:rPr>
        <w:t xml:space="preserve">agencję Fitch </w:t>
      </w:r>
      <w:proofErr w:type="spellStart"/>
      <w:r w:rsidRPr="00383392">
        <w:rPr>
          <w:rFonts w:ascii="Verdana" w:hAnsi="Verdana"/>
          <w:b/>
          <w:sz w:val="16"/>
          <w:szCs w:val="16"/>
        </w:rPr>
        <w:t>Ratings</w:t>
      </w:r>
      <w:proofErr w:type="spellEnd"/>
      <w:r w:rsidRPr="00383392">
        <w:rPr>
          <w:rFonts w:ascii="Verdana" w:hAnsi="Verdana"/>
          <w:b/>
          <w:sz w:val="16"/>
          <w:szCs w:val="16"/>
        </w:rPr>
        <w:t xml:space="preserve"> </w:t>
      </w:r>
      <w:r w:rsidRPr="00383392">
        <w:rPr>
          <w:rFonts w:ascii="Verdana" w:hAnsi="Verdana"/>
          <w:sz w:val="16"/>
          <w:szCs w:val="16"/>
        </w:rPr>
        <w:t>(ostatnia weryfikacja</w:t>
      </w:r>
      <w:r w:rsidRPr="00383392">
        <w:rPr>
          <w:rFonts w:ascii="Verdana" w:hAnsi="Verdana"/>
          <w:b/>
          <w:sz w:val="16"/>
          <w:szCs w:val="16"/>
        </w:rPr>
        <w:t xml:space="preserve"> </w:t>
      </w:r>
      <w:r>
        <w:rPr>
          <w:rFonts w:ascii="Verdana" w:hAnsi="Verdana"/>
          <w:sz w:val="16"/>
          <w:szCs w:val="16"/>
        </w:rPr>
        <w:t>26 września</w:t>
      </w:r>
      <w:r w:rsidRPr="00383392">
        <w:rPr>
          <w:rFonts w:ascii="Verdana" w:hAnsi="Verdana"/>
          <w:sz w:val="16"/>
          <w:szCs w:val="16"/>
        </w:rPr>
        <w:t xml:space="preserve"> 202</w:t>
      </w:r>
      <w:r>
        <w:rPr>
          <w:rFonts w:ascii="Verdana" w:hAnsi="Verdana"/>
          <w:sz w:val="16"/>
          <w:szCs w:val="16"/>
        </w:rPr>
        <w:t>2</w:t>
      </w:r>
      <w:r w:rsidRPr="00383392">
        <w:rPr>
          <w:rFonts w:ascii="Verdana" w:hAnsi="Verdana"/>
          <w:sz w:val="16"/>
          <w:szCs w:val="16"/>
        </w:rPr>
        <w:t xml:space="preserve"> r.).</w:t>
      </w:r>
    </w:p>
    <w:p w:rsidR="008853F1" w:rsidRDefault="008853F1" w:rsidP="008853F1">
      <w:pPr>
        <w:numPr>
          <w:ilvl w:val="0"/>
          <w:numId w:val="42"/>
        </w:numPr>
        <w:spacing w:before="120"/>
        <w:ind w:left="284" w:hanging="284"/>
        <w:jc w:val="both"/>
        <w:rPr>
          <w:rFonts w:ascii="Verdana" w:hAnsi="Verdana"/>
          <w:bCs/>
          <w:sz w:val="16"/>
          <w:szCs w:val="16"/>
        </w:rPr>
      </w:pPr>
      <w:r w:rsidRPr="00383392">
        <w:rPr>
          <w:rFonts w:ascii="Verdana" w:hAnsi="Verdana"/>
          <w:b/>
          <w:sz w:val="16"/>
          <w:szCs w:val="16"/>
        </w:rPr>
        <w:t>Kontrola zadłużenia niestandardowego.</w:t>
      </w:r>
      <w:r w:rsidRPr="00383392">
        <w:rPr>
          <w:rFonts w:ascii="Verdana" w:hAnsi="Verdana"/>
          <w:sz w:val="16"/>
          <w:szCs w:val="16"/>
        </w:rPr>
        <w:t xml:space="preserve"> Wprowadzone zostały odpowiednie reguły pozwalające </w:t>
      </w:r>
      <w:r w:rsidRPr="00383392">
        <w:rPr>
          <w:rFonts w:ascii="Verdana" w:hAnsi="Verdana"/>
          <w:sz w:val="16"/>
          <w:szCs w:val="16"/>
        </w:rPr>
        <w:br/>
        <w:t xml:space="preserve">na monitorowanie oraz limitowanie zawierania umów generujących tego typu zobowiązania. W celu ograniczenia ryzyka dotyczącego wzrostu zadłużenia i pogorszenia wskaźnika zadłużeniowego związanego </w:t>
      </w:r>
      <w:r w:rsidRPr="00383392">
        <w:rPr>
          <w:rFonts w:ascii="Verdana" w:hAnsi="Verdana"/>
          <w:sz w:val="16"/>
          <w:szCs w:val="16"/>
        </w:rPr>
        <w:br/>
        <w:t xml:space="preserve">z poszerzeniem kategorii kredytów i pożyczek o nowe tytuły dłużne (zgodnie z obowiązującym rozporządzeniem Ministra Finansów z dnia 28 grudnia 2011 r. </w:t>
      </w:r>
      <w:r w:rsidRPr="00383392">
        <w:rPr>
          <w:rFonts w:ascii="Verdana" w:hAnsi="Verdana"/>
          <w:bCs/>
          <w:sz w:val="16"/>
          <w:szCs w:val="16"/>
        </w:rPr>
        <w:t xml:space="preserve">w sprawie szczegółowego sposobu klasyfikacji tytułów dłużnych zaliczanych do państwowego długu publicznego, Dz.U. 2011 nr 298 poz. 1767) </w:t>
      </w:r>
      <w:r w:rsidRPr="00383392">
        <w:rPr>
          <w:rFonts w:ascii="Verdana" w:hAnsi="Verdana"/>
          <w:sz w:val="16"/>
          <w:szCs w:val="16"/>
        </w:rPr>
        <w:t xml:space="preserve">od 2012 r. </w:t>
      </w:r>
      <w:r w:rsidRPr="00383392">
        <w:rPr>
          <w:rFonts w:ascii="Verdana" w:hAnsi="Verdana"/>
          <w:bCs/>
          <w:sz w:val="16"/>
          <w:szCs w:val="16"/>
        </w:rPr>
        <w:t xml:space="preserve">w formie wytycznych stosowane są procedury zawierania umów wieloletnich. Dotyczyć to może: umów PPP, umów sprzedaży w ratach, umów nienazwanych o terminie zapłaty dłuższym niż rok oraz umów leasingu, </w:t>
      </w:r>
      <w:r w:rsidRPr="00383392">
        <w:rPr>
          <w:rFonts w:ascii="Verdana" w:hAnsi="Verdana"/>
          <w:bCs/>
          <w:sz w:val="16"/>
          <w:szCs w:val="16"/>
        </w:rPr>
        <w:br/>
        <w:t>w których ryzyko i korzyści ponosi korzystający z rzeczy. Dotychczas w finansach Miasta nie wystąpiły zobowiązania dotyczące tego rodzaju umów.</w:t>
      </w:r>
    </w:p>
    <w:p w:rsidR="008853F1" w:rsidRPr="00E30E07" w:rsidRDefault="008853F1" w:rsidP="008853F1">
      <w:pPr>
        <w:numPr>
          <w:ilvl w:val="0"/>
          <w:numId w:val="42"/>
        </w:numPr>
        <w:spacing w:before="120"/>
        <w:ind w:left="284" w:hanging="284"/>
        <w:jc w:val="both"/>
        <w:rPr>
          <w:rFonts w:ascii="Verdana" w:hAnsi="Verdana"/>
          <w:bCs/>
          <w:sz w:val="16"/>
          <w:szCs w:val="16"/>
        </w:rPr>
      </w:pPr>
      <w:r w:rsidRPr="00E30E07">
        <w:rPr>
          <w:rFonts w:ascii="Verdana" w:hAnsi="Verdana" w:cs="Arial"/>
          <w:b/>
          <w:sz w:val="16"/>
          <w:szCs w:val="16"/>
        </w:rPr>
        <w:t xml:space="preserve">Monitorowanie </w:t>
      </w:r>
      <w:r w:rsidRPr="00E30E07">
        <w:rPr>
          <w:rFonts w:ascii="Verdana" w:hAnsi="Verdana"/>
          <w:b/>
          <w:sz w:val="16"/>
          <w:szCs w:val="16"/>
        </w:rPr>
        <w:t>długu</w:t>
      </w:r>
      <w:r w:rsidRPr="00E30E07">
        <w:rPr>
          <w:rFonts w:ascii="Verdana" w:hAnsi="Verdana" w:cs="Arial"/>
          <w:b/>
          <w:sz w:val="16"/>
          <w:szCs w:val="16"/>
        </w:rPr>
        <w:t xml:space="preserve"> pośredniego poprzez bieżące śledzenie </w:t>
      </w:r>
      <w:r w:rsidRPr="00E30E07">
        <w:rPr>
          <w:rFonts w:ascii="Verdana" w:hAnsi="Verdana" w:cs="Verdana"/>
          <w:b/>
          <w:sz w:val="16"/>
          <w:szCs w:val="16"/>
        </w:rPr>
        <w:t>zadłużenia podmiotów zależnych.</w:t>
      </w:r>
      <w:r w:rsidRPr="00E30E07">
        <w:rPr>
          <w:rFonts w:ascii="Verdana" w:hAnsi="Verdana" w:cs="Verdana"/>
          <w:sz w:val="16"/>
          <w:szCs w:val="16"/>
        </w:rPr>
        <w:t xml:space="preserve"> M</w:t>
      </w:r>
      <w:r>
        <w:rPr>
          <w:rFonts w:ascii="Verdana" w:hAnsi="Verdana" w:cs="Verdana"/>
          <w:sz w:val="16"/>
          <w:szCs w:val="16"/>
        </w:rPr>
        <w:t>iasto posiada 100% udziałów w 21</w:t>
      </w:r>
      <w:r w:rsidRPr="00E30E07">
        <w:rPr>
          <w:rFonts w:ascii="Verdana" w:hAnsi="Verdana" w:cs="Verdana"/>
          <w:sz w:val="16"/>
          <w:szCs w:val="16"/>
        </w:rPr>
        <w:t xml:space="preserve"> spółkach prawa handlowego, z czego kluczową pozycję zajmuje </w:t>
      </w:r>
      <w:r w:rsidRPr="00E30E07">
        <w:rPr>
          <w:rFonts w:ascii="Verdana" w:hAnsi="Verdana" w:cs="Verdana"/>
          <w:sz w:val="16"/>
          <w:szCs w:val="16"/>
        </w:rPr>
        <w:br/>
        <w:t>9 podmiotów monitorowanych przez międzynarodowe agencje ratingowe. Podmiotami których zadłużenie poddane jest kontroli w pierwszej kolejności, są te o największej skali funkcjonowania i znaczeniu, których suma bilansowa przekracza 150 mln zł oraz podmioty prowadzące działalność leczniczą.</w:t>
      </w:r>
    </w:p>
    <w:p w:rsidR="00FE5B1C" w:rsidRDefault="00FE5B1C" w:rsidP="00FE5B1C">
      <w:pPr>
        <w:spacing w:before="120"/>
        <w:jc w:val="both"/>
        <w:rPr>
          <w:rFonts w:ascii="Verdana" w:hAnsi="Verdana" w:cs="Arial"/>
          <w:b/>
          <w:sz w:val="16"/>
          <w:szCs w:val="16"/>
        </w:rPr>
      </w:pPr>
    </w:p>
    <w:p w:rsidR="00FE5B1C" w:rsidRPr="00E30E07" w:rsidRDefault="00FE5B1C" w:rsidP="00FE5B1C">
      <w:pPr>
        <w:spacing w:before="120"/>
        <w:jc w:val="both"/>
        <w:rPr>
          <w:rFonts w:ascii="Verdana" w:hAnsi="Verdana"/>
          <w:bCs/>
          <w:sz w:val="16"/>
          <w:szCs w:val="16"/>
        </w:rPr>
      </w:pPr>
      <w:r w:rsidRPr="007C5B43">
        <w:rPr>
          <w:rFonts w:ascii="Verdana" w:hAnsi="Verdana" w:cs="Arial"/>
          <w:b/>
          <w:noProof/>
          <w:sz w:val="16"/>
          <w:szCs w:val="16"/>
        </w:rPr>
        <mc:AlternateContent>
          <mc:Choice Requires="wps">
            <w:drawing>
              <wp:anchor distT="0" distB="0" distL="114300" distR="114300" simplePos="0" relativeHeight="251703296" behindDoc="0" locked="0" layoutInCell="1" allowOverlap="1" wp14:anchorId="38C0CA33" wp14:editId="5719E277">
                <wp:simplePos x="0" y="0"/>
                <wp:positionH relativeFrom="margin">
                  <wp:posOffset>0</wp:posOffset>
                </wp:positionH>
                <wp:positionV relativeFrom="paragraph">
                  <wp:posOffset>30480</wp:posOffset>
                </wp:positionV>
                <wp:extent cx="2438400" cy="609600"/>
                <wp:effectExtent l="0" t="0" r="0" b="0"/>
                <wp:wrapNone/>
                <wp:docPr id="13" name="Pole tekstowe 13"/>
                <wp:cNvGraphicFramePr/>
                <a:graphic xmlns:a="http://schemas.openxmlformats.org/drawingml/2006/main">
                  <a:graphicData uri="http://schemas.microsoft.com/office/word/2010/wordprocessingShape">
                    <wps:wsp>
                      <wps:cNvSpPr txBox="1"/>
                      <wps:spPr>
                        <a:xfrm>
                          <a:off x="0" y="0"/>
                          <a:ext cx="2438400" cy="609600"/>
                        </a:xfrm>
                        <a:prstGeom prst="rect">
                          <a:avLst/>
                        </a:prstGeom>
                        <a:solidFill>
                          <a:schemeClr val="lt1"/>
                        </a:solidFill>
                        <a:ln w="6350">
                          <a:noFill/>
                        </a:ln>
                      </wps:spPr>
                      <wps:txbx>
                        <w:txbxContent>
                          <w:p w:rsidR="00FE5B1C" w:rsidRPr="007A5B45" w:rsidRDefault="00FE5B1C" w:rsidP="00FE5B1C">
                            <w:pPr>
                              <w:jc w:val="center"/>
                              <w:rPr>
                                <w:rFonts w:ascii="Verdana" w:hAnsi="Verdana"/>
                                <w:sz w:val="16"/>
                                <w:szCs w:val="16"/>
                              </w:rPr>
                            </w:pPr>
                            <w:r w:rsidRPr="007A5B45">
                              <w:rPr>
                                <w:rFonts w:ascii="Verdana" w:hAnsi="Verdana"/>
                                <w:sz w:val="16"/>
                                <w:szCs w:val="16"/>
                              </w:rPr>
                              <w:t>Skarbnik m.st. Warszawy</w:t>
                            </w:r>
                          </w:p>
                          <w:p w:rsidR="00FE5B1C" w:rsidRPr="007A5B45" w:rsidRDefault="00FE5B1C" w:rsidP="00FE5B1C">
                            <w:pPr>
                              <w:jc w:val="center"/>
                              <w:rPr>
                                <w:rFonts w:ascii="Verdana" w:hAnsi="Verdana"/>
                                <w:sz w:val="16"/>
                                <w:szCs w:val="16"/>
                              </w:rPr>
                            </w:pPr>
                            <w:r w:rsidRPr="00CA53B2">
                              <w:rPr>
                                <w:rFonts w:ascii="Verdana" w:hAnsi="Verdana"/>
                                <w:sz w:val="16"/>
                                <w:szCs w:val="16"/>
                              </w:rPr>
                              <w:t>/ – /</w:t>
                            </w:r>
                            <w:r>
                              <w:rPr>
                                <w:rFonts w:ascii="Verdana" w:hAnsi="Verdana"/>
                                <w:sz w:val="16"/>
                                <w:szCs w:val="16"/>
                              </w:rPr>
                              <w:t xml:space="preserve"> </w:t>
                            </w:r>
                            <w:r w:rsidRPr="007A5B45">
                              <w:rPr>
                                <w:rFonts w:ascii="Verdana" w:hAnsi="Verdana"/>
                                <w:sz w:val="16"/>
                                <w:szCs w:val="16"/>
                              </w:rPr>
                              <w:t>Mirosław Czekaj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0CA33" id="Pole tekstowe 13" o:spid="_x0000_s1031" type="#_x0000_t202" style="position:absolute;left:0;text-align:left;margin-left:0;margin-top:2.4pt;width:192pt;height:48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" fillcolor="white [3201]" stroked="f" strokeweight=".5pt">
                <v:textbox>
                  <w:txbxContent>
                    <w:p w:rsidR="00FE5B1C" w:rsidRPr="007A5B45" w:rsidRDefault="00FE5B1C" w:rsidP="00FE5B1C">
                      <w:pPr>
                        <w:jc w:val="center"/>
                        <w:rPr>
                          <w:rFonts w:ascii="Verdana" w:hAnsi="Verdana"/>
                          <w:sz w:val="16"/>
                          <w:szCs w:val="16"/>
                        </w:rPr>
                      </w:pPr>
                      <w:r w:rsidRPr="007A5B45">
                        <w:rPr>
                          <w:rFonts w:ascii="Verdana" w:hAnsi="Verdana"/>
                          <w:sz w:val="16"/>
                          <w:szCs w:val="16"/>
                        </w:rPr>
                        <w:t>Skarbnik m.st. Warszawy</w:t>
                      </w:r>
                    </w:p>
                    <w:p w:rsidR="00FE5B1C" w:rsidRPr="007A5B45" w:rsidRDefault="00FE5B1C" w:rsidP="00FE5B1C">
                      <w:pPr>
                        <w:jc w:val="center"/>
                        <w:rPr>
                          <w:rFonts w:ascii="Verdana" w:hAnsi="Verdana"/>
                          <w:sz w:val="16"/>
                          <w:szCs w:val="16"/>
                        </w:rPr>
                      </w:pPr>
                      <w:r w:rsidRPr="00CA53B2">
                        <w:rPr>
                          <w:rFonts w:ascii="Verdana" w:hAnsi="Verdana"/>
                          <w:sz w:val="16"/>
                          <w:szCs w:val="16"/>
                        </w:rPr>
                        <w:t>/ – /</w:t>
                      </w:r>
                      <w:r>
                        <w:rPr>
                          <w:rFonts w:ascii="Verdana" w:hAnsi="Verdana"/>
                          <w:sz w:val="16"/>
                          <w:szCs w:val="16"/>
                        </w:rPr>
                        <w:t xml:space="preserve"> </w:t>
                      </w:r>
                      <w:r w:rsidRPr="007A5B45">
                        <w:rPr>
                          <w:rFonts w:ascii="Verdana" w:hAnsi="Verdana"/>
                          <w:sz w:val="16"/>
                          <w:szCs w:val="16"/>
                        </w:rPr>
                        <w:t>Mirosław Czekaj</w:t>
                      </w:r>
                    </w:p>
                  </w:txbxContent>
                </v:textbox>
                <w10:wrap anchorx="margin"/>
              </v:shape>
            </w:pict>
          </mc:Fallback>
        </mc:AlternateContent>
      </w:r>
      <w:r w:rsidRPr="007C5B43">
        <w:rPr>
          <w:rFonts w:ascii="Verdana" w:hAnsi="Verdana" w:cs="Arial"/>
          <w:b/>
          <w:noProof/>
          <w:sz w:val="16"/>
          <w:szCs w:val="16"/>
        </w:rPr>
        <mc:AlternateContent>
          <mc:Choice Requires="wps">
            <w:drawing>
              <wp:anchor distT="0" distB="0" distL="114300" distR="114300" simplePos="0" relativeHeight="251704320" behindDoc="0" locked="0" layoutInCell="1" allowOverlap="1" wp14:anchorId="1711C434" wp14:editId="1FA0B19F">
                <wp:simplePos x="0" y="0"/>
                <wp:positionH relativeFrom="margin">
                  <wp:posOffset>3321685</wp:posOffset>
                </wp:positionH>
                <wp:positionV relativeFrom="paragraph">
                  <wp:posOffset>0</wp:posOffset>
                </wp:positionV>
                <wp:extent cx="2438400" cy="609600"/>
                <wp:effectExtent l="0" t="0" r="0" b="0"/>
                <wp:wrapNone/>
                <wp:docPr id="71" name="Pole tekstowe 71"/>
                <wp:cNvGraphicFramePr/>
                <a:graphic xmlns:a="http://schemas.openxmlformats.org/drawingml/2006/main">
                  <a:graphicData uri="http://schemas.microsoft.com/office/word/2010/wordprocessingShape">
                    <wps:wsp>
                      <wps:cNvSpPr txBox="1"/>
                      <wps:spPr>
                        <a:xfrm>
                          <a:off x="0" y="0"/>
                          <a:ext cx="2438400" cy="609600"/>
                        </a:xfrm>
                        <a:prstGeom prst="rect">
                          <a:avLst/>
                        </a:prstGeom>
                        <a:solidFill>
                          <a:schemeClr val="lt1"/>
                        </a:solidFill>
                        <a:ln w="6350">
                          <a:noFill/>
                        </a:ln>
                      </wps:spPr>
                      <wps:txbx>
                        <w:txbxContent>
                          <w:p w:rsidR="00FE5B1C" w:rsidRPr="007A5B45" w:rsidRDefault="00FE5B1C" w:rsidP="00FE5B1C">
                            <w:pPr>
                              <w:jc w:val="center"/>
                              <w:rPr>
                                <w:rFonts w:ascii="Verdana" w:hAnsi="Verdana"/>
                                <w:sz w:val="16"/>
                                <w:szCs w:val="16"/>
                              </w:rPr>
                            </w:pPr>
                            <w:r w:rsidRPr="007A5B45">
                              <w:rPr>
                                <w:rFonts w:ascii="Verdana" w:hAnsi="Verdana"/>
                                <w:sz w:val="16"/>
                                <w:szCs w:val="16"/>
                              </w:rPr>
                              <w:t>Prezydent m.st. Warszawy</w:t>
                            </w:r>
                          </w:p>
                          <w:p w:rsidR="00FE5B1C" w:rsidRPr="0023713D" w:rsidRDefault="00FE5B1C" w:rsidP="00FE5B1C">
                            <w:pPr>
                              <w:jc w:val="center"/>
                              <w:rPr>
                                <w:rFonts w:ascii="Verdana" w:hAnsi="Verdana"/>
                                <w:sz w:val="22"/>
                                <w:szCs w:val="22"/>
                              </w:rPr>
                            </w:pPr>
                            <w:r w:rsidRPr="00CA53B2">
                              <w:rPr>
                                <w:rFonts w:ascii="Verdana" w:hAnsi="Verdana"/>
                                <w:sz w:val="16"/>
                                <w:szCs w:val="16"/>
                              </w:rPr>
                              <w:t>/ – /</w:t>
                            </w:r>
                            <w:r>
                              <w:rPr>
                                <w:rFonts w:ascii="Verdana" w:hAnsi="Verdana"/>
                                <w:sz w:val="16"/>
                                <w:szCs w:val="16"/>
                              </w:rPr>
                              <w:t xml:space="preserve"> </w:t>
                            </w:r>
                            <w:r w:rsidRPr="007A5B45">
                              <w:rPr>
                                <w:rFonts w:ascii="Verdana" w:hAnsi="Verdana"/>
                                <w:sz w:val="16"/>
                                <w:szCs w:val="16"/>
                              </w:rPr>
                              <w:t>Rafał Trzaskowski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1C434" id="Pole tekstowe 71" o:spid="_x0000_s1032" type="#_x0000_t202" style="position:absolute;left:0;text-align:left;margin-left:261.55pt;margin-top:0;width:192pt;height:4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" fillcolor="white [3201]" stroked="f" strokeweight=".5pt">
                <v:textbox>
                  <w:txbxContent>
                    <w:p w:rsidR="00FE5B1C" w:rsidRPr="007A5B45" w:rsidRDefault="00FE5B1C" w:rsidP="00FE5B1C">
                      <w:pPr>
                        <w:jc w:val="center"/>
                        <w:rPr>
                          <w:rFonts w:ascii="Verdana" w:hAnsi="Verdana"/>
                          <w:sz w:val="16"/>
                          <w:szCs w:val="16"/>
                        </w:rPr>
                      </w:pPr>
                      <w:r w:rsidRPr="007A5B45">
                        <w:rPr>
                          <w:rFonts w:ascii="Verdana" w:hAnsi="Verdana"/>
                          <w:sz w:val="16"/>
                          <w:szCs w:val="16"/>
                        </w:rPr>
                        <w:t>Prezydent m.st. Warszawy</w:t>
                      </w:r>
                    </w:p>
                    <w:p w:rsidR="00FE5B1C" w:rsidRPr="0023713D" w:rsidRDefault="00FE5B1C" w:rsidP="00FE5B1C">
                      <w:pPr>
                        <w:jc w:val="center"/>
                        <w:rPr>
                          <w:rFonts w:ascii="Verdana" w:hAnsi="Verdana"/>
                          <w:sz w:val="22"/>
                          <w:szCs w:val="22"/>
                        </w:rPr>
                      </w:pPr>
                      <w:r w:rsidRPr="00CA53B2">
                        <w:rPr>
                          <w:rFonts w:ascii="Verdana" w:hAnsi="Verdana"/>
                          <w:sz w:val="16"/>
                          <w:szCs w:val="16"/>
                        </w:rPr>
                        <w:t>/ – /</w:t>
                      </w:r>
                      <w:r>
                        <w:rPr>
                          <w:rFonts w:ascii="Verdana" w:hAnsi="Verdana"/>
                          <w:sz w:val="16"/>
                          <w:szCs w:val="16"/>
                        </w:rPr>
                        <w:t xml:space="preserve"> </w:t>
                      </w:r>
                      <w:r w:rsidRPr="007A5B45">
                        <w:rPr>
                          <w:rFonts w:ascii="Verdana" w:hAnsi="Verdana"/>
                          <w:sz w:val="16"/>
                          <w:szCs w:val="16"/>
                        </w:rPr>
                        <w:t>Rafał Trzaskowski</w:t>
                      </w:r>
                    </w:p>
                  </w:txbxContent>
                </v:textbox>
                <w10:wrap anchorx="margin"/>
              </v:shape>
            </w:pict>
          </mc:Fallback>
        </mc:AlternateContent>
      </w:r>
    </w:p>
    <w:p w:rsidR="00FE5B1C" w:rsidRDefault="00FE5B1C" w:rsidP="00FE5B1C">
      <w:pPr>
        <w:spacing w:before="120"/>
        <w:jc w:val="both"/>
        <w:rPr>
          <w:rFonts w:ascii="Verdana" w:hAnsi="Verdana"/>
          <w:noProof/>
          <w:sz w:val="16"/>
          <w:szCs w:val="16"/>
        </w:rPr>
      </w:pPr>
    </w:p>
    <w:p w:rsidR="005A6C98" w:rsidRDefault="005A6C98" w:rsidP="005A6C98">
      <w:pPr>
        <w:rPr>
          <w:rFonts w:cs="Arial"/>
          <w:sz w:val="16"/>
          <w:szCs w:val="16"/>
        </w:rPr>
      </w:pPr>
    </w:p>
    <w:sectPr w:rsidR="005A6C98" w:rsidSect="00C90787">
      <w:type w:val="oddPage"/>
      <w:pgSz w:w="11907" w:h="16840"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051D" w:rsidRDefault="000B051D">
      <w:r>
        <w:separator/>
      </w:r>
    </w:p>
  </w:endnote>
  <w:endnote w:type="continuationSeparator" w:id="0">
    <w:p w:rsidR="000B051D" w:rsidRDefault="000B0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Verdana">
    <w:altName w:val="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NewBrunswick">
    <w:altName w:val="Times New Roman"/>
    <w:charset w:val="00"/>
    <w:family w:val="auto"/>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EE"/>
    <w:family w:val="roman"/>
    <w:pitch w:val="variable"/>
    <w:sig w:usb0="00000287" w:usb1="00000000" w:usb2="00000000" w:usb3="00000000" w:csb0="0000009F" w:csb1="00000000"/>
  </w:font>
  <w:font w:name="Swis721LtEU">
    <w:altName w:val="Swis 72 1 Light EU"/>
    <w:panose1 w:val="00000000000000000000"/>
    <w:charset w:val="EE"/>
    <w:family w:val="swiss"/>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72A" w:rsidRDefault="008A572A" w:rsidP="00F164C9">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77</w:t>
    </w:r>
    <w:r>
      <w:rPr>
        <w:rStyle w:val="Numerstrony"/>
      </w:rPr>
      <w:fldChar w:fldCharType="end"/>
    </w:r>
  </w:p>
  <w:p w:rsidR="008A572A" w:rsidRDefault="008A572A" w:rsidP="00F164C9">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72A" w:rsidRPr="00F351C0" w:rsidRDefault="008A572A" w:rsidP="00F351C0">
    <w:pPr>
      <w:pStyle w:val="Stopka"/>
      <w:ind w:right="360"/>
      <w:jc w:val="right"/>
      <w:rPr>
        <w:sz w:val="18"/>
        <w:szCs w:val="18"/>
      </w:rPr>
    </w:pPr>
    <w:r w:rsidRPr="00F351C0">
      <w:rPr>
        <w:rStyle w:val="Numerstrony"/>
        <w:sz w:val="18"/>
        <w:szCs w:val="18"/>
      </w:rPr>
      <w:fldChar w:fldCharType="begin"/>
    </w:r>
    <w:r w:rsidRPr="00F351C0">
      <w:rPr>
        <w:rStyle w:val="Numerstrony"/>
        <w:sz w:val="18"/>
        <w:szCs w:val="18"/>
      </w:rPr>
      <w:instrText xml:space="preserve"> PAGE </w:instrText>
    </w:r>
    <w:r w:rsidRPr="00F351C0">
      <w:rPr>
        <w:rStyle w:val="Numerstrony"/>
        <w:sz w:val="18"/>
        <w:szCs w:val="18"/>
      </w:rPr>
      <w:fldChar w:fldCharType="separate"/>
    </w:r>
    <w:r w:rsidR="00DB2126">
      <w:rPr>
        <w:rStyle w:val="Numerstrony"/>
        <w:noProof/>
        <w:sz w:val="18"/>
        <w:szCs w:val="18"/>
      </w:rPr>
      <w:t>3</w:t>
    </w:r>
    <w:r w:rsidRPr="00F351C0">
      <w:rPr>
        <w:rStyle w:val="Numerstrony"/>
        <w:sz w:val="18"/>
        <w:szCs w:val="18"/>
      </w:rPr>
      <w:fldChar w:fldCharType="end"/>
    </w:r>
    <w:r w:rsidRPr="00F351C0">
      <w:rPr>
        <w:rStyle w:val="Numerstrony"/>
        <w:sz w:val="18"/>
        <w:szCs w:val="18"/>
      </w:rPr>
      <w:t xml:space="preserve"> / </w:t>
    </w:r>
    <w:r w:rsidRPr="00F351C0">
      <w:rPr>
        <w:rStyle w:val="Numerstrony"/>
        <w:sz w:val="18"/>
        <w:szCs w:val="18"/>
      </w:rPr>
      <w:fldChar w:fldCharType="begin"/>
    </w:r>
    <w:r w:rsidRPr="00F351C0">
      <w:rPr>
        <w:rStyle w:val="Numerstrony"/>
        <w:sz w:val="18"/>
        <w:szCs w:val="18"/>
      </w:rPr>
      <w:instrText xml:space="preserve"> NUMPAGES </w:instrText>
    </w:r>
    <w:r w:rsidRPr="00F351C0">
      <w:rPr>
        <w:rStyle w:val="Numerstrony"/>
        <w:sz w:val="18"/>
        <w:szCs w:val="18"/>
      </w:rPr>
      <w:fldChar w:fldCharType="separate"/>
    </w:r>
    <w:r w:rsidR="00DB2126">
      <w:rPr>
        <w:rStyle w:val="Numerstrony"/>
        <w:noProof/>
        <w:sz w:val="18"/>
        <w:szCs w:val="18"/>
      </w:rPr>
      <w:t>92</w:t>
    </w:r>
    <w:r w:rsidRPr="00F351C0">
      <w:rPr>
        <w:rStyle w:val="Numerstrony"/>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051D" w:rsidRDefault="000B051D">
      <w:r>
        <w:separator/>
      </w:r>
    </w:p>
  </w:footnote>
  <w:footnote w:type="continuationSeparator" w:id="0">
    <w:p w:rsidR="000B051D" w:rsidRDefault="000B051D">
      <w:r>
        <w:continuationSeparator/>
      </w:r>
    </w:p>
  </w:footnote>
  <w:footnote w:id="1">
    <w:p w:rsidR="008A572A" w:rsidRPr="005335E1" w:rsidRDefault="008A572A" w:rsidP="008A572A">
      <w:pPr>
        <w:pStyle w:val="Tekstprzypisudolnego"/>
        <w:ind w:firstLine="284"/>
        <w:rPr>
          <w:rFonts w:ascii="Verdana" w:hAnsi="Verdana" w:cs="Arial"/>
          <w:i w:val="0"/>
          <w:sz w:val="14"/>
          <w:szCs w:val="14"/>
        </w:rPr>
      </w:pPr>
      <w:r w:rsidRPr="005E3938">
        <w:rPr>
          <w:rStyle w:val="Odwoanieprzypisudolnego"/>
          <w:rFonts w:ascii="Verdana" w:hAnsi="Verdana"/>
          <w:i w:val="0"/>
          <w:sz w:val="14"/>
          <w:szCs w:val="14"/>
        </w:rPr>
        <w:footnoteRef/>
      </w:r>
      <w:r>
        <w:rPr>
          <w:rFonts w:ascii="Verdana" w:hAnsi="Verdana"/>
          <w:i w:val="0"/>
          <w:sz w:val="14"/>
          <w:szCs w:val="14"/>
        </w:rPr>
        <w:t xml:space="preserve"> </w:t>
      </w:r>
      <w:r>
        <w:rPr>
          <w:rFonts w:ascii="Verdana" w:hAnsi="Verdana" w:cs="Arial"/>
          <w:i w:val="0"/>
          <w:sz w:val="14"/>
          <w:szCs w:val="14"/>
        </w:rPr>
        <w:t xml:space="preserve">Zarządzenie nr 1795/2021 Prezydenta Miasta Stołecznego Warszawy z 09.11.2021 r. </w:t>
      </w:r>
      <w:r w:rsidRPr="005335E1">
        <w:rPr>
          <w:rFonts w:ascii="Verdana" w:hAnsi="Verdana" w:cs="Arial"/>
          <w:sz w:val="14"/>
          <w:szCs w:val="14"/>
        </w:rPr>
        <w:t>w sprawie wyboru długości okresu stosowanego do wyliczenia relacji wynikającej z art. 243 ust. 1 ustawy o finansach publicznych</w:t>
      </w:r>
      <w:r w:rsidRPr="005335E1">
        <w:rPr>
          <w:rFonts w:ascii="Verdana" w:hAnsi="Verdana" w:cs="Arial"/>
          <w:i w:val="0"/>
          <w:sz w:val="14"/>
          <w:szCs w:val="14"/>
        </w:rPr>
        <w:t>.</w:t>
      </w:r>
    </w:p>
  </w:footnote>
  <w:footnote w:id="2">
    <w:p w:rsidR="008A572A" w:rsidRPr="005E3938" w:rsidRDefault="008A572A" w:rsidP="008A572A">
      <w:pPr>
        <w:pStyle w:val="Tekstprzypisudolnego"/>
        <w:ind w:firstLine="284"/>
        <w:rPr>
          <w:rFonts w:ascii="Verdana" w:hAnsi="Verdana"/>
          <w:i w:val="0"/>
          <w:sz w:val="16"/>
          <w:szCs w:val="16"/>
        </w:rPr>
      </w:pPr>
      <w:r w:rsidRPr="005E3938">
        <w:rPr>
          <w:rStyle w:val="Odwoanieprzypisudolnego"/>
          <w:rFonts w:ascii="Verdana" w:hAnsi="Verdana"/>
          <w:i w:val="0"/>
          <w:sz w:val="14"/>
          <w:szCs w:val="14"/>
        </w:rPr>
        <w:footnoteRef/>
      </w:r>
      <w:r>
        <w:rPr>
          <w:rFonts w:ascii="Verdana" w:hAnsi="Verdana"/>
          <w:i w:val="0"/>
          <w:sz w:val="14"/>
          <w:szCs w:val="14"/>
        </w:rPr>
        <w:t xml:space="preserve"> </w:t>
      </w:r>
      <w:r>
        <w:rPr>
          <w:rFonts w:ascii="Verdana" w:hAnsi="Verdana" w:cs="Arial"/>
          <w:i w:val="0"/>
          <w:sz w:val="14"/>
          <w:szCs w:val="14"/>
        </w:rPr>
        <w:t>Zmiany wymienionej ustawy zostały ogłoszone w</w:t>
      </w:r>
      <w:r>
        <w:rPr>
          <w:rFonts w:ascii="Verdana" w:hAnsi="Verdana"/>
          <w:i w:val="0"/>
          <w:sz w:val="14"/>
          <w:szCs w:val="14"/>
        </w:rPr>
        <w:t xml:space="preserve"> Dz. U. z 2022 r. </w:t>
      </w:r>
      <w:r w:rsidRPr="00E67B40">
        <w:rPr>
          <w:rFonts w:ascii="Verdana" w:hAnsi="Verdana"/>
          <w:i w:val="0"/>
          <w:sz w:val="14"/>
          <w:szCs w:val="14"/>
        </w:rPr>
        <w:t xml:space="preserve">poz. </w:t>
      </w:r>
      <w:r>
        <w:rPr>
          <w:rFonts w:ascii="Verdana" w:hAnsi="Verdana"/>
          <w:i w:val="0"/>
          <w:sz w:val="14"/>
          <w:szCs w:val="14"/>
        </w:rPr>
        <w:t>682, 683, 684, 830, 930, 1002, 1087, 1383, 1561, 1692, 1733, 2185 i 2600.</w:t>
      </w:r>
    </w:p>
  </w:footnote>
  <w:footnote w:id="3">
    <w:p w:rsidR="008A572A" w:rsidRPr="005335E1" w:rsidRDefault="008A572A" w:rsidP="008A572A">
      <w:pPr>
        <w:pStyle w:val="Tekstprzypisudolnego"/>
        <w:ind w:firstLine="284"/>
        <w:rPr>
          <w:rFonts w:ascii="Verdana" w:hAnsi="Verdana" w:cs="Arial"/>
          <w:i w:val="0"/>
          <w:sz w:val="14"/>
          <w:szCs w:val="14"/>
        </w:rPr>
      </w:pPr>
      <w:r w:rsidRPr="005E3938">
        <w:rPr>
          <w:rStyle w:val="Odwoanieprzypisudolnego"/>
          <w:rFonts w:ascii="Verdana" w:hAnsi="Verdana"/>
          <w:i w:val="0"/>
          <w:sz w:val="14"/>
          <w:szCs w:val="14"/>
        </w:rPr>
        <w:footnoteRef/>
      </w:r>
      <w:r>
        <w:rPr>
          <w:rFonts w:ascii="Verdana" w:hAnsi="Verdana"/>
          <w:i w:val="0"/>
          <w:sz w:val="14"/>
          <w:szCs w:val="14"/>
        </w:rPr>
        <w:t xml:space="preserve"> </w:t>
      </w:r>
      <w:r>
        <w:rPr>
          <w:rFonts w:ascii="Verdana" w:hAnsi="Verdana" w:cs="Arial"/>
          <w:i w:val="0"/>
          <w:sz w:val="14"/>
          <w:szCs w:val="14"/>
        </w:rPr>
        <w:t xml:space="preserve">Zarządzenie nr 1795/2021 Prezydenta Miasta Stołecznego Warszawy z 09.11.2021 r. </w:t>
      </w:r>
      <w:r w:rsidRPr="005335E1">
        <w:rPr>
          <w:rFonts w:ascii="Verdana" w:hAnsi="Verdana" w:cs="Arial"/>
          <w:sz w:val="14"/>
          <w:szCs w:val="14"/>
        </w:rPr>
        <w:t>w sprawie wyboru długości okresu stosowanego do wyliczenia relacji wynikającej z art. 243 ust. 1 ustawy o finansach publicznych</w:t>
      </w:r>
      <w:r w:rsidRPr="005335E1">
        <w:rPr>
          <w:rFonts w:ascii="Verdana" w:hAnsi="Verdana" w:cs="Arial"/>
          <w:i w:val="0"/>
          <w:sz w:val="14"/>
          <w:szCs w:val="14"/>
        </w:rPr>
        <w:t>.</w:t>
      </w:r>
    </w:p>
  </w:footnote>
  <w:footnote w:id="4">
    <w:p w:rsidR="008A572A" w:rsidRPr="004560FF" w:rsidRDefault="008A572A" w:rsidP="008A572A">
      <w:pPr>
        <w:pStyle w:val="Tekstprzypisudolnego"/>
        <w:ind w:firstLine="284"/>
        <w:rPr>
          <w:rFonts w:ascii="Verdana" w:hAnsi="Verdana"/>
          <w:i w:val="0"/>
          <w:sz w:val="14"/>
          <w:szCs w:val="14"/>
        </w:rPr>
      </w:pPr>
      <w:r w:rsidRPr="004560FF">
        <w:rPr>
          <w:rStyle w:val="Odwoanieprzypisudolnego"/>
          <w:rFonts w:ascii="Verdana" w:hAnsi="Verdana"/>
          <w:i w:val="0"/>
          <w:sz w:val="16"/>
          <w:szCs w:val="16"/>
        </w:rPr>
        <w:footnoteRef/>
      </w:r>
      <w:r w:rsidRPr="004560FF">
        <w:rPr>
          <w:rFonts w:ascii="Verdana" w:hAnsi="Verdana"/>
          <w:i w:val="0"/>
          <w:sz w:val="16"/>
          <w:szCs w:val="16"/>
        </w:rPr>
        <w:t xml:space="preserve"> </w:t>
      </w:r>
      <w:r w:rsidRPr="004560FF">
        <w:rPr>
          <w:rFonts w:ascii="Verdana" w:hAnsi="Verdana" w:cs="Arial"/>
          <w:i w:val="0"/>
          <w:sz w:val="14"/>
          <w:szCs w:val="14"/>
        </w:rPr>
        <w:t>Zmiany wymienionej ustawy zostały ogłoszone w</w:t>
      </w:r>
      <w:r w:rsidRPr="004560FF">
        <w:rPr>
          <w:rFonts w:ascii="Verdana" w:hAnsi="Verdana"/>
          <w:i w:val="0"/>
          <w:sz w:val="14"/>
          <w:szCs w:val="14"/>
        </w:rPr>
        <w:t xml:space="preserve"> Dz. U. z 2009 r. </w:t>
      </w:r>
      <w:r w:rsidRPr="004560FF">
        <w:rPr>
          <w:rFonts w:ascii="Verdana" w:hAnsi="Verdana" w:cs="Arial"/>
          <w:i w:val="0"/>
          <w:sz w:val="14"/>
          <w:szCs w:val="14"/>
        </w:rPr>
        <w:t xml:space="preserve">Nr 219 poz. 1706, z 2010 r. Nr 96 poz. 620, </w:t>
      </w:r>
      <w:r>
        <w:rPr>
          <w:rFonts w:ascii="Verdana" w:hAnsi="Verdana" w:cs="Arial"/>
          <w:i w:val="0"/>
          <w:sz w:val="14"/>
          <w:szCs w:val="14"/>
        </w:rPr>
        <w:t xml:space="preserve">Nr 108 </w:t>
      </w:r>
      <w:r>
        <w:rPr>
          <w:rFonts w:ascii="Verdana" w:hAnsi="Verdana" w:cs="Arial"/>
          <w:i w:val="0"/>
          <w:sz w:val="14"/>
          <w:szCs w:val="14"/>
        </w:rPr>
        <w:br/>
        <w:t xml:space="preserve">poz. 685, </w:t>
      </w:r>
      <w:r w:rsidRPr="004560FF">
        <w:rPr>
          <w:rFonts w:ascii="Verdana" w:hAnsi="Verdana" w:cs="Arial"/>
          <w:i w:val="0"/>
          <w:sz w:val="14"/>
          <w:szCs w:val="14"/>
        </w:rPr>
        <w:t xml:space="preserve">Nr 152 poz. 1020, Nr 161 poz. 1078, Nr 226 poz. 1475 i Nr 238 poz. 1578, z 2011 r. Nr 171 poz. 1016, Nr 178 </w:t>
      </w:r>
      <w:r>
        <w:rPr>
          <w:rFonts w:ascii="Verdana" w:hAnsi="Verdana" w:cs="Arial"/>
          <w:i w:val="0"/>
          <w:sz w:val="14"/>
          <w:szCs w:val="14"/>
        </w:rPr>
        <w:br/>
      </w:r>
      <w:r w:rsidRPr="004560FF">
        <w:rPr>
          <w:rFonts w:ascii="Verdana" w:hAnsi="Verdana" w:cs="Arial"/>
          <w:i w:val="0"/>
          <w:sz w:val="14"/>
          <w:szCs w:val="14"/>
        </w:rPr>
        <w:t>poz. 1061 i Nr 197 poz. 1170, z 2012 r. poz. 986, 1456 i 1548 oraz  z 2014 r. poz. 1457</w:t>
      </w:r>
    </w:p>
  </w:footnote>
  <w:footnote w:id="5">
    <w:p w:rsidR="008A572A" w:rsidRPr="005335E1" w:rsidRDefault="008A572A" w:rsidP="008A572A">
      <w:pPr>
        <w:pStyle w:val="Tekstprzypisudolnego"/>
        <w:ind w:firstLine="284"/>
        <w:rPr>
          <w:rFonts w:ascii="Verdana" w:hAnsi="Verdana" w:cs="Arial"/>
          <w:i w:val="0"/>
          <w:sz w:val="14"/>
          <w:szCs w:val="14"/>
        </w:rPr>
      </w:pPr>
      <w:r w:rsidRPr="005E3938">
        <w:rPr>
          <w:rStyle w:val="Odwoanieprzypisudolnego"/>
          <w:rFonts w:ascii="Verdana" w:hAnsi="Verdana"/>
          <w:i w:val="0"/>
          <w:sz w:val="14"/>
          <w:szCs w:val="14"/>
        </w:rPr>
        <w:footnoteRef/>
      </w:r>
      <w:r>
        <w:rPr>
          <w:rFonts w:ascii="Verdana" w:hAnsi="Verdana"/>
          <w:i w:val="0"/>
          <w:sz w:val="14"/>
          <w:szCs w:val="14"/>
        </w:rPr>
        <w:t xml:space="preserve"> </w:t>
      </w:r>
      <w:r>
        <w:rPr>
          <w:rFonts w:ascii="Verdana" w:hAnsi="Verdana" w:cs="Arial"/>
          <w:i w:val="0"/>
          <w:sz w:val="14"/>
          <w:szCs w:val="14"/>
        </w:rPr>
        <w:t xml:space="preserve">Zarządzenie nr 1795/2021 Prezydenta Miasta Stołecznego Warszawy z 09.11.2021 r. </w:t>
      </w:r>
      <w:r w:rsidRPr="005335E1">
        <w:rPr>
          <w:rFonts w:ascii="Verdana" w:hAnsi="Verdana" w:cs="Arial"/>
          <w:sz w:val="14"/>
          <w:szCs w:val="14"/>
        </w:rPr>
        <w:t>w sprawie wyboru długości okresu stosowanego do wyliczenia relacji wynikającej z art. 243 ust. 1 ustawy o finansach publicznych</w:t>
      </w:r>
      <w:r w:rsidRPr="005335E1">
        <w:rPr>
          <w:rFonts w:ascii="Verdana" w:hAnsi="Verdana" w:cs="Arial"/>
          <w:i w:val="0"/>
          <w:sz w:val="14"/>
          <w:szCs w:val="14"/>
        </w:rPr>
        <w:t>.</w:t>
      </w:r>
    </w:p>
  </w:footnote>
  <w:footnote w:id="6">
    <w:p w:rsidR="008A572A" w:rsidRPr="005E3938" w:rsidRDefault="008A572A" w:rsidP="008A572A">
      <w:pPr>
        <w:pStyle w:val="Tekstprzypisudolnego"/>
        <w:ind w:firstLine="284"/>
        <w:rPr>
          <w:rFonts w:ascii="Verdana" w:hAnsi="Verdana"/>
          <w:i w:val="0"/>
          <w:sz w:val="16"/>
          <w:szCs w:val="16"/>
        </w:rPr>
      </w:pPr>
      <w:r w:rsidRPr="005E3938">
        <w:rPr>
          <w:rStyle w:val="Odwoanieprzypisudolnego"/>
          <w:rFonts w:ascii="Verdana" w:hAnsi="Verdana"/>
          <w:i w:val="0"/>
          <w:sz w:val="14"/>
          <w:szCs w:val="14"/>
        </w:rPr>
        <w:footnoteRef/>
      </w:r>
      <w:r>
        <w:rPr>
          <w:rFonts w:ascii="Verdana" w:hAnsi="Verdana"/>
          <w:i w:val="0"/>
          <w:sz w:val="14"/>
          <w:szCs w:val="14"/>
        </w:rPr>
        <w:t xml:space="preserve"> </w:t>
      </w:r>
      <w:r>
        <w:rPr>
          <w:rFonts w:ascii="Verdana" w:hAnsi="Verdana" w:cs="Arial"/>
          <w:i w:val="0"/>
          <w:sz w:val="14"/>
          <w:szCs w:val="14"/>
        </w:rPr>
        <w:t>Zmiany wymienionej ustawy zostały ogłoszone w</w:t>
      </w:r>
      <w:r>
        <w:rPr>
          <w:rFonts w:ascii="Verdana" w:hAnsi="Verdana"/>
          <w:i w:val="0"/>
          <w:sz w:val="14"/>
          <w:szCs w:val="14"/>
        </w:rPr>
        <w:t xml:space="preserve"> Dz. U. z 2022 r. </w:t>
      </w:r>
      <w:r w:rsidRPr="00E67B40">
        <w:rPr>
          <w:rFonts w:ascii="Verdana" w:hAnsi="Verdana"/>
          <w:i w:val="0"/>
          <w:sz w:val="14"/>
          <w:szCs w:val="14"/>
        </w:rPr>
        <w:t xml:space="preserve">poz. </w:t>
      </w:r>
      <w:r>
        <w:rPr>
          <w:rFonts w:ascii="Verdana" w:hAnsi="Verdana"/>
          <w:i w:val="0"/>
          <w:sz w:val="14"/>
          <w:szCs w:val="14"/>
        </w:rPr>
        <w:t>682, 683, 684, 830, 930, 1002, 1087, 1383, 1561, 1692, 1733, 2185 i 2600.</w:t>
      </w:r>
    </w:p>
  </w:footnote>
  <w:footnote w:id="7">
    <w:p w:rsidR="008A572A" w:rsidRPr="005E3938" w:rsidRDefault="008A572A" w:rsidP="008A572A">
      <w:pPr>
        <w:pStyle w:val="Tekstprzypisudolnego"/>
        <w:ind w:firstLine="284"/>
        <w:jc w:val="left"/>
        <w:rPr>
          <w:rFonts w:ascii="Verdana" w:hAnsi="Verdana"/>
          <w:i w:val="0"/>
          <w:sz w:val="16"/>
          <w:szCs w:val="16"/>
        </w:rPr>
      </w:pPr>
      <w:r w:rsidRPr="005E3938">
        <w:rPr>
          <w:rStyle w:val="Odwoanieprzypisudolnego"/>
          <w:rFonts w:ascii="Verdana" w:hAnsi="Verdana"/>
          <w:i w:val="0"/>
          <w:sz w:val="14"/>
          <w:szCs w:val="14"/>
        </w:rPr>
        <w:footnoteRef/>
      </w:r>
      <w:r>
        <w:rPr>
          <w:rFonts w:ascii="Verdana" w:hAnsi="Verdana"/>
          <w:i w:val="0"/>
          <w:sz w:val="14"/>
          <w:szCs w:val="14"/>
        </w:rPr>
        <w:t xml:space="preserve"> </w:t>
      </w:r>
      <w:r>
        <w:rPr>
          <w:rFonts w:ascii="Verdana" w:hAnsi="Verdana" w:cs="Arial"/>
          <w:i w:val="0"/>
          <w:sz w:val="14"/>
          <w:szCs w:val="14"/>
        </w:rPr>
        <w:t>Główny Urząd Statystyczny, „Wskaźniki cen towarów i usług konsumpcyjnych w listopadzie 2022 r.”, 15.12.2022 r.</w:t>
      </w:r>
    </w:p>
  </w:footnote>
  <w:footnote w:id="8">
    <w:p w:rsidR="008A572A" w:rsidRPr="005E3938" w:rsidRDefault="008A572A" w:rsidP="008A572A">
      <w:pPr>
        <w:pStyle w:val="Tekstprzypisudolnego"/>
        <w:ind w:firstLine="284"/>
        <w:jc w:val="left"/>
        <w:rPr>
          <w:rFonts w:ascii="Verdana" w:hAnsi="Verdana"/>
          <w:i w:val="0"/>
          <w:sz w:val="16"/>
          <w:szCs w:val="16"/>
        </w:rPr>
      </w:pPr>
      <w:r w:rsidRPr="005E3938">
        <w:rPr>
          <w:rStyle w:val="Odwoanieprzypisudolnego"/>
          <w:rFonts w:ascii="Verdana" w:hAnsi="Verdana"/>
          <w:i w:val="0"/>
          <w:sz w:val="14"/>
          <w:szCs w:val="14"/>
        </w:rPr>
        <w:footnoteRef/>
      </w:r>
      <w:r>
        <w:rPr>
          <w:rFonts w:ascii="Verdana" w:hAnsi="Verdana"/>
          <w:i w:val="0"/>
          <w:sz w:val="14"/>
          <w:szCs w:val="14"/>
        </w:rPr>
        <w:t xml:space="preserve"> </w:t>
      </w:r>
      <w:r>
        <w:rPr>
          <w:rFonts w:ascii="Verdana" w:hAnsi="Verdana" w:cs="Arial"/>
          <w:i w:val="0"/>
          <w:sz w:val="14"/>
          <w:szCs w:val="14"/>
        </w:rPr>
        <w:t>Tamże</w:t>
      </w:r>
    </w:p>
  </w:footnote>
  <w:footnote w:id="9">
    <w:p w:rsidR="008A572A" w:rsidRPr="00265D25" w:rsidRDefault="008A572A" w:rsidP="008A572A">
      <w:pPr>
        <w:pStyle w:val="Tekstprzypisudolnego"/>
        <w:ind w:firstLine="284"/>
        <w:rPr>
          <w:i w:val="0"/>
        </w:rPr>
      </w:pPr>
      <w:r w:rsidRPr="00265D25">
        <w:rPr>
          <w:rStyle w:val="Odwoanieprzypisudolnego"/>
          <w:rFonts w:ascii="Verdana" w:hAnsi="Verdana"/>
          <w:i w:val="0"/>
          <w:sz w:val="14"/>
          <w:szCs w:val="14"/>
        </w:rPr>
        <w:footnoteRef/>
      </w:r>
      <w:r w:rsidRPr="00265D25">
        <w:rPr>
          <w:rStyle w:val="Odwoanieprzypisudolnego"/>
          <w:rFonts w:ascii="Verdana" w:hAnsi="Verdana"/>
          <w:i w:val="0"/>
          <w:sz w:val="14"/>
          <w:szCs w:val="14"/>
        </w:rPr>
        <w:t xml:space="preserve"> </w:t>
      </w:r>
      <w:r w:rsidRPr="00265D25">
        <w:rPr>
          <w:rFonts w:ascii="Verdana" w:hAnsi="Verdana"/>
          <w:i w:val="0"/>
          <w:sz w:val="14"/>
          <w:szCs w:val="14"/>
        </w:rPr>
        <w:t xml:space="preserve">Efektem było przejście podatników podatku dochodowego od osób fizycznych prowadzących działalność gospodarczą </w:t>
      </w:r>
      <w:r>
        <w:rPr>
          <w:rFonts w:ascii="Verdana" w:hAnsi="Verdana"/>
          <w:i w:val="0"/>
          <w:sz w:val="14"/>
          <w:szCs w:val="14"/>
        </w:rPr>
        <w:br/>
      </w:r>
      <w:r w:rsidRPr="00265D25">
        <w:rPr>
          <w:rFonts w:ascii="Verdana" w:hAnsi="Verdana"/>
          <w:i w:val="0"/>
          <w:sz w:val="14"/>
          <w:szCs w:val="14"/>
        </w:rPr>
        <w:t xml:space="preserve">z opodatkowania na zasadach ogólnych, które stanowi podstawę udziału jednostek samorządu terytorialnego we wpływach </w:t>
      </w:r>
      <w:r>
        <w:rPr>
          <w:rFonts w:ascii="Verdana" w:hAnsi="Verdana"/>
          <w:i w:val="0"/>
          <w:sz w:val="14"/>
          <w:szCs w:val="14"/>
        </w:rPr>
        <w:br/>
      </w:r>
      <w:r w:rsidRPr="00265D25">
        <w:rPr>
          <w:rFonts w:ascii="Verdana" w:hAnsi="Verdana"/>
          <w:i w:val="0"/>
          <w:sz w:val="14"/>
          <w:szCs w:val="14"/>
        </w:rPr>
        <w:t>z podatku dochodowego na zryczałtowany podatek dochodowy, który nie podlega dystrybucji do jednostek samorządowych.</w:t>
      </w:r>
    </w:p>
  </w:footnote>
  <w:footnote w:id="10">
    <w:p w:rsidR="008A572A" w:rsidRPr="0007483C" w:rsidRDefault="008A572A" w:rsidP="008A572A">
      <w:pPr>
        <w:pStyle w:val="Tekstprzypisudolnego"/>
        <w:ind w:firstLine="284"/>
        <w:rPr>
          <w:i w:val="0"/>
        </w:rPr>
      </w:pPr>
      <w:r w:rsidRPr="0007483C">
        <w:rPr>
          <w:rStyle w:val="Odwoanieprzypisudolnego"/>
          <w:rFonts w:ascii="Verdana" w:hAnsi="Verdana"/>
          <w:i w:val="0"/>
          <w:sz w:val="14"/>
          <w:szCs w:val="14"/>
        </w:rPr>
        <w:footnoteRef/>
      </w:r>
      <w:r w:rsidRPr="0007483C">
        <w:rPr>
          <w:rFonts w:ascii="Verdana" w:hAnsi="Verdana"/>
          <w:i w:val="0"/>
          <w:sz w:val="14"/>
          <w:szCs w:val="14"/>
        </w:rPr>
        <w:t xml:space="preserve"> Pisma Ministerstwa Finansów nr ST3.4750.31.2021 i ST8.4750.5.2021 z 14 października 2021 r. skierowane do jednostek samorządu terytorialnego.</w:t>
      </w:r>
    </w:p>
  </w:footnote>
  <w:footnote w:id="11">
    <w:p w:rsidR="008A572A" w:rsidRPr="00FE0EC4" w:rsidRDefault="008A572A" w:rsidP="008A572A">
      <w:pPr>
        <w:pStyle w:val="Tekstprzypisudolnego"/>
        <w:ind w:firstLine="284"/>
      </w:pPr>
      <w:r w:rsidRPr="0007483C">
        <w:rPr>
          <w:rStyle w:val="Odwoanieprzypisudolnego"/>
          <w:rFonts w:ascii="Verdana" w:hAnsi="Verdana"/>
          <w:i w:val="0"/>
          <w:sz w:val="14"/>
          <w:szCs w:val="14"/>
        </w:rPr>
        <w:footnoteRef/>
      </w:r>
      <w:r w:rsidRPr="0007483C">
        <w:rPr>
          <w:rFonts w:ascii="Verdana" w:hAnsi="Verdana"/>
          <w:i w:val="0"/>
          <w:sz w:val="14"/>
          <w:szCs w:val="14"/>
        </w:rPr>
        <w:t xml:space="preserve"> Pisma Ministerstwa Finansów nr ST3.4750.23.2022 i ST3.4750.24.2022 z 13 października 2022 r. skierowane do jednostek samorządu terytorialnego.</w:t>
      </w:r>
    </w:p>
  </w:footnote>
  <w:footnote w:id="12">
    <w:p w:rsidR="008A572A" w:rsidRPr="003D68D6" w:rsidRDefault="008A572A" w:rsidP="008A572A">
      <w:pPr>
        <w:pStyle w:val="Tekstprzypisudolnego"/>
        <w:ind w:firstLine="284"/>
        <w:rPr>
          <w:i w:val="0"/>
        </w:rPr>
      </w:pPr>
      <w:r w:rsidRPr="003D68D6">
        <w:rPr>
          <w:rStyle w:val="Odwoanieprzypisudolnego"/>
          <w:rFonts w:ascii="Verdana" w:hAnsi="Verdana"/>
          <w:i w:val="0"/>
          <w:sz w:val="14"/>
          <w:szCs w:val="14"/>
        </w:rPr>
        <w:footnoteRef/>
      </w:r>
      <w:r w:rsidRPr="003D68D6">
        <w:rPr>
          <w:rFonts w:ascii="Verdana" w:hAnsi="Verdana"/>
          <w:i w:val="0"/>
          <w:sz w:val="14"/>
          <w:szCs w:val="14"/>
        </w:rPr>
        <w:t xml:space="preserve"> Plan dochodów z PIT na 2022 r. ustalony przez Ministerstwo Finansów podany w pismach z 14 października 2021 r. </w:t>
      </w:r>
      <w:r w:rsidRPr="003D68D6">
        <w:rPr>
          <w:rFonts w:ascii="Verdana" w:hAnsi="Verdana"/>
          <w:i w:val="0"/>
          <w:sz w:val="14"/>
          <w:szCs w:val="14"/>
        </w:rPr>
        <w:br/>
        <w:t xml:space="preserve">nr ST3.4750.31.2021 i ST8.4750.5.2021 oraz plan dochodów z PIT na 2023 r. ustalony przez Ministerstwo Finansów podany </w:t>
      </w:r>
      <w:r>
        <w:rPr>
          <w:rFonts w:ascii="Verdana" w:hAnsi="Verdana"/>
          <w:i w:val="0"/>
          <w:sz w:val="14"/>
          <w:szCs w:val="14"/>
        </w:rPr>
        <w:br/>
      </w:r>
      <w:r w:rsidRPr="003D68D6">
        <w:rPr>
          <w:rFonts w:ascii="Verdana" w:hAnsi="Verdana"/>
          <w:i w:val="0"/>
          <w:sz w:val="14"/>
          <w:szCs w:val="14"/>
        </w:rPr>
        <w:t>w pismach z 13 października 2022 r. ST3.4750.23.2022 i ST3.4750.24.2022 skierowanych do jednostek samorządu terytorialnego.</w:t>
      </w:r>
    </w:p>
  </w:footnote>
  <w:footnote w:id="13">
    <w:p w:rsidR="008A572A" w:rsidRPr="00CF6A9C" w:rsidRDefault="008A572A" w:rsidP="008A572A">
      <w:pPr>
        <w:pStyle w:val="Tekstprzypisudolnego"/>
        <w:ind w:firstLine="140"/>
        <w:rPr>
          <w:i w:val="0"/>
        </w:rPr>
      </w:pPr>
      <w:r w:rsidRPr="00CF6A9C">
        <w:rPr>
          <w:rStyle w:val="Odwoanieprzypisudolnego"/>
          <w:rFonts w:ascii="Verdana" w:hAnsi="Verdana"/>
          <w:i w:val="0"/>
          <w:sz w:val="14"/>
          <w:szCs w:val="14"/>
        </w:rPr>
        <w:footnoteRef/>
      </w:r>
      <w:r w:rsidRPr="00CF6A9C">
        <w:rPr>
          <w:rFonts w:ascii="Verdana" w:hAnsi="Verdana"/>
          <w:i w:val="0"/>
          <w:sz w:val="14"/>
          <w:szCs w:val="14"/>
        </w:rPr>
        <w:t xml:space="preserve"> </w:t>
      </w:r>
      <w:r w:rsidRPr="001134E8">
        <w:rPr>
          <w:rFonts w:ascii="Verdana" w:hAnsi="Verdana"/>
          <w:i w:val="0"/>
          <w:sz w:val="14"/>
          <w:szCs w:val="14"/>
        </w:rPr>
        <w:t xml:space="preserve">Szacowane dochody </w:t>
      </w:r>
      <w:r>
        <w:rPr>
          <w:rFonts w:ascii="Verdana" w:hAnsi="Verdana"/>
          <w:i w:val="0"/>
          <w:sz w:val="14"/>
          <w:szCs w:val="14"/>
        </w:rPr>
        <w:t xml:space="preserve">m.st. Warszawy </w:t>
      </w:r>
      <w:r w:rsidRPr="001134E8">
        <w:rPr>
          <w:rFonts w:ascii="Verdana" w:hAnsi="Verdana"/>
          <w:i w:val="0"/>
          <w:sz w:val="14"/>
          <w:szCs w:val="14"/>
        </w:rPr>
        <w:t xml:space="preserve">z PIT w 2022 r. w warunkach prawnych sprzed Polskiego Ładu jako iloczyn udziału </w:t>
      </w:r>
      <w:r>
        <w:rPr>
          <w:rFonts w:ascii="Verdana" w:hAnsi="Verdana"/>
          <w:i w:val="0"/>
          <w:sz w:val="14"/>
          <w:szCs w:val="14"/>
        </w:rPr>
        <w:br/>
        <w:t>m.st. Warszawy</w:t>
      </w:r>
      <w:r w:rsidRPr="001134E8">
        <w:rPr>
          <w:rFonts w:ascii="Verdana" w:hAnsi="Verdana"/>
          <w:i w:val="0"/>
          <w:sz w:val="14"/>
          <w:szCs w:val="14"/>
        </w:rPr>
        <w:t xml:space="preserve"> we wpływach podatkowych z PIT w 2020 r. i szacunku ogólnych dochodów JST z PIT na 2022 r. stanowiącego iloczyn wykonanych dochodów z PIT w 2021 r. i dynamik 2022/2021 zatrudnienia (101,8%) i wynagrodzeń (111,2%) </w:t>
      </w:r>
      <w:r>
        <w:rPr>
          <w:rFonts w:ascii="Verdana" w:hAnsi="Verdana"/>
          <w:i w:val="0"/>
          <w:sz w:val="14"/>
          <w:szCs w:val="14"/>
        </w:rPr>
        <w:br/>
      </w:r>
      <w:r w:rsidRPr="001134E8">
        <w:rPr>
          <w:rFonts w:ascii="Verdana" w:hAnsi="Verdana"/>
          <w:i w:val="0"/>
          <w:sz w:val="14"/>
          <w:szCs w:val="14"/>
        </w:rPr>
        <w:t>w gospodarce narodowej wg prognozy Ministerstwa Finansów z uzasadnienia do projektu budżetu państwa na 2023 r. (uwzględniono także wzrost udziału gmin w PIT z 38,23% w 2021 r. do 38,34% w 2022 r.)</w:t>
      </w:r>
      <w:r w:rsidRPr="00CF6A9C">
        <w:rPr>
          <w:rFonts w:ascii="Verdana" w:hAnsi="Verdana"/>
          <w:i w:val="0"/>
          <w:sz w:val="14"/>
          <w:szCs w:val="14"/>
        </w:rPr>
        <w:t>.</w:t>
      </w:r>
    </w:p>
  </w:footnote>
  <w:footnote w:id="14">
    <w:p w:rsidR="008A572A" w:rsidRPr="00C32A8A" w:rsidRDefault="008A572A" w:rsidP="008A572A">
      <w:pPr>
        <w:pStyle w:val="Tekstprzypisudolnego"/>
        <w:ind w:firstLine="140"/>
      </w:pPr>
      <w:r w:rsidRPr="00CF6A9C">
        <w:rPr>
          <w:rStyle w:val="Odwoanieprzypisudolnego"/>
          <w:rFonts w:ascii="Verdana" w:hAnsi="Verdana"/>
          <w:i w:val="0"/>
          <w:sz w:val="14"/>
          <w:szCs w:val="14"/>
        </w:rPr>
        <w:footnoteRef/>
      </w:r>
      <w:r w:rsidRPr="00CF6A9C">
        <w:rPr>
          <w:rFonts w:ascii="Verdana" w:hAnsi="Verdana"/>
          <w:i w:val="0"/>
          <w:sz w:val="14"/>
          <w:szCs w:val="14"/>
        </w:rPr>
        <w:t xml:space="preserve"> </w:t>
      </w:r>
      <w:r w:rsidRPr="001134E8">
        <w:rPr>
          <w:rFonts w:ascii="Verdana" w:hAnsi="Verdana"/>
          <w:i w:val="0"/>
          <w:sz w:val="14"/>
          <w:szCs w:val="14"/>
        </w:rPr>
        <w:t xml:space="preserve">Szacowane dochody </w:t>
      </w:r>
      <w:r>
        <w:rPr>
          <w:rFonts w:ascii="Verdana" w:hAnsi="Verdana"/>
          <w:i w:val="0"/>
          <w:sz w:val="14"/>
          <w:szCs w:val="14"/>
        </w:rPr>
        <w:t xml:space="preserve">m.st. Warszawy </w:t>
      </w:r>
      <w:r w:rsidRPr="001134E8">
        <w:rPr>
          <w:rFonts w:ascii="Verdana" w:hAnsi="Verdana"/>
          <w:i w:val="0"/>
          <w:sz w:val="14"/>
          <w:szCs w:val="14"/>
        </w:rPr>
        <w:t xml:space="preserve">z PIT w 2023 r. w warunkach prawnych sprzed Polskiego Ładu jako iloczyn udziału </w:t>
      </w:r>
      <w:r>
        <w:rPr>
          <w:rFonts w:ascii="Verdana" w:hAnsi="Verdana"/>
          <w:i w:val="0"/>
          <w:sz w:val="14"/>
          <w:szCs w:val="14"/>
        </w:rPr>
        <w:br/>
      </w:r>
      <w:r w:rsidRPr="001134E8">
        <w:rPr>
          <w:rFonts w:ascii="Verdana" w:hAnsi="Verdana"/>
          <w:i w:val="0"/>
          <w:sz w:val="14"/>
          <w:szCs w:val="14"/>
        </w:rPr>
        <w:t>m.st. Warszawy we wpływach podatkowych z PIT w 2021 r. i szacunku ogólnych dochodów JST z PIT na 2023 r. stanowiącego iloczyn wykonanych dochodów z PIT w 2021 r. i dynamik w latach 2022-2023 zatrudnienia (101,8% i 99,5%) i wynagrodzeń (111,2% i 110,1%) w gospodarce narodowej wg prognozy Ministerstwa Finansów z uzasadnienia do projektu budżetu państwa na 2023 r. (uwzględniono także wzrost udziału gmin w PIT z 38,23% w 2021 r. do 38,40% w 2023 r.)</w:t>
      </w:r>
      <w:r w:rsidRPr="00CF6A9C">
        <w:rPr>
          <w:rFonts w:ascii="Verdana" w:hAnsi="Verdana"/>
          <w:i w:val="0"/>
          <w:sz w:val="14"/>
          <w:szCs w:val="14"/>
        </w:rPr>
        <w:t>.</w:t>
      </w:r>
    </w:p>
  </w:footnote>
  <w:footnote w:id="15">
    <w:p w:rsidR="008A572A" w:rsidRPr="003409A9" w:rsidRDefault="008A572A" w:rsidP="008A572A">
      <w:pPr>
        <w:pStyle w:val="Tekstprzypisudolnego"/>
        <w:ind w:firstLine="140"/>
      </w:pPr>
      <w:r w:rsidRPr="00543D26">
        <w:rPr>
          <w:rStyle w:val="Odwoanieprzypisudolnego"/>
          <w:rFonts w:ascii="Verdana" w:hAnsi="Verdana"/>
          <w:i w:val="0"/>
          <w:sz w:val="14"/>
          <w:szCs w:val="14"/>
        </w:rPr>
        <w:footnoteRef/>
      </w:r>
      <w:r w:rsidRPr="003409A9">
        <w:rPr>
          <w:rFonts w:ascii="Verdana" w:hAnsi="Verdana"/>
          <w:sz w:val="14"/>
          <w:szCs w:val="14"/>
        </w:rPr>
        <w:t xml:space="preserve"> </w:t>
      </w:r>
      <w:r w:rsidRPr="00543D26">
        <w:rPr>
          <w:rFonts w:ascii="Verdana" w:hAnsi="Verdana"/>
          <w:i w:val="0"/>
          <w:sz w:val="14"/>
          <w:szCs w:val="14"/>
        </w:rPr>
        <w:t xml:space="preserve">Zgodnie z ustawą z 17.09.2021 r. </w:t>
      </w:r>
      <w:r w:rsidRPr="00017BAD">
        <w:rPr>
          <w:rFonts w:ascii="Verdana" w:hAnsi="Verdana"/>
          <w:sz w:val="14"/>
          <w:szCs w:val="14"/>
        </w:rPr>
        <w:t>o zmianie ustawy o pomocy państwa w wychowaniu dzieci oraz niektórych innych ustaw</w:t>
      </w:r>
      <w:r w:rsidRPr="00543D26">
        <w:rPr>
          <w:rFonts w:ascii="Verdana" w:hAnsi="Verdana"/>
          <w:i w:val="0"/>
          <w:sz w:val="14"/>
          <w:szCs w:val="14"/>
        </w:rPr>
        <w:t xml:space="preserve"> (Dz. U. z 2021 r. poz. 1981 oraz z 2022 r. poz. 2140), obsługa wypłaty świadczeń z programu "Rodzina 500 Plus" od czerwca 2022 r. realizowana jest przez Zakład Ubezpieczeń Społecznych.</w:t>
      </w:r>
    </w:p>
  </w:footnote>
  <w:footnote w:id="16">
    <w:p w:rsidR="008A572A" w:rsidRPr="003409A9" w:rsidRDefault="008A572A" w:rsidP="008A572A">
      <w:pPr>
        <w:pStyle w:val="Tekstprzypisudolnego"/>
        <w:ind w:firstLine="140"/>
      </w:pPr>
      <w:r w:rsidRPr="00543D26">
        <w:rPr>
          <w:rStyle w:val="Odwoanieprzypisudolnego"/>
          <w:rFonts w:ascii="Verdana" w:hAnsi="Verdana"/>
          <w:i w:val="0"/>
          <w:sz w:val="14"/>
          <w:szCs w:val="14"/>
        </w:rPr>
        <w:footnoteRef/>
      </w:r>
      <w:r w:rsidRPr="003409A9">
        <w:rPr>
          <w:rFonts w:ascii="Verdana" w:hAnsi="Verdana"/>
          <w:sz w:val="14"/>
          <w:szCs w:val="14"/>
        </w:rPr>
        <w:t xml:space="preserve"> </w:t>
      </w:r>
      <w:r>
        <w:rPr>
          <w:rFonts w:ascii="Verdana" w:hAnsi="Verdana"/>
          <w:i w:val="0"/>
          <w:sz w:val="14"/>
          <w:szCs w:val="14"/>
        </w:rPr>
        <w:t xml:space="preserve">Dochody na realizację zadań </w:t>
      </w:r>
      <w:r w:rsidRPr="00543D26">
        <w:rPr>
          <w:rFonts w:ascii="Verdana" w:hAnsi="Verdana"/>
          <w:i w:val="0"/>
          <w:sz w:val="14"/>
          <w:szCs w:val="14"/>
        </w:rPr>
        <w:t>związan</w:t>
      </w:r>
      <w:r>
        <w:rPr>
          <w:rFonts w:ascii="Verdana" w:hAnsi="Verdana"/>
          <w:i w:val="0"/>
          <w:sz w:val="14"/>
          <w:szCs w:val="14"/>
        </w:rPr>
        <w:t>ych</w:t>
      </w:r>
      <w:r w:rsidRPr="00543D26">
        <w:rPr>
          <w:rFonts w:ascii="Verdana" w:hAnsi="Verdana"/>
          <w:i w:val="0"/>
          <w:sz w:val="14"/>
          <w:szCs w:val="14"/>
        </w:rPr>
        <w:t xml:space="preserve"> z pomocą obywatelom Ukrainy w związku konfliktem zbrojnym mającym miejsce na terytorium tego kraju </w:t>
      </w:r>
      <w:r>
        <w:rPr>
          <w:rFonts w:ascii="Verdana" w:hAnsi="Verdana"/>
          <w:i w:val="0"/>
          <w:sz w:val="14"/>
          <w:szCs w:val="14"/>
        </w:rPr>
        <w:t>ujęte w budżecie na 2022 r. (wg stanu na 15.12.2022 r.) wynoszą 495,8 mln zł przy wydatkach ogółem w wysokości 567,3</w:t>
      </w:r>
      <w:r w:rsidRPr="00543D26">
        <w:rPr>
          <w:rFonts w:ascii="Verdana" w:hAnsi="Verdana"/>
          <w:i w:val="0"/>
          <w:sz w:val="14"/>
          <w:szCs w:val="14"/>
        </w:rPr>
        <w:t xml:space="preserve"> mln zł</w:t>
      </w:r>
      <w:r>
        <w:rPr>
          <w:rFonts w:ascii="Verdana" w:hAnsi="Verdana"/>
          <w:i w:val="0"/>
          <w:sz w:val="14"/>
          <w:szCs w:val="14"/>
        </w:rPr>
        <w:t xml:space="preserve"> (566,8 mln zł wydatków bieżących i 513 tys. zł wydatków majątkowych), natomiast </w:t>
      </w:r>
      <w:r>
        <w:rPr>
          <w:rFonts w:ascii="Verdana" w:hAnsi="Verdana"/>
          <w:i w:val="0"/>
          <w:sz w:val="14"/>
          <w:szCs w:val="14"/>
        </w:rPr>
        <w:br/>
        <w:t>w budżecie na 2023 r. zaplanowane w tym zakresie dochody wynoszą 14,2 mln zł wobec zaplanowanych wydatków na kwotę 175,4</w:t>
      </w:r>
      <w:r w:rsidRPr="00543D26">
        <w:rPr>
          <w:rFonts w:ascii="Verdana" w:hAnsi="Verdana"/>
          <w:i w:val="0"/>
          <w:sz w:val="14"/>
          <w:szCs w:val="14"/>
        </w:rPr>
        <w:t xml:space="preserve"> mln zł</w:t>
      </w:r>
      <w:r>
        <w:rPr>
          <w:rFonts w:ascii="Verdana" w:hAnsi="Verdana"/>
          <w:i w:val="0"/>
          <w:sz w:val="14"/>
          <w:szCs w:val="14"/>
        </w:rPr>
        <w:t xml:space="preserve"> (174,9 mln zł wydatków bieżących i 490 tys. zł wydatków majątkowych)</w:t>
      </w:r>
      <w:r w:rsidRPr="004A3777">
        <w:rPr>
          <w:rFonts w:ascii="Verdana" w:hAnsi="Verdana"/>
          <w:i w:val="0"/>
          <w:sz w:val="14"/>
          <w:szCs w:val="14"/>
        </w:rPr>
        <w:t>.</w:t>
      </w:r>
    </w:p>
  </w:footnote>
  <w:footnote w:id="17">
    <w:p w:rsidR="008A572A" w:rsidRPr="003409A9" w:rsidRDefault="008A572A" w:rsidP="008A572A">
      <w:pPr>
        <w:pStyle w:val="Tekstprzypisudolnego"/>
        <w:ind w:firstLine="140"/>
      </w:pPr>
      <w:r w:rsidRPr="00543D26">
        <w:rPr>
          <w:rStyle w:val="Odwoanieprzypisudolnego"/>
          <w:rFonts w:ascii="Verdana" w:hAnsi="Verdana"/>
          <w:i w:val="0"/>
          <w:sz w:val="14"/>
          <w:szCs w:val="14"/>
        </w:rPr>
        <w:footnoteRef/>
      </w:r>
      <w:r w:rsidRPr="003409A9">
        <w:rPr>
          <w:rFonts w:ascii="Verdana" w:hAnsi="Verdana"/>
          <w:sz w:val="14"/>
          <w:szCs w:val="14"/>
        </w:rPr>
        <w:t xml:space="preserve"> </w:t>
      </w:r>
      <w:r>
        <w:rPr>
          <w:rFonts w:ascii="Verdana" w:hAnsi="Verdana"/>
          <w:i w:val="0"/>
          <w:sz w:val="14"/>
          <w:szCs w:val="14"/>
        </w:rPr>
        <w:t>Planowane na 2023 r. wydatki bieżące w kwocie 20,785 mld zł pomniejszone o 174,9 mln zł wydatków bieżących zaplanowanych na 2023 r. związanych z pomocą obywatelom Ukrainy.</w:t>
      </w:r>
    </w:p>
  </w:footnote>
  <w:footnote w:id="18">
    <w:p w:rsidR="008A572A" w:rsidRPr="003409A9" w:rsidRDefault="008A572A" w:rsidP="008A572A">
      <w:pPr>
        <w:pStyle w:val="Tekstprzypisudolnego"/>
        <w:ind w:firstLine="140"/>
      </w:pPr>
      <w:r w:rsidRPr="00543D26">
        <w:rPr>
          <w:rStyle w:val="Odwoanieprzypisudolnego"/>
          <w:rFonts w:ascii="Verdana" w:hAnsi="Verdana"/>
          <w:i w:val="0"/>
          <w:sz w:val="14"/>
          <w:szCs w:val="14"/>
        </w:rPr>
        <w:footnoteRef/>
      </w:r>
      <w:r w:rsidRPr="003409A9">
        <w:rPr>
          <w:rFonts w:ascii="Verdana" w:hAnsi="Verdana"/>
          <w:sz w:val="14"/>
          <w:szCs w:val="14"/>
        </w:rPr>
        <w:t xml:space="preserve"> </w:t>
      </w:r>
      <w:r>
        <w:rPr>
          <w:rFonts w:ascii="Verdana" w:hAnsi="Verdana"/>
          <w:i w:val="0"/>
          <w:sz w:val="14"/>
          <w:szCs w:val="14"/>
        </w:rPr>
        <w:t xml:space="preserve">Planowane na 2022 r. wg stanu na 15.12.2022 r. wydatki bieżące w kwocie 19,669 mld zł pomniejszone </w:t>
      </w:r>
      <w:r>
        <w:rPr>
          <w:rFonts w:ascii="Verdana" w:hAnsi="Verdana"/>
          <w:i w:val="0"/>
          <w:sz w:val="14"/>
          <w:szCs w:val="14"/>
        </w:rPr>
        <w:br/>
        <w:t>o 843,6 mln zł wydatków bieżących związanych z realizacją programu „Rodzina 500 plus” oraz pomniejszone o 566,8 mln zł wydatków bieżących związanych z pomocą obywatelom Ukrainy.</w:t>
      </w:r>
    </w:p>
  </w:footnote>
  <w:footnote w:id="19">
    <w:p w:rsidR="008A572A" w:rsidRPr="003409A9" w:rsidRDefault="008A572A" w:rsidP="008A572A">
      <w:pPr>
        <w:pStyle w:val="Tekstprzypisudolnego"/>
        <w:ind w:firstLine="140"/>
      </w:pPr>
      <w:r w:rsidRPr="00543D26">
        <w:rPr>
          <w:rStyle w:val="Odwoanieprzypisudolnego"/>
          <w:rFonts w:ascii="Verdana" w:hAnsi="Verdana"/>
          <w:i w:val="0"/>
          <w:sz w:val="14"/>
          <w:szCs w:val="14"/>
        </w:rPr>
        <w:footnoteRef/>
      </w:r>
      <w:r w:rsidRPr="003409A9">
        <w:rPr>
          <w:rFonts w:ascii="Verdana" w:hAnsi="Verdana"/>
          <w:sz w:val="14"/>
          <w:szCs w:val="14"/>
        </w:rPr>
        <w:t xml:space="preserve"> </w:t>
      </w:r>
      <w:r>
        <w:rPr>
          <w:rFonts w:ascii="Verdana" w:hAnsi="Verdana"/>
          <w:i w:val="0"/>
          <w:sz w:val="14"/>
          <w:szCs w:val="14"/>
        </w:rPr>
        <w:t>Wykonane w 2021 r. wydatki bieżące w kwocie 18,298 mld zł pomniejszone o 2,027 mld zł wydatków bieżących związanych z realizacją programu „Rodzina 500 plus”.</w:t>
      </w:r>
    </w:p>
  </w:footnote>
  <w:footnote w:id="20">
    <w:p w:rsidR="008A572A" w:rsidRPr="009A7543" w:rsidRDefault="008A572A" w:rsidP="008A572A">
      <w:pPr>
        <w:autoSpaceDE w:val="0"/>
        <w:autoSpaceDN w:val="0"/>
        <w:adjustRightInd w:val="0"/>
        <w:spacing w:line="240" w:lineRule="auto"/>
        <w:ind w:firstLine="284"/>
        <w:jc w:val="both"/>
        <w:rPr>
          <w:rFonts w:ascii="Verdana" w:hAnsi="Verdana" w:cs="Verdana"/>
          <w:i/>
          <w:sz w:val="14"/>
          <w:szCs w:val="14"/>
        </w:rPr>
      </w:pPr>
      <w:r w:rsidRPr="00DE381C">
        <w:rPr>
          <w:rStyle w:val="Odwoanieprzypisudolnego"/>
          <w:rFonts w:ascii="Verdana" w:hAnsi="Verdana"/>
          <w:sz w:val="16"/>
          <w:szCs w:val="16"/>
        </w:rPr>
        <w:footnoteRef/>
      </w:r>
      <w:r w:rsidRPr="00DE381C">
        <w:rPr>
          <w:rFonts w:ascii="Verdana" w:hAnsi="Verdana"/>
          <w:sz w:val="16"/>
          <w:szCs w:val="16"/>
        </w:rPr>
        <w:t xml:space="preserve"> </w:t>
      </w:r>
      <w:r w:rsidRPr="00DE381C">
        <w:rPr>
          <w:rFonts w:ascii="Verdana" w:hAnsi="Verdana"/>
          <w:sz w:val="14"/>
          <w:szCs w:val="14"/>
        </w:rPr>
        <w:t xml:space="preserve">Wykazane w dalszej części opracowania wartości parametrów budżetowych </w:t>
      </w:r>
      <w:r>
        <w:rPr>
          <w:rFonts w:ascii="Verdana" w:hAnsi="Verdana"/>
          <w:sz w:val="14"/>
          <w:szCs w:val="14"/>
        </w:rPr>
        <w:t>dla 2022</w:t>
      </w:r>
      <w:r w:rsidRPr="00DE381C">
        <w:rPr>
          <w:rFonts w:ascii="Verdana" w:hAnsi="Verdana"/>
          <w:sz w:val="14"/>
          <w:szCs w:val="14"/>
        </w:rPr>
        <w:t xml:space="preserve"> r. są </w:t>
      </w:r>
      <w:r>
        <w:rPr>
          <w:rFonts w:ascii="Verdana" w:hAnsi="Verdana"/>
          <w:sz w:val="14"/>
          <w:szCs w:val="14"/>
        </w:rPr>
        <w:t>zgodne z planem aktualnym na 15.12.2022</w:t>
      </w:r>
      <w:r w:rsidRPr="00483B8D">
        <w:rPr>
          <w:rFonts w:ascii="Verdana" w:hAnsi="Verdana"/>
          <w:sz w:val="14"/>
          <w:szCs w:val="14"/>
        </w:rPr>
        <w:t xml:space="preserve"> r. - po zmianach objętych </w:t>
      </w:r>
      <w:r>
        <w:rPr>
          <w:rFonts w:ascii="Verdana" w:hAnsi="Verdana"/>
          <w:sz w:val="14"/>
          <w:szCs w:val="14"/>
        </w:rPr>
        <w:t>uchwałą</w:t>
      </w:r>
      <w:r w:rsidRPr="00483B8D">
        <w:rPr>
          <w:rFonts w:ascii="Verdana" w:hAnsi="Verdana"/>
          <w:sz w:val="14"/>
          <w:szCs w:val="14"/>
        </w:rPr>
        <w:t xml:space="preserve"> nr </w:t>
      </w:r>
      <w:r w:rsidRPr="009A7543">
        <w:rPr>
          <w:rFonts w:ascii="Verdana" w:hAnsi="Verdana"/>
          <w:sz w:val="14"/>
          <w:szCs w:val="14"/>
        </w:rPr>
        <w:t>LXXI</w:t>
      </w:r>
      <w:r>
        <w:rPr>
          <w:rFonts w:ascii="Verdana" w:hAnsi="Verdana"/>
          <w:sz w:val="14"/>
          <w:szCs w:val="14"/>
        </w:rPr>
        <w:t>V/2453</w:t>
      </w:r>
      <w:r w:rsidRPr="009A7543">
        <w:rPr>
          <w:rFonts w:ascii="Verdana" w:hAnsi="Verdana"/>
          <w:sz w:val="14"/>
          <w:szCs w:val="14"/>
        </w:rPr>
        <w:t>/2022 Rady m.st. Warszawy z 1</w:t>
      </w:r>
      <w:r>
        <w:rPr>
          <w:rFonts w:ascii="Verdana" w:hAnsi="Verdana"/>
          <w:sz w:val="14"/>
          <w:szCs w:val="14"/>
        </w:rPr>
        <w:t>5.12</w:t>
      </w:r>
      <w:r w:rsidRPr="009A7543">
        <w:rPr>
          <w:rFonts w:ascii="Verdana" w:hAnsi="Verdana"/>
          <w:sz w:val="14"/>
          <w:szCs w:val="14"/>
        </w:rPr>
        <w:t xml:space="preserve">.2022 r. </w:t>
      </w:r>
      <w:r w:rsidRPr="009A7543">
        <w:rPr>
          <w:rFonts w:ascii="Verdana" w:hAnsi="Verdana"/>
          <w:i/>
          <w:sz w:val="14"/>
          <w:szCs w:val="14"/>
        </w:rPr>
        <w:t xml:space="preserve">w sprawie zmian </w:t>
      </w:r>
      <w:r w:rsidRPr="009A7543">
        <w:rPr>
          <w:rFonts w:ascii="Verdana" w:hAnsi="Verdana"/>
          <w:i/>
          <w:sz w:val="14"/>
          <w:szCs w:val="14"/>
        </w:rPr>
        <w:br/>
        <w:t>w budżecie m.st. Warszawy w sprawie zmian w budżecie m.st. Warszawy na 2022 r.</w:t>
      </w:r>
    </w:p>
  </w:footnote>
  <w:footnote w:id="21">
    <w:p w:rsidR="008A572A" w:rsidRPr="00EB24C3" w:rsidRDefault="008A572A" w:rsidP="008A572A">
      <w:pPr>
        <w:pStyle w:val="Tekstprzypisudolnego"/>
        <w:ind w:firstLine="284"/>
        <w:rPr>
          <w:rFonts w:ascii="Verdana" w:hAnsi="Verdana"/>
          <w:i w:val="0"/>
          <w:sz w:val="14"/>
          <w:szCs w:val="14"/>
        </w:rPr>
      </w:pPr>
      <w:r w:rsidRPr="000A6485">
        <w:rPr>
          <w:rStyle w:val="Odwoanieprzypisudolnego"/>
          <w:rFonts w:ascii="Verdana" w:hAnsi="Verdana"/>
          <w:i w:val="0"/>
          <w:sz w:val="16"/>
          <w:szCs w:val="16"/>
        </w:rPr>
        <w:footnoteRef/>
      </w:r>
      <w:r w:rsidRPr="000A6485">
        <w:rPr>
          <w:rFonts w:ascii="Verdana" w:hAnsi="Verdana"/>
          <w:i w:val="0"/>
          <w:sz w:val="16"/>
          <w:szCs w:val="16"/>
        </w:rPr>
        <w:t xml:space="preserve"> </w:t>
      </w:r>
      <w:r>
        <w:rPr>
          <w:rFonts w:ascii="Verdana" w:hAnsi="Verdana" w:cs="Arial"/>
          <w:i w:val="0"/>
          <w:sz w:val="14"/>
          <w:szCs w:val="14"/>
        </w:rPr>
        <w:t>Zgodnie z ustawą</w:t>
      </w:r>
      <w:r w:rsidRPr="00715C46">
        <w:rPr>
          <w:rFonts w:ascii="Verdana" w:hAnsi="Verdana" w:cs="Arial"/>
          <w:i w:val="0"/>
          <w:sz w:val="14"/>
          <w:szCs w:val="14"/>
        </w:rPr>
        <w:t xml:space="preserve"> z 17 września 2021 r. </w:t>
      </w:r>
      <w:r w:rsidRPr="00715C46">
        <w:rPr>
          <w:rFonts w:ascii="Verdana" w:hAnsi="Verdana" w:cs="Arial"/>
          <w:sz w:val="14"/>
          <w:szCs w:val="14"/>
        </w:rPr>
        <w:t>o zmianie ustawy o pomocy państwa w wychowaniu dzieci oraz niektórych innych ustaw</w:t>
      </w:r>
      <w:r>
        <w:rPr>
          <w:rFonts w:ascii="Verdana" w:hAnsi="Verdana" w:cs="Arial"/>
          <w:i w:val="0"/>
          <w:sz w:val="14"/>
          <w:szCs w:val="14"/>
        </w:rPr>
        <w:t xml:space="preserve"> (Dz. U. poz. 1981) </w:t>
      </w:r>
      <w:r w:rsidRPr="00715C46">
        <w:rPr>
          <w:rFonts w:ascii="Verdana" w:hAnsi="Verdana" w:cs="Arial"/>
          <w:i w:val="0"/>
          <w:sz w:val="14"/>
          <w:szCs w:val="14"/>
        </w:rPr>
        <w:t xml:space="preserve">Zakład Ubezpieczeń Społecznych </w:t>
      </w:r>
      <w:r>
        <w:rPr>
          <w:rFonts w:ascii="Verdana" w:hAnsi="Verdana" w:cs="Arial"/>
          <w:i w:val="0"/>
          <w:sz w:val="14"/>
          <w:szCs w:val="14"/>
        </w:rPr>
        <w:t>przejął od czerwca 2022 r. realizację wypłat świadczeń objętych p</w:t>
      </w:r>
      <w:r w:rsidRPr="00715C46">
        <w:rPr>
          <w:rFonts w:ascii="Verdana" w:hAnsi="Verdana" w:cs="Arial"/>
          <w:i w:val="0"/>
          <w:sz w:val="14"/>
          <w:szCs w:val="14"/>
        </w:rPr>
        <w:t>rogramem „Rodzina 500 Plus”</w:t>
      </w:r>
      <w:r>
        <w:rPr>
          <w:rFonts w:ascii="Verdana" w:hAnsi="Verdana" w:cs="Arial"/>
          <w:i w:val="0"/>
          <w:sz w:val="14"/>
          <w:szCs w:val="14"/>
        </w:rPr>
        <w:t>. W związku z powyższym p</w:t>
      </w:r>
      <w:r w:rsidRPr="00715C46">
        <w:rPr>
          <w:rFonts w:ascii="Verdana" w:hAnsi="Verdana"/>
          <w:i w:val="0"/>
          <w:sz w:val="14"/>
          <w:szCs w:val="14"/>
        </w:rPr>
        <w:t xml:space="preserve">arametry budżetowe </w:t>
      </w:r>
      <w:r>
        <w:rPr>
          <w:rFonts w:ascii="Verdana" w:hAnsi="Verdana"/>
          <w:i w:val="0"/>
          <w:sz w:val="14"/>
          <w:szCs w:val="14"/>
        </w:rPr>
        <w:t xml:space="preserve">objęte WPF 2023-2050 </w:t>
      </w:r>
      <w:r w:rsidRPr="00715C46">
        <w:rPr>
          <w:rFonts w:ascii="Verdana" w:hAnsi="Verdana"/>
          <w:i w:val="0"/>
          <w:sz w:val="14"/>
          <w:szCs w:val="14"/>
        </w:rPr>
        <w:t>nie obejmują</w:t>
      </w:r>
      <w:r>
        <w:rPr>
          <w:rFonts w:ascii="Verdana" w:hAnsi="Verdana"/>
          <w:i w:val="0"/>
          <w:sz w:val="14"/>
          <w:szCs w:val="14"/>
        </w:rPr>
        <w:t xml:space="preserve"> zadań związanych z realizacją p</w:t>
      </w:r>
      <w:r w:rsidRPr="00715C46">
        <w:rPr>
          <w:rFonts w:ascii="Verdana" w:hAnsi="Verdana"/>
          <w:i w:val="0"/>
          <w:sz w:val="14"/>
          <w:szCs w:val="14"/>
        </w:rPr>
        <w:t>rogramu „Rodzina 500 Plus”.</w:t>
      </w:r>
      <w:r>
        <w:rPr>
          <w:rFonts w:ascii="Verdana" w:hAnsi="Verdana"/>
          <w:i w:val="0"/>
          <w:sz w:val="14"/>
          <w:szCs w:val="14"/>
        </w:rPr>
        <w:t xml:space="preserve"> </w:t>
      </w:r>
      <w:r w:rsidRPr="00715C46">
        <w:rPr>
          <w:rFonts w:ascii="Verdana" w:hAnsi="Verdana" w:cs="Arial"/>
          <w:i w:val="0"/>
          <w:sz w:val="14"/>
          <w:szCs w:val="14"/>
        </w:rPr>
        <w:t>Dochody i</w:t>
      </w:r>
      <w:r>
        <w:rPr>
          <w:rFonts w:ascii="Verdana" w:hAnsi="Verdana" w:cs="Arial"/>
          <w:i w:val="0"/>
          <w:sz w:val="14"/>
          <w:szCs w:val="14"/>
        </w:rPr>
        <w:t xml:space="preserve"> wydatki związane z realizacją p</w:t>
      </w:r>
      <w:r w:rsidRPr="00715C46">
        <w:rPr>
          <w:rFonts w:ascii="Verdana" w:hAnsi="Verdana" w:cs="Arial"/>
          <w:i w:val="0"/>
          <w:sz w:val="14"/>
          <w:szCs w:val="14"/>
        </w:rPr>
        <w:t xml:space="preserve">rogramu „Rodzina 500 Plus” planowane na 2022 r. wynoszą </w:t>
      </w:r>
      <w:r>
        <w:rPr>
          <w:rFonts w:ascii="Verdana" w:hAnsi="Verdana" w:cs="Arial"/>
          <w:b/>
          <w:i w:val="0"/>
          <w:sz w:val="14"/>
          <w:szCs w:val="14"/>
        </w:rPr>
        <w:t>843,6</w:t>
      </w:r>
      <w:r w:rsidRPr="00715C46">
        <w:rPr>
          <w:rFonts w:ascii="Verdana" w:hAnsi="Verdana" w:cs="Arial"/>
          <w:b/>
          <w:i w:val="0"/>
          <w:sz w:val="14"/>
          <w:szCs w:val="14"/>
        </w:rPr>
        <w:t xml:space="preserve"> mln zł</w:t>
      </w:r>
      <w:r w:rsidRPr="00715C46">
        <w:rPr>
          <w:rFonts w:ascii="Verdana" w:hAnsi="Verdana" w:cs="Arial"/>
          <w:i w:val="0"/>
          <w:sz w:val="14"/>
          <w:szCs w:val="14"/>
        </w:rPr>
        <w:t xml:space="preserve"> wobec </w:t>
      </w:r>
      <w:r>
        <w:rPr>
          <w:rFonts w:ascii="Verdana" w:hAnsi="Verdana" w:cs="Arial"/>
          <w:b/>
          <w:i w:val="0"/>
          <w:sz w:val="14"/>
          <w:szCs w:val="14"/>
        </w:rPr>
        <w:t>2,025</w:t>
      </w:r>
      <w:r w:rsidRPr="00715C46">
        <w:rPr>
          <w:rFonts w:ascii="Verdana" w:hAnsi="Verdana" w:cs="Arial"/>
          <w:b/>
          <w:i w:val="0"/>
          <w:sz w:val="14"/>
          <w:szCs w:val="14"/>
        </w:rPr>
        <w:t xml:space="preserve"> mld zł</w:t>
      </w:r>
      <w:r w:rsidRPr="00715C46">
        <w:rPr>
          <w:rFonts w:ascii="Verdana" w:hAnsi="Verdana" w:cs="Arial"/>
          <w:i w:val="0"/>
          <w:sz w:val="14"/>
          <w:szCs w:val="14"/>
        </w:rPr>
        <w:t xml:space="preserve"> </w:t>
      </w:r>
      <w:r>
        <w:rPr>
          <w:rFonts w:ascii="Verdana" w:hAnsi="Verdana" w:cs="Arial"/>
          <w:i w:val="0"/>
          <w:sz w:val="14"/>
          <w:szCs w:val="14"/>
        </w:rPr>
        <w:t>wykonania w 2020</w:t>
      </w:r>
      <w:r w:rsidRPr="00715C46">
        <w:rPr>
          <w:rFonts w:ascii="Verdana" w:hAnsi="Verdana" w:cs="Arial"/>
          <w:i w:val="0"/>
          <w:sz w:val="14"/>
          <w:szCs w:val="14"/>
        </w:rPr>
        <w:t xml:space="preserve"> r. </w:t>
      </w:r>
      <w:r>
        <w:rPr>
          <w:rFonts w:ascii="Verdana" w:hAnsi="Verdana" w:cs="Arial"/>
          <w:i w:val="0"/>
          <w:sz w:val="14"/>
          <w:szCs w:val="14"/>
        </w:rPr>
        <w:t xml:space="preserve">i </w:t>
      </w:r>
      <w:r w:rsidRPr="0024534B">
        <w:rPr>
          <w:rFonts w:ascii="Verdana" w:hAnsi="Verdana" w:cs="Arial"/>
          <w:b/>
          <w:i w:val="0"/>
          <w:sz w:val="14"/>
          <w:szCs w:val="14"/>
        </w:rPr>
        <w:t>2,027 mld zł</w:t>
      </w:r>
      <w:r>
        <w:rPr>
          <w:rFonts w:ascii="Verdana" w:hAnsi="Verdana" w:cs="Arial"/>
          <w:i w:val="0"/>
          <w:sz w:val="14"/>
          <w:szCs w:val="14"/>
        </w:rPr>
        <w:t xml:space="preserve"> wykonania w 2021 r.</w:t>
      </w:r>
    </w:p>
  </w:footnote>
  <w:footnote w:id="22">
    <w:p w:rsidR="008A572A" w:rsidRPr="003409A9" w:rsidRDefault="008A572A" w:rsidP="008A572A">
      <w:pPr>
        <w:pStyle w:val="Tekstprzypisudolnego"/>
        <w:ind w:firstLine="140"/>
      </w:pPr>
      <w:r w:rsidRPr="00543D26">
        <w:rPr>
          <w:rStyle w:val="Odwoanieprzypisudolnego"/>
          <w:rFonts w:ascii="Verdana" w:hAnsi="Verdana"/>
          <w:i w:val="0"/>
          <w:sz w:val="14"/>
          <w:szCs w:val="14"/>
        </w:rPr>
        <w:footnoteRef/>
      </w:r>
      <w:r w:rsidRPr="003409A9">
        <w:rPr>
          <w:rFonts w:ascii="Verdana" w:hAnsi="Verdana"/>
          <w:sz w:val="14"/>
          <w:szCs w:val="14"/>
        </w:rPr>
        <w:t xml:space="preserve"> </w:t>
      </w:r>
      <w:r w:rsidRPr="00543D26">
        <w:rPr>
          <w:rFonts w:ascii="Verdana" w:hAnsi="Verdana"/>
          <w:i w:val="0"/>
          <w:sz w:val="14"/>
          <w:szCs w:val="14"/>
        </w:rPr>
        <w:t xml:space="preserve">Zgodnie z ustawą z 17.09.2021 r. </w:t>
      </w:r>
      <w:r w:rsidRPr="00017BAD">
        <w:rPr>
          <w:rFonts w:ascii="Verdana" w:hAnsi="Verdana"/>
          <w:sz w:val="14"/>
          <w:szCs w:val="14"/>
        </w:rPr>
        <w:t>o zmianie ustawy o pomocy państwa w wychowaniu dzieci oraz niektórych innych ustaw</w:t>
      </w:r>
      <w:r w:rsidRPr="00543D26">
        <w:rPr>
          <w:rFonts w:ascii="Verdana" w:hAnsi="Verdana"/>
          <w:i w:val="0"/>
          <w:sz w:val="14"/>
          <w:szCs w:val="14"/>
        </w:rPr>
        <w:t xml:space="preserve"> (Dz. U. z 2021 r. poz. 1981 oraz z 2022 r. poz. 2140), obsługa wypłaty świadczeń z programu "Rodzina 500 Plus" od czerwca 2022 r. realizowana jest przez Zakład Ubezpieczeń Społecznych.</w:t>
      </w:r>
    </w:p>
  </w:footnote>
  <w:footnote w:id="23">
    <w:p w:rsidR="008A572A" w:rsidRPr="003409A9" w:rsidRDefault="008A572A" w:rsidP="008A572A">
      <w:pPr>
        <w:pStyle w:val="Tekstprzypisudolnego"/>
        <w:ind w:firstLine="140"/>
      </w:pPr>
      <w:r w:rsidRPr="00543D26">
        <w:rPr>
          <w:rStyle w:val="Odwoanieprzypisudolnego"/>
          <w:rFonts w:ascii="Verdana" w:hAnsi="Verdana"/>
          <w:i w:val="0"/>
          <w:sz w:val="14"/>
          <w:szCs w:val="14"/>
        </w:rPr>
        <w:footnoteRef/>
      </w:r>
      <w:r w:rsidRPr="003409A9">
        <w:rPr>
          <w:rFonts w:ascii="Verdana" w:hAnsi="Verdana"/>
          <w:sz w:val="14"/>
          <w:szCs w:val="14"/>
        </w:rPr>
        <w:t xml:space="preserve"> </w:t>
      </w:r>
      <w:r>
        <w:rPr>
          <w:rFonts w:ascii="Verdana" w:hAnsi="Verdana"/>
          <w:i w:val="0"/>
          <w:sz w:val="14"/>
          <w:szCs w:val="14"/>
        </w:rPr>
        <w:t xml:space="preserve">Dochody na realizację zadań </w:t>
      </w:r>
      <w:r w:rsidRPr="00543D26">
        <w:rPr>
          <w:rFonts w:ascii="Verdana" w:hAnsi="Verdana"/>
          <w:i w:val="0"/>
          <w:sz w:val="14"/>
          <w:szCs w:val="14"/>
        </w:rPr>
        <w:t>związan</w:t>
      </w:r>
      <w:r>
        <w:rPr>
          <w:rFonts w:ascii="Verdana" w:hAnsi="Verdana"/>
          <w:i w:val="0"/>
          <w:sz w:val="14"/>
          <w:szCs w:val="14"/>
        </w:rPr>
        <w:t>ych</w:t>
      </w:r>
      <w:r w:rsidRPr="00543D26">
        <w:rPr>
          <w:rFonts w:ascii="Verdana" w:hAnsi="Verdana"/>
          <w:i w:val="0"/>
          <w:sz w:val="14"/>
          <w:szCs w:val="14"/>
        </w:rPr>
        <w:t xml:space="preserve"> z pomocą obywatelom Ukrainy w związku konfliktem zbrojnym mającym miejsce na terytorium tego kraju </w:t>
      </w:r>
      <w:r>
        <w:rPr>
          <w:rFonts w:ascii="Verdana" w:hAnsi="Verdana"/>
          <w:i w:val="0"/>
          <w:sz w:val="14"/>
          <w:szCs w:val="14"/>
        </w:rPr>
        <w:t>ujęte w budżecie na 2022 r. (wg stanu na 15.12.2022 r.) wynoszą 495,8 mln zł przy wydatkach ogółem w wysokości 567,3</w:t>
      </w:r>
      <w:r w:rsidRPr="00543D26">
        <w:rPr>
          <w:rFonts w:ascii="Verdana" w:hAnsi="Verdana"/>
          <w:i w:val="0"/>
          <w:sz w:val="14"/>
          <w:szCs w:val="14"/>
        </w:rPr>
        <w:t xml:space="preserve"> mln zł</w:t>
      </w:r>
      <w:r>
        <w:rPr>
          <w:rFonts w:ascii="Verdana" w:hAnsi="Verdana"/>
          <w:i w:val="0"/>
          <w:sz w:val="14"/>
          <w:szCs w:val="14"/>
        </w:rPr>
        <w:t xml:space="preserve"> (566,8 mln zł wydatków bieżących i 513 tys. zł wydatków majątkowych), natomiast </w:t>
      </w:r>
      <w:r>
        <w:rPr>
          <w:rFonts w:ascii="Verdana" w:hAnsi="Verdana"/>
          <w:i w:val="0"/>
          <w:sz w:val="14"/>
          <w:szCs w:val="14"/>
        </w:rPr>
        <w:br/>
        <w:t>w budżecie na 2023 r. zaplanowane w tym zakresie dochody wynoszą 14,2 mln zł wobec zaplanowanych wydatków na kwotę 175,4</w:t>
      </w:r>
      <w:r w:rsidRPr="00543D26">
        <w:rPr>
          <w:rFonts w:ascii="Verdana" w:hAnsi="Verdana"/>
          <w:i w:val="0"/>
          <w:sz w:val="14"/>
          <w:szCs w:val="14"/>
        </w:rPr>
        <w:t xml:space="preserve"> mln zł</w:t>
      </w:r>
      <w:r>
        <w:rPr>
          <w:rFonts w:ascii="Verdana" w:hAnsi="Verdana"/>
          <w:i w:val="0"/>
          <w:sz w:val="14"/>
          <w:szCs w:val="14"/>
        </w:rPr>
        <w:t xml:space="preserve"> (174,9 mln zł wydatków bieżących i 490 tys. zł wydatków majątkowych)</w:t>
      </w:r>
      <w:r w:rsidRPr="004A3777">
        <w:rPr>
          <w:rFonts w:ascii="Verdana" w:hAnsi="Verdana"/>
          <w:i w:val="0"/>
          <w:sz w:val="14"/>
          <w:szCs w:val="14"/>
        </w:rPr>
        <w:t>.</w:t>
      </w:r>
    </w:p>
  </w:footnote>
  <w:footnote w:id="24">
    <w:p w:rsidR="008A572A" w:rsidRPr="003409A9" w:rsidRDefault="008A572A" w:rsidP="008A572A">
      <w:pPr>
        <w:pStyle w:val="Tekstprzypisudolnego"/>
        <w:ind w:firstLine="140"/>
      </w:pPr>
      <w:r w:rsidRPr="00543D26">
        <w:rPr>
          <w:rStyle w:val="Odwoanieprzypisudolnego"/>
          <w:rFonts w:ascii="Verdana" w:hAnsi="Verdana"/>
          <w:i w:val="0"/>
          <w:sz w:val="14"/>
          <w:szCs w:val="14"/>
        </w:rPr>
        <w:footnoteRef/>
      </w:r>
      <w:r w:rsidRPr="003409A9">
        <w:rPr>
          <w:rFonts w:ascii="Verdana" w:hAnsi="Verdana"/>
          <w:sz w:val="14"/>
          <w:szCs w:val="14"/>
        </w:rPr>
        <w:t xml:space="preserve"> </w:t>
      </w:r>
      <w:r>
        <w:rPr>
          <w:rFonts w:ascii="Verdana" w:hAnsi="Verdana"/>
          <w:i w:val="0"/>
          <w:sz w:val="14"/>
          <w:szCs w:val="14"/>
        </w:rPr>
        <w:t>Planowane na 2023 r. wydatki bieżące w kwocie 20,785 mld zł pomniejszone o 174,9 mln zł wydatków bieżących zaplanowanych na 2023 r. związanych z pomocą obywatelom Ukrainy.</w:t>
      </w:r>
    </w:p>
  </w:footnote>
  <w:footnote w:id="25">
    <w:p w:rsidR="008A572A" w:rsidRPr="003409A9" w:rsidRDefault="008A572A" w:rsidP="008A572A">
      <w:pPr>
        <w:pStyle w:val="Tekstprzypisudolnego"/>
        <w:ind w:firstLine="140"/>
      </w:pPr>
      <w:r w:rsidRPr="00543D26">
        <w:rPr>
          <w:rStyle w:val="Odwoanieprzypisudolnego"/>
          <w:rFonts w:ascii="Verdana" w:hAnsi="Verdana"/>
          <w:i w:val="0"/>
          <w:sz w:val="14"/>
          <w:szCs w:val="14"/>
        </w:rPr>
        <w:footnoteRef/>
      </w:r>
      <w:r w:rsidRPr="003409A9">
        <w:rPr>
          <w:rFonts w:ascii="Verdana" w:hAnsi="Verdana"/>
          <w:sz w:val="14"/>
          <w:szCs w:val="14"/>
        </w:rPr>
        <w:t xml:space="preserve"> </w:t>
      </w:r>
      <w:r>
        <w:rPr>
          <w:rFonts w:ascii="Verdana" w:hAnsi="Verdana"/>
          <w:i w:val="0"/>
          <w:sz w:val="14"/>
          <w:szCs w:val="14"/>
        </w:rPr>
        <w:t xml:space="preserve">Planowane na 2022 r. wg stanu na 15.12.2022 r. wydatki bieżące w kwocie 19,669 mld zł pomniejszone </w:t>
      </w:r>
      <w:r>
        <w:rPr>
          <w:rFonts w:ascii="Verdana" w:hAnsi="Verdana"/>
          <w:i w:val="0"/>
          <w:sz w:val="14"/>
          <w:szCs w:val="14"/>
        </w:rPr>
        <w:br/>
        <w:t>o 843,6 mln zł wydatków bieżących związanych z realizacją programu „Rodzina 500 plus” oraz pomniejszone o 566,8 mln zł wydatków bieżących związanych z pomocą obywatelom Ukrainy.</w:t>
      </w:r>
    </w:p>
  </w:footnote>
  <w:footnote w:id="26">
    <w:p w:rsidR="008A572A" w:rsidRPr="003409A9" w:rsidRDefault="008A572A" w:rsidP="008A572A">
      <w:pPr>
        <w:pStyle w:val="Tekstprzypisudolnego"/>
        <w:ind w:firstLine="140"/>
      </w:pPr>
      <w:r w:rsidRPr="00543D26">
        <w:rPr>
          <w:rStyle w:val="Odwoanieprzypisudolnego"/>
          <w:rFonts w:ascii="Verdana" w:hAnsi="Verdana"/>
          <w:i w:val="0"/>
          <w:sz w:val="14"/>
          <w:szCs w:val="14"/>
        </w:rPr>
        <w:footnoteRef/>
      </w:r>
      <w:r w:rsidRPr="003409A9">
        <w:rPr>
          <w:rFonts w:ascii="Verdana" w:hAnsi="Verdana"/>
          <w:sz w:val="14"/>
          <w:szCs w:val="14"/>
        </w:rPr>
        <w:t xml:space="preserve"> </w:t>
      </w:r>
      <w:r>
        <w:rPr>
          <w:rFonts w:ascii="Verdana" w:hAnsi="Verdana"/>
          <w:i w:val="0"/>
          <w:sz w:val="14"/>
          <w:szCs w:val="14"/>
        </w:rPr>
        <w:t>Wykonane w 2021 r. wydatki bieżące w kwocie 18,298 mld zł pomniejszone o 2,027 mld zł wydatków bieżących związanych z realizacją programu „Rodzina 500 plus”.</w:t>
      </w:r>
    </w:p>
  </w:footnote>
  <w:footnote w:id="27">
    <w:p w:rsidR="008A572A" w:rsidRPr="005335E1" w:rsidRDefault="008A572A" w:rsidP="008A572A">
      <w:pPr>
        <w:pStyle w:val="Tekstprzypisudolnego"/>
        <w:ind w:firstLine="284"/>
        <w:rPr>
          <w:rFonts w:ascii="Verdana" w:hAnsi="Verdana" w:cs="Arial"/>
          <w:i w:val="0"/>
          <w:sz w:val="14"/>
          <w:szCs w:val="14"/>
        </w:rPr>
      </w:pPr>
      <w:r w:rsidRPr="005E3938">
        <w:rPr>
          <w:rStyle w:val="Odwoanieprzypisudolnego"/>
          <w:rFonts w:ascii="Verdana" w:hAnsi="Verdana"/>
          <w:i w:val="0"/>
          <w:sz w:val="14"/>
          <w:szCs w:val="14"/>
        </w:rPr>
        <w:footnoteRef/>
      </w:r>
      <w:r>
        <w:rPr>
          <w:rFonts w:ascii="Verdana" w:hAnsi="Verdana"/>
          <w:i w:val="0"/>
          <w:sz w:val="14"/>
          <w:szCs w:val="14"/>
        </w:rPr>
        <w:t xml:space="preserve"> </w:t>
      </w:r>
      <w:r>
        <w:rPr>
          <w:rFonts w:ascii="Verdana" w:hAnsi="Verdana" w:cs="Arial"/>
          <w:i w:val="0"/>
          <w:sz w:val="14"/>
          <w:szCs w:val="14"/>
        </w:rPr>
        <w:t xml:space="preserve">Zarządzenie nr 1795/2021 Prezydenta Miasta Stołecznego Warszawy z 09.11.2021 r. </w:t>
      </w:r>
      <w:r w:rsidRPr="005335E1">
        <w:rPr>
          <w:rFonts w:ascii="Verdana" w:hAnsi="Verdana" w:cs="Arial"/>
          <w:sz w:val="14"/>
          <w:szCs w:val="14"/>
        </w:rPr>
        <w:t>w sprawie wyboru długości okresu stosowanego do wyliczenia relacji wynikającej z art. 243 ust. 1 ustawy o finansach publicznych</w:t>
      </w:r>
      <w:r w:rsidRPr="005335E1">
        <w:rPr>
          <w:rFonts w:ascii="Verdana" w:hAnsi="Verdana" w:cs="Arial"/>
          <w:i w:val="0"/>
          <w:sz w:val="14"/>
          <w:szCs w:val="14"/>
        </w:rPr>
        <w:t>.</w:t>
      </w:r>
    </w:p>
  </w:footnote>
  <w:footnote w:id="28">
    <w:p w:rsidR="008A572A" w:rsidRPr="005E3938" w:rsidRDefault="008A572A" w:rsidP="008A572A">
      <w:pPr>
        <w:pStyle w:val="Tekstprzypisudolnego"/>
        <w:ind w:firstLine="284"/>
        <w:rPr>
          <w:rFonts w:ascii="Verdana" w:hAnsi="Verdana"/>
          <w:i w:val="0"/>
          <w:sz w:val="16"/>
          <w:szCs w:val="16"/>
        </w:rPr>
      </w:pPr>
      <w:r w:rsidRPr="005E3938">
        <w:rPr>
          <w:rStyle w:val="Odwoanieprzypisudolnego"/>
          <w:rFonts w:ascii="Verdana" w:hAnsi="Verdana"/>
          <w:i w:val="0"/>
          <w:sz w:val="14"/>
          <w:szCs w:val="14"/>
        </w:rPr>
        <w:footnoteRef/>
      </w:r>
      <w:r>
        <w:rPr>
          <w:rFonts w:ascii="Verdana" w:hAnsi="Verdana"/>
          <w:i w:val="0"/>
          <w:sz w:val="14"/>
          <w:szCs w:val="14"/>
        </w:rPr>
        <w:t xml:space="preserve"> </w:t>
      </w:r>
      <w:r>
        <w:rPr>
          <w:rFonts w:ascii="Verdana" w:hAnsi="Verdana" w:cs="Arial"/>
          <w:i w:val="0"/>
          <w:sz w:val="14"/>
          <w:szCs w:val="14"/>
        </w:rPr>
        <w:t>Zmiany tekstu jednolitego wymienionej ustawy zostały ogłoszone w</w:t>
      </w:r>
      <w:r>
        <w:rPr>
          <w:rFonts w:ascii="Verdana" w:hAnsi="Verdana"/>
          <w:i w:val="0"/>
          <w:sz w:val="14"/>
          <w:szCs w:val="14"/>
        </w:rPr>
        <w:t xml:space="preserve"> Dz. U. z 2022 r. </w:t>
      </w:r>
      <w:r w:rsidRPr="00E67B40">
        <w:rPr>
          <w:rFonts w:ascii="Verdana" w:hAnsi="Verdana"/>
          <w:i w:val="0"/>
          <w:sz w:val="14"/>
          <w:szCs w:val="14"/>
        </w:rPr>
        <w:t xml:space="preserve">poz. </w:t>
      </w:r>
      <w:r>
        <w:rPr>
          <w:rFonts w:ascii="Verdana" w:hAnsi="Verdana"/>
          <w:i w:val="0"/>
          <w:sz w:val="14"/>
          <w:szCs w:val="14"/>
        </w:rPr>
        <w:t>682, 683, 684, 830, 930, 1002, 1087, 1383, 1561, 1692, 1733, 2185.</w:t>
      </w:r>
    </w:p>
  </w:footnote>
  <w:footnote w:id="29">
    <w:p w:rsidR="008A572A" w:rsidRPr="005E3938" w:rsidRDefault="008A572A" w:rsidP="008A572A">
      <w:pPr>
        <w:pStyle w:val="Tekstprzypisudolnego"/>
        <w:ind w:firstLine="284"/>
        <w:rPr>
          <w:rFonts w:ascii="Verdana" w:hAnsi="Verdana"/>
          <w:i w:val="0"/>
          <w:sz w:val="16"/>
          <w:szCs w:val="16"/>
        </w:rPr>
      </w:pPr>
      <w:r w:rsidRPr="005E3938">
        <w:rPr>
          <w:rStyle w:val="Odwoanieprzypisudolnego"/>
          <w:rFonts w:ascii="Verdana" w:hAnsi="Verdana"/>
          <w:i w:val="0"/>
          <w:sz w:val="14"/>
          <w:szCs w:val="14"/>
        </w:rPr>
        <w:footnoteRef/>
      </w:r>
      <w:r>
        <w:rPr>
          <w:rFonts w:ascii="Verdana" w:hAnsi="Verdana"/>
          <w:i w:val="0"/>
          <w:sz w:val="14"/>
          <w:szCs w:val="14"/>
        </w:rPr>
        <w:t xml:space="preserve"> </w:t>
      </w:r>
      <w:r>
        <w:rPr>
          <w:rFonts w:ascii="Verdana" w:hAnsi="Verdana" w:cs="Arial"/>
          <w:i w:val="0"/>
          <w:sz w:val="14"/>
          <w:szCs w:val="14"/>
        </w:rPr>
        <w:t>Zmiany tekstu jednolitego wymienionej ustawy zostały ogłoszone w</w:t>
      </w:r>
      <w:r>
        <w:rPr>
          <w:rFonts w:ascii="Verdana" w:hAnsi="Verdana"/>
          <w:i w:val="0"/>
          <w:sz w:val="14"/>
          <w:szCs w:val="14"/>
        </w:rPr>
        <w:t xml:space="preserve"> Dz. U. z 2022 r. </w:t>
      </w:r>
      <w:r w:rsidRPr="00E67B40">
        <w:rPr>
          <w:rFonts w:ascii="Verdana" w:hAnsi="Verdana"/>
          <w:i w:val="0"/>
          <w:sz w:val="14"/>
          <w:szCs w:val="14"/>
        </w:rPr>
        <w:t xml:space="preserve">poz. </w:t>
      </w:r>
      <w:r>
        <w:rPr>
          <w:rFonts w:ascii="Verdana" w:hAnsi="Verdana"/>
          <w:i w:val="0"/>
          <w:sz w:val="14"/>
          <w:szCs w:val="14"/>
        </w:rPr>
        <w:t>682, 683, 684, 830, 930, 1002, 1087, 1383, 1561, 1692, 1733, 2185.</w:t>
      </w:r>
    </w:p>
  </w:footnote>
  <w:footnote w:id="30">
    <w:p w:rsidR="008853F1" w:rsidRDefault="008853F1" w:rsidP="008853F1">
      <w:pPr>
        <w:pStyle w:val="Tekstprzypisudolnego"/>
        <w:tabs>
          <w:tab w:val="clear" w:pos="851"/>
          <w:tab w:val="left" w:pos="0"/>
        </w:tabs>
        <w:ind w:left="170" w:hanging="170"/>
        <w:rPr>
          <w:rFonts w:ascii="Verdana" w:hAnsi="Verdana"/>
          <w:sz w:val="16"/>
          <w:szCs w:val="16"/>
        </w:rPr>
      </w:pPr>
      <w:r w:rsidRPr="00A478E4">
        <w:rPr>
          <w:rStyle w:val="Odwoanieprzypisudolnego"/>
          <w:rFonts w:ascii="Verdana" w:hAnsi="Verdana"/>
          <w:sz w:val="16"/>
          <w:szCs w:val="16"/>
        </w:rPr>
        <w:footnoteRef/>
      </w:r>
      <w:r w:rsidRPr="00A478E4">
        <w:rPr>
          <w:rFonts w:ascii="Verdana" w:hAnsi="Verdana"/>
          <w:sz w:val="16"/>
          <w:szCs w:val="16"/>
        </w:rPr>
        <w:t xml:space="preserve"> </w:t>
      </w:r>
      <w:r w:rsidRPr="00385CE1">
        <w:rPr>
          <w:rFonts w:ascii="Verdana" w:hAnsi="Verdana"/>
          <w:i w:val="0"/>
          <w:sz w:val="14"/>
          <w:szCs w:val="14"/>
        </w:rPr>
        <w:t>Na potrzeby formułowanej polityki zadłużenia wykorzystywane są informacje publikowane przez Ministerstwo Finansów dotyczące polityki długu Skarbu Państwa oraz oficjalne dane i prognozy dotyczące sytuacji gospodarczej i rynku kapitałowego - programów unijnych, stóp procentowych, ryzyk</w:t>
      </w:r>
      <w:r>
        <w:rPr>
          <w:rFonts w:ascii="Verdana" w:hAnsi="Verdana"/>
          <w:i w:val="0"/>
          <w:sz w:val="14"/>
          <w:szCs w:val="14"/>
        </w:rPr>
        <w:t>a</w:t>
      </w:r>
      <w:r w:rsidRPr="00385CE1">
        <w:rPr>
          <w:rFonts w:ascii="Verdana" w:hAnsi="Verdana"/>
          <w:i w:val="0"/>
          <w:sz w:val="14"/>
          <w:szCs w:val="14"/>
        </w:rPr>
        <w:t xml:space="preserve"> kursow</w:t>
      </w:r>
      <w:r>
        <w:rPr>
          <w:rFonts w:ascii="Verdana" w:hAnsi="Verdana"/>
          <w:i w:val="0"/>
          <w:sz w:val="14"/>
          <w:szCs w:val="14"/>
        </w:rPr>
        <w:t>ego</w:t>
      </w:r>
      <w:r w:rsidRPr="00385CE1">
        <w:rPr>
          <w:rFonts w:ascii="Verdana" w:hAnsi="Verdana"/>
          <w:i w:val="0"/>
          <w:sz w:val="14"/>
          <w:szCs w:val="14"/>
        </w:rPr>
        <w:t>. Podstawę teoretyczną przygotowywanej polityki długu stanowią tematyczne publikacje naukowe zarówno krajowe jak i zagraniczne.</w:t>
      </w:r>
    </w:p>
  </w:footnote>
  <w:footnote w:id="31">
    <w:p w:rsidR="008853F1" w:rsidRDefault="008853F1" w:rsidP="008853F1">
      <w:pPr>
        <w:pStyle w:val="Tekstprzypisudolnego"/>
        <w:tabs>
          <w:tab w:val="clear" w:pos="851"/>
          <w:tab w:val="left" w:pos="0"/>
        </w:tabs>
        <w:spacing w:before="60"/>
        <w:ind w:firstLine="0"/>
      </w:pPr>
      <w:r w:rsidRPr="003229E1">
        <w:rPr>
          <w:rStyle w:val="Odwoanieprzypisudolnego"/>
          <w:rFonts w:ascii="Verdana" w:hAnsi="Verdana"/>
          <w:sz w:val="16"/>
          <w:szCs w:val="16"/>
        </w:rPr>
        <w:footnoteRef/>
      </w:r>
      <w:r w:rsidRPr="003229E1">
        <w:rPr>
          <w:rFonts w:ascii="Verdana" w:hAnsi="Verdana"/>
          <w:i w:val="0"/>
          <w:sz w:val="16"/>
          <w:szCs w:val="16"/>
        </w:rPr>
        <w:t xml:space="preserve"> </w:t>
      </w:r>
      <w:r w:rsidRPr="003229E1">
        <w:rPr>
          <w:rFonts w:ascii="Verdana" w:hAnsi="Verdana" w:cs="Arial"/>
          <w:i w:val="0"/>
          <w:sz w:val="14"/>
          <w:szCs w:val="14"/>
        </w:rPr>
        <w:t>Zmiany tekstu jednolitego wymienionej ustawy zostały ogłoszone w</w:t>
      </w:r>
      <w:r w:rsidRPr="003229E1">
        <w:rPr>
          <w:rFonts w:ascii="Verdana" w:hAnsi="Verdana"/>
          <w:i w:val="0"/>
          <w:sz w:val="14"/>
          <w:szCs w:val="14"/>
        </w:rPr>
        <w:t xml:space="preserve"> </w:t>
      </w:r>
      <w:r w:rsidRPr="0029244B">
        <w:rPr>
          <w:rFonts w:ascii="Verdana" w:hAnsi="Verdana"/>
          <w:i w:val="0"/>
          <w:sz w:val="14"/>
          <w:szCs w:val="14"/>
        </w:rPr>
        <w:t>Dz. U. z 202</w:t>
      </w:r>
      <w:r>
        <w:rPr>
          <w:rFonts w:ascii="Verdana" w:hAnsi="Verdana"/>
          <w:i w:val="0"/>
          <w:sz w:val="14"/>
          <w:szCs w:val="14"/>
        </w:rPr>
        <w:t>2</w:t>
      </w:r>
      <w:r w:rsidRPr="0029244B">
        <w:rPr>
          <w:rFonts w:ascii="Verdana" w:hAnsi="Verdana"/>
          <w:i w:val="0"/>
          <w:sz w:val="14"/>
          <w:szCs w:val="14"/>
        </w:rPr>
        <w:t xml:space="preserve"> r.</w:t>
      </w:r>
      <w:r>
        <w:rPr>
          <w:rFonts w:ascii="Verdana" w:hAnsi="Verdana"/>
          <w:i w:val="0"/>
          <w:sz w:val="14"/>
          <w:szCs w:val="14"/>
        </w:rPr>
        <w:t xml:space="preserve"> </w:t>
      </w:r>
      <w:r w:rsidRPr="0029244B">
        <w:rPr>
          <w:rFonts w:ascii="Verdana" w:hAnsi="Verdana"/>
          <w:i w:val="0"/>
          <w:sz w:val="14"/>
          <w:szCs w:val="14"/>
        </w:rPr>
        <w:t xml:space="preserve">poz. </w:t>
      </w:r>
      <w:r>
        <w:rPr>
          <w:rFonts w:ascii="Verdana" w:hAnsi="Verdana"/>
          <w:i w:val="0"/>
          <w:sz w:val="14"/>
          <w:szCs w:val="14"/>
        </w:rPr>
        <w:t>1634</w:t>
      </w:r>
      <w:r w:rsidRPr="0029244B">
        <w:rPr>
          <w:rFonts w:ascii="Verdana" w:hAnsi="Verdana"/>
          <w:i w:val="0"/>
          <w:sz w:val="14"/>
          <w:szCs w:val="14"/>
        </w:rPr>
        <w:t xml:space="preserve">, </w:t>
      </w:r>
      <w:r>
        <w:rPr>
          <w:rFonts w:ascii="Verdana" w:hAnsi="Verdana"/>
          <w:i w:val="0"/>
          <w:sz w:val="14"/>
          <w:szCs w:val="14"/>
        </w:rPr>
        <w:t xml:space="preserve">1747, </w:t>
      </w:r>
      <w:r w:rsidRPr="00600260">
        <w:rPr>
          <w:rFonts w:ascii="Verdana" w:hAnsi="Verdana"/>
          <w:i w:val="0"/>
          <w:sz w:val="14"/>
          <w:szCs w:val="14"/>
        </w:rPr>
        <w:t>17</w:t>
      </w:r>
      <w:r>
        <w:rPr>
          <w:rFonts w:ascii="Verdana" w:hAnsi="Verdana"/>
          <w:i w:val="0"/>
          <w:sz w:val="14"/>
          <w:szCs w:val="14"/>
        </w:rPr>
        <w:t>68</w:t>
      </w:r>
      <w:r w:rsidRPr="00600260">
        <w:rPr>
          <w:rFonts w:ascii="Verdana" w:hAnsi="Verdana"/>
          <w:i w:val="0"/>
          <w:sz w:val="14"/>
          <w:szCs w:val="14"/>
        </w:rPr>
        <w:t xml:space="preserve"> i 19</w:t>
      </w:r>
      <w:r>
        <w:rPr>
          <w:rFonts w:ascii="Verdana" w:hAnsi="Verdana"/>
          <w:i w:val="0"/>
          <w:sz w:val="14"/>
          <w:szCs w:val="14"/>
        </w:rPr>
        <w:t>64</w:t>
      </w:r>
      <w:r w:rsidRPr="003229E1">
        <w:rPr>
          <w:rFonts w:ascii="Verdana" w:hAnsi="Verdana"/>
          <w:i w:val="0"/>
          <w:sz w:val="14"/>
          <w:szCs w:val="14"/>
        </w:rPr>
        <w:t>.</w:t>
      </w:r>
    </w:p>
  </w:footnote>
  <w:footnote w:id="32">
    <w:p w:rsidR="008853F1" w:rsidRPr="00215038" w:rsidRDefault="008853F1" w:rsidP="008853F1">
      <w:pPr>
        <w:pStyle w:val="Tekstprzypisudolnego"/>
        <w:ind w:left="170" w:hanging="170"/>
        <w:rPr>
          <w:i w:val="0"/>
          <w:sz w:val="18"/>
          <w:szCs w:val="18"/>
        </w:rPr>
      </w:pPr>
      <w:r w:rsidRPr="00A478E4">
        <w:rPr>
          <w:rStyle w:val="Odwoanieprzypisudolnego"/>
          <w:sz w:val="18"/>
          <w:szCs w:val="18"/>
        </w:rPr>
        <w:footnoteRef/>
      </w:r>
      <w:r w:rsidRPr="00A478E4">
        <w:rPr>
          <w:sz w:val="18"/>
          <w:szCs w:val="18"/>
        </w:rPr>
        <w:t xml:space="preserve"> </w:t>
      </w:r>
      <w:r w:rsidRPr="00215038">
        <w:rPr>
          <w:rFonts w:ascii="Verdana" w:hAnsi="Verdana"/>
          <w:i w:val="0"/>
          <w:sz w:val="14"/>
          <w:szCs w:val="14"/>
        </w:rPr>
        <w:t xml:space="preserve">Podmioty zależne to wszystkie podmioty posiadające osobowość prawną (prawnie wyodrębnione), które są utworzone lub prowadzone przez m.st. Warszawa tj. m.in. kapitałowe spółki prawa handlowego utworzone przez Miasto oraz samorządowe instytucje kultury, </w:t>
      </w:r>
      <w:proofErr w:type="spellStart"/>
      <w:r w:rsidRPr="00215038">
        <w:rPr>
          <w:rFonts w:ascii="Verdana" w:hAnsi="Verdana"/>
          <w:i w:val="0"/>
          <w:sz w:val="14"/>
          <w:szCs w:val="14"/>
        </w:rPr>
        <w:t>SPZOZy</w:t>
      </w:r>
      <w:proofErr w:type="spellEnd"/>
      <w:r w:rsidRPr="00215038">
        <w:rPr>
          <w:rFonts w:ascii="Verdana" w:hAnsi="Verdana"/>
          <w:i w:val="0"/>
          <w:sz w:val="14"/>
          <w:szCs w:val="1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72A" w:rsidRPr="00996A8C" w:rsidRDefault="008A572A" w:rsidP="008A114F">
    <w:pPr>
      <w:pStyle w:val="Nagwek"/>
      <w:spacing w:line="240" w:lineRule="auto"/>
      <w:jc w:val="center"/>
      <w:rPr>
        <w:i/>
        <w:sz w:val="20"/>
        <w:szCs w:val="20"/>
      </w:rPr>
    </w:pPr>
    <w:r>
      <w:rPr>
        <w:i/>
        <w:noProof/>
        <w:sz w:val="20"/>
        <w:szCs w:val="20"/>
        <w:lang w:val="pl-PL" w:eastAsia="pl-PL"/>
      </w:rPr>
      <mc:AlternateContent>
        <mc:Choice Requires="wps">
          <w:drawing>
            <wp:anchor distT="0" distB="0" distL="114300" distR="114300" simplePos="0" relativeHeight="251657728" behindDoc="0" locked="0" layoutInCell="1" allowOverlap="1">
              <wp:simplePos x="0" y="0"/>
              <wp:positionH relativeFrom="column">
                <wp:posOffset>22860</wp:posOffset>
              </wp:positionH>
              <wp:positionV relativeFrom="paragraph">
                <wp:posOffset>335915</wp:posOffset>
              </wp:positionV>
              <wp:extent cx="5715000" cy="0"/>
              <wp:effectExtent l="8255" t="13970" r="10795" b="5080"/>
              <wp:wrapTight wrapText="bothSides">
                <wp:wrapPolygon edited="0">
                  <wp:start x="0" y="-2147483648"/>
                  <wp:lineTo x="600" y="-2147483648"/>
                  <wp:lineTo x="600" y="-2147483648"/>
                  <wp:lineTo x="0" y="-2147483648"/>
                  <wp:lineTo x="0" y="-2147483648"/>
                </wp:wrapPolygon>
              </wp:wrapTight>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745A0"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6.45pt" to="451.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7e0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">
              <w10:wrap type="tight"/>
            </v:line>
          </w:pict>
        </mc:Fallback>
      </mc:AlternateContent>
    </w:r>
    <w:r>
      <w:rPr>
        <w:rFonts w:ascii="Times New Roman" w:hAnsi="Times New Roman"/>
        <w:i/>
        <w:iCs/>
        <w:sz w:val="20"/>
      </w:rPr>
      <w:t>Wieloletni</w:t>
    </w:r>
    <w:r>
      <w:rPr>
        <w:rFonts w:ascii="Times New Roman" w:hAnsi="Times New Roman"/>
        <w:i/>
        <w:iCs/>
        <w:sz w:val="20"/>
        <w:lang w:val="pl-PL"/>
      </w:rPr>
      <w:t>a</w:t>
    </w:r>
    <w:r>
      <w:rPr>
        <w:rFonts w:ascii="Times New Roman" w:hAnsi="Times New Roman"/>
        <w:i/>
        <w:iCs/>
        <w:sz w:val="20"/>
      </w:rPr>
      <w:t xml:space="preserve"> Prognoz</w:t>
    </w:r>
    <w:r>
      <w:rPr>
        <w:rFonts w:ascii="Times New Roman" w:hAnsi="Times New Roman"/>
        <w:i/>
        <w:iCs/>
        <w:sz w:val="20"/>
        <w:lang w:val="pl-PL"/>
      </w:rPr>
      <w:t>a</w:t>
    </w:r>
    <w:r>
      <w:rPr>
        <w:rFonts w:ascii="Times New Roman" w:hAnsi="Times New Roman"/>
        <w:i/>
        <w:iCs/>
        <w:sz w:val="20"/>
      </w:rPr>
      <w:t xml:space="preserve"> Finansow</w:t>
    </w:r>
    <w:r>
      <w:rPr>
        <w:rFonts w:ascii="Times New Roman" w:hAnsi="Times New Roman"/>
        <w:i/>
        <w:iCs/>
        <w:sz w:val="20"/>
        <w:lang w:val="pl-PL"/>
      </w:rPr>
      <w:t>a</w:t>
    </w:r>
    <w:r>
      <w:rPr>
        <w:rFonts w:ascii="Times New Roman" w:hAnsi="Times New Roman"/>
        <w:i/>
        <w:iCs/>
        <w:sz w:val="20"/>
      </w:rPr>
      <w:t xml:space="preserve"> Miasta Stołecznego Warszawy na lata 2023-2050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72A" w:rsidRDefault="008A572A" w:rsidP="008E7C03">
    <w:pPr>
      <w:pBdr>
        <w:bottom w:val="single" w:sz="4" w:space="1" w:color="auto"/>
      </w:pBdr>
      <w:tabs>
        <w:tab w:val="center" w:pos="7088"/>
        <w:tab w:val="right" w:pos="9356"/>
      </w:tabs>
      <w:spacing w:line="240" w:lineRule="auto"/>
      <w:jc w:val="center"/>
      <w:rPr>
        <w:rFonts w:ascii="Times New Roman" w:hAnsi="Times New Roman"/>
        <w:i/>
        <w:iCs/>
        <w:sz w:val="20"/>
      </w:rPr>
    </w:pPr>
    <w:r>
      <w:rPr>
        <w:rFonts w:ascii="Times New Roman" w:hAnsi="Times New Roman"/>
        <w:i/>
        <w:iCs/>
        <w:sz w:val="20"/>
      </w:rPr>
      <w:t>Wieloletnia Prognoza Finansowa Miasta Stołecznego Warszawy na lata 2023-2050</w:t>
    </w:r>
  </w:p>
  <w:p w:rsidR="008A572A" w:rsidRPr="006231C3" w:rsidRDefault="008A572A" w:rsidP="008E7C03">
    <w:pPr>
      <w:pBdr>
        <w:bottom w:val="single" w:sz="4" w:space="1" w:color="auto"/>
      </w:pBdr>
      <w:tabs>
        <w:tab w:val="center" w:pos="7088"/>
        <w:tab w:val="right" w:pos="9356"/>
      </w:tabs>
      <w:spacing w:line="240" w:lineRule="auto"/>
      <w:jc w:val="center"/>
      <w:rPr>
        <w:rFonts w:ascii="Times New Roman" w:hAnsi="Times New Roman"/>
        <w:i/>
        <w:iCs/>
        <w:sz w:val="20"/>
      </w:rPr>
    </w:pPr>
    <w:r>
      <w:rPr>
        <w:rFonts w:ascii="Times New Roman" w:hAnsi="Times New Roman"/>
        <w:i/>
        <w:iCs/>
        <w:sz w:val="20"/>
      </w:rPr>
      <w:t>OBJAŚNIENIA</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72A" w:rsidRDefault="008A572A" w:rsidP="008E7C03">
    <w:pPr>
      <w:pBdr>
        <w:bottom w:val="single" w:sz="4" w:space="1" w:color="auto"/>
      </w:pBdr>
      <w:tabs>
        <w:tab w:val="center" w:pos="7088"/>
        <w:tab w:val="right" w:pos="9356"/>
      </w:tabs>
      <w:spacing w:line="240" w:lineRule="auto"/>
      <w:jc w:val="center"/>
      <w:rPr>
        <w:rFonts w:ascii="Times New Roman" w:hAnsi="Times New Roman"/>
        <w:i/>
        <w:iCs/>
        <w:sz w:val="20"/>
      </w:rPr>
    </w:pPr>
    <w:r>
      <w:rPr>
        <w:rFonts w:ascii="Times New Roman" w:hAnsi="Times New Roman"/>
        <w:i/>
        <w:iCs/>
        <w:sz w:val="20"/>
      </w:rPr>
      <w:t>Wieloletnia Prognoza Finansowa Miasta Stołecznego Warszawy na lata 2023-2050</w:t>
    </w:r>
  </w:p>
  <w:p w:rsidR="008A572A" w:rsidRPr="006231C3" w:rsidRDefault="008A572A" w:rsidP="008E7C03">
    <w:pPr>
      <w:pBdr>
        <w:bottom w:val="single" w:sz="4" w:space="1" w:color="auto"/>
      </w:pBdr>
      <w:tabs>
        <w:tab w:val="center" w:pos="7088"/>
        <w:tab w:val="right" w:pos="9356"/>
      </w:tabs>
      <w:spacing w:line="240" w:lineRule="auto"/>
      <w:jc w:val="center"/>
      <w:rPr>
        <w:rFonts w:ascii="Times New Roman" w:hAnsi="Times New Roman"/>
        <w:i/>
        <w:iCs/>
        <w:sz w:val="20"/>
      </w:rPr>
    </w:pPr>
    <w:r>
      <w:rPr>
        <w:rFonts w:ascii="Times New Roman" w:hAnsi="Times New Roman"/>
        <w:i/>
        <w:iCs/>
        <w:sz w:val="20"/>
      </w:rPr>
      <w:t>OBJAŚNIENIA</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72A" w:rsidRDefault="008A572A" w:rsidP="008E7C03">
    <w:pPr>
      <w:pBdr>
        <w:bottom w:val="single" w:sz="4" w:space="1" w:color="auto"/>
      </w:pBdr>
      <w:tabs>
        <w:tab w:val="center" w:pos="7088"/>
        <w:tab w:val="right" w:pos="9356"/>
      </w:tabs>
      <w:spacing w:line="240" w:lineRule="auto"/>
      <w:jc w:val="center"/>
      <w:rPr>
        <w:rFonts w:ascii="Times New Roman" w:hAnsi="Times New Roman"/>
        <w:i/>
        <w:iCs/>
        <w:sz w:val="20"/>
      </w:rPr>
    </w:pPr>
    <w:r>
      <w:rPr>
        <w:rFonts w:ascii="Times New Roman" w:hAnsi="Times New Roman"/>
        <w:i/>
        <w:iCs/>
        <w:sz w:val="20"/>
      </w:rPr>
      <w:t>Wieloletnia Prognoza Finansowa Miasta Stołecznego Warszawy na lata 2023-2050</w:t>
    </w:r>
  </w:p>
  <w:p w:rsidR="008A572A" w:rsidRPr="006231C3" w:rsidRDefault="008A572A" w:rsidP="008E7C03">
    <w:pPr>
      <w:pBdr>
        <w:bottom w:val="single" w:sz="4" w:space="1" w:color="auto"/>
      </w:pBdr>
      <w:tabs>
        <w:tab w:val="center" w:pos="7088"/>
        <w:tab w:val="right" w:pos="9356"/>
      </w:tabs>
      <w:spacing w:line="240" w:lineRule="auto"/>
      <w:jc w:val="center"/>
      <w:rPr>
        <w:rFonts w:ascii="Times New Roman" w:hAnsi="Times New Roman"/>
        <w:i/>
        <w:iCs/>
        <w:sz w:val="20"/>
      </w:rPr>
    </w:pPr>
    <w:r>
      <w:rPr>
        <w:rFonts w:ascii="Times New Roman" w:hAnsi="Times New Roman"/>
        <w:i/>
        <w:iCs/>
        <w:sz w:val="20"/>
      </w:rPr>
      <w:t>POLITYKA DŁUGU EDYCJA 2023 ROK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12701"/>
    <w:multiLevelType w:val="hybridMultilevel"/>
    <w:tmpl w:val="62027AA2"/>
    <w:lvl w:ilvl="0" w:tplc="04150005">
      <w:start w:val="1"/>
      <w:numFmt w:val="bullet"/>
      <w:lvlText w:val=""/>
      <w:lvlJc w:val="left"/>
      <w:pPr>
        <w:ind w:left="927" w:hanging="360"/>
      </w:pPr>
      <w:rPr>
        <w:rFonts w:ascii="Wingdings" w:hAnsi="Wingdings"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 w15:restartNumberingAfterBreak="0">
    <w:nsid w:val="062D1BF2"/>
    <w:multiLevelType w:val="hybridMultilevel"/>
    <w:tmpl w:val="8B70C56A"/>
    <w:lvl w:ilvl="0" w:tplc="D3FCE27A">
      <w:start w:val="1"/>
      <w:numFmt w:val="bullet"/>
      <w:lvlText w:val=""/>
      <w:lvlJc w:val="left"/>
      <w:pPr>
        <w:tabs>
          <w:tab w:val="num" w:pos="1080"/>
        </w:tabs>
        <w:ind w:left="1080" w:hanging="360"/>
      </w:pPr>
      <w:rPr>
        <w:rFonts w:ascii="Wingdings" w:hAnsi="Wingdings" w:hint="default"/>
        <w:color w:val="auto"/>
        <w:sz w:val="20"/>
        <w:szCs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1E19D7"/>
    <w:multiLevelType w:val="hybridMultilevel"/>
    <w:tmpl w:val="01B0129C"/>
    <w:lvl w:ilvl="0" w:tplc="784C6222">
      <w:start w:val="1"/>
      <w:numFmt w:val="decimal"/>
      <w:lvlText w:val="%1."/>
      <w:lvlJc w:val="left"/>
      <w:pPr>
        <w:ind w:left="720" w:hanging="360"/>
      </w:pPr>
      <w:rPr>
        <w:rFonts w:hint="default"/>
      </w:rPr>
    </w:lvl>
    <w:lvl w:ilvl="1" w:tplc="3834A2E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E9155C"/>
    <w:multiLevelType w:val="hybridMultilevel"/>
    <w:tmpl w:val="5BF0654A"/>
    <w:lvl w:ilvl="0" w:tplc="8C2E3A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BE57C76"/>
    <w:multiLevelType w:val="hybridMultilevel"/>
    <w:tmpl w:val="E08E63D4"/>
    <w:lvl w:ilvl="0" w:tplc="D3FCE27A">
      <w:start w:val="1"/>
      <w:numFmt w:val="bullet"/>
      <w:lvlText w:val=""/>
      <w:lvlJc w:val="left"/>
      <w:pPr>
        <w:tabs>
          <w:tab w:val="num" w:pos="1080"/>
        </w:tabs>
        <w:ind w:left="1080" w:hanging="360"/>
      </w:pPr>
      <w:rPr>
        <w:rFonts w:ascii="Wingdings" w:hAnsi="Wingdings" w:hint="default"/>
        <w:color w:val="auto"/>
        <w:sz w:val="20"/>
        <w:szCs w:val="20"/>
      </w:rPr>
    </w:lvl>
    <w:lvl w:ilvl="1" w:tplc="06648AB0">
      <w:start w:val="1"/>
      <w:numFmt w:val="bullet"/>
      <w:lvlText w:val=""/>
      <w:lvlJc w:val="left"/>
      <w:pPr>
        <w:tabs>
          <w:tab w:val="num" w:pos="1440"/>
        </w:tabs>
        <w:ind w:left="1440" w:hanging="360"/>
      </w:pPr>
      <w:rPr>
        <w:rFonts w:ascii="Symbol" w:hAnsi="Symbol" w:hint="default"/>
        <w:color w:val="auto"/>
        <w:sz w:val="20"/>
        <w:szCs w:val="20"/>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442650"/>
    <w:multiLevelType w:val="hybridMultilevel"/>
    <w:tmpl w:val="FA9CFBF4"/>
    <w:lvl w:ilvl="0" w:tplc="961A00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EFA3E98"/>
    <w:multiLevelType w:val="hybridMultilevel"/>
    <w:tmpl w:val="10A87A88"/>
    <w:lvl w:ilvl="0" w:tplc="D3FCE27A">
      <w:start w:val="1"/>
      <w:numFmt w:val="bullet"/>
      <w:lvlText w:val=""/>
      <w:lvlJc w:val="left"/>
      <w:pPr>
        <w:tabs>
          <w:tab w:val="num" w:pos="720"/>
        </w:tabs>
        <w:ind w:left="720" w:hanging="360"/>
      </w:pPr>
      <w:rPr>
        <w:rFonts w:ascii="Wingdings" w:hAnsi="Wingdings" w:hint="default"/>
        <w:color w:val="auto"/>
        <w:sz w:val="20"/>
        <w:szCs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D60180"/>
    <w:multiLevelType w:val="hybridMultilevel"/>
    <w:tmpl w:val="787CA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23B02B4"/>
    <w:multiLevelType w:val="hybridMultilevel"/>
    <w:tmpl w:val="B7B6307C"/>
    <w:lvl w:ilvl="0" w:tplc="826010EE">
      <w:start w:val="1"/>
      <w:numFmt w:val="bullet"/>
      <w:lvlText w:val="-"/>
      <w:lvlJc w:val="left"/>
      <w:pPr>
        <w:ind w:left="720" w:hanging="360"/>
      </w:pPr>
      <w:rPr>
        <w:rFonts w:hint="default"/>
      </w:rPr>
    </w:lvl>
    <w:lvl w:ilvl="1" w:tplc="879CEC58">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4E54E38"/>
    <w:multiLevelType w:val="hybridMultilevel"/>
    <w:tmpl w:val="0EB6AB4C"/>
    <w:lvl w:ilvl="0" w:tplc="826010EE">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74D0806"/>
    <w:multiLevelType w:val="hybridMultilevel"/>
    <w:tmpl w:val="FB58235A"/>
    <w:lvl w:ilvl="0" w:tplc="961A00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81D393D"/>
    <w:multiLevelType w:val="hybridMultilevel"/>
    <w:tmpl w:val="575A9F0A"/>
    <w:lvl w:ilvl="0" w:tplc="D28AA100">
      <w:start w:val="1"/>
      <w:numFmt w:val="bullet"/>
      <w:lvlText w:val=""/>
      <w:lvlJc w:val="left"/>
      <w:pPr>
        <w:tabs>
          <w:tab w:val="num" w:pos="927"/>
        </w:tabs>
        <w:ind w:left="927" w:hanging="360"/>
      </w:pPr>
      <w:rPr>
        <w:rFonts w:ascii="Wingdings" w:hAnsi="Wingdings" w:hint="default"/>
      </w:rPr>
    </w:lvl>
    <w:lvl w:ilvl="1" w:tplc="04150003">
      <w:start w:val="1"/>
      <w:numFmt w:val="bullet"/>
      <w:lvlText w:val="o"/>
      <w:lvlJc w:val="left"/>
      <w:pPr>
        <w:tabs>
          <w:tab w:val="num" w:pos="2007"/>
        </w:tabs>
        <w:ind w:left="2007" w:hanging="360"/>
      </w:pPr>
      <w:rPr>
        <w:rFonts w:ascii="Courier New" w:hAnsi="Courier New" w:cs="Courier New" w:hint="default"/>
      </w:rPr>
    </w:lvl>
    <w:lvl w:ilvl="2" w:tplc="E506CDE4">
      <w:numFmt w:val="bullet"/>
      <w:lvlText w:val=""/>
      <w:lvlJc w:val="left"/>
      <w:pPr>
        <w:ind w:left="2727" w:hanging="360"/>
      </w:pPr>
      <w:rPr>
        <w:rFonts w:ascii="Symbol" w:eastAsia="MS Mincho" w:hAnsi="Symbol" w:cs="Times New Roman" w:hint="default"/>
      </w:rPr>
    </w:lvl>
    <w:lvl w:ilvl="3" w:tplc="04150001" w:tentative="1">
      <w:start w:val="1"/>
      <w:numFmt w:val="bullet"/>
      <w:lvlText w:val=""/>
      <w:lvlJc w:val="left"/>
      <w:pPr>
        <w:tabs>
          <w:tab w:val="num" w:pos="3447"/>
        </w:tabs>
        <w:ind w:left="3447" w:hanging="360"/>
      </w:pPr>
      <w:rPr>
        <w:rFonts w:ascii="Symbol" w:hAnsi="Symbol" w:hint="default"/>
      </w:rPr>
    </w:lvl>
    <w:lvl w:ilvl="4" w:tplc="04150003" w:tentative="1">
      <w:start w:val="1"/>
      <w:numFmt w:val="bullet"/>
      <w:lvlText w:val="o"/>
      <w:lvlJc w:val="left"/>
      <w:pPr>
        <w:tabs>
          <w:tab w:val="num" w:pos="4167"/>
        </w:tabs>
        <w:ind w:left="4167" w:hanging="360"/>
      </w:pPr>
      <w:rPr>
        <w:rFonts w:ascii="Courier New" w:hAnsi="Courier New" w:cs="Courier New" w:hint="default"/>
      </w:rPr>
    </w:lvl>
    <w:lvl w:ilvl="5" w:tplc="04150005" w:tentative="1">
      <w:start w:val="1"/>
      <w:numFmt w:val="bullet"/>
      <w:lvlText w:val=""/>
      <w:lvlJc w:val="left"/>
      <w:pPr>
        <w:tabs>
          <w:tab w:val="num" w:pos="4887"/>
        </w:tabs>
        <w:ind w:left="4887" w:hanging="360"/>
      </w:pPr>
      <w:rPr>
        <w:rFonts w:ascii="Wingdings" w:hAnsi="Wingdings" w:hint="default"/>
      </w:rPr>
    </w:lvl>
    <w:lvl w:ilvl="6" w:tplc="04150001" w:tentative="1">
      <w:start w:val="1"/>
      <w:numFmt w:val="bullet"/>
      <w:lvlText w:val=""/>
      <w:lvlJc w:val="left"/>
      <w:pPr>
        <w:tabs>
          <w:tab w:val="num" w:pos="5607"/>
        </w:tabs>
        <w:ind w:left="5607" w:hanging="360"/>
      </w:pPr>
      <w:rPr>
        <w:rFonts w:ascii="Symbol" w:hAnsi="Symbol" w:hint="default"/>
      </w:rPr>
    </w:lvl>
    <w:lvl w:ilvl="7" w:tplc="04150003" w:tentative="1">
      <w:start w:val="1"/>
      <w:numFmt w:val="bullet"/>
      <w:lvlText w:val="o"/>
      <w:lvlJc w:val="left"/>
      <w:pPr>
        <w:tabs>
          <w:tab w:val="num" w:pos="6327"/>
        </w:tabs>
        <w:ind w:left="6327" w:hanging="360"/>
      </w:pPr>
      <w:rPr>
        <w:rFonts w:ascii="Courier New" w:hAnsi="Courier New" w:cs="Courier New" w:hint="default"/>
      </w:rPr>
    </w:lvl>
    <w:lvl w:ilvl="8" w:tplc="04150005"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1C150993"/>
    <w:multiLevelType w:val="hybridMultilevel"/>
    <w:tmpl w:val="EF923BE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C4E1944"/>
    <w:multiLevelType w:val="hybridMultilevel"/>
    <w:tmpl w:val="A3987252"/>
    <w:lvl w:ilvl="0" w:tplc="E92CF946">
      <w:start w:val="1"/>
      <w:numFmt w:val="bullet"/>
      <w:lvlText w:val="­"/>
      <w:lvlJc w:val="left"/>
      <w:pPr>
        <w:tabs>
          <w:tab w:val="num" w:pos="720"/>
        </w:tabs>
        <w:ind w:left="720" w:hanging="360"/>
      </w:pPr>
      <w:rPr>
        <w:rFonts w:ascii="Verdana" w:hAnsi="Verdana" w:hint="default"/>
      </w:rPr>
    </w:lvl>
    <w:lvl w:ilvl="1" w:tplc="5F72F9B6" w:tentative="1">
      <w:start w:val="1"/>
      <w:numFmt w:val="bullet"/>
      <w:lvlText w:val=""/>
      <w:lvlJc w:val="left"/>
      <w:pPr>
        <w:tabs>
          <w:tab w:val="num" w:pos="1440"/>
        </w:tabs>
        <w:ind w:left="1440" w:hanging="360"/>
      </w:pPr>
      <w:rPr>
        <w:rFonts w:ascii="Calibri" w:hAnsi="Calibri" w:hint="default"/>
      </w:rPr>
    </w:lvl>
    <w:lvl w:ilvl="2" w:tplc="46D49212" w:tentative="1">
      <w:start w:val="1"/>
      <w:numFmt w:val="bullet"/>
      <w:lvlText w:val=""/>
      <w:lvlJc w:val="left"/>
      <w:pPr>
        <w:tabs>
          <w:tab w:val="num" w:pos="2160"/>
        </w:tabs>
        <w:ind w:left="2160" w:hanging="360"/>
      </w:pPr>
      <w:rPr>
        <w:rFonts w:ascii="Calibri" w:hAnsi="Calibri" w:hint="default"/>
      </w:rPr>
    </w:lvl>
    <w:lvl w:ilvl="3" w:tplc="5164043A" w:tentative="1">
      <w:start w:val="1"/>
      <w:numFmt w:val="bullet"/>
      <w:lvlText w:val=""/>
      <w:lvlJc w:val="left"/>
      <w:pPr>
        <w:tabs>
          <w:tab w:val="num" w:pos="2880"/>
        </w:tabs>
        <w:ind w:left="2880" w:hanging="360"/>
      </w:pPr>
      <w:rPr>
        <w:rFonts w:ascii="Calibri" w:hAnsi="Calibri" w:hint="default"/>
      </w:rPr>
    </w:lvl>
    <w:lvl w:ilvl="4" w:tplc="89226308" w:tentative="1">
      <w:start w:val="1"/>
      <w:numFmt w:val="bullet"/>
      <w:lvlText w:val=""/>
      <w:lvlJc w:val="left"/>
      <w:pPr>
        <w:tabs>
          <w:tab w:val="num" w:pos="3600"/>
        </w:tabs>
        <w:ind w:left="3600" w:hanging="360"/>
      </w:pPr>
      <w:rPr>
        <w:rFonts w:ascii="Calibri" w:hAnsi="Calibri" w:hint="default"/>
      </w:rPr>
    </w:lvl>
    <w:lvl w:ilvl="5" w:tplc="93304672" w:tentative="1">
      <w:start w:val="1"/>
      <w:numFmt w:val="bullet"/>
      <w:lvlText w:val=""/>
      <w:lvlJc w:val="left"/>
      <w:pPr>
        <w:tabs>
          <w:tab w:val="num" w:pos="4320"/>
        </w:tabs>
        <w:ind w:left="4320" w:hanging="360"/>
      </w:pPr>
      <w:rPr>
        <w:rFonts w:ascii="Calibri" w:hAnsi="Calibri" w:hint="default"/>
      </w:rPr>
    </w:lvl>
    <w:lvl w:ilvl="6" w:tplc="13482BB8" w:tentative="1">
      <w:start w:val="1"/>
      <w:numFmt w:val="bullet"/>
      <w:lvlText w:val=""/>
      <w:lvlJc w:val="left"/>
      <w:pPr>
        <w:tabs>
          <w:tab w:val="num" w:pos="5040"/>
        </w:tabs>
        <w:ind w:left="5040" w:hanging="360"/>
      </w:pPr>
      <w:rPr>
        <w:rFonts w:ascii="Calibri" w:hAnsi="Calibri" w:hint="default"/>
      </w:rPr>
    </w:lvl>
    <w:lvl w:ilvl="7" w:tplc="859ACEBA" w:tentative="1">
      <w:start w:val="1"/>
      <w:numFmt w:val="bullet"/>
      <w:lvlText w:val=""/>
      <w:lvlJc w:val="left"/>
      <w:pPr>
        <w:tabs>
          <w:tab w:val="num" w:pos="5760"/>
        </w:tabs>
        <w:ind w:left="5760" w:hanging="360"/>
      </w:pPr>
      <w:rPr>
        <w:rFonts w:ascii="Calibri" w:hAnsi="Calibri" w:hint="default"/>
      </w:rPr>
    </w:lvl>
    <w:lvl w:ilvl="8" w:tplc="51164ECA" w:tentative="1">
      <w:start w:val="1"/>
      <w:numFmt w:val="bullet"/>
      <w:lvlText w:val=""/>
      <w:lvlJc w:val="left"/>
      <w:pPr>
        <w:tabs>
          <w:tab w:val="num" w:pos="6480"/>
        </w:tabs>
        <w:ind w:left="6480" w:hanging="360"/>
      </w:pPr>
      <w:rPr>
        <w:rFonts w:ascii="Calibri" w:hAnsi="Calibri" w:hint="default"/>
      </w:rPr>
    </w:lvl>
  </w:abstractNum>
  <w:abstractNum w:abstractNumId="14" w15:restartNumberingAfterBreak="0">
    <w:nsid w:val="1D4752FA"/>
    <w:multiLevelType w:val="hybridMultilevel"/>
    <w:tmpl w:val="F08CEA34"/>
    <w:lvl w:ilvl="0" w:tplc="826010EE">
      <w:start w:val="1"/>
      <w:numFmt w:val="bullet"/>
      <w:lvlText w:val="-"/>
      <w:lvlJc w:val="left"/>
      <w:pPr>
        <w:ind w:left="1571" w:hanging="360"/>
      </w:pPr>
      <w:rPr>
        <w:rFont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 w15:restartNumberingAfterBreak="0">
    <w:nsid w:val="20A044F5"/>
    <w:multiLevelType w:val="hybridMultilevel"/>
    <w:tmpl w:val="623CE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1B5553F"/>
    <w:multiLevelType w:val="hybridMultilevel"/>
    <w:tmpl w:val="4DDA3E30"/>
    <w:lvl w:ilvl="0" w:tplc="D3FCE27A">
      <w:start w:val="1"/>
      <w:numFmt w:val="bullet"/>
      <w:lvlText w:val=""/>
      <w:lvlJc w:val="left"/>
      <w:pPr>
        <w:tabs>
          <w:tab w:val="num" w:pos="1080"/>
        </w:tabs>
        <w:ind w:left="1080" w:hanging="360"/>
      </w:pPr>
      <w:rPr>
        <w:rFonts w:ascii="Wingdings" w:hAnsi="Wingdings" w:hint="default"/>
        <w:color w:val="auto"/>
        <w:sz w:val="20"/>
        <w:szCs w:val="20"/>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9A2DB1"/>
    <w:multiLevelType w:val="hybridMultilevel"/>
    <w:tmpl w:val="56A2ED92"/>
    <w:lvl w:ilvl="0" w:tplc="826010EE">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4477A9F"/>
    <w:multiLevelType w:val="hybridMultilevel"/>
    <w:tmpl w:val="FCB65784"/>
    <w:lvl w:ilvl="0" w:tplc="961A001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9" w15:restartNumberingAfterBreak="0">
    <w:nsid w:val="249350DC"/>
    <w:multiLevelType w:val="hybridMultilevel"/>
    <w:tmpl w:val="B7CCBBE8"/>
    <w:lvl w:ilvl="0" w:tplc="D3FCE27A">
      <w:start w:val="1"/>
      <w:numFmt w:val="bullet"/>
      <w:lvlText w:val=""/>
      <w:lvlJc w:val="left"/>
      <w:pPr>
        <w:tabs>
          <w:tab w:val="num" w:pos="1080"/>
        </w:tabs>
        <w:ind w:left="1080" w:hanging="360"/>
      </w:pPr>
      <w:rPr>
        <w:rFonts w:ascii="Wingdings" w:hAnsi="Wingdings" w:hint="default"/>
        <w:color w:val="auto"/>
        <w:sz w:val="20"/>
        <w:szCs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71F79FC"/>
    <w:multiLevelType w:val="hybridMultilevel"/>
    <w:tmpl w:val="04B866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856280E"/>
    <w:multiLevelType w:val="hybridMultilevel"/>
    <w:tmpl w:val="C5B89558"/>
    <w:lvl w:ilvl="0" w:tplc="961A001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2" w15:restartNumberingAfterBreak="0">
    <w:nsid w:val="2A967DFF"/>
    <w:multiLevelType w:val="hybridMultilevel"/>
    <w:tmpl w:val="061E10F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CE80EA1"/>
    <w:multiLevelType w:val="hybridMultilevel"/>
    <w:tmpl w:val="F2DA37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D5C5677"/>
    <w:multiLevelType w:val="hybridMultilevel"/>
    <w:tmpl w:val="9BACA3D0"/>
    <w:lvl w:ilvl="0" w:tplc="8C2E3A0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E7D3B30"/>
    <w:multiLevelType w:val="hybridMultilevel"/>
    <w:tmpl w:val="A45615C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0F032C1"/>
    <w:multiLevelType w:val="hybridMultilevel"/>
    <w:tmpl w:val="1CE042B8"/>
    <w:lvl w:ilvl="0" w:tplc="A996820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 w15:restartNumberingAfterBreak="0">
    <w:nsid w:val="34FB379D"/>
    <w:multiLevelType w:val="hybridMultilevel"/>
    <w:tmpl w:val="6206ED24"/>
    <w:lvl w:ilvl="0" w:tplc="04150005">
      <w:start w:val="1"/>
      <w:numFmt w:val="bullet"/>
      <w:lvlText w:val=""/>
      <w:lvlJc w:val="left"/>
      <w:pPr>
        <w:ind w:left="1260" w:hanging="360"/>
      </w:pPr>
      <w:rPr>
        <w:rFonts w:ascii="Wingdings" w:hAnsi="Wingdings"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28" w15:restartNumberingAfterBreak="0">
    <w:nsid w:val="35C45831"/>
    <w:multiLevelType w:val="hybridMultilevel"/>
    <w:tmpl w:val="311C7A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36145769"/>
    <w:multiLevelType w:val="hybridMultilevel"/>
    <w:tmpl w:val="4C84D17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82F3507"/>
    <w:multiLevelType w:val="hybridMultilevel"/>
    <w:tmpl w:val="330CA9DA"/>
    <w:lvl w:ilvl="0" w:tplc="961A00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8844D37"/>
    <w:multiLevelType w:val="hybridMultilevel"/>
    <w:tmpl w:val="163A3598"/>
    <w:lvl w:ilvl="0" w:tplc="0415000B">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2" w15:restartNumberingAfterBreak="0">
    <w:nsid w:val="39BD38A2"/>
    <w:multiLevelType w:val="hybridMultilevel"/>
    <w:tmpl w:val="DC8694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AF046E5"/>
    <w:multiLevelType w:val="hybridMultilevel"/>
    <w:tmpl w:val="111A6ED2"/>
    <w:lvl w:ilvl="0" w:tplc="961A00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B2839AC"/>
    <w:multiLevelType w:val="hybridMultilevel"/>
    <w:tmpl w:val="9988801C"/>
    <w:lvl w:ilvl="0" w:tplc="0415000B">
      <w:start w:val="1"/>
      <w:numFmt w:val="bullet"/>
      <w:lvlText w:val=""/>
      <w:lvlJc w:val="left"/>
      <w:pPr>
        <w:ind w:left="1713" w:hanging="360"/>
      </w:pPr>
      <w:rPr>
        <w:rFonts w:ascii="Wingdings" w:hAnsi="Wingdings"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5" w15:restartNumberingAfterBreak="0">
    <w:nsid w:val="3C8A400A"/>
    <w:multiLevelType w:val="hybridMultilevel"/>
    <w:tmpl w:val="E4B45BF8"/>
    <w:lvl w:ilvl="0" w:tplc="D3FCE27A">
      <w:start w:val="1"/>
      <w:numFmt w:val="bullet"/>
      <w:lvlText w:val=""/>
      <w:lvlJc w:val="left"/>
      <w:pPr>
        <w:tabs>
          <w:tab w:val="num" w:pos="1080"/>
        </w:tabs>
        <w:ind w:left="1080" w:hanging="360"/>
      </w:pPr>
      <w:rPr>
        <w:rFonts w:ascii="Wingdings" w:hAnsi="Wingdings" w:hint="default"/>
        <w:color w:val="auto"/>
        <w:sz w:val="20"/>
        <w:szCs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C996CFC"/>
    <w:multiLevelType w:val="hybridMultilevel"/>
    <w:tmpl w:val="BE94D69C"/>
    <w:lvl w:ilvl="0" w:tplc="9AE27220">
      <w:start w:val="1"/>
      <w:numFmt w:val="bullet"/>
      <w:lvlText w:val=""/>
      <w:lvlJc w:val="left"/>
      <w:pPr>
        <w:tabs>
          <w:tab w:val="num" w:pos="720"/>
        </w:tabs>
        <w:ind w:left="720" w:hanging="360"/>
      </w:pPr>
      <w:rPr>
        <w:rFonts w:ascii="Wingdings" w:hAnsi="Wingdings" w:hint="default"/>
      </w:rPr>
    </w:lvl>
    <w:lvl w:ilvl="1" w:tplc="C9FA2C26" w:tentative="1">
      <w:start w:val="1"/>
      <w:numFmt w:val="bullet"/>
      <w:lvlText w:val=""/>
      <w:lvlJc w:val="left"/>
      <w:pPr>
        <w:tabs>
          <w:tab w:val="num" w:pos="1440"/>
        </w:tabs>
        <w:ind w:left="1440" w:hanging="360"/>
      </w:pPr>
      <w:rPr>
        <w:rFonts w:ascii="Wingdings" w:hAnsi="Wingdings" w:hint="default"/>
      </w:rPr>
    </w:lvl>
    <w:lvl w:ilvl="2" w:tplc="36D2637A" w:tentative="1">
      <w:start w:val="1"/>
      <w:numFmt w:val="bullet"/>
      <w:lvlText w:val=""/>
      <w:lvlJc w:val="left"/>
      <w:pPr>
        <w:tabs>
          <w:tab w:val="num" w:pos="2160"/>
        </w:tabs>
        <w:ind w:left="2160" w:hanging="360"/>
      </w:pPr>
      <w:rPr>
        <w:rFonts w:ascii="Wingdings" w:hAnsi="Wingdings" w:hint="default"/>
      </w:rPr>
    </w:lvl>
    <w:lvl w:ilvl="3" w:tplc="9A425656" w:tentative="1">
      <w:start w:val="1"/>
      <w:numFmt w:val="bullet"/>
      <w:lvlText w:val=""/>
      <w:lvlJc w:val="left"/>
      <w:pPr>
        <w:tabs>
          <w:tab w:val="num" w:pos="2880"/>
        </w:tabs>
        <w:ind w:left="2880" w:hanging="360"/>
      </w:pPr>
      <w:rPr>
        <w:rFonts w:ascii="Wingdings" w:hAnsi="Wingdings" w:hint="default"/>
      </w:rPr>
    </w:lvl>
    <w:lvl w:ilvl="4" w:tplc="A4028DF2" w:tentative="1">
      <w:start w:val="1"/>
      <w:numFmt w:val="bullet"/>
      <w:lvlText w:val=""/>
      <w:lvlJc w:val="left"/>
      <w:pPr>
        <w:tabs>
          <w:tab w:val="num" w:pos="3600"/>
        </w:tabs>
        <w:ind w:left="3600" w:hanging="360"/>
      </w:pPr>
      <w:rPr>
        <w:rFonts w:ascii="Wingdings" w:hAnsi="Wingdings" w:hint="default"/>
      </w:rPr>
    </w:lvl>
    <w:lvl w:ilvl="5" w:tplc="E2487DE8" w:tentative="1">
      <w:start w:val="1"/>
      <w:numFmt w:val="bullet"/>
      <w:lvlText w:val=""/>
      <w:lvlJc w:val="left"/>
      <w:pPr>
        <w:tabs>
          <w:tab w:val="num" w:pos="4320"/>
        </w:tabs>
        <w:ind w:left="4320" w:hanging="360"/>
      </w:pPr>
      <w:rPr>
        <w:rFonts w:ascii="Wingdings" w:hAnsi="Wingdings" w:hint="default"/>
      </w:rPr>
    </w:lvl>
    <w:lvl w:ilvl="6" w:tplc="9AF65572" w:tentative="1">
      <w:start w:val="1"/>
      <w:numFmt w:val="bullet"/>
      <w:lvlText w:val=""/>
      <w:lvlJc w:val="left"/>
      <w:pPr>
        <w:tabs>
          <w:tab w:val="num" w:pos="5040"/>
        </w:tabs>
        <w:ind w:left="5040" w:hanging="360"/>
      </w:pPr>
      <w:rPr>
        <w:rFonts w:ascii="Wingdings" w:hAnsi="Wingdings" w:hint="default"/>
      </w:rPr>
    </w:lvl>
    <w:lvl w:ilvl="7" w:tplc="92C6460C" w:tentative="1">
      <w:start w:val="1"/>
      <w:numFmt w:val="bullet"/>
      <w:lvlText w:val=""/>
      <w:lvlJc w:val="left"/>
      <w:pPr>
        <w:tabs>
          <w:tab w:val="num" w:pos="5760"/>
        </w:tabs>
        <w:ind w:left="5760" w:hanging="360"/>
      </w:pPr>
      <w:rPr>
        <w:rFonts w:ascii="Wingdings" w:hAnsi="Wingdings" w:hint="default"/>
      </w:rPr>
    </w:lvl>
    <w:lvl w:ilvl="8" w:tplc="BFDE536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DD8565D"/>
    <w:multiLevelType w:val="hybridMultilevel"/>
    <w:tmpl w:val="02ACB958"/>
    <w:lvl w:ilvl="0" w:tplc="D3FCE27A">
      <w:start w:val="1"/>
      <w:numFmt w:val="bullet"/>
      <w:lvlText w:val=""/>
      <w:lvlJc w:val="left"/>
      <w:pPr>
        <w:tabs>
          <w:tab w:val="num" w:pos="1080"/>
        </w:tabs>
        <w:ind w:left="1080" w:hanging="360"/>
      </w:pPr>
      <w:rPr>
        <w:rFonts w:ascii="Wingdings" w:hAnsi="Wingdings"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EAB6B98"/>
    <w:multiLevelType w:val="hybridMultilevel"/>
    <w:tmpl w:val="EAE285EE"/>
    <w:lvl w:ilvl="0" w:tplc="04150003">
      <w:start w:val="1"/>
      <w:numFmt w:val="bullet"/>
      <w:lvlText w:val="o"/>
      <w:lvlJc w:val="left"/>
      <w:pPr>
        <w:ind w:left="99" w:hanging="360"/>
      </w:pPr>
      <w:rPr>
        <w:rFonts w:ascii="Courier New" w:hAnsi="Courier New" w:cs="Courier New" w:hint="default"/>
      </w:rPr>
    </w:lvl>
    <w:lvl w:ilvl="1" w:tplc="04150003" w:tentative="1">
      <w:start w:val="1"/>
      <w:numFmt w:val="bullet"/>
      <w:lvlText w:val="o"/>
      <w:lvlJc w:val="left"/>
      <w:pPr>
        <w:ind w:left="819" w:hanging="360"/>
      </w:pPr>
      <w:rPr>
        <w:rFonts w:ascii="Courier New" w:hAnsi="Courier New" w:cs="Courier New" w:hint="default"/>
      </w:rPr>
    </w:lvl>
    <w:lvl w:ilvl="2" w:tplc="04150005" w:tentative="1">
      <w:start w:val="1"/>
      <w:numFmt w:val="bullet"/>
      <w:lvlText w:val=""/>
      <w:lvlJc w:val="left"/>
      <w:pPr>
        <w:ind w:left="1539" w:hanging="360"/>
      </w:pPr>
      <w:rPr>
        <w:rFonts w:ascii="Wingdings" w:hAnsi="Wingdings" w:hint="default"/>
      </w:rPr>
    </w:lvl>
    <w:lvl w:ilvl="3" w:tplc="04150001" w:tentative="1">
      <w:start w:val="1"/>
      <w:numFmt w:val="bullet"/>
      <w:lvlText w:val=""/>
      <w:lvlJc w:val="left"/>
      <w:pPr>
        <w:ind w:left="2259" w:hanging="360"/>
      </w:pPr>
      <w:rPr>
        <w:rFonts w:ascii="Symbol" w:hAnsi="Symbol" w:hint="default"/>
      </w:rPr>
    </w:lvl>
    <w:lvl w:ilvl="4" w:tplc="04150003" w:tentative="1">
      <w:start w:val="1"/>
      <w:numFmt w:val="bullet"/>
      <w:lvlText w:val="o"/>
      <w:lvlJc w:val="left"/>
      <w:pPr>
        <w:ind w:left="2979" w:hanging="360"/>
      </w:pPr>
      <w:rPr>
        <w:rFonts w:ascii="Courier New" w:hAnsi="Courier New" w:cs="Courier New" w:hint="default"/>
      </w:rPr>
    </w:lvl>
    <w:lvl w:ilvl="5" w:tplc="04150005" w:tentative="1">
      <w:start w:val="1"/>
      <w:numFmt w:val="bullet"/>
      <w:lvlText w:val=""/>
      <w:lvlJc w:val="left"/>
      <w:pPr>
        <w:ind w:left="3699" w:hanging="360"/>
      </w:pPr>
      <w:rPr>
        <w:rFonts w:ascii="Wingdings" w:hAnsi="Wingdings" w:hint="default"/>
      </w:rPr>
    </w:lvl>
    <w:lvl w:ilvl="6" w:tplc="04150001" w:tentative="1">
      <w:start w:val="1"/>
      <w:numFmt w:val="bullet"/>
      <w:lvlText w:val=""/>
      <w:lvlJc w:val="left"/>
      <w:pPr>
        <w:ind w:left="4419" w:hanging="360"/>
      </w:pPr>
      <w:rPr>
        <w:rFonts w:ascii="Symbol" w:hAnsi="Symbol" w:hint="default"/>
      </w:rPr>
    </w:lvl>
    <w:lvl w:ilvl="7" w:tplc="04150003" w:tentative="1">
      <w:start w:val="1"/>
      <w:numFmt w:val="bullet"/>
      <w:lvlText w:val="o"/>
      <w:lvlJc w:val="left"/>
      <w:pPr>
        <w:ind w:left="5139" w:hanging="360"/>
      </w:pPr>
      <w:rPr>
        <w:rFonts w:ascii="Courier New" w:hAnsi="Courier New" w:cs="Courier New" w:hint="default"/>
      </w:rPr>
    </w:lvl>
    <w:lvl w:ilvl="8" w:tplc="04150005" w:tentative="1">
      <w:start w:val="1"/>
      <w:numFmt w:val="bullet"/>
      <w:lvlText w:val=""/>
      <w:lvlJc w:val="left"/>
      <w:pPr>
        <w:ind w:left="5859" w:hanging="360"/>
      </w:pPr>
      <w:rPr>
        <w:rFonts w:ascii="Wingdings" w:hAnsi="Wingdings" w:hint="default"/>
      </w:rPr>
    </w:lvl>
  </w:abstractNum>
  <w:abstractNum w:abstractNumId="39" w15:restartNumberingAfterBreak="0">
    <w:nsid w:val="3FFD0C91"/>
    <w:multiLevelType w:val="hybridMultilevel"/>
    <w:tmpl w:val="AA9C8F3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12C6888"/>
    <w:multiLevelType w:val="hybridMultilevel"/>
    <w:tmpl w:val="DAFC729A"/>
    <w:lvl w:ilvl="0" w:tplc="961A00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35275CB"/>
    <w:multiLevelType w:val="hybridMultilevel"/>
    <w:tmpl w:val="79B8ECA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3D4565E"/>
    <w:multiLevelType w:val="hybridMultilevel"/>
    <w:tmpl w:val="1FB861B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6E159AC"/>
    <w:multiLevelType w:val="hybridMultilevel"/>
    <w:tmpl w:val="BA08547C"/>
    <w:lvl w:ilvl="0" w:tplc="D3FCE27A">
      <w:start w:val="1"/>
      <w:numFmt w:val="bullet"/>
      <w:lvlText w:val=""/>
      <w:lvlJc w:val="left"/>
      <w:pPr>
        <w:ind w:left="720" w:hanging="360"/>
      </w:pPr>
      <w:rPr>
        <w:rFonts w:ascii="Wingdings" w:hAnsi="Wingdings" w:hint="default"/>
        <w:color w:val="auto"/>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7A01435"/>
    <w:multiLevelType w:val="hybridMultilevel"/>
    <w:tmpl w:val="E794B50E"/>
    <w:lvl w:ilvl="0" w:tplc="E5F0BCB6">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7F53D28"/>
    <w:multiLevelType w:val="hybridMultilevel"/>
    <w:tmpl w:val="C1D823FA"/>
    <w:lvl w:ilvl="0" w:tplc="8C2E3A0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 w15:restartNumberingAfterBreak="0">
    <w:nsid w:val="49796940"/>
    <w:multiLevelType w:val="hybridMultilevel"/>
    <w:tmpl w:val="2718111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9BE30B5"/>
    <w:multiLevelType w:val="hybridMultilevel"/>
    <w:tmpl w:val="8F9489A8"/>
    <w:lvl w:ilvl="0" w:tplc="D3FCE27A">
      <w:start w:val="1"/>
      <w:numFmt w:val="bullet"/>
      <w:lvlText w:val=""/>
      <w:lvlJc w:val="left"/>
      <w:pPr>
        <w:tabs>
          <w:tab w:val="num" w:pos="1080"/>
        </w:tabs>
        <w:ind w:left="1080" w:hanging="360"/>
      </w:pPr>
      <w:rPr>
        <w:rFonts w:ascii="Wingdings" w:hAnsi="Wingdings" w:hint="default"/>
        <w:color w:val="auto"/>
        <w:sz w:val="20"/>
        <w:szCs w:val="20"/>
      </w:rPr>
    </w:lvl>
    <w:lvl w:ilvl="1" w:tplc="961A0018">
      <w:start w:val="1"/>
      <w:numFmt w:val="bullet"/>
      <w:lvlText w:val=""/>
      <w:lvlJc w:val="left"/>
      <w:pPr>
        <w:tabs>
          <w:tab w:val="num" w:pos="1440"/>
        </w:tabs>
        <w:ind w:left="1440" w:hanging="360"/>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A7D5AB1"/>
    <w:multiLevelType w:val="hybridMultilevel"/>
    <w:tmpl w:val="F34AFCEC"/>
    <w:lvl w:ilvl="0" w:tplc="E92CF946">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AB8363B"/>
    <w:multiLevelType w:val="hybridMultilevel"/>
    <w:tmpl w:val="5982305C"/>
    <w:lvl w:ilvl="0" w:tplc="D3FCE27A">
      <w:start w:val="1"/>
      <w:numFmt w:val="bullet"/>
      <w:lvlText w:val=""/>
      <w:lvlJc w:val="left"/>
      <w:pPr>
        <w:tabs>
          <w:tab w:val="num" w:pos="1080"/>
        </w:tabs>
        <w:ind w:left="1080" w:hanging="360"/>
      </w:pPr>
      <w:rPr>
        <w:rFonts w:ascii="Wingdings" w:hAnsi="Wingdings" w:hint="default"/>
        <w:color w:val="auto"/>
      </w:rPr>
    </w:lvl>
    <w:lvl w:ilvl="1" w:tplc="04150003" w:tentative="1">
      <w:start w:val="1"/>
      <w:numFmt w:val="bullet"/>
      <w:lvlText w:val="o"/>
      <w:lvlJc w:val="left"/>
      <w:pPr>
        <w:ind w:left="1870" w:hanging="360"/>
      </w:pPr>
      <w:rPr>
        <w:rFonts w:ascii="Courier New" w:hAnsi="Courier New" w:cs="Courier New" w:hint="default"/>
      </w:rPr>
    </w:lvl>
    <w:lvl w:ilvl="2" w:tplc="04150005" w:tentative="1">
      <w:start w:val="1"/>
      <w:numFmt w:val="bullet"/>
      <w:lvlText w:val=""/>
      <w:lvlJc w:val="left"/>
      <w:pPr>
        <w:ind w:left="2590" w:hanging="360"/>
      </w:pPr>
      <w:rPr>
        <w:rFonts w:ascii="Wingdings" w:hAnsi="Wingdings" w:hint="default"/>
      </w:rPr>
    </w:lvl>
    <w:lvl w:ilvl="3" w:tplc="04150001" w:tentative="1">
      <w:start w:val="1"/>
      <w:numFmt w:val="bullet"/>
      <w:lvlText w:val=""/>
      <w:lvlJc w:val="left"/>
      <w:pPr>
        <w:ind w:left="3310" w:hanging="360"/>
      </w:pPr>
      <w:rPr>
        <w:rFonts w:ascii="Symbol" w:hAnsi="Symbol" w:hint="default"/>
      </w:rPr>
    </w:lvl>
    <w:lvl w:ilvl="4" w:tplc="04150003" w:tentative="1">
      <w:start w:val="1"/>
      <w:numFmt w:val="bullet"/>
      <w:lvlText w:val="o"/>
      <w:lvlJc w:val="left"/>
      <w:pPr>
        <w:ind w:left="4030" w:hanging="360"/>
      </w:pPr>
      <w:rPr>
        <w:rFonts w:ascii="Courier New" w:hAnsi="Courier New" w:cs="Courier New" w:hint="default"/>
      </w:rPr>
    </w:lvl>
    <w:lvl w:ilvl="5" w:tplc="04150005" w:tentative="1">
      <w:start w:val="1"/>
      <w:numFmt w:val="bullet"/>
      <w:lvlText w:val=""/>
      <w:lvlJc w:val="left"/>
      <w:pPr>
        <w:ind w:left="4750" w:hanging="360"/>
      </w:pPr>
      <w:rPr>
        <w:rFonts w:ascii="Wingdings" w:hAnsi="Wingdings" w:hint="default"/>
      </w:rPr>
    </w:lvl>
    <w:lvl w:ilvl="6" w:tplc="04150001" w:tentative="1">
      <w:start w:val="1"/>
      <w:numFmt w:val="bullet"/>
      <w:lvlText w:val=""/>
      <w:lvlJc w:val="left"/>
      <w:pPr>
        <w:ind w:left="5470" w:hanging="360"/>
      </w:pPr>
      <w:rPr>
        <w:rFonts w:ascii="Symbol" w:hAnsi="Symbol" w:hint="default"/>
      </w:rPr>
    </w:lvl>
    <w:lvl w:ilvl="7" w:tplc="04150003" w:tentative="1">
      <w:start w:val="1"/>
      <w:numFmt w:val="bullet"/>
      <w:lvlText w:val="o"/>
      <w:lvlJc w:val="left"/>
      <w:pPr>
        <w:ind w:left="6190" w:hanging="360"/>
      </w:pPr>
      <w:rPr>
        <w:rFonts w:ascii="Courier New" w:hAnsi="Courier New" w:cs="Courier New" w:hint="default"/>
      </w:rPr>
    </w:lvl>
    <w:lvl w:ilvl="8" w:tplc="04150005" w:tentative="1">
      <w:start w:val="1"/>
      <w:numFmt w:val="bullet"/>
      <w:lvlText w:val=""/>
      <w:lvlJc w:val="left"/>
      <w:pPr>
        <w:ind w:left="6910" w:hanging="360"/>
      </w:pPr>
      <w:rPr>
        <w:rFonts w:ascii="Wingdings" w:hAnsi="Wingdings" w:hint="default"/>
      </w:rPr>
    </w:lvl>
  </w:abstractNum>
  <w:abstractNum w:abstractNumId="50" w15:restartNumberingAfterBreak="0">
    <w:nsid w:val="4B7635EB"/>
    <w:multiLevelType w:val="hybridMultilevel"/>
    <w:tmpl w:val="4DD0B28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C4E11DA"/>
    <w:multiLevelType w:val="hybridMultilevel"/>
    <w:tmpl w:val="0646F300"/>
    <w:lvl w:ilvl="0" w:tplc="818EC2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E3466EA"/>
    <w:multiLevelType w:val="hybridMultilevel"/>
    <w:tmpl w:val="D862C206"/>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3" w15:restartNumberingAfterBreak="0">
    <w:nsid w:val="508E1845"/>
    <w:multiLevelType w:val="hybridMultilevel"/>
    <w:tmpl w:val="7E446A7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0DA0FE1"/>
    <w:multiLevelType w:val="hybridMultilevel"/>
    <w:tmpl w:val="D0CE15C2"/>
    <w:lvl w:ilvl="0" w:tplc="961A001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5" w15:restartNumberingAfterBreak="0">
    <w:nsid w:val="510D16DB"/>
    <w:multiLevelType w:val="hybridMultilevel"/>
    <w:tmpl w:val="E6060E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1F73CD8"/>
    <w:multiLevelType w:val="hybridMultilevel"/>
    <w:tmpl w:val="F5D6D4B0"/>
    <w:lvl w:ilvl="0" w:tplc="961A0018">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57" w15:restartNumberingAfterBreak="0">
    <w:nsid w:val="54352E8B"/>
    <w:multiLevelType w:val="hybridMultilevel"/>
    <w:tmpl w:val="A5C057C4"/>
    <w:lvl w:ilvl="0" w:tplc="D3FCE27A">
      <w:start w:val="1"/>
      <w:numFmt w:val="bullet"/>
      <w:lvlText w:val=""/>
      <w:lvlJc w:val="left"/>
      <w:pPr>
        <w:tabs>
          <w:tab w:val="num" w:pos="1620"/>
        </w:tabs>
        <w:ind w:left="1620" w:hanging="360"/>
      </w:pPr>
      <w:rPr>
        <w:rFonts w:ascii="Wingdings" w:hAnsi="Wingdings" w:hint="default"/>
        <w:color w:val="auto"/>
      </w:rPr>
    </w:lvl>
    <w:lvl w:ilvl="1" w:tplc="04150003" w:tentative="1">
      <w:start w:val="1"/>
      <w:numFmt w:val="bullet"/>
      <w:lvlText w:val="o"/>
      <w:lvlJc w:val="left"/>
      <w:pPr>
        <w:ind w:left="1664" w:hanging="360"/>
      </w:pPr>
      <w:rPr>
        <w:rFonts w:ascii="Courier New" w:hAnsi="Courier New" w:cs="Courier New" w:hint="default"/>
      </w:rPr>
    </w:lvl>
    <w:lvl w:ilvl="2" w:tplc="04150005" w:tentative="1">
      <w:start w:val="1"/>
      <w:numFmt w:val="bullet"/>
      <w:lvlText w:val=""/>
      <w:lvlJc w:val="left"/>
      <w:pPr>
        <w:ind w:left="2384" w:hanging="360"/>
      </w:pPr>
      <w:rPr>
        <w:rFonts w:ascii="Wingdings" w:hAnsi="Wingdings" w:hint="default"/>
      </w:rPr>
    </w:lvl>
    <w:lvl w:ilvl="3" w:tplc="04150001" w:tentative="1">
      <w:start w:val="1"/>
      <w:numFmt w:val="bullet"/>
      <w:lvlText w:val=""/>
      <w:lvlJc w:val="left"/>
      <w:pPr>
        <w:ind w:left="3104" w:hanging="360"/>
      </w:pPr>
      <w:rPr>
        <w:rFonts w:ascii="Symbol" w:hAnsi="Symbol" w:hint="default"/>
      </w:rPr>
    </w:lvl>
    <w:lvl w:ilvl="4" w:tplc="04150003" w:tentative="1">
      <w:start w:val="1"/>
      <w:numFmt w:val="bullet"/>
      <w:lvlText w:val="o"/>
      <w:lvlJc w:val="left"/>
      <w:pPr>
        <w:ind w:left="3824" w:hanging="360"/>
      </w:pPr>
      <w:rPr>
        <w:rFonts w:ascii="Courier New" w:hAnsi="Courier New" w:cs="Courier New" w:hint="default"/>
      </w:rPr>
    </w:lvl>
    <w:lvl w:ilvl="5" w:tplc="04150005" w:tentative="1">
      <w:start w:val="1"/>
      <w:numFmt w:val="bullet"/>
      <w:lvlText w:val=""/>
      <w:lvlJc w:val="left"/>
      <w:pPr>
        <w:ind w:left="4544" w:hanging="360"/>
      </w:pPr>
      <w:rPr>
        <w:rFonts w:ascii="Wingdings" w:hAnsi="Wingdings" w:hint="default"/>
      </w:rPr>
    </w:lvl>
    <w:lvl w:ilvl="6" w:tplc="04150001" w:tentative="1">
      <w:start w:val="1"/>
      <w:numFmt w:val="bullet"/>
      <w:lvlText w:val=""/>
      <w:lvlJc w:val="left"/>
      <w:pPr>
        <w:ind w:left="5264" w:hanging="360"/>
      </w:pPr>
      <w:rPr>
        <w:rFonts w:ascii="Symbol" w:hAnsi="Symbol" w:hint="default"/>
      </w:rPr>
    </w:lvl>
    <w:lvl w:ilvl="7" w:tplc="04150003" w:tentative="1">
      <w:start w:val="1"/>
      <w:numFmt w:val="bullet"/>
      <w:lvlText w:val="o"/>
      <w:lvlJc w:val="left"/>
      <w:pPr>
        <w:ind w:left="5984" w:hanging="360"/>
      </w:pPr>
      <w:rPr>
        <w:rFonts w:ascii="Courier New" w:hAnsi="Courier New" w:cs="Courier New" w:hint="default"/>
      </w:rPr>
    </w:lvl>
    <w:lvl w:ilvl="8" w:tplc="04150005" w:tentative="1">
      <w:start w:val="1"/>
      <w:numFmt w:val="bullet"/>
      <w:lvlText w:val=""/>
      <w:lvlJc w:val="left"/>
      <w:pPr>
        <w:ind w:left="6704" w:hanging="360"/>
      </w:pPr>
      <w:rPr>
        <w:rFonts w:ascii="Wingdings" w:hAnsi="Wingdings" w:hint="default"/>
      </w:rPr>
    </w:lvl>
  </w:abstractNum>
  <w:abstractNum w:abstractNumId="58" w15:restartNumberingAfterBreak="0">
    <w:nsid w:val="554E68AE"/>
    <w:multiLevelType w:val="hybridMultilevel"/>
    <w:tmpl w:val="74685E9C"/>
    <w:lvl w:ilvl="0" w:tplc="961A00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78A15D5"/>
    <w:multiLevelType w:val="hybridMultilevel"/>
    <w:tmpl w:val="698A383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A5F4A5E"/>
    <w:multiLevelType w:val="hybridMultilevel"/>
    <w:tmpl w:val="92100668"/>
    <w:lvl w:ilvl="0" w:tplc="FFFFFFFF">
      <w:start w:val="1"/>
      <w:numFmt w:val="decimal"/>
      <w:lvlText w:val="%1."/>
      <w:lvlJc w:val="left"/>
      <w:pPr>
        <w:ind w:left="360" w:hanging="360"/>
      </w:pPr>
      <w:rPr>
        <w:rFonts w:hint="default"/>
      </w:rPr>
    </w:lvl>
    <w:lvl w:ilvl="1" w:tplc="04150011">
      <w:start w:val="1"/>
      <w:numFmt w:val="decimal"/>
      <w:lvlText w:val="%2)"/>
      <w:lvlJc w:val="left"/>
      <w:pPr>
        <w:ind w:left="644"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5B132AA3"/>
    <w:multiLevelType w:val="hybridMultilevel"/>
    <w:tmpl w:val="F73685E0"/>
    <w:lvl w:ilvl="0" w:tplc="961A00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19423F1"/>
    <w:multiLevelType w:val="hybridMultilevel"/>
    <w:tmpl w:val="32FA2B7E"/>
    <w:lvl w:ilvl="0" w:tplc="0415000F">
      <w:start w:val="1"/>
      <w:numFmt w:val="decimal"/>
      <w:lvlText w:val="%1."/>
      <w:lvlJc w:val="left"/>
      <w:pPr>
        <w:ind w:left="0" w:hanging="360"/>
      </w:p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63" w15:restartNumberingAfterBreak="0">
    <w:nsid w:val="6A1A37B1"/>
    <w:multiLevelType w:val="hybridMultilevel"/>
    <w:tmpl w:val="6CDEF6D0"/>
    <w:lvl w:ilvl="0" w:tplc="961A00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DCB4D1C"/>
    <w:multiLevelType w:val="hybridMultilevel"/>
    <w:tmpl w:val="E3167540"/>
    <w:lvl w:ilvl="0" w:tplc="961A0018">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65" w15:restartNumberingAfterBreak="0">
    <w:nsid w:val="6E4D586E"/>
    <w:multiLevelType w:val="hybridMultilevel"/>
    <w:tmpl w:val="771020D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20334CD"/>
    <w:multiLevelType w:val="hybridMultilevel"/>
    <w:tmpl w:val="B09CDF86"/>
    <w:lvl w:ilvl="0" w:tplc="C5BA2B9A">
      <w:start w:val="1"/>
      <w:numFmt w:val="bullet"/>
      <w:lvlText w:val=""/>
      <w:lvlJc w:val="left"/>
      <w:pPr>
        <w:tabs>
          <w:tab w:val="num" w:pos="720"/>
        </w:tabs>
        <w:ind w:left="720" w:hanging="360"/>
      </w:pPr>
      <w:rPr>
        <w:rFonts w:ascii="Wingdings" w:hAnsi="Wingdings" w:hint="default"/>
      </w:rPr>
    </w:lvl>
    <w:lvl w:ilvl="1" w:tplc="1C32FF18">
      <w:start w:val="1"/>
      <w:numFmt w:val="bullet"/>
      <w:lvlText w:val=""/>
      <w:lvlJc w:val="left"/>
      <w:pPr>
        <w:tabs>
          <w:tab w:val="num" w:pos="1440"/>
        </w:tabs>
        <w:ind w:left="1440" w:hanging="360"/>
      </w:pPr>
      <w:rPr>
        <w:rFonts w:ascii="Wingdings" w:hAnsi="Wingdings" w:hint="default"/>
      </w:rPr>
    </w:lvl>
    <w:lvl w:ilvl="2" w:tplc="CE1A5228">
      <w:start w:val="1"/>
      <w:numFmt w:val="bullet"/>
      <w:lvlText w:val=""/>
      <w:lvlJc w:val="left"/>
      <w:pPr>
        <w:tabs>
          <w:tab w:val="num" w:pos="2160"/>
        </w:tabs>
        <w:ind w:left="2160" w:hanging="360"/>
      </w:pPr>
      <w:rPr>
        <w:rFonts w:ascii="Wingdings" w:hAnsi="Wingdings" w:hint="default"/>
      </w:rPr>
    </w:lvl>
    <w:lvl w:ilvl="3" w:tplc="53AA26CA">
      <w:start w:val="1"/>
      <w:numFmt w:val="bullet"/>
      <w:lvlText w:val=""/>
      <w:lvlJc w:val="left"/>
      <w:pPr>
        <w:tabs>
          <w:tab w:val="num" w:pos="2880"/>
        </w:tabs>
        <w:ind w:left="2880" w:hanging="360"/>
      </w:pPr>
      <w:rPr>
        <w:rFonts w:ascii="Wingdings" w:hAnsi="Wingdings" w:hint="default"/>
      </w:rPr>
    </w:lvl>
    <w:lvl w:ilvl="4" w:tplc="7FB277B4">
      <w:start w:val="1"/>
      <w:numFmt w:val="bullet"/>
      <w:lvlText w:val=""/>
      <w:lvlJc w:val="left"/>
      <w:pPr>
        <w:tabs>
          <w:tab w:val="num" w:pos="3600"/>
        </w:tabs>
        <w:ind w:left="3600" w:hanging="360"/>
      </w:pPr>
      <w:rPr>
        <w:rFonts w:ascii="Wingdings" w:hAnsi="Wingdings" w:hint="default"/>
      </w:rPr>
    </w:lvl>
    <w:lvl w:ilvl="5" w:tplc="A3822E7C">
      <w:start w:val="1"/>
      <w:numFmt w:val="bullet"/>
      <w:lvlText w:val=""/>
      <w:lvlJc w:val="left"/>
      <w:pPr>
        <w:tabs>
          <w:tab w:val="num" w:pos="4320"/>
        </w:tabs>
        <w:ind w:left="4320" w:hanging="360"/>
      </w:pPr>
      <w:rPr>
        <w:rFonts w:ascii="Wingdings" w:hAnsi="Wingdings" w:hint="default"/>
      </w:rPr>
    </w:lvl>
    <w:lvl w:ilvl="6" w:tplc="C2082D10">
      <w:start w:val="1"/>
      <w:numFmt w:val="bullet"/>
      <w:lvlText w:val=""/>
      <w:lvlJc w:val="left"/>
      <w:pPr>
        <w:tabs>
          <w:tab w:val="num" w:pos="5040"/>
        </w:tabs>
        <w:ind w:left="5040" w:hanging="360"/>
      </w:pPr>
      <w:rPr>
        <w:rFonts w:ascii="Wingdings" w:hAnsi="Wingdings" w:hint="default"/>
      </w:rPr>
    </w:lvl>
    <w:lvl w:ilvl="7" w:tplc="15F80D72">
      <w:start w:val="1"/>
      <w:numFmt w:val="bullet"/>
      <w:lvlText w:val=""/>
      <w:lvlJc w:val="left"/>
      <w:pPr>
        <w:tabs>
          <w:tab w:val="num" w:pos="5760"/>
        </w:tabs>
        <w:ind w:left="5760" w:hanging="360"/>
      </w:pPr>
      <w:rPr>
        <w:rFonts w:ascii="Wingdings" w:hAnsi="Wingdings" w:hint="default"/>
      </w:rPr>
    </w:lvl>
    <w:lvl w:ilvl="8" w:tplc="19B22018">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54763BC"/>
    <w:multiLevelType w:val="hybridMultilevel"/>
    <w:tmpl w:val="F6EEC81E"/>
    <w:lvl w:ilvl="0" w:tplc="E92CF946">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9CD0341"/>
    <w:multiLevelType w:val="hybridMultilevel"/>
    <w:tmpl w:val="2AD0C632"/>
    <w:lvl w:ilvl="0" w:tplc="04150005">
      <w:start w:val="1"/>
      <w:numFmt w:val="bullet"/>
      <w:lvlText w:val=""/>
      <w:lvlJc w:val="left"/>
      <w:pPr>
        <w:ind w:left="1260" w:hanging="360"/>
      </w:pPr>
      <w:rPr>
        <w:rFonts w:ascii="Wingdings" w:hAnsi="Wingdings"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69" w15:restartNumberingAfterBreak="0">
    <w:nsid w:val="79F44B87"/>
    <w:multiLevelType w:val="hybridMultilevel"/>
    <w:tmpl w:val="72129DEE"/>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BE731DE"/>
    <w:multiLevelType w:val="hybridMultilevel"/>
    <w:tmpl w:val="7ECA85F4"/>
    <w:lvl w:ilvl="0" w:tplc="D3FCE27A">
      <w:start w:val="1"/>
      <w:numFmt w:val="bullet"/>
      <w:lvlText w:val=""/>
      <w:lvlJc w:val="left"/>
      <w:pPr>
        <w:tabs>
          <w:tab w:val="num" w:pos="1080"/>
        </w:tabs>
        <w:ind w:left="1080" w:hanging="360"/>
      </w:pPr>
      <w:rPr>
        <w:rFonts w:ascii="Wingdings" w:hAnsi="Wingdings"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D7C4B2B"/>
    <w:multiLevelType w:val="hybridMultilevel"/>
    <w:tmpl w:val="E4E2731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E820EB0"/>
    <w:multiLevelType w:val="hybridMultilevel"/>
    <w:tmpl w:val="141E21E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FB17E4B"/>
    <w:multiLevelType w:val="hybridMultilevel"/>
    <w:tmpl w:val="C57486E0"/>
    <w:lvl w:ilvl="0" w:tplc="D3FCE27A">
      <w:start w:val="1"/>
      <w:numFmt w:val="bullet"/>
      <w:lvlText w:val=""/>
      <w:lvlJc w:val="left"/>
      <w:pPr>
        <w:tabs>
          <w:tab w:val="num" w:pos="1080"/>
        </w:tabs>
        <w:ind w:left="1080" w:hanging="360"/>
      </w:pPr>
      <w:rPr>
        <w:rFonts w:ascii="Wingdings" w:hAnsi="Wingdings" w:hint="default"/>
        <w:color w:val="auto"/>
        <w:sz w:val="20"/>
        <w:szCs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57"/>
  </w:num>
  <w:num w:numId="3">
    <w:abstractNumId w:val="49"/>
  </w:num>
  <w:num w:numId="4">
    <w:abstractNumId w:val="6"/>
  </w:num>
  <w:num w:numId="5">
    <w:abstractNumId w:val="70"/>
  </w:num>
  <w:num w:numId="6">
    <w:abstractNumId w:val="35"/>
  </w:num>
  <w:num w:numId="7">
    <w:abstractNumId w:val="4"/>
  </w:num>
  <w:num w:numId="8">
    <w:abstractNumId w:val="73"/>
  </w:num>
  <w:num w:numId="9">
    <w:abstractNumId w:val="19"/>
  </w:num>
  <w:num w:numId="10">
    <w:abstractNumId w:val="16"/>
  </w:num>
  <w:num w:numId="11">
    <w:abstractNumId w:val="68"/>
  </w:num>
  <w:num w:numId="12">
    <w:abstractNumId w:val="39"/>
  </w:num>
  <w:num w:numId="13">
    <w:abstractNumId w:val="18"/>
  </w:num>
  <w:num w:numId="14">
    <w:abstractNumId w:val="71"/>
  </w:num>
  <w:num w:numId="15">
    <w:abstractNumId w:val="61"/>
  </w:num>
  <w:num w:numId="16">
    <w:abstractNumId w:val="42"/>
  </w:num>
  <w:num w:numId="17">
    <w:abstractNumId w:val="30"/>
  </w:num>
  <w:num w:numId="18">
    <w:abstractNumId w:val="31"/>
  </w:num>
  <w:num w:numId="19">
    <w:abstractNumId w:val="56"/>
  </w:num>
  <w:num w:numId="20">
    <w:abstractNumId w:val="64"/>
  </w:num>
  <w:num w:numId="21">
    <w:abstractNumId w:val="55"/>
  </w:num>
  <w:num w:numId="22">
    <w:abstractNumId w:val="34"/>
  </w:num>
  <w:num w:numId="23">
    <w:abstractNumId w:val="63"/>
  </w:num>
  <w:num w:numId="24">
    <w:abstractNumId w:val="47"/>
  </w:num>
  <w:num w:numId="25">
    <w:abstractNumId w:val="26"/>
  </w:num>
  <w:num w:numId="26">
    <w:abstractNumId w:val="12"/>
  </w:num>
  <w:num w:numId="27">
    <w:abstractNumId w:val="27"/>
  </w:num>
  <w:num w:numId="28">
    <w:abstractNumId w:val="43"/>
  </w:num>
  <w:num w:numId="29">
    <w:abstractNumId w:val="66"/>
  </w:num>
  <w:num w:numId="30">
    <w:abstractNumId w:val="36"/>
  </w:num>
  <w:num w:numId="31">
    <w:abstractNumId w:val="32"/>
  </w:num>
  <w:num w:numId="32">
    <w:abstractNumId w:val="40"/>
  </w:num>
  <w:num w:numId="33">
    <w:abstractNumId w:val="54"/>
  </w:num>
  <w:num w:numId="34">
    <w:abstractNumId w:val="25"/>
  </w:num>
  <w:num w:numId="35">
    <w:abstractNumId w:val="53"/>
  </w:num>
  <w:num w:numId="36">
    <w:abstractNumId w:val="69"/>
  </w:num>
  <w:num w:numId="37">
    <w:abstractNumId w:val="11"/>
  </w:num>
  <w:num w:numId="38">
    <w:abstractNumId w:val="0"/>
  </w:num>
  <w:num w:numId="39">
    <w:abstractNumId w:val="29"/>
  </w:num>
  <w:num w:numId="40">
    <w:abstractNumId w:val="23"/>
  </w:num>
  <w:num w:numId="41">
    <w:abstractNumId w:val="62"/>
  </w:num>
  <w:num w:numId="42">
    <w:abstractNumId w:val="28"/>
  </w:num>
  <w:num w:numId="43">
    <w:abstractNumId w:val="15"/>
  </w:num>
  <w:num w:numId="44">
    <w:abstractNumId w:val="5"/>
  </w:num>
  <w:num w:numId="45">
    <w:abstractNumId w:val="10"/>
  </w:num>
  <w:num w:numId="46">
    <w:abstractNumId w:val="65"/>
  </w:num>
  <w:num w:numId="47">
    <w:abstractNumId w:val="59"/>
  </w:num>
  <w:num w:numId="48">
    <w:abstractNumId w:val="7"/>
  </w:num>
  <w:num w:numId="49">
    <w:abstractNumId w:val="38"/>
  </w:num>
  <w:num w:numId="50">
    <w:abstractNumId w:val="3"/>
  </w:num>
  <w:num w:numId="51">
    <w:abstractNumId w:val="21"/>
  </w:num>
  <w:num w:numId="52">
    <w:abstractNumId w:val="46"/>
  </w:num>
  <w:num w:numId="53">
    <w:abstractNumId w:val="22"/>
  </w:num>
  <w:num w:numId="54">
    <w:abstractNumId w:val="20"/>
  </w:num>
  <w:num w:numId="55">
    <w:abstractNumId w:val="50"/>
  </w:num>
  <w:num w:numId="56">
    <w:abstractNumId w:val="52"/>
  </w:num>
  <w:num w:numId="57">
    <w:abstractNumId w:val="17"/>
  </w:num>
  <w:num w:numId="58">
    <w:abstractNumId w:val="41"/>
  </w:num>
  <w:num w:numId="59">
    <w:abstractNumId w:val="13"/>
  </w:num>
  <w:num w:numId="60">
    <w:abstractNumId w:val="2"/>
  </w:num>
  <w:num w:numId="61">
    <w:abstractNumId w:val="60"/>
  </w:num>
  <w:num w:numId="62">
    <w:abstractNumId w:val="48"/>
  </w:num>
  <w:num w:numId="63">
    <w:abstractNumId w:val="67"/>
  </w:num>
  <w:num w:numId="64">
    <w:abstractNumId w:val="24"/>
  </w:num>
  <w:num w:numId="65">
    <w:abstractNumId w:val="45"/>
  </w:num>
  <w:num w:numId="66">
    <w:abstractNumId w:val="58"/>
  </w:num>
  <w:num w:numId="67">
    <w:abstractNumId w:val="33"/>
  </w:num>
  <w:num w:numId="68">
    <w:abstractNumId w:val="51"/>
  </w:num>
  <w:num w:numId="69">
    <w:abstractNumId w:val="1"/>
  </w:num>
  <w:num w:numId="70">
    <w:abstractNumId w:val="44"/>
  </w:num>
  <w:num w:numId="71">
    <w:abstractNumId w:val="37"/>
  </w:num>
  <w:num w:numId="72">
    <w:abstractNumId w:val="72"/>
  </w:num>
  <w:num w:numId="73">
    <w:abstractNumId w:val="14"/>
  </w:num>
  <w:num w:numId="74">
    <w:abstractNumId w:val="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C03"/>
    <w:rsid w:val="0000236A"/>
    <w:rsid w:val="00002ADD"/>
    <w:rsid w:val="00004435"/>
    <w:rsid w:val="000047D3"/>
    <w:rsid w:val="000048B7"/>
    <w:rsid w:val="0000494C"/>
    <w:rsid w:val="000053E6"/>
    <w:rsid w:val="000057CA"/>
    <w:rsid w:val="00006828"/>
    <w:rsid w:val="00006CB7"/>
    <w:rsid w:val="000101B8"/>
    <w:rsid w:val="0001433E"/>
    <w:rsid w:val="000148E7"/>
    <w:rsid w:val="00016029"/>
    <w:rsid w:val="00017121"/>
    <w:rsid w:val="00024DB2"/>
    <w:rsid w:val="00030318"/>
    <w:rsid w:val="000316BB"/>
    <w:rsid w:val="00031D05"/>
    <w:rsid w:val="000324DC"/>
    <w:rsid w:val="00032C9C"/>
    <w:rsid w:val="00032FFB"/>
    <w:rsid w:val="000335CD"/>
    <w:rsid w:val="000345E4"/>
    <w:rsid w:val="000347CA"/>
    <w:rsid w:val="00034AB5"/>
    <w:rsid w:val="000354C8"/>
    <w:rsid w:val="00036CCF"/>
    <w:rsid w:val="00040AC7"/>
    <w:rsid w:val="00040E52"/>
    <w:rsid w:val="00041FA5"/>
    <w:rsid w:val="00042BDC"/>
    <w:rsid w:val="00042F87"/>
    <w:rsid w:val="00044506"/>
    <w:rsid w:val="000455FC"/>
    <w:rsid w:val="00046151"/>
    <w:rsid w:val="000509F4"/>
    <w:rsid w:val="00050E4D"/>
    <w:rsid w:val="00050E7B"/>
    <w:rsid w:val="000565FC"/>
    <w:rsid w:val="00056C53"/>
    <w:rsid w:val="000573FA"/>
    <w:rsid w:val="00057881"/>
    <w:rsid w:val="00060D16"/>
    <w:rsid w:val="00063333"/>
    <w:rsid w:val="000676D3"/>
    <w:rsid w:val="0007016D"/>
    <w:rsid w:val="00071463"/>
    <w:rsid w:val="00077572"/>
    <w:rsid w:val="00077DBC"/>
    <w:rsid w:val="000830B5"/>
    <w:rsid w:val="00084D35"/>
    <w:rsid w:val="00085913"/>
    <w:rsid w:val="00085BC2"/>
    <w:rsid w:val="00086A4F"/>
    <w:rsid w:val="0009055D"/>
    <w:rsid w:val="00090DAC"/>
    <w:rsid w:val="00090F17"/>
    <w:rsid w:val="000940C5"/>
    <w:rsid w:val="00094200"/>
    <w:rsid w:val="00094F31"/>
    <w:rsid w:val="000956C5"/>
    <w:rsid w:val="0009618A"/>
    <w:rsid w:val="00097D9C"/>
    <w:rsid w:val="00097E9A"/>
    <w:rsid w:val="000A0228"/>
    <w:rsid w:val="000A0AB3"/>
    <w:rsid w:val="000A4F3B"/>
    <w:rsid w:val="000A532B"/>
    <w:rsid w:val="000A55F5"/>
    <w:rsid w:val="000A58E2"/>
    <w:rsid w:val="000A5DBD"/>
    <w:rsid w:val="000A72F2"/>
    <w:rsid w:val="000A7817"/>
    <w:rsid w:val="000B051D"/>
    <w:rsid w:val="000B0769"/>
    <w:rsid w:val="000B0934"/>
    <w:rsid w:val="000B1296"/>
    <w:rsid w:val="000B18BA"/>
    <w:rsid w:val="000B2CBB"/>
    <w:rsid w:val="000B3A85"/>
    <w:rsid w:val="000B4488"/>
    <w:rsid w:val="000B77D5"/>
    <w:rsid w:val="000C1B05"/>
    <w:rsid w:val="000C2DEF"/>
    <w:rsid w:val="000C35B9"/>
    <w:rsid w:val="000C41B4"/>
    <w:rsid w:val="000C69B3"/>
    <w:rsid w:val="000D0DE4"/>
    <w:rsid w:val="000D1CFB"/>
    <w:rsid w:val="000D2387"/>
    <w:rsid w:val="000D23E0"/>
    <w:rsid w:val="000D3100"/>
    <w:rsid w:val="000D5396"/>
    <w:rsid w:val="000D55A2"/>
    <w:rsid w:val="000D59DE"/>
    <w:rsid w:val="000D69CE"/>
    <w:rsid w:val="000E0EBD"/>
    <w:rsid w:val="000E1B9C"/>
    <w:rsid w:val="000E26D0"/>
    <w:rsid w:val="000E3B46"/>
    <w:rsid w:val="000E4433"/>
    <w:rsid w:val="000E4CDB"/>
    <w:rsid w:val="000E52DA"/>
    <w:rsid w:val="000E55BD"/>
    <w:rsid w:val="000E57BD"/>
    <w:rsid w:val="000E5AB3"/>
    <w:rsid w:val="000F1464"/>
    <w:rsid w:val="000F34D6"/>
    <w:rsid w:val="000F3842"/>
    <w:rsid w:val="000F4E81"/>
    <w:rsid w:val="000F60A0"/>
    <w:rsid w:val="000F6D28"/>
    <w:rsid w:val="000F791C"/>
    <w:rsid w:val="00100DE3"/>
    <w:rsid w:val="00102ED1"/>
    <w:rsid w:val="00103413"/>
    <w:rsid w:val="00103A9A"/>
    <w:rsid w:val="001042B4"/>
    <w:rsid w:val="001052B2"/>
    <w:rsid w:val="00105E23"/>
    <w:rsid w:val="00106F76"/>
    <w:rsid w:val="001079E1"/>
    <w:rsid w:val="001112C6"/>
    <w:rsid w:val="00112004"/>
    <w:rsid w:val="0011320C"/>
    <w:rsid w:val="00113502"/>
    <w:rsid w:val="0011429E"/>
    <w:rsid w:val="001148A5"/>
    <w:rsid w:val="00116496"/>
    <w:rsid w:val="0011687A"/>
    <w:rsid w:val="0011747F"/>
    <w:rsid w:val="00120575"/>
    <w:rsid w:val="00121522"/>
    <w:rsid w:val="00122ADD"/>
    <w:rsid w:val="0012306B"/>
    <w:rsid w:val="00125300"/>
    <w:rsid w:val="00127C28"/>
    <w:rsid w:val="00130B11"/>
    <w:rsid w:val="00131541"/>
    <w:rsid w:val="001318C5"/>
    <w:rsid w:val="00132179"/>
    <w:rsid w:val="00132606"/>
    <w:rsid w:val="00132D23"/>
    <w:rsid w:val="00132F52"/>
    <w:rsid w:val="00134E82"/>
    <w:rsid w:val="0013756E"/>
    <w:rsid w:val="0014148B"/>
    <w:rsid w:val="0014212D"/>
    <w:rsid w:val="00142694"/>
    <w:rsid w:val="00142F93"/>
    <w:rsid w:val="00143888"/>
    <w:rsid w:val="001441C6"/>
    <w:rsid w:val="001463BB"/>
    <w:rsid w:val="00147136"/>
    <w:rsid w:val="00147491"/>
    <w:rsid w:val="0015272C"/>
    <w:rsid w:val="00152D61"/>
    <w:rsid w:val="001536AC"/>
    <w:rsid w:val="00155853"/>
    <w:rsid w:val="00160E62"/>
    <w:rsid w:val="00160F59"/>
    <w:rsid w:val="00162450"/>
    <w:rsid w:val="00162587"/>
    <w:rsid w:val="00164936"/>
    <w:rsid w:val="001668DD"/>
    <w:rsid w:val="00166B92"/>
    <w:rsid w:val="001704C2"/>
    <w:rsid w:val="0017088A"/>
    <w:rsid w:val="001709C9"/>
    <w:rsid w:val="00170F64"/>
    <w:rsid w:val="001710F7"/>
    <w:rsid w:val="00171276"/>
    <w:rsid w:val="001714F4"/>
    <w:rsid w:val="0017157B"/>
    <w:rsid w:val="00171592"/>
    <w:rsid w:val="00171E30"/>
    <w:rsid w:val="00173298"/>
    <w:rsid w:val="0017446A"/>
    <w:rsid w:val="00175591"/>
    <w:rsid w:val="00176752"/>
    <w:rsid w:val="001802AA"/>
    <w:rsid w:val="001820E9"/>
    <w:rsid w:val="001903EF"/>
    <w:rsid w:val="0019186C"/>
    <w:rsid w:val="001922CE"/>
    <w:rsid w:val="0019378B"/>
    <w:rsid w:val="00193DA8"/>
    <w:rsid w:val="001948FD"/>
    <w:rsid w:val="00194B32"/>
    <w:rsid w:val="0019516C"/>
    <w:rsid w:val="001958D7"/>
    <w:rsid w:val="0019597A"/>
    <w:rsid w:val="00197FC4"/>
    <w:rsid w:val="001A046A"/>
    <w:rsid w:val="001A09F8"/>
    <w:rsid w:val="001A291D"/>
    <w:rsid w:val="001A378E"/>
    <w:rsid w:val="001A421B"/>
    <w:rsid w:val="001A4658"/>
    <w:rsid w:val="001A46DE"/>
    <w:rsid w:val="001A47C1"/>
    <w:rsid w:val="001A48C7"/>
    <w:rsid w:val="001A4C05"/>
    <w:rsid w:val="001A6789"/>
    <w:rsid w:val="001B0BFD"/>
    <w:rsid w:val="001B1018"/>
    <w:rsid w:val="001B1582"/>
    <w:rsid w:val="001B1AEC"/>
    <w:rsid w:val="001B47E1"/>
    <w:rsid w:val="001B50FC"/>
    <w:rsid w:val="001B5449"/>
    <w:rsid w:val="001B5E7F"/>
    <w:rsid w:val="001B5FEA"/>
    <w:rsid w:val="001B7E08"/>
    <w:rsid w:val="001C1C7E"/>
    <w:rsid w:val="001C210E"/>
    <w:rsid w:val="001C277C"/>
    <w:rsid w:val="001C33FF"/>
    <w:rsid w:val="001C4778"/>
    <w:rsid w:val="001C4A66"/>
    <w:rsid w:val="001C4C98"/>
    <w:rsid w:val="001C6274"/>
    <w:rsid w:val="001C754C"/>
    <w:rsid w:val="001C799C"/>
    <w:rsid w:val="001C7D0A"/>
    <w:rsid w:val="001D2A6D"/>
    <w:rsid w:val="001D2E37"/>
    <w:rsid w:val="001D31F7"/>
    <w:rsid w:val="001D3208"/>
    <w:rsid w:val="001D700A"/>
    <w:rsid w:val="001D7E91"/>
    <w:rsid w:val="001E35BA"/>
    <w:rsid w:val="001E4570"/>
    <w:rsid w:val="001E501C"/>
    <w:rsid w:val="001E5D36"/>
    <w:rsid w:val="001E6049"/>
    <w:rsid w:val="001E6A14"/>
    <w:rsid w:val="001F397D"/>
    <w:rsid w:val="001F4996"/>
    <w:rsid w:val="001F539E"/>
    <w:rsid w:val="001F5B14"/>
    <w:rsid w:val="001F5B98"/>
    <w:rsid w:val="0020020C"/>
    <w:rsid w:val="00202AA3"/>
    <w:rsid w:val="002033B6"/>
    <w:rsid w:val="002040AD"/>
    <w:rsid w:val="0020410A"/>
    <w:rsid w:val="00205640"/>
    <w:rsid w:val="00205B69"/>
    <w:rsid w:val="00206C0A"/>
    <w:rsid w:val="00211270"/>
    <w:rsid w:val="00211526"/>
    <w:rsid w:val="002123A6"/>
    <w:rsid w:val="00212733"/>
    <w:rsid w:val="00212992"/>
    <w:rsid w:val="0021370D"/>
    <w:rsid w:val="00213D1D"/>
    <w:rsid w:val="00215038"/>
    <w:rsid w:val="00215568"/>
    <w:rsid w:val="00215AAC"/>
    <w:rsid w:val="00215C4B"/>
    <w:rsid w:val="00216958"/>
    <w:rsid w:val="00217A97"/>
    <w:rsid w:val="00220FAD"/>
    <w:rsid w:val="00221140"/>
    <w:rsid w:val="00221A94"/>
    <w:rsid w:val="00222A91"/>
    <w:rsid w:val="002245AE"/>
    <w:rsid w:val="002245C4"/>
    <w:rsid w:val="00224C50"/>
    <w:rsid w:val="00225359"/>
    <w:rsid w:val="00225612"/>
    <w:rsid w:val="00226657"/>
    <w:rsid w:val="00230855"/>
    <w:rsid w:val="002308B0"/>
    <w:rsid w:val="00231CBE"/>
    <w:rsid w:val="00233E44"/>
    <w:rsid w:val="0023561C"/>
    <w:rsid w:val="00235CBF"/>
    <w:rsid w:val="002360EA"/>
    <w:rsid w:val="00236426"/>
    <w:rsid w:val="002366A2"/>
    <w:rsid w:val="00237079"/>
    <w:rsid w:val="002372CF"/>
    <w:rsid w:val="00240A81"/>
    <w:rsid w:val="00240CA1"/>
    <w:rsid w:val="002412FC"/>
    <w:rsid w:val="00243482"/>
    <w:rsid w:val="00244EF9"/>
    <w:rsid w:val="0024680F"/>
    <w:rsid w:val="00246FF8"/>
    <w:rsid w:val="00247152"/>
    <w:rsid w:val="0024756D"/>
    <w:rsid w:val="002478FA"/>
    <w:rsid w:val="00251AAC"/>
    <w:rsid w:val="0025351E"/>
    <w:rsid w:val="002536BE"/>
    <w:rsid w:val="00254D95"/>
    <w:rsid w:val="00257F23"/>
    <w:rsid w:val="00260BE7"/>
    <w:rsid w:val="002610FB"/>
    <w:rsid w:val="0026136C"/>
    <w:rsid w:val="00270C7D"/>
    <w:rsid w:val="0027111A"/>
    <w:rsid w:val="002743FC"/>
    <w:rsid w:val="00276451"/>
    <w:rsid w:val="00276A14"/>
    <w:rsid w:val="00277633"/>
    <w:rsid w:val="00281009"/>
    <w:rsid w:val="00281C3B"/>
    <w:rsid w:val="00281D6D"/>
    <w:rsid w:val="002820FE"/>
    <w:rsid w:val="0028296E"/>
    <w:rsid w:val="00282CE8"/>
    <w:rsid w:val="00282F41"/>
    <w:rsid w:val="00284DAC"/>
    <w:rsid w:val="002851D1"/>
    <w:rsid w:val="00285A4D"/>
    <w:rsid w:val="00285CCD"/>
    <w:rsid w:val="00286A7E"/>
    <w:rsid w:val="00287FE3"/>
    <w:rsid w:val="00290D10"/>
    <w:rsid w:val="00290FF3"/>
    <w:rsid w:val="00293197"/>
    <w:rsid w:val="00293534"/>
    <w:rsid w:val="00293954"/>
    <w:rsid w:val="00293ACF"/>
    <w:rsid w:val="0029481B"/>
    <w:rsid w:val="002969D6"/>
    <w:rsid w:val="002A0A3E"/>
    <w:rsid w:val="002A1822"/>
    <w:rsid w:val="002A24C4"/>
    <w:rsid w:val="002A62C3"/>
    <w:rsid w:val="002A6AF8"/>
    <w:rsid w:val="002B002C"/>
    <w:rsid w:val="002B1E6C"/>
    <w:rsid w:val="002B33C4"/>
    <w:rsid w:val="002B3B86"/>
    <w:rsid w:val="002B44CB"/>
    <w:rsid w:val="002B44F7"/>
    <w:rsid w:val="002B5A7F"/>
    <w:rsid w:val="002B5F55"/>
    <w:rsid w:val="002B7B42"/>
    <w:rsid w:val="002C42F5"/>
    <w:rsid w:val="002C501D"/>
    <w:rsid w:val="002C564A"/>
    <w:rsid w:val="002C58D7"/>
    <w:rsid w:val="002D1C18"/>
    <w:rsid w:val="002D27F2"/>
    <w:rsid w:val="002D3A3C"/>
    <w:rsid w:val="002D5791"/>
    <w:rsid w:val="002D6151"/>
    <w:rsid w:val="002D7451"/>
    <w:rsid w:val="002E06D2"/>
    <w:rsid w:val="002E1311"/>
    <w:rsid w:val="002E72C9"/>
    <w:rsid w:val="002E7A09"/>
    <w:rsid w:val="002E7FDA"/>
    <w:rsid w:val="002F03BC"/>
    <w:rsid w:val="002F0B41"/>
    <w:rsid w:val="002F4943"/>
    <w:rsid w:val="002F7F78"/>
    <w:rsid w:val="00300064"/>
    <w:rsid w:val="003012AC"/>
    <w:rsid w:val="0030172E"/>
    <w:rsid w:val="00302C18"/>
    <w:rsid w:val="00302EA6"/>
    <w:rsid w:val="00305EC4"/>
    <w:rsid w:val="003067C6"/>
    <w:rsid w:val="00306C9F"/>
    <w:rsid w:val="00306EB5"/>
    <w:rsid w:val="00310E77"/>
    <w:rsid w:val="0031203C"/>
    <w:rsid w:val="00312638"/>
    <w:rsid w:val="00312A10"/>
    <w:rsid w:val="00313DCB"/>
    <w:rsid w:val="00315328"/>
    <w:rsid w:val="00315441"/>
    <w:rsid w:val="003157FC"/>
    <w:rsid w:val="00320EA2"/>
    <w:rsid w:val="003214B2"/>
    <w:rsid w:val="00321A73"/>
    <w:rsid w:val="0032243A"/>
    <w:rsid w:val="003233E6"/>
    <w:rsid w:val="00323600"/>
    <w:rsid w:val="003251F6"/>
    <w:rsid w:val="0032566C"/>
    <w:rsid w:val="003262F5"/>
    <w:rsid w:val="00330F4C"/>
    <w:rsid w:val="00331A6C"/>
    <w:rsid w:val="00332F56"/>
    <w:rsid w:val="00333591"/>
    <w:rsid w:val="00334868"/>
    <w:rsid w:val="00335244"/>
    <w:rsid w:val="00335E19"/>
    <w:rsid w:val="003378CD"/>
    <w:rsid w:val="00341305"/>
    <w:rsid w:val="00341B46"/>
    <w:rsid w:val="003443EB"/>
    <w:rsid w:val="003446B1"/>
    <w:rsid w:val="00344A99"/>
    <w:rsid w:val="00347D37"/>
    <w:rsid w:val="00350C1B"/>
    <w:rsid w:val="00360095"/>
    <w:rsid w:val="0036046F"/>
    <w:rsid w:val="00362735"/>
    <w:rsid w:val="00362E31"/>
    <w:rsid w:val="00362EA8"/>
    <w:rsid w:val="0036310C"/>
    <w:rsid w:val="00364703"/>
    <w:rsid w:val="00365961"/>
    <w:rsid w:val="00366046"/>
    <w:rsid w:val="00371BB0"/>
    <w:rsid w:val="0037228D"/>
    <w:rsid w:val="00373506"/>
    <w:rsid w:val="00373FAD"/>
    <w:rsid w:val="00377429"/>
    <w:rsid w:val="003776B6"/>
    <w:rsid w:val="00377CA9"/>
    <w:rsid w:val="003812A3"/>
    <w:rsid w:val="00382884"/>
    <w:rsid w:val="003837D1"/>
    <w:rsid w:val="003844DA"/>
    <w:rsid w:val="00384DDA"/>
    <w:rsid w:val="00385CE1"/>
    <w:rsid w:val="00385FEA"/>
    <w:rsid w:val="00386C8C"/>
    <w:rsid w:val="00387CB5"/>
    <w:rsid w:val="00387F2F"/>
    <w:rsid w:val="00392E0C"/>
    <w:rsid w:val="00393D1B"/>
    <w:rsid w:val="003941BD"/>
    <w:rsid w:val="00394256"/>
    <w:rsid w:val="003950D3"/>
    <w:rsid w:val="003A1B9A"/>
    <w:rsid w:val="003A30B6"/>
    <w:rsid w:val="003A5F18"/>
    <w:rsid w:val="003A7D4E"/>
    <w:rsid w:val="003A7E1D"/>
    <w:rsid w:val="003B1684"/>
    <w:rsid w:val="003B257F"/>
    <w:rsid w:val="003B283D"/>
    <w:rsid w:val="003B334B"/>
    <w:rsid w:val="003B3737"/>
    <w:rsid w:val="003B619C"/>
    <w:rsid w:val="003B61CA"/>
    <w:rsid w:val="003B6254"/>
    <w:rsid w:val="003B6ED1"/>
    <w:rsid w:val="003C0E9E"/>
    <w:rsid w:val="003C151B"/>
    <w:rsid w:val="003C278A"/>
    <w:rsid w:val="003C4C7C"/>
    <w:rsid w:val="003C5952"/>
    <w:rsid w:val="003C6FE5"/>
    <w:rsid w:val="003C7608"/>
    <w:rsid w:val="003D01EE"/>
    <w:rsid w:val="003D17BF"/>
    <w:rsid w:val="003D5F90"/>
    <w:rsid w:val="003E0E21"/>
    <w:rsid w:val="003E2162"/>
    <w:rsid w:val="003E2292"/>
    <w:rsid w:val="003E3977"/>
    <w:rsid w:val="003E61A2"/>
    <w:rsid w:val="003E6CCA"/>
    <w:rsid w:val="003E7128"/>
    <w:rsid w:val="003F1E7A"/>
    <w:rsid w:val="003F3FE1"/>
    <w:rsid w:val="003F577E"/>
    <w:rsid w:val="003F7110"/>
    <w:rsid w:val="003F7710"/>
    <w:rsid w:val="00400308"/>
    <w:rsid w:val="00400F70"/>
    <w:rsid w:val="00401285"/>
    <w:rsid w:val="00402142"/>
    <w:rsid w:val="00403989"/>
    <w:rsid w:val="00403FB1"/>
    <w:rsid w:val="004043F7"/>
    <w:rsid w:val="00405A17"/>
    <w:rsid w:val="00410346"/>
    <w:rsid w:val="00410917"/>
    <w:rsid w:val="00410A4E"/>
    <w:rsid w:val="00411203"/>
    <w:rsid w:val="00411C40"/>
    <w:rsid w:val="00411D08"/>
    <w:rsid w:val="00411D3E"/>
    <w:rsid w:val="00413510"/>
    <w:rsid w:val="00413BCD"/>
    <w:rsid w:val="00414EA6"/>
    <w:rsid w:val="00415553"/>
    <w:rsid w:val="00416E7B"/>
    <w:rsid w:val="00421646"/>
    <w:rsid w:val="004262B4"/>
    <w:rsid w:val="0042630D"/>
    <w:rsid w:val="00426983"/>
    <w:rsid w:val="00427CD3"/>
    <w:rsid w:val="00427E18"/>
    <w:rsid w:val="00432AD1"/>
    <w:rsid w:val="00433756"/>
    <w:rsid w:val="00433B54"/>
    <w:rsid w:val="00436D10"/>
    <w:rsid w:val="00437AD7"/>
    <w:rsid w:val="004403A3"/>
    <w:rsid w:val="00440B31"/>
    <w:rsid w:val="0044156E"/>
    <w:rsid w:val="00442CFC"/>
    <w:rsid w:val="00443BBF"/>
    <w:rsid w:val="004456A8"/>
    <w:rsid w:val="00445CA5"/>
    <w:rsid w:val="00446F6B"/>
    <w:rsid w:val="00447A59"/>
    <w:rsid w:val="00450082"/>
    <w:rsid w:val="00451361"/>
    <w:rsid w:val="004535F5"/>
    <w:rsid w:val="00453BAA"/>
    <w:rsid w:val="00454781"/>
    <w:rsid w:val="00454E67"/>
    <w:rsid w:val="00455241"/>
    <w:rsid w:val="00456A79"/>
    <w:rsid w:val="004616AF"/>
    <w:rsid w:val="00461713"/>
    <w:rsid w:val="004619A9"/>
    <w:rsid w:val="00461B54"/>
    <w:rsid w:val="004627BC"/>
    <w:rsid w:val="0046338F"/>
    <w:rsid w:val="00466C8D"/>
    <w:rsid w:val="004671D0"/>
    <w:rsid w:val="00471432"/>
    <w:rsid w:val="00472BC3"/>
    <w:rsid w:val="004762DC"/>
    <w:rsid w:val="00480268"/>
    <w:rsid w:val="004805A9"/>
    <w:rsid w:val="00481063"/>
    <w:rsid w:val="004812E8"/>
    <w:rsid w:val="004820E9"/>
    <w:rsid w:val="00482EBF"/>
    <w:rsid w:val="00484E26"/>
    <w:rsid w:val="00484F37"/>
    <w:rsid w:val="004859D6"/>
    <w:rsid w:val="0048644D"/>
    <w:rsid w:val="00487BEE"/>
    <w:rsid w:val="00490C6A"/>
    <w:rsid w:val="00490F0D"/>
    <w:rsid w:val="00491791"/>
    <w:rsid w:val="00492B3A"/>
    <w:rsid w:val="004959F9"/>
    <w:rsid w:val="00497B0C"/>
    <w:rsid w:val="004A392F"/>
    <w:rsid w:val="004A4547"/>
    <w:rsid w:val="004A583D"/>
    <w:rsid w:val="004A750F"/>
    <w:rsid w:val="004B0C29"/>
    <w:rsid w:val="004B19CB"/>
    <w:rsid w:val="004B1E05"/>
    <w:rsid w:val="004B2BAE"/>
    <w:rsid w:val="004B2D29"/>
    <w:rsid w:val="004B5328"/>
    <w:rsid w:val="004B597D"/>
    <w:rsid w:val="004B5CD7"/>
    <w:rsid w:val="004B68EF"/>
    <w:rsid w:val="004B6F23"/>
    <w:rsid w:val="004B79CD"/>
    <w:rsid w:val="004B7C5A"/>
    <w:rsid w:val="004C0DDB"/>
    <w:rsid w:val="004C12BF"/>
    <w:rsid w:val="004C1447"/>
    <w:rsid w:val="004C3D16"/>
    <w:rsid w:val="004C49E2"/>
    <w:rsid w:val="004D0DC4"/>
    <w:rsid w:val="004D10EE"/>
    <w:rsid w:val="004D26CD"/>
    <w:rsid w:val="004D4C7C"/>
    <w:rsid w:val="004D5BA6"/>
    <w:rsid w:val="004D695B"/>
    <w:rsid w:val="004D6D46"/>
    <w:rsid w:val="004D7701"/>
    <w:rsid w:val="004E027C"/>
    <w:rsid w:val="004E04DB"/>
    <w:rsid w:val="004E0842"/>
    <w:rsid w:val="004E1337"/>
    <w:rsid w:val="004E23E0"/>
    <w:rsid w:val="004E2ABD"/>
    <w:rsid w:val="004E2D35"/>
    <w:rsid w:val="004E3E79"/>
    <w:rsid w:val="004E4837"/>
    <w:rsid w:val="004E4F93"/>
    <w:rsid w:val="004E56C3"/>
    <w:rsid w:val="004E60CE"/>
    <w:rsid w:val="004E7529"/>
    <w:rsid w:val="004E7BCE"/>
    <w:rsid w:val="004F1AAE"/>
    <w:rsid w:val="004F3D1A"/>
    <w:rsid w:val="004F3EE5"/>
    <w:rsid w:val="004F40B1"/>
    <w:rsid w:val="004F4DD7"/>
    <w:rsid w:val="004F5239"/>
    <w:rsid w:val="004F5EE6"/>
    <w:rsid w:val="004F63E1"/>
    <w:rsid w:val="004F7721"/>
    <w:rsid w:val="004F777C"/>
    <w:rsid w:val="00500C7D"/>
    <w:rsid w:val="0050192A"/>
    <w:rsid w:val="00501A2A"/>
    <w:rsid w:val="005024B9"/>
    <w:rsid w:val="00502535"/>
    <w:rsid w:val="00503606"/>
    <w:rsid w:val="0050381D"/>
    <w:rsid w:val="0050423B"/>
    <w:rsid w:val="00504783"/>
    <w:rsid w:val="00504F37"/>
    <w:rsid w:val="00510B78"/>
    <w:rsid w:val="00511B22"/>
    <w:rsid w:val="00515AF7"/>
    <w:rsid w:val="00516D2B"/>
    <w:rsid w:val="0051757E"/>
    <w:rsid w:val="005177A1"/>
    <w:rsid w:val="005208C8"/>
    <w:rsid w:val="00521367"/>
    <w:rsid w:val="005228C3"/>
    <w:rsid w:val="00523569"/>
    <w:rsid w:val="00524DC2"/>
    <w:rsid w:val="005250FB"/>
    <w:rsid w:val="005251B5"/>
    <w:rsid w:val="005254BE"/>
    <w:rsid w:val="00526874"/>
    <w:rsid w:val="00526A03"/>
    <w:rsid w:val="00532070"/>
    <w:rsid w:val="00534130"/>
    <w:rsid w:val="005348FA"/>
    <w:rsid w:val="005350A8"/>
    <w:rsid w:val="005358AB"/>
    <w:rsid w:val="005374CE"/>
    <w:rsid w:val="00540D83"/>
    <w:rsid w:val="00540E99"/>
    <w:rsid w:val="00541555"/>
    <w:rsid w:val="00541AC1"/>
    <w:rsid w:val="00541B38"/>
    <w:rsid w:val="00542713"/>
    <w:rsid w:val="00546B3A"/>
    <w:rsid w:val="00551404"/>
    <w:rsid w:val="0055223F"/>
    <w:rsid w:val="0055335A"/>
    <w:rsid w:val="00553706"/>
    <w:rsid w:val="00555BBF"/>
    <w:rsid w:val="00555CEF"/>
    <w:rsid w:val="00556241"/>
    <w:rsid w:val="00560612"/>
    <w:rsid w:val="005610CA"/>
    <w:rsid w:val="0056197B"/>
    <w:rsid w:val="00567AFA"/>
    <w:rsid w:val="0057204C"/>
    <w:rsid w:val="00573FE1"/>
    <w:rsid w:val="005743D9"/>
    <w:rsid w:val="00575E82"/>
    <w:rsid w:val="00585C02"/>
    <w:rsid w:val="0059022C"/>
    <w:rsid w:val="00590AD9"/>
    <w:rsid w:val="00591090"/>
    <w:rsid w:val="00594D3A"/>
    <w:rsid w:val="00597497"/>
    <w:rsid w:val="005A02C7"/>
    <w:rsid w:val="005A1CFD"/>
    <w:rsid w:val="005A67CB"/>
    <w:rsid w:val="005A6C98"/>
    <w:rsid w:val="005B0179"/>
    <w:rsid w:val="005B1418"/>
    <w:rsid w:val="005B258A"/>
    <w:rsid w:val="005B484F"/>
    <w:rsid w:val="005B59E1"/>
    <w:rsid w:val="005B64AD"/>
    <w:rsid w:val="005B6561"/>
    <w:rsid w:val="005B73F5"/>
    <w:rsid w:val="005B7ADC"/>
    <w:rsid w:val="005C0AF6"/>
    <w:rsid w:val="005C26B6"/>
    <w:rsid w:val="005C3616"/>
    <w:rsid w:val="005C37C9"/>
    <w:rsid w:val="005C3A30"/>
    <w:rsid w:val="005C5A93"/>
    <w:rsid w:val="005C60DD"/>
    <w:rsid w:val="005C7015"/>
    <w:rsid w:val="005C750A"/>
    <w:rsid w:val="005D0007"/>
    <w:rsid w:val="005D1442"/>
    <w:rsid w:val="005D148D"/>
    <w:rsid w:val="005D1EC3"/>
    <w:rsid w:val="005D309F"/>
    <w:rsid w:val="005D4D1B"/>
    <w:rsid w:val="005D55B8"/>
    <w:rsid w:val="005D573C"/>
    <w:rsid w:val="005D628B"/>
    <w:rsid w:val="005D73F6"/>
    <w:rsid w:val="005E024A"/>
    <w:rsid w:val="005E20B7"/>
    <w:rsid w:val="005E3257"/>
    <w:rsid w:val="005E3673"/>
    <w:rsid w:val="005E5299"/>
    <w:rsid w:val="005E7093"/>
    <w:rsid w:val="005E7777"/>
    <w:rsid w:val="005F11D3"/>
    <w:rsid w:val="005F15A1"/>
    <w:rsid w:val="005F1E7B"/>
    <w:rsid w:val="005F30E8"/>
    <w:rsid w:val="005F401B"/>
    <w:rsid w:val="005F48AA"/>
    <w:rsid w:val="005F586D"/>
    <w:rsid w:val="005F7647"/>
    <w:rsid w:val="005F770E"/>
    <w:rsid w:val="00600491"/>
    <w:rsid w:val="006012F7"/>
    <w:rsid w:val="00602D50"/>
    <w:rsid w:val="00602FB3"/>
    <w:rsid w:val="0060342A"/>
    <w:rsid w:val="00604280"/>
    <w:rsid w:val="00604CBC"/>
    <w:rsid w:val="00606A90"/>
    <w:rsid w:val="00606C68"/>
    <w:rsid w:val="00607C9B"/>
    <w:rsid w:val="0061457A"/>
    <w:rsid w:val="00614F3E"/>
    <w:rsid w:val="00614F73"/>
    <w:rsid w:val="00615ADE"/>
    <w:rsid w:val="00616826"/>
    <w:rsid w:val="00617C68"/>
    <w:rsid w:val="00620CEE"/>
    <w:rsid w:val="00621841"/>
    <w:rsid w:val="00622A64"/>
    <w:rsid w:val="00625FD8"/>
    <w:rsid w:val="0063187C"/>
    <w:rsid w:val="00632DFD"/>
    <w:rsid w:val="0063322C"/>
    <w:rsid w:val="0063329F"/>
    <w:rsid w:val="006333E5"/>
    <w:rsid w:val="0063445A"/>
    <w:rsid w:val="00634ED5"/>
    <w:rsid w:val="0063620F"/>
    <w:rsid w:val="00636C28"/>
    <w:rsid w:val="006426F9"/>
    <w:rsid w:val="006438C1"/>
    <w:rsid w:val="00644DCE"/>
    <w:rsid w:val="00645E3D"/>
    <w:rsid w:val="006507D7"/>
    <w:rsid w:val="00651643"/>
    <w:rsid w:val="00651D6E"/>
    <w:rsid w:val="006535F6"/>
    <w:rsid w:val="00653CB1"/>
    <w:rsid w:val="00653D80"/>
    <w:rsid w:val="00654694"/>
    <w:rsid w:val="00654D33"/>
    <w:rsid w:val="00656AFD"/>
    <w:rsid w:val="00662DCF"/>
    <w:rsid w:val="00664203"/>
    <w:rsid w:val="0066605A"/>
    <w:rsid w:val="00667D2F"/>
    <w:rsid w:val="00670C12"/>
    <w:rsid w:val="00670C3A"/>
    <w:rsid w:val="006718AB"/>
    <w:rsid w:val="0067226C"/>
    <w:rsid w:val="0067382A"/>
    <w:rsid w:val="0067392D"/>
    <w:rsid w:val="0067428C"/>
    <w:rsid w:val="006768EF"/>
    <w:rsid w:val="00676B78"/>
    <w:rsid w:val="00676D6D"/>
    <w:rsid w:val="00676EE6"/>
    <w:rsid w:val="00677A64"/>
    <w:rsid w:val="00677E65"/>
    <w:rsid w:val="00680147"/>
    <w:rsid w:val="00680CC9"/>
    <w:rsid w:val="006811A5"/>
    <w:rsid w:val="00681295"/>
    <w:rsid w:val="006813A8"/>
    <w:rsid w:val="00681C2D"/>
    <w:rsid w:val="00681FF1"/>
    <w:rsid w:val="00682B2C"/>
    <w:rsid w:val="00682B32"/>
    <w:rsid w:val="00682EAB"/>
    <w:rsid w:val="00683907"/>
    <w:rsid w:val="0068680F"/>
    <w:rsid w:val="006868DA"/>
    <w:rsid w:val="00690D78"/>
    <w:rsid w:val="00691B21"/>
    <w:rsid w:val="006931AC"/>
    <w:rsid w:val="00694FFB"/>
    <w:rsid w:val="006A0FDD"/>
    <w:rsid w:val="006A1964"/>
    <w:rsid w:val="006A2F39"/>
    <w:rsid w:val="006A38FC"/>
    <w:rsid w:val="006A407A"/>
    <w:rsid w:val="006A42A5"/>
    <w:rsid w:val="006A4860"/>
    <w:rsid w:val="006A712B"/>
    <w:rsid w:val="006A78F6"/>
    <w:rsid w:val="006B049C"/>
    <w:rsid w:val="006B1763"/>
    <w:rsid w:val="006B191A"/>
    <w:rsid w:val="006B4E6C"/>
    <w:rsid w:val="006B59DF"/>
    <w:rsid w:val="006B5F75"/>
    <w:rsid w:val="006B6A80"/>
    <w:rsid w:val="006B71FD"/>
    <w:rsid w:val="006B7718"/>
    <w:rsid w:val="006C109C"/>
    <w:rsid w:val="006C198D"/>
    <w:rsid w:val="006C26C1"/>
    <w:rsid w:val="006C65CC"/>
    <w:rsid w:val="006C7E47"/>
    <w:rsid w:val="006D3C53"/>
    <w:rsid w:val="006D4ED7"/>
    <w:rsid w:val="006D5B77"/>
    <w:rsid w:val="006D5CDD"/>
    <w:rsid w:val="006E0023"/>
    <w:rsid w:val="006E02E0"/>
    <w:rsid w:val="006E0BFE"/>
    <w:rsid w:val="006E0C04"/>
    <w:rsid w:val="006E0FDC"/>
    <w:rsid w:val="006E198A"/>
    <w:rsid w:val="006E24A2"/>
    <w:rsid w:val="006E383E"/>
    <w:rsid w:val="006E3C0F"/>
    <w:rsid w:val="006E4A72"/>
    <w:rsid w:val="006E581B"/>
    <w:rsid w:val="006E6443"/>
    <w:rsid w:val="006F1DB4"/>
    <w:rsid w:val="006F44E4"/>
    <w:rsid w:val="006F719F"/>
    <w:rsid w:val="0070089B"/>
    <w:rsid w:val="00700E9A"/>
    <w:rsid w:val="00702827"/>
    <w:rsid w:val="007036C4"/>
    <w:rsid w:val="00703B6C"/>
    <w:rsid w:val="007041FE"/>
    <w:rsid w:val="007054C7"/>
    <w:rsid w:val="00705874"/>
    <w:rsid w:val="007063D1"/>
    <w:rsid w:val="00707398"/>
    <w:rsid w:val="007073D8"/>
    <w:rsid w:val="007109C2"/>
    <w:rsid w:val="00713461"/>
    <w:rsid w:val="0071401B"/>
    <w:rsid w:val="00714BFF"/>
    <w:rsid w:val="00715B48"/>
    <w:rsid w:val="00716290"/>
    <w:rsid w:val="00722B56"/>
    <w:rsid w:val="00722F43"/>
    <w:rsid w:val="007240C2"/>
    <w:rsid w:val="0072501D"/>
    <w:rsid w:val="00725C46"/>
    <w:rsid w:val="0072772B"/>
    <w:rsid w:val="00731808"/>
    <w:rsid w:val="00732982"/>
    <w:rsid w:val="00733428"/>
    <w:rsid w:val="007379C6"/>
    <w:rsid w:val="0074004B"/>
    <w:rsid w:val="00740FFC"/>
    <w:rsid w:val="00741B29"/>
    <w:rsid w:val="00742BA5"/>
    <w:rsid w:val="00745BF9"/>
    <w:rsid w:val="007465EA"/>
    <w:rsid w:val="007466F4"/>
    <w:rsid w:val="00747388"/>
    <w:rsid w:val="0074746E"/>
    <w:rsid w:val="007510A8"/>
    <w:rsid w:val="00752966"/>
    <w:rsid w:val="007538FC"/>
    <w:rsid w:val="0075399C"/>
    <w:rsid w:val="007549E6"/>
    <w:rsid w:val="007558CA"/>
    <w:rsid w:val="00755E58"/>
    <w:rsid w:val="00756F12"/>
    <w:rsid w:val="00760148"/>
    <w:rsid w:val="0076095E"/>
    <w:rsid w:val="0076243C"/>
    <w:rsid w:val="007644D8"/>
    <w:rsid w:val="00764552"/>
    <w:rsid w:val="007649B6"/>
    <w:rsid w:val="00765758"/>
    <w:rsid w:val="007671AA"/>
    <w:rsid w:val="00767E54"/>
    <w:rsid w:val="0077085A"/>
    <w:rsid w:val="0077177E"/>
    <w:rsid w:val="0077245C"/>
    <w:rsid w:val="00772BD0"/>
    <w:rsid w:val="00773F05"/>
    <w:rsid w:val="007751A2"/>
    <w:rsid w:val="00776A1D"/>
    <w:rsid w:val="00777B87"/>
    <w:rsid w:val="00777CAA"/>
    <w:rsid w:val="00780267"/>
    <w:rsid w:val="0078173A"/>
    <w:rsid w:val="00781E9D"/>
    <w:rsid w:val="0078204F"/>
    <w:rsid w:val="00782DD1"/>
    <w:rsid w:val="00783C2F"/>
    <w:rsid w:val="00783FD4"/>
    <w:rsid w:val="007847AF"/>
    <w:rsid w:val="00784E56"/>
    <w:rsid w:val="00785285"/>
    <w:rsid w:val="0078617C"/>
    <w:rsid w:val="007872D7"/>
    <w:rsid w:val="0079046D"/>
    <w:rsid w:val="0079153E"/>
    <w:rsid w:val="00791551"/>
    <w:rsid w:val="007926A8"/>
    <w:rsid w:val="00793DBF"/>
    <w:rsid w:val="00794CC5"/>
    <w:rsid w:val="00794FCF"/>
    <w:rsid w:val="00795310"/>
    <w:rsid w:val="00795C62"/>
    <w:rsid w:val="00796BBD"/>
    <w:rsid w:val="00797A40"/>
    <w:rsid w:val="00797FB1"/>
    <w:rsid w:val="007A03A7"/>
    <w:rsid w:val="007A1656"/>
    <w:rsid w:val="007A21A1"/>
    <w:rsid w:val="007A270E"/>
    <w:rsid w:val="007A3A49"/>
    <w:rsid w:val="007A4679"/>
    <w:rsid w:val="007A4B32"/>
    <w:rsid w:val="007A4FE7"/>
    <w:rsid w:val="007A542C"/>
    <w:rsid w:val="007A732B"/>
    <w:rsid w:val="007B0960"/>
    <w:rsid w:val="007B0A07"/>
    <w:rsid w:val="007B140B"/>
    <w:rsid w:val="007B1B92"/>
    <w:rsid w:val="007B40CF"/>
    <w:rsid w:val="007B44FA"/>
    <w:rsid w:val="007B4532"/>
    <w:rsid w:val="007B599A"/>
    <w:rsid w:val="007B5D32"/>
    <w:rsid w:val="007B6D4C"/>
    <w:rsid w:val="007B7031"/>
    <w:rsid w:val="007B7389"/>
    <w:rsid w:val="007C0F4B"/>
    <w:rsid w:val="007C4060"/>
    <w:rsid w:val="007C4B3F"/>
    <w:rsid w:val="007C6375"/>
    <w:rsid w:val="007C7366"/>
    <w:rsid w:val="007D0678"/>
    <w:rsid w:val="007D06C2"/>
    <w:rsid w:val="007D2AEC"/>
    <w:rsid w:val="007D34AC"/>
    <w:rsid w:val="007D435C"/>
    <w:rsid w:val="007D5287"/>
    <w:rsid w:val="007D5B56"/>
    <w:rsid w:val="007E1730"/>
    <w:rsid w:val="007E1B40"/>
    <w:rsid w:val="007E4D07"/>
    <w:rsid w:val="007E5D03"/>
    <w:rsid w:val="007E6E03"/>
    <w:rsid w:val="007E7C78"/>
    <w:rsid w:val="007F0831"/>
    <w:rsid w:val="007F0C00"/>
    <w:rsid w:val="007F1924"/>
    <w:rsid w:val="007F1FAC"/>
    <w:rsid w:val="007F3F6D"/>
    <w:rsid w:val="007F4110"/>
    <w:rsid w:val="007F51C2"/>
    <w:rsid w:val="007F5FEA"/>
    <w:rsid w:val="007F7941"/>
    <w:rsid w:val="00801AF9"/>
    <w:rsid w:val="0080214F"/>
    <w:rsid w:val="00802EDA"/>
    <w:rsid w:val="00803523"/>
    <w:rsid w:val="00807902"/>
    <w:rsid w:val="0081068D"/>
    <w:rsid w:val="00811E8D"/>
    <w:rsid w:val="00813EBB"/>
    <w:rsid w:val="00824ECC"/>
    <w:rsid w:val="008258A3"/>
    <w:rsid w:val="00826133"/>
    <w:rsid w:val="00826987"/>
    <w:rsid w:val="0082792C"/>
    <w:rsid w:val="0083068C"/>
    <w:rsid w:val="00830AA2"/>
    <w:rsid w:val="0083543D"/>
    <w:rsid w:val="00836A20"/>
    <w:rsid w:val="00837716"/>
    <w:rsid w:val="0084061C"/>
    <w:rsid w:val="00841604"/>
    <w:rsid w:val="0084443F"/>
    <w:rsid w:val="00844721"/>
    <w:rsid w:val="00844BE4"/>
    <w:rsid w:val="00845EE9"/>
    <w:rsid w:val="00846183"/>
    <w:rsid w:val="008500EF"/>
    <w:rsid w:val="00851386"/>
    <w:rsid w:val="00851C82"/>
    <w:rsid w:val="00852F3F"/>
    <w:rsid w:val="00852FED"/>
    <w:rsid w:val="008537FE"/>
    <w:rsid w:val="00855716"/>
    <w:rsid w:val="00857C4D"/>
    <w:rsid w:val="008610F5"/>
    <w:rsid w:val="0086156B"/>
    <w:rsid w:val="00861AF2"/>
    <w:rsid w:val="0086234E"/>
    <w:rsid w:val="00863AB2"/>
    <w:rsid w:val="00866B4C"/>
    <w:rsid w:val="0086722C"/>
    <w:rsid w:val="00867EA7"/>
    <w:rsid w:val="00870FF0"/>
    <w:rsid w:val="00871570"/>
    <w:rsid w:val="00871BEC"/>
    <w:rsid w:val="00872B4E"/>
    <w:rsid w:val="0087322F"/>
    <w:rsid w:val="0087422E"/>
    <w:rsid w:val="0087657E"/>
    <w:rsid w:val="0087662B"/>
    <w:rsid w:val="008768B3"/>
    <w:rsid w:val="00880A59"/>
    <w:rsid w:val="0088247C"/>
    <w:rsid w:val="008843F7"/>
    <w:rsid w:val="008853F1"/>
    <w:rsid w:val="0088604B"/>
    <w:rsid w:val="0088608D"/>
    <w:rsid w:val="008861D9"/>
    <w:rsid w:val="00893F64"/>
    <w:rsid w:val="00894520"/>
    <w:rsid w:val="00895845"/>
    <w:rsid w:val="00896719"/>
    <w:rsid w:val="008969A4"/>
    <w:rsid w:val="00897160"/>
    <w:rsid w:val="008A0B75"/>
    <w:rsid w:val="008A114F"/>
    <w:rsid w:val="008A1A17"/>
    <w:rsid w:val="008A22CC"/>
    <w:rsid w:val="008A3FA6"/>
    <w:rsid w:val="008A4504"/>
    <w:rsid w:val="008A560D"/>
    <w:rsid w:val="008A572A"/>
    <w:rsid w:val="008A7271"/>
    <w:rsid w:val="008A7699"/>
    <w:rsid w:val="008B090D"/>
    <w:rsid w:val="008B16CB"/>
    <w:rsid w:val="008B4873"/>
    <w:rsid w:val="008B4E11"/>
    <w:rsid w:val="008B57B0"/>
    <w:rsid w:val="008B59C7"/>
    <w:rsid w:val="008B6C19"/>
    <w:rsid w:val="008C0ABB"/>
    <w:rsid w:val="008C18DC"/>
    <w:rsid w:val="008C2B94"/>
    <w:rsid w:val="008C543E"/>
    <w:rsid w:val="008C5F7E"/>
    <w:rsid w:val="008C61D2"/>
    <w:rsid w:val="008C634A"/>
    <w:rsid w:val="008C641A"/>
    <w:rsid w:val="008C666F"/>
    <w:rsid w:val="008C6A0F"/>
    <w:rsid w:val="008C70A4"/>
    <w:rsid w:val="008C7DAC"/>
    <w:rsid w:val="008D1C95"/>
    <w:rsid w:val="008D2BA7"/>
    <w:rsid w:val="008D31B9"/>
    <w:rsid w:val="008D3995"/>
    <w:rsid w:val="008D4065"/>
    <w:rsid w:val="008D4CD3"/>
    <w:rsid w:val="008D4CD7"/>
    <w:rsid w:val="008D5540"/>
    <w:rsid w:val="008D6671"/>
    <w:rsid w:val="008D67D0"/>
    <w:rsid w:val="008D6B57"/>
    <w:rsid w:val="008D6D41"/>
    <w:rsid w:val="008E1C29"/>
    <w:rsid w:val="008E399A"/>
    <w:rsid w:val="008E3FCE"/>
    <w:rsid w:val="008E4D8C"/>
    <w:rsid w:val="008E4E80"/>
    <w:rsid w:val="008E6BD0"/>
    <w:rsid w:val="008E7105"/>
    <w:rsid w:val="008E7C03"/>
    <w:rsid w:val="008F04DE"/>
    <w:rsid w:val="008F33A7"/>
    <w:rsid w:val="008F4A9D"/>
    <w:rsid w:val="008F5027"/>
    <w:rsid w:val="008F5043"/>
    <w:rsid w:val="008F53FD"/>
    <w:rsid w:val="008F60A8"/>
    <w:rsid w:val="00901A31"/>
    <w:rsid w:val="0090200C"/>
    <w:rsid w:val="00902DF0"/>
    <w:rsid w:val="00902EC1"/>
    <w:rsid w:val="00904F32"/>
    <w:rsid w:val="00905041"/>
    <w:rsid w:val="009067E1"/>
    <w:rsid w:val="0090693D"/>
    <w:rsid w:val="00907F01"/>
    <w:rsid w:val="009121A3"/>
    <w:rsid w:val="009127E7"/>
    <w:rsid w:val="009156C9"/>
    <w:rsid w:val="00916181"/>
    <w:rsid w:val="009162D0"/>
    <w:rsid w:val="0091674B"/>
    <w:rsid w:val="009168F8"/>
    <w:rsid w:val="00920C9A"/>
    <w:rsid w:val="00920F5B"/>
    <w:rsid w:val="009217E3"/>
    <w:rsid w:val="009235EA"/>
    <w:rsid w:val="00924533"/>
    <w:rsid w:val="009251BD"/>
    <w:rsid w:val="0092691D"/>
    <w:rsid w:val="00930035"/>
    <w:rsid w:val="00932092"/>
    <w:rsid w:val="009324CC"/>
    <w:rsid w:val="00933C97"/>
    <w:rsid w:val="009345F1"/>
    <w:rsid w:val="0094315E"/>
    <w:rsid w:val="00944108"/>
    <w:rsid w:val="00946F9C"/>
    <w:rsid w:val="009533AF"/>
    <w:rsid w:val="00953A06"/>
    <w:rsid w:val="009550B7"/>
    <w:rsid w:val="00956107"/>
    <w:rsid w:val="0095643F"/>
    <w:rsid w:val="00960291"/>
    <w:rsid w:val="00961F9B"/>
    <w:rsid w:val="009670EC"/>
    <w:rsid w:val="00967307"/>
    <w:rsid w:val="009717B8"/>
    <w:rsid w:val="00971BBC"/>
    <w:rsid w:val="00972A7B"/>
    <w:rsid w:val="00972AAC"/>
    <w:rsid w:val="00973F18"/>
    <w:rsid w:val="0097458E"/>
    <w:rsid w:val="00974D8A"/>
    <w:rsid w:val="009758CE"/>
    <w:rsid w:val="009767E0"/>
    <w:rsid w:val="009851DC"/>
    <w:rsid w:val="0098533C"/>
    <w:rsid w:val="009872EA"/>
    <w:rsid w:val="00987410"/>
    <w:rsid w:val="00992E81"/>
    <w:rsid w:val="00993230"/>
    <w:rsid w:val="009935B0"/>
    <w:rsid w:val="00993B9F"/>
    <w:rsid w:val="00994D4E"/>
    <w:rsid w:val="009964F4"/>
    <w:rsid w:val="00996638"/>
    <w:rsid w:val="00996A8C"/>
    <w:rsid w:val="00996DFC"/>
    <w:rsid w:val="009A1D3E"/>
    <w:rsid w:val="009A28F1"/>
    <w:rsid w:val="009A3E45"/>
    <w:rsid w:val="009A471E"/>
    <w:rsid w:val="009A56FA"/>
    <w:rsid w:val="009A585C"/>
    <w:rsid w:val="009A772D"/>
    <w:rsid w:val="009B0BD5"/>
    <w:rsid w:val="009B1277"/>
    <w:rsid w:val="009B271C"/>
    <w:rsid w:val="009B5304"/>
    <w:rsid w:val="009B5699"/>
    <w:rsid w:val="009B581B"/>
    <w:rsid w:val="009B7017"/>
    <w:rsid w:val="009B7F30"/>
    <w:rsid w:val="009C25C6"/>
    <w:rsid w:val="009C343B"/>
    <w:rsid w:val="009C438C"/>
    <w:rsid w:val="009C4D2B"/>
    <w:rsid w:val="009C53B4"/>
    <w:rsid w:val="009C5439"/>
    <w:rsid w:val="009C6099"/>
    <w:rsid w:val="009C717C"/>
    <w:rsid w:val="009C74C5"/>
    <w:rsid w:val="009D0388"/>
    <w:rsid w:val="009D042F"/>
    <w:rsid w:val="009D0845"/>
    <w:rsid w:val="009D1A04"/>
    <w:rsid w:val="009D4619"/>
    <w:rsid w:val="009E14AF"/>
    <w:rsid w:val="009E14BA"/>
    <w:rsid w:val="009E183C"/>
    <w:rsid w:val="009E1E3E"/>
    <w:rsid w:val="009E1ED3"/>
    <w:rsid w:val="009E4C03"/>
    <w:rsid w:val="009F1A6D"/>
    <w:rsid w:val="009F3063"/>
    <w:rsid w:val="009F34E0"/>
    <w:rsid w:val="009F4FF5"/>
    <w:rsid w:val="009F5450"/>
    <w:rsid w:val="009F6573"/>
    <w:rsid w:val="009F6C0C"/>
    <w:rsid w:val="009F6FB4"/>
    <w:rsid w:val="00A01A32"/>
    <w:rsid w:val="00A01FFA"/>
    <w:rsid w:val="00A06D91"/>
    <w:rsid w:val="00A07747"/>
    <w:rsid w:val="00A079D6"/>
    <w:rsid w:val="00A07AC1"/>
    <w:rsid w:val="00A07CB4"/>
    <w:rsid w:val="00A101F0"/>
    <w:rsid w:val="00A11002"/>
    <w:rsid w:val="00A118BD"/>
    <w:rsid w:val="00A12301"/>
    <w:rsid w:val="00A146E2"/>
    <w:rsid w:val="00A15A5B"/>
    <w:rsid w:val="00A1706A"/>
    <w:rsid w:val="00A205F5"/>
    <w:rsid w:val="00A20B3F"/>
    <w:rsid w:val="00A211B4"/>
    <w:rsid w:val="00A21A40"/>
    <w:rsid w:val="00A22030"/>
    <w:rsid w:val="00A220CA"/>
    <w:rsid w:val="00A22225"/>
    <w:rsid w:val="00A23052"/>
    <w:rsid w:val="00A23F77"/>
    <w:rsid w:val="00A24757"/>
    <w:rsid w:val="00A24C71"/>
    <w:rsid w:val="00A25F31"/>
    <w:rsid w:val="00A26CDD"/>
    <w:rsid w:val="00A30385"/>
    <w:rsid w:val="00A32429"/>
    <w:rsid w:val="00A32A3F"/>
    <w:rsid w:val="00A32C7B"/>
    <w:rsid w:val="00A353C9"/>
    <w:rsid w:val="00A35831"/>
    <w:rsid w:val="00A402C7"/>
    <w:rsid w:val="00A41712"/>
    <w:rsid w:val="00A44DE1"/>
    <w:rsid w:val="00A45980"/>
    <w:rsid w:val="00A4598C"/>
    <w:rsid w:val="00A469F5"/>
    <w:rsid w:val="00A47272"/>
    <w:rsid w:val="00A474B4"/>
    <w:rsid w:val="00A478E4"/>
    <w:rsid w:val="00A47976"/>
    <w:rsid w:val="00A5363B"/>
    <w:rsid w:val="00A543E0"/>
    <w:rsid w:val="00A54B60"/>
    <w:rsid w:val="00A56C40"/>
    <w:rsid w:val="00A619C8"/>
    <w:rsid w:val="00A61A5A"/>
    <w:rsid w:val="00A65D55"/>
    <w:rsid w:val="00A66876"/>
    <w:rsid w:val="00A73551"/>
    <w:rsid w:val="00A74448"/>
    <w:rsid w:val="00A74E36"/>
    <w:rsid w:val="00A776F6"/>
    <w:rsid w:val="00A77DE1"/>
    <w:rsid w:val="00A811F6"/>
    <w:rsid w:val="00A81F63"/>
    <w:rsid w:val="00A82F54"/>
    <w:rsid w:val="00A8383E"/>
    <w:rsid w:val="00A84AAE"/>
    <w:rsid w:val="00A863FB"/>
    <w:rsid w:val="00A87BDA"/>
    <w:rsid w:val="00A9111F"/>
    <w:rsid w:val="00A92D70"/>
    <w:rsid w:val="00A9407A"/>
    <w:rsid w:val="00A94ACD"/>
    <w:rsid w:val="00A94EE3"/>
    <w:rsid w:val="00A951BA"/>
    <w:rsid w:val="00A95DD0"/>
    <w:rsid w:val="00A96FF5"/>
    <w:rsid w:val="00A97588"/>
    <w:rsid w:val="00AA0680"/>
    <w:rsid w:val="00AA1150"/>
    <w:rsid w:val="00AA192D"/>
    <w:rsid w:val="00AA1DCA"/>
    <w:rsid w:val="00AA47EB"/>
    <w:rsid w:val="00AB0AE4"/>
    <w:rsid w:val="00AB0C11"/>
    <w:rsid w:val="00AB162B"/>
    <w:rsid w:val="00AB1E8B"/>
    <w:rsid w:val="00AB2B99"/>
    <w:rsid w:val="00AB2D53"/>
    <w:rsid w:val="00AB371D"/>
    <w:rsid w:val="00AB3A6D"/>
    <w:rsid w:val="00AB4544"/>
    <w:rsid w:val="00AB6109"/>
    <w:rsid w:val="00AB6369"/>
    <w:rsid w:val="00AB733C"/>
    <w:rsid w:val="00AB746E"/>
    <w:rsid w:val="00AC10FE"/>
    <w:rsid w:val="00AC137D"/>
    <w:rsid w:val="00AC176C"/>
    <w:rsid w:val="00AC226B"/>
    <w:rsid w:val="00AC2379"/>
    <w:rsid w:val="00AC339D"/>
    <w:rsid w:val="00AC5B78"/>
    <w:rsid w:val="00AC618C"/>
    <w:rsid w:val="00AC747B"/>
    <w:rsid w:val="00AC7554"/>
    <w:rsid w:val="00AC7800"/>
    <w:rsid w:val="00AC7C38"/>
    <w:rsid w:val="00AC7E1F"/>
    <w:rsid w:val="00AD0434"/>
    <w:rsid w:val="00AD172C"/>
    <w:rsid w:val="00AD1ABE"/>
    <w:rsid w:val="00AD3141"/>
    <w:rsid w:val="00AD480B"/>
    <w:rsid w:val="00AD4862"/>
    <w:rsid w:val="00AD4B4E"/>
    <w:rsid w:val="00AD4C3F"/>
    <w:rsid w:val="00AD5FB1"/>
    <w:rsid w:val="00AE1443"/>
    <w:rsid w:val="00AE32B0"/>
    <w:rsid w:val="00AE4AF9"/>
    <w:rsid w:val="00AE755D"/>
    <w:rsid w:val="00AE7769"/>
    <w:rsid w:val="00AF0A91"/>
    <w:rsid w:val="00AF0AC1"/>
    <w:rsid w:val="00AF1BC8"/>
    <w:rsid w:val="00AF2E9C"/>
    <w:rsid w:val="00AF325A"/>
    <w:rsid w:val="00AF3E92"/>
    <w:rsid w:val="00AF4545"/>
    <w:rsid w:val="00AF4A56"/>
    <w:rsid w:val="00AF4E99"/>
    <w:rsid w:val="00AF7D7D"/>
    <w:rsid w:val="00B00942"/>
    <w:rsid w:val="00B0148A"/>
    <w:rsid w:val="00B047EE"/>
    <w:rsid w:val="00B05C80"/>
    <w:rsid w:val="00B06954"/>
    <w:rsid w:val="00B07468"/>
    <w:rsid w:val="00B075CD"/>
    <w:rsid w:val="00B106E8"/>
    <w:rsid w:val="00B133F9"/>
    <w:rsid w:val="00B1340D"/>
    <w:rsid w:val="00B13F34"/>
    <w:rsid w:val="00B171BA"/>
    <w:rsid w:val="00B20BD9"/>
    <w:rsid w:val="00B22AED"/>
    <w:rsid w:val="00B237A0"/>
    <w:rsid w:val="00B26C25"/>
    <w:rsid w:val="00B27579"/>
    <w:rsid w:val="00B30FC7"/>
    <w:rsid w:val="00B32682"/>
    <w:rsid w:val="00B32D6F"/>
    <w:rsid w:val="00B336EB"/>
    <w:rsid w:val="00B339FD"/>
    <w:rsid w:val="00B35314"/>
    <w:rsid w:val="00B3720F"/>
    <w:rsid w:val="00B4049F"/>
    <w:rsid w:val="00B4147B"/>
    <w:rsid w:val="00B4162D"/>
    <w:rsid w:val="00B42672"/>
    <w:rsid w:val="00B426C6"/>
    <w:rsid w:val="00B42ADA"/>
    <w:rsid w:val="00B42D4C"/>
    <w:rsid w:val="00B42EB6"/>
    <w:rsid w:val="00B43120"/>
    <w:rsid w:val="00B44233"/>
    <w:rsid w:val="00B44442"/>
    <w:rsid w:val="00B45D68"/>
    <w:rsid w:val="00B4614D"/>
    <w:rsid w:val="00B461F1"/>
    <w:rsid w:val="00B51665"/>
    <w:rsid w:val="00B52463"/>
    <w:rsid w:val="00B53346"/>
    <w:rsid w:val="00B5362B"/>
    <w:rsid w:val="00B5436D"/>
    <w:rsid w:val="00B54BEB"/>
    <w:rsid w:val="00B54D53"/>
    <w:rsid w:val="00B57445"/>
    <w:rsid w:val="00B6060F"/>
    <w:rsid w:val="00B60F1E"/>
    <w:rsid w:val="00B61269"/>
    <w:rsid w:val="00B6396A"/>
    <w:rsid w:val="00B649A8"/>
    <w:rsid w:val="00B6579A"/>
    <w:rsid w:val="00B65F87"/>
    <w:rsid w:val="00B66329"/>
    <w:rsid w:val="00B66820"/>
    <w:rsid w:val="00B70BD5"/>
    <w:rsid w:val="00B70CAC"/>
    <w:rsid w:val="00B71B06"/>
    <w:rsid w:val="00B748EF"/>
    <w:rsid w:val="00B76531"/>
    <w:rsid w:val="00B77257"/>
    <w:rsid w:val="00B777AF"/>
    <w:rsid w:val="00B80773"/>
    <w:rsid w:val="00B82D68"/>
    <w:rsid w:val="00B83DD7"/>
    <w:rsid w:val="00B84AC2"/>
    <w:rsid w:val="00B84FB5"/>
    <w:rsid w:val="00B86743"/>
    <w:rsid w:val="00B90424"/>
    <w:rsid w:val="00B927DE"/>
    <w:rsid w:val="00B92D1A"/>
    <w:rsid w:val="00B92E1B"/>
    <w:rsid w:val="00B932CE"/>
    <w:rsid w:val="00B972E1"/>
    <w:rsid w:val="00B97F95"/>
    <w:rsid w:val="00BA023C"/>
    <w:rsid w:val="00BA117A"/>
    <w:rsid w:val="00BA18DD"/>
    <w:rsid w:val="00BA22F4"/>
    <w:rsid w:val="00BA30DB"/>
    <w:rsid w:val="00BA335B"/>
    <w:rsid w:val="00BA441A"/>
    <w:rsid w:val="00BA46D2"/>
    <w:rsid w:val="00BA5890"/>
    <w:rsid w:val="00BA5C99"/>
    <w:rsid w:val="00BA61D2"/>
    <w:rsid w:val="00BA6C63"/>
    <w:rsid w:val="00BA773C"/>
    <w:rsid w:val="00BB0610"/>
    <w:rsid w:val="00BB0DC8"/>
    <w:rsid w:val="00BB1B69"/>
    <w:rsid w:val="00BB2003"/>
    <w:rsid w:val="00BB4D3D"/>
    <w:rsid w:val="00BB726E"/>
    <w:rsid w:val="00BC1F08"/>
    <w:rsid w:val="00BC2390"/>
    <w:rsid w:val="00BC27BE"/>
    <w:rsid w:val="00BC295F"/>
    <w:rsid w:val="00BC3D0D"/>
    <w:rsid w:val="00BC4C44"/>
    <w:rsid w:val="00BD03F1"/>
    <w:rsid w:val="00BD3C50"/>
    <w:rsid w:val="00BD528A"/>
    <w:rsid w:val="00BD5FE9"/>
    <w:rsid w:val="00BD65E7"/>
    <w:rsid w:val="00BD6B82"/>
    <w:rsid w:val="00BD7DC4"/>
    <w:rsid w:val="00BE1032"/>
    <w:rsid w:val="00BE3188"/>
    <w:rsid w:val="00BE3B32"/>
    <w:rsid w:val="00BE681C"/>
    <w:rsid w:val="00BE7993"/>
    <w:rsid w:val="00BF01A8"/>
    <w:rsid w:val="00BF2278"/>
    <w:rsid w:val="00BF2659"/>
    <w:rsid w:val="00BF2EE9"/>
    <w:rsid w:val="00BF30AD"/>
    <w:rsid w:val="00BF3A8B"/>
    <w:rsid w:val="00BF497C"/>
    <w:rsid w:val="00BF56AF"/>
    <w:rsid w:val="00BF66A5"/>
    <w:rsid w:val="00BF785D"/>
    <w:rsid w:val="00C02FCC"/>
    <w:rsid w:val="00C03684"/>
    <w:rsid w:val="00C03865"/>
    <w:rsid w:val="00C0775D"/>
    <w:rsid w:val="00C1141D"/>
    <w:rsid w:val="00C12A0C"/>
    <w:rsid w:val="00C12CC6"/>
    <w:rsid w:val="00C1483D"/>
    <w:rsid w:val="00C16F0B"/>
    <w:rsid w:val="00C17FCA"/>
    <w:rsid w:val="00C22EEB"/>
    <w:rsid w:val="00C2383D"/>
    <w:rsid w:val="00C308F0"/>
    <w:rsid w:val="00C30E57"/>
    <w:rsid w:val="00C336B5"/>
    <w:rsid w:val="00C33E4F"/>
    <w:rsid w:val="00C367D9"/>
    <w:rsid w:val="00C36D51"/>
    <w:rsid w:val="00C37477"/>
    <w:rsid w:val="00C374BC"/>
    <w:rsid w:val="00C4021F"/>
    <w:rsid w:val="00C4185C"/>
    <w:rsid w:val="00C41E87"/>
    <w:rsid w:val="00C42125"/>
    <w:rsid w:val="00C42565"/>
    <w:rsid w:val="00C43CF8"/>
    <w:rsid w:val="00C43FE9"/>
    <w:rsid w:val="00C461D1"/>
    <w:rsid w:val="00C47559"/>
    <w:rsid w:val="00C50314"/>
    <w:rsid w:val="00C50786"/>
    <w:rsid w:val="00C52CC0"/>
    <w:rsid w:val="00C575F7"/>
    <w:rsid w:val="00C609CE"/>
    <w:rsid w:val="00C611A0"/>
    <w:rsid w:val="00C65638"/>
    <w:rsid w:val="00C65650"/>
    <w:rsid w:val="00C67EAD"/>
    <w:rsid w:val="00C67F99"/>
    <w:rsid w:val="00C717F5"/>
    <w:rsid w:val="00C71822"/>
    <w:rsid w:val="00C74583"/>
    <w:rsid w:val="00C75192"/>
    <w:rsid w:val="00C76A15"/>
    <w:rsid w:val="00C76C16"/>
    <w:rsid w:val="00C76E5B"/>
    <w:rsid w:val="00C8103B"/>
    <w:rsid w:val="00C812E9"/>
    <w:rsid w:val="00C816D7"/>
    <w:rsid w:val="00C81B19"/>
    <w:rsid w:val="00C852FE"/>
    <w:rsid w:val="00C863F0"/>
    <w:rsid w:val="00C90787"/>
    <w:rsid w:val="00C91730"/>
    <w:rsid w:val="00C92152"/>
    <w:rsid w:val="00C92477"/>
    <w:rsid w:val="00C9272C"/>
    <w:rsid w:val="00C93262"/>
    <w:rsid w:val="00C933A1"/>
    <w:rsid w:val="00C938E9"/>
    <w:rsid w:val="00C943D2"/>
    <w:rsid w:val="00C950A8"/>
    <w:rsid w:val="00C95BD7"/>
    <w:rsid w:val="00C97672"/>
    <w:rsid w:val="00CA0532"/>
    <w:rsid w:val="00CA0793"/>
    <w:rsid w:val="00CA0BB9"/>
    <w:rsid w:val="00CA281E"/>
    <w:rsid w:val="00CA292F"/>
    <w:rsid w:val="00CA2A0C"/>
    <w:rsid w:val="00CA3331"/>
    <w:rsid w:val="00CA4C24"/>
    <w:rsid w:val="00CA4EE4"/>
    <w:rsid w:val="00CA6130"/>
    <w:rsid w:val="00CA6967"/>
    <w:rsid w:val="00CA6D83"/>
    <w:rsid w:val="00CB3A71"/>
    <w:rsid w:val="00CB4197"/>
    <w:rsid w:val="00CB43FA"/>
    <w:rsid w:val="00CB513F"/>
    <w:rsid w:val="00CB66E7"/>
    <w:rsid w:val="00CC1208"/>
    <w:rsid w:val="00CC1C9F"/>
    <w:rsid w:val="00CC2425"/>
    <w:rsid w:val="00CC30A1"/>
    <w:rsid w:val="00CC3774"/>
    <w:rsid w:val="00CC4909"/>
    <w:rsid w:val="00CC491B"/>
    <w:rsid w:val="00CC69CE"/>
    <w:rsid w:val="00CC77D0"/>
    <w:rsid w:val="00CD0515"/>
    <w:rsid w:val="00CD342C"/>
    <w:rsid w:val="00CD3594"/>
    <w:rsid w:val="00CD4791"/>
    <w:rsid w:val="00CD48A8"/>
    <w:rsid w:val="00CE0C2D"/>
    <w:rsid w:val="00CE0E14"/>
    <w:rsid w:val="00CE1CE1"/>
    <w:rsid w:val="00CE224E"/>
    <w:rsid w:val="00CE3B1A"/>
    <w:rsid w:val="00CE3BDA"/>
    <w:rsid w:val="00CF10CE"/>
    <w:rsid w:val="00CF3508"/>
    <w:rsid w:val="00CF3C6C"/>
    <w:rsid w:val="00CF4AF0"/>
    <w:rsid w:val="00CF5457"/>
    <w:rsid w:val="00CF5DD0"/>
    <w:rsid w:val="00CF64DD"/>
    <w:rsid w:val="00CF7B00"/>
    <w:rsid w:val="00D008D4"/>
    <w:rsid w:val="00D0140C"/>
    <w:rsid w:val="00D03FC5"/>
    <w:rsid w:val="00D04ACC"/>
    <w:rsid w:val="00D04D79"/>
    <w:rsid w:val="00D04D91"/>
    <w:rsid w:val="00D05125"/>
    <w:rsid w:val="00D06D73"/>
    <w:rsid w:val="00D0705A"/>
    <w:rsid w:val="00D07096"/>
    <w:rsid w:val="00D10133"/>
    <w:rsid w:val="00D105F2"/>
    <w:rsid w:val="00D11D9A"/>
    <w:rsid w:val="00D11E45"/>
    <w:rsid w:val="00D11F13"/>
    <w:rsid w:val="00D1204B"/>
    <w:rsid w:val="00D12F63"/>
    <w:rsid w:val="00D14A8F"/>
    <w:rsid w:val="00D16E01"/>
    <w:rsid w:val="00D20016"/>
    <w:rsid w:val="00D2027E"/>
    <w:rsid w:val="00D22BC7"/>
    <w:rsid w:val="00D23485"/>
    <w:rsid w:val="00D23D98"/>
    <w:rsid w:val="00D24E62"/>
    <w:rsid w:val="00D25146"/>
    <w:rsid w:val="00D260EF"/>
    <w:rsid w:val="00D30F3F"/>
    <w:rsid w:val="00D32695"/>
    <w:rsid w:val="00D332ED"/>
    <w:rsid w:val="00D34D93"/>
    <w:rsid w:val="00D35602"/>
    <w:rsid w:val="00D35878"/>
    <w:rsid w:val="00D42BEF"/>
    <w:rsid w:val="00D43033"/>
    <w:rsid w:val="00D43D32"/>
    <w:rsid w:val="00D469A9"/>
    <w:rsid w:val="00D46DB1"/>
    <w:rsid w:val="00D46F07"/>
    <w:rsid w:val="00D50C87"/>
    <w:rsid w:val="00D50F3C"/>
    <w:rsid w:val="00D524C4"/>
    <w:rsid w:val="00D537E8"/>
    <w:rsid w:val="00D55414"/>
    <w:rsid w:val="00D56F54"/>
    <w:rsid w:val="00D5723F"/>
    <w:rsid w:val="00D574EA"/>
    <w:rsid w:val="00D619FB"/>
    <w:rsid w:val="00D61CBD"/>
    <w:rsid w:val="00D65B16"/>
    <w:rsid w:val="00D67694"/>
    <w:rsid w:val="00D7297C"/>
    <w:rsid w:val="00D72B60"/>
    <w:rsid w:val="00D805E1"/>
    <w:rsid w:val="00D805E7"/>
    <w:rsid w:val="00D806AF"/>
    <w:rsid w:val="00D81000"/>
    <w:rsid w:val="00D83650"/>
    <w:rsid w:val="00D85DC8"/>
    <w:rsid w:val="00D86FB5"/>
    <w:rsid w:val="00D921B0"/>
    <w:rsid w:val="00D96855"/>
    <w:rsid w:val="00D97CD8"/>
    <w:rsid w:val="00DA0F82"/>
    <w:rsid w:val="00DA18A2"/>
    <w:rsid w:val="00DA226B"/>
    <w:rsid w:val="00DA296C"/>
    <w:rsid w:val="00DA44C6"/>
    <w:rsid w:val="00DB00D1"/>
    <w:rsid w:val="00DB098A"/>
    <w:rsid w:val="00DB1996"/>
    <w:rsid w:val="00DB2126"/>
    <w:rsid w:val="00DB27AB"/>
    <w:rsid w:val="00DB2DFE"/>
    <w:rsid w:val="00DB2F75"/>
    <w:rsid w:val="00DB7667"/>
    <w:rsid w:val="00DB7A98"/>
    <w:rsid w:val="00DB7FA1"/>
    <w:rsid w:val="00DC069B"/>
    <w:rsid w:val="00DC31DB"/>
    <w:rsid w:val="00DC3C2B"/>
    <w:rsid w:val="00DC5B3E"/>
    <w:rsid w:val="00DC750D"/>
    <w:rsid w:val="00DC77EC"/>
    <w:rsid w:val="00DD06AE"/>
    <w:rsid w:val="00DD278E"/>
    <w:rsid w:val="00DD4F11"/>
    <w:rsid w:val="00DD53C2"/>
    <w:rsid w:val="00DD7ECE"/>
    <w:rsid w:val="00DE1772"/>
    <w:rsid w:val="00DE454A"/>
    <w:rsid w:val="00DE527B"/>
    <w:rsid w:val="00DE5718"/>
    <w:rsid w:val="00DE6214"/>
    <w:rsid w:val="00DE6888"/>
    <w:rsid w:val="00DE79EA"/>
    <w:rsid w:val="00DE7A80"/>
    <w:rsid w:val="00DF071C"/>
    <w:rsid w:val="00DF2DEA"/>
    <w:rsid w:val="00DF2F4F"/>
    <w:rsid w:val="00DF34C1"/>
    <w:rsid w:val="00DF565A"/>
    <w:rsid w:val="00DF760D"/>
    <w:rsid w:val="00DF7CEA"/>
    <w:rsid w:val="00DF7D5A"/>
    <w:rsid w:val="00E02813"/>
    <w:rsid w:val="00E03928"/>
    <w:rsid w:val="00E04065"/>
    <w:rsid w:val="00E053C4"/>
    <w:rsid w:val="00E05FFE"/>
    <w:rsid w:val="00E101D6"/>
    <w:rsid w:val="00E103CE"/>
    <w:rsid w:val="00E1068B"/>
    <w:rsid w:val="00E11129"/>
    <w:rsid w:val="00E13ABD"/>
    <w:rsid w:val="00E14283"/>
    <w:rsid w:val="00E1564E"/>
    <w:rsid w:val="00E15EE6"/>
    <w:rsid w:val="00E17D5A"/>
    <w:rsid w:val="00E21DAB"/>
    <w:rsid w:val="00E22BF7"/>
    <w:rsid w:val="00E24B23"/>
    <w:rsid w:val="00E272D5"/>
    <w:rsid w:val="00E27EC8"/>
    <w:rsid w:val="00E308F8"/>
    <w:rsid w:val="00E329B0"/>
    <w:rsid w:val="00E3408F"/>
    <w:rsid w:val="00E34238"/>
    <w:rsid w:val="00E35B17"/>
    <w:rsid w:val="00E4028E"/>
    <w:rsid w:val="00E407E7"/>
    <w:rsid w:val="00E424B1"/>
    <w:rsid w:val="00E424E6"/>
    <w:rsid w:val="00E428F1"/>
    <w:rsid w:val="00E4387E"/>
    <w:rsid w:val="00E43B70"/>
    <w:rsid w:val="00E47049"/>
    <w:rsid w:val="00E4712C"/>
    <w:rsid w:val="00E50D6F"/>
    <w:rsid w:val="00E50F5F"/>
    <w:rsid w:val="00E5296F"/>
    <w:rsid w:val="00E52B37"/>
    <w:rsid w:val="00E53AD4"/>
    <w:rsid w:val="00E53AEF"/>
    <w:rsid w:val="00E53C47"/>
    <w:rsid w:val="00E54F45"/>
    <w:rsid w:val="00E55029"/>
    <w:rsid w:val="00E55595"/>
    <w:rsid w:val="00E609F5"/>
    <w:rsid w:val="00E6209D"/>
    <w:rsid w:val="00E63AFF"/>
    <w:rsid w:val="00E64936"/>
    <w:rsid w:val="00E65340"/>
    <w:rsid w:val="00E666E0"/>
    <w:rsid w:val="00E67D60"/>
    <w:rsid w:val="00E7166C"/>
    <w:rsid w:val="00E717BB"/>
    <w:rsid w:val="00E728C3"/>
    <w:rsid w:val="00E73B45"/>
    <w:rsid w:val="00E73C30"/>
    <w:rsid w:val="00E7552B"/>
    <w:rsid w:val="00E80207"/>
    <w:rsid w:val="00E80EDC"/>
    <w:rsid w:val="00E8105C"/>
    <w:rsid w:val="00E8424A"/>
    <w:rsid w:val="00E84BB9"/>
    <w:rsid w:val="00E85211"/>
    <w:rsid w:val="00E85DBA"/>
    <w:rsid w:val="00E87B6D"/>
    <w:rsid w:val="00E914B1"/>
    <w:rsid w:val="00E9188C"/>
    <w:rsid w:val="00E91898"/>
    <w:rsid w:val="00E91D28"/>
    <w:rsid w:val="00E91EBF"/>
    <w:rsid w:val="00E944B8"/>
    <w:rsid w:val="00E9580A"/>
    <w:rsid w:val="00E95DCB"/>
    <w:rsid w:val="00E96E1F"/>
    <w:rsid w:val="00EA1A85"/>
    <w:rsid w:val="00EA1FAD"/>
    <w:rsid w:val="00EA450D"/>
    <w:rsid w:val="00EA5126"/>
    <w:rsid w:val="00EA7A01"/>
    <w:rsid w:val="00EA7BF3"/>
    <w:rsid w:val="00EB0CF3"/>
    <w:rsid w:val="00EB35CF"/>
    <w:rsid w:val="00EB3A1E"/>
    <w:rsid w:val="00EB4D22"/>
    <w:rsid w:val="00EB559A"/>
    <w:rsid w:val="00EB619A"/>
    <w:rsid w:val="00EB78EF"/>
    <w:rsid w:val="00EB7F63"/>
    <w:rsid w:val="00EC1727"/>
    <w:rsid w:val="00EC2056"/>
    <w:rsid w:val="00EC252F"/>
    <w:rsid w:val="00EC282D"/>
    <w:rsid w:val="00EC3055"/>
    <w:rsid w:val="00EC4D05"/>
    <w:rsid w:val="00EC5C1B"/>
    <w:rsid w:val="00EC5DEE"/>
    <w:rsid w:val="00EC6103"/>
    <w:rsid w:val="00EC7F3E"/>
    <w:rsid w:val="00ED066A"/>
    <w:rsid w:val="00ED111D"/>
    <w:rsid w:val="00ED1E9F"/>
    <w:rsid w:val="00ED279A"/>
    <w:rsid w:val="00ED2ACA"/>
    <w:rsid w:val="00ED6BFA"/>
    <w:rsid w:val="00ED7EC0"/>
    <w:rsid w:val="00EE03D0"/>
    <w:rsid w:val="00EE16BC"/>
    <w:rsid w:val="00EE2119"/>
    <w:rsid w:val="00EE2808"/>
    <w:rsid w:val="00EE321E"/>
    <w:rsid w:val="00EE38D3"/>
    <w:rsid w:val="00EE657C"/>
    <w:rsid w:val="00EF08DC"/>
    <w:rsid w:val="00EF1379"/>
    <w:rsid w:val="00EF1D33"/>
    <w:rsid w:val="00EF2280"/>
    <w:rsid w:val="00EF43F9"/>
    <w:rsid w:val="00EF52DE"/>
    <w:rsid w:val="00EF56D0"/>
    <w:rsid w:val="00EF5D8B"/>
    <w:rsid w:val="00EF5FFA"/>
    <w:rsid w:val="00EF7293"/>
    <w:rsid w:val="00EF7599"/>
    <w:rsid w:val="00EF7C34"/>
    <w:rsid w:val="00F00D6F"/>
    <w:rsid w:val="00F01078"/>
    <w:rsid w:val="00F02090"/>
    <w:rsid w:val="00F0306F"/>
    <w:rsid w:val="00F10B72"/>
    <w:rsid w:val="00F11651"/>
    <w:rsid w:val="00F126C7"/>
    <w:rsid w:val="00F143FD"/>
    <w:rsid w:val="00F14AA5"/>
    <w:rsid w:val="00F14BB6"/>
    <w:rsid w:val="00F14C16"/>
    <w:rsid w:val="00F1604F"/>
    <w:rsid w:val="00F164C9"/>
    <w:rsid w:val="00F16A23"/>
    <w:rsid w:val="00F17A74"/>
    <w:rsid w:val="00F2050C"/>
    <w:rsid w:val="00F21170"/>
    <w:rsid w:val="00F213E2"/>
    <w:rsid w:val="00F217DF"/>
    <w:rsid w:val="00F2275F"/>
    <w:rsid w:val="00F22FAF"/>
    <w:rsid w:val="00F240E2"/>
    <w:rsid w:val="00F249F7"/>
    <w:rsid w:val="00F25C28"/>
    <w:rsid w:val="00F306BE"/>
    <w:rsid w:val="00F323FC"/>
    <w:rsid w:val="00F351C0"/>
    <w:rsid w:val="00F414EF"/>
    <w:rsid w:val="00F428B8"/>
    <w:rsid w:val="00F47898"/>
    <w:rsid w:val="00F47A36"/>
    <w:rsid w:val="00F50717"/>
    <w:rsid w:val="00F51129"/>
    <w:rsid w:val="00F51620"/>
    <w:rsid w:val="00F539EF"/>
    <w:rsid w:val="00F53AF9"/>
    <w:rsid w:val="00F54C5B"/>
    <w:rsid w:val="00F55053"/>
    <w:rsid w:val="00F551FE"/>
    <w:rsid w:val="00F56B91"/>
    <w:rsid w:val="00F56D5C"/>
    <w:rsid w:val="00F56E41"/>
    <w:rsid w:val="00F56EC7"/>
    <w:rsid w:val="00F57686"/>
    <w:rsid w:val="00F6190F"/>
    <w:rsid w:val="00F628F8"/>
    <w:rsid w:val="00F62B32"/>
    <w:rsid w:val="00F633EA"/>
    <w:rsid w:val="00F63E84"/>
    <w:rsid w:val="00F65B24"/>
    <w:rsid w:val="00F66808"/>
    <w:rsid w:val="00F673AA"/>
    <w:rsid w:val="00F67BA6"/>
    <w:rsid w:val="00F67E3E"/>
    <w:rsid w:val="00F711B2"/>
    <w:rsid w:val="00F71A9C"/>
    <w:rsid w:val="00F74633"/>
    <w:rsid w:val="00F75BAA"/>
    <w:rsid w:val="00F77664"/>
    <w:rsid w:val="00F77953"/>
    <w:rsid w:val="00F80B4E"/>
    <w:rsid w:val="00F8162D"/>
    <w:rsid w:val="00F82BA7"/>
    <w:rsid w:val="00F846FE"/>
    <w:rsid w:val="00F84B6B"/>
    <w:rsid w:val="00F8778F"/>
    <w:rsid w:val="00F90109"/>
    <w:rsid w:val="00F90769"/>
    <w:rsid w:val="00F90D3A"/>
    <w:rsid w:val="00F95352"/>
    <w:rsid w:val="00F9691B"/>
    <w:rsid w:val="00F96A3A"/>
    <w:rsid w:val="00FA024E"/>
    <w:rsid w:val="00FA329B"/>
    <w:rsid w:val="00FA3411"/>
    <w:rsid w:val="00FA3941"/>
    <w:rsid w:val="00FA3AA4"/>
    <w:rsid w:val="00FA51BD"/>
    <w:rsid w:val="00FA56BB"/>
    <w:rsid w:val="00FA66F5"/>
    <w:rsid w:val="00FB1356"/>
    <w:rsid w:val="00FB22F0"/>
    <w:rsid w:val="00FB287F"/>
    <w:rsid w:val="00FB40C9"/>
    <w:rsid w:val="00FB439C"/>
    <w:rsid w:val="00FB6999"/>
    <w:rsid w:val="00FC194D"/>
    <w:rsid w:val="00FC1D3F"/>
    <w:rsid w:val="00FC2B53"/>
    <w:rsid w:val="00FC2D89"/>
    <w:rsid w:val="00FC4C54"/>
    <w:rsid w:val="00FC5895"/>
    <w:rsid w:val="00FC5C0B"/>
    <w:rsid w:val="00FD093B"/>
    <w:rsid w:val="00FD09A2"/>
    <w:rsid w:val="00FD0B60"/>
    <w:rsid w:val="00FD1ED8"/>
    <w:rsid w:val="00FD3A15"/>
    <w:rsid w:val="00FD3E7B"/>
    <w:rsid w:val="00FD431F"/>
    <w:rsid w:val="00FD60B4"/>
    <w:rsid w:val="00FE1D28"/>
    <w:rsid w:val="00FE5B1C"/>
    <w:rsid w:val="00FE7915"/>
    <w:rsid w:val="00FF01D9"/>
    <w:rsid w:val="00FF2DEB"/>
    <w:rsid w:val="00FF3F85"/>
    <w:rsid w:val="00FF4941"/>
    <w:rsid w:val="00FF4EAF"/>
    <w:rsid w:val="00FF4F50"/>
    <w:rsid w:val="00FF6138"/>
    <w:rsid w:val="00FF7E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45EA17"/>
  <w15:chartTrackingRefBased/>
  <w15:docId w15:val="{EE00B8C9-9445-4AE2-B8EF-089BE0E4A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endnote text"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F7941"/>
    <w:pPr>
      <w:spacing w:line="360" w:lineRule="auto"/>
    </w:pPr>
    <w:rPr>
      <w:rFonts w:ascii="Arial" w:hAnsi="Arial"/>
      <w:sz w:val="24"/>
      <w:szCs w:val="24"/>
    </w:rPr>
  </w:style>
  <w:style w:type="paragraph" w:styleId="Nagwek1">
    <w:name w:val="heading 1"/>
    <w:aliases w:val="podrozdział"/>
    <w:basedOn w:val="Normalny"/>
    <w:next w:val="Normalny"/>
    <w:link w:val="Nagwek1Znak"/>
    <w:qFormat/>
    <w:rsid w:val="008E7C03"/>
    <w:pPr>
      <w:keepNext/>
      <w:jc w:val="right"/>
      <w:outlineLvl w:val="0"/>
    </w:pPr>
    <w:rPr>
      <w:rFonts w:cs="Arial"/>
      <w:b/>
      <w:bCs/>
      <w:kern w:val="32"/>
      <w:sz w:val="40"/>
      <w:szCs w:val="32"/>
    </w:rPr>
  </w:style>
  <w:style w:type="paragraph" w:styleId="Nagwek2">
    <w:name w:val="heading 2"/>
    <w:aliases w:val=" Znak"/>
    <w:basedOn w:val="Normalny"/>
    <w:next w:val="Normalny"/>
    <w:link w:val="Nagwek2Znak"/>
    <w:qFormat/>
    <w:rsid w:val="008E7C03"/>
    <w:pPr>
      <w:keepNext/>
      <w:jc w:val="center"/>
      <w:outlineLvl w:val="1"/>
    </w:pPr>
    <w:rPr>
      <w:rFonts w:cs="Arial"/>
      <w:b/>
      <w:bCs/>
      <w:iCs/>
      <w:sz w:val="36"/>
      <w:szCs w:val="28"/>
    </w:rPr>
  </w:style>
  <w:style w:type="paragraph" w:styleId="Nagwek3">
    <w:name w:val="heading 3"/>
    <w:basedOn w:val="Normalny"/>
    <w:next w:val="Normalny"/>
    <w:link w:val="Nagwek3Znak"/>
    <w:qFormat/>
    <w:rsid w:val="008E7C03"/>
    <w:pPr>
      <w:keepNext/>
      <w:spacing w:before="240" w:after="60"/>
      <w:outlineLvl w:val="2"/>
    </w:pPr>
    <w:rPr>
      <w:rFonts w:cs="Arial"/>
      <w:bCs/>
      <w:i/>
      <w:sz w:val="20"/>
      <w:szCs w:val="26"/>
    </w:rPr>
  </w:style>
  <w:style w:type="paragraph" w:styleId="Nagwek4">
    <w:name w:val="heading 4"/>
    <w:basedOn w:val="Normalny"/>
    <w:next w:val="Normalny"/>
    <w:link w:val="Nagwek4Znak"/>
    <w:qFormat/>
    <w:rsid w:val="00C71822"/>
    <w:pPr>
      <w:keepNext/>
      <w:jc w:val="right"/>
      <w:outlineLvl w:val="3"/>
    </w:pPr>
    <w:rPr>
      <w:bCs/>
      <w:sz w:val="30"/>
      <w:szCs w:val="20"/>
    </w:rPr>
  </w:style>
  <w:style w:type="paragraph" w:styleId="Nagwek5">
    <w:name w:val="heading 5"/>
    <w:basedOn w:val="Normalny"/>
    <w:next w:val="Normalny"/>
    <w:link w:val="Nagwek5Znak"/>
    <w:qFormat/>
    <w:rsid w:val="00A20B3F"/>
    <w:pPr>
      <w:outlineLvl w:val="4"/>
    </w:pPr>
    <w:rPr>
      <w:bCs/>
      <w:i/>
      <w:iCs/>
      <w:sz w:val="20"/>
      <w:szCs w:val="26"/>
    </w:rPr>
  </w:style>
  <w:style w:type="paragraph" w:styleId="Nagwek6">
    <w:name w:val="heading 6"/>
    <w:basedOn w:val="Normalny"/>
    <w:next w:val="Normalny"/>
    <w:link w:val="Nagwek6Znak"/>
    <w:qFormat/>
    <w:rsid w:val="008E7C03"/>
    <w:pPr>
      <w:ind w:left="709" w:hanging="709"/>
      <w:outlineLvl w:val="5"/>
    </w:pPr>
    <w:rPr>
      <w:bCs/>
      <w:i/>
      <w:sz w:val="20"/>
      <w:szCs w:val="22"/>
    </w:rPr>
  </w:style>
  <w:style w:type="paragraph" w:styleId="Nagwek7">
    <w:name w:val="heading 7"/>
    <w:basedOn w:val="Nagwek6"/>
    <w:next w:val="Normalny"/>
    <w:link w:val="Nagwek7Znak"/>
    <w:qFormat/>
    <w:rsid w:val="002A62C3"/>
    <w:pPr>
      <w:ind w:left="0" w:firstLine="0"/>
      <w:outlineLvl w:val="6"/>
    </w:pPr>
    <w:rPr>
      <w:lang w:val="x-none" w:eastAsia="x-none"/>
    </w:rPr>
  </w:style>
  <w:style w:type="paragraph" w:styleId="Nagwek8">
    <w:name w:val="heading 8"/>
    <w:basedOn w:val="Normalny"/>
    <w:next w:val="Normalny"/>
    <w:link w:val="Nagwek8Znak"/>
    <w:qFormat/>
    <w:rsid w:val="00142694"/>
    <w:pPr>
      <w:spacing w:before="240" w:after="60"/>
      <w:outlineLvl w:val="7"/>
    </w:pPr>
    <w:rPr>
      <w:i/>
      <w:iCs/>
      <w:sz w:val="20"/>
      <w:lang w:val="x-none" w:eastAsia="x-none"/>
    </w:rPr>
  </w:style>
  <w:style w:type="paragraph" w:styleId="Nagwek9">
    <w:name w:val="heading 9"/>
    <w:basedOn w:val="Normalny"/>
    <w:next w:val="Normalny"/>
    <w:link w:val="Nagwek9Znak"/>
    <w:qFormat/>
    <w:rsid w:val="00142694"/>
    <w:pPr>
      <w:keepNext/>
      <w:spacing w:before="120" w:after="120"/>
      <w:jc w:val="center"/>
      <w:outlineLvl w:val="8"/>
    </w:pPr>
    <w:rPr>
      <w:rFonts w:ascii="Times New Roman" w:hAnsi="Times New Roman"/>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aliases w:val=" Znak Znak"/>
    <w:link w:val="Nagwek2"/>
    <w:rsid w:val="008E7C03"/>
    <w:rPr>
      <w:rFonts w:ascii="Arial" w:hAnsi="Arial" w:cs="Arial"/>
      <w:b/>
      <w:bCs/>
      <w:iCs/>
      <w:sz w:val="36"/>
      <w:szCs w:val="28"/>
      <w:lang w:val="pl-PL" w:eastAsia="pl-PL" w:bidi="ar-SA"/>
    </w:rPr>
  </w:style>
  <w:style w:type="character" w:customStyle="1" w:styleId="Nagwek6Znak">
    <w:name w:val="Nagłówek 6 Znak"/>
    <w:link w:val="Nagwek6"/>
    <w:rsid w:val="00C71822"/>
    <w:rPr>
      <w:rFonts w:ascii="Arial" w:hAnsi="Arial"/>
      <w:bCs/>
      <w:i/>
      <w:szCs w:val="22"/>
      <w:lang w:val="pl-PL" w:eastAsia="pl-PL" w:bidi="ar-SA"/>
    </w:rPr>
  </w:style>
  <w:style w:type="character" w:customStyle="1" w:styleId="Nagwek7Znak">
    <w:name w:val="Nagłówek 7 Znak"/>
    <w:link w:val="Nagwek7"/>
    <w:rsid w:val="002A62C3"/>
    <w:rPr>
      <w:rFonts w:ascii="Arial" w:hAnsi="Arial"/>
      <w:bCs/>
      <w:i/>
      <w:szCs w:val="22"/>
    </w:rPr>
  </w:style>
  <w:style w:type="character" w:customStyle="1" w:styleId="Nagwek8Znak">
    <w:name w:val="Nagłówek 8 Znak"/>
    <w:link w:val="Nagwek8"/>
    <w:rsid w:val="00142694"/>
    <w:rPr>
      <w:rFonts w:ascii="Arial" w:hAnsi="Arial"/>
      <w:i/>
      <w:iCs/>
      <w:szCs w:val="24"/>
    </w:rPr>
  </w:style>
  <w:style w:type="character" w:customStyle="1" w:styleId="Nagwek9Znak">
    <w:name w:val="Nagłówek 9 Znak"/>
    <w:link w:val="Nagwek9"/>
    <w:rsid w:val="00142694"/>
    <w:rPr>
      <w:sz w:val="24"/>
    </w:rPr>
  </w:style>
  <w:style w:type="paragraph" w:styleId="Spistreci5">
    <w:name w:val="toc 5"/>
    <w:basedOn w:val="Normalny"/>
    <w:next w:val="Normalny"/>
    <w:autoRedefine/>
    <w:uiPriority w:val="39"/>
    <w:rsid w:val="002A62C3"/>
    <w:pPr>
      <w:tabs>
        <w:tab w:val="right" w:leader="dot" w:pos="9062"/>
      </w:tabs>
      <w:ind w:left="567" w:hanging="283"/>
    </w:pPr>
    <w:rPr>
      <w:noProof/>
      <w:sz w:val="16"/>
    </w:rPr>
  </w:style>
  <w:style w:type="character" w:styleId="Hipercze">
    <w:name w:val="Hyperlink"/>
    <w:uiPriority w:val="99"/>
    <w:rsid w:val="008E7C03"/>
    <w:rPr>
      <w:color w:val="0000FF"/>
      <w:u w:val="single"/>
    </w:rPr>
  </w:style>
  <w:style w:type="paragraph" w:styleId="Spistreci1">
    <w:name w:val="toc 1"/>
    <w:basedOn w:val="Normalny"/>
    <w:next w:val="Normalny"/>
    <w:autoRedefine/>
    <w:uiPriority w:val="39"/>
    <w:rsid w:val="00CF5457"/>
    <w:pPr>
      <w:tabs>
        <w:tab w:val="right" w:leader="dot" w:pos="9062"/>
      </w:tabs>
      <w:spacing w:before="120" w:line="480" w:lineRule="auto"/>
      <w:ind w:left="142" w:hanging="218"/>
    </w:pPr>
    <w:rPr>
      <w:b/>
      <w:noProof/>
      <w:sz w:val="16"/>
    </w:rPr>
  </w:style>
  <w:style w:type="paragraph" w:styleId="Spistreci4">
    <w:name w:val="toc 4"/>
    <w:basedOn w:val="Normalny"/>
    <w:next w:val="Normalny"/>
    <w:autoRedefine/>
    <w:uiPriority w:val="39"/>
    <w:rsid w:val="00E67D60"/>
    <w:pPr>
      <w:tabs>
        <w:tab w:val="right" w:leader="dot" w:pos="9062"/>
      </w:tabs>
      <w:ind w:left="568" w:hanging="284"/>
    </w:pPr>
    <w:rPr>
      <w:noProof/>
      <w:sz w:val="16"/>
    </w:rPr>
  </w:style>
  <w:style w:type="paragraph" w:styleId="Spistreci2">
    <w:name w:val="toc 2"/>
    <w:basedOn w:val="Normalny"/>
    <w:next w:val="Normalny"/>
    <w:autoRedefine/>
    <w:uiPriority w:val="39"/>
    <w:rsid w:val="00DE6214"/>
    <w:pPr>
      <w:tabs>
        <w:tab w:val="left" w:pos="1134"/>
        <w:tab w:val="right" w:leader="dot" w:pos="9062"/>
      </w:tabs>
      <w:spacing w:line="480" w:lineRule="auto"/>
      <w:ind w:left="1134" w:hanging="454"/>
    </w:pPr>
    <w:rPr>
      <w:caps/>
      <w:noProof/>
      <w:sz w:val="18"/>
      <w:szCs w:val="16"/>
    </w:rPr>
  </w:style>
  <w:style w:type="paragraph" w:styleId="Spistreci3">
    <w:name w:val="toc 3"/>
    <w:basedOn w:val="Normalny"/>
    <w:next w:val="Normalny"/>
    <w:autoRedefine/>
    <w:uiPriority w:val="39"/>
    <w:rsid w:val="00E63AFF"/>
    <w:pPr>
      <w:tabs>
        <w:tab w:val="left" w:pos="1928"/>
        <w:tab w:val="right" w:leader="dot" w:pos="9062"/>
      </w:tabs>
      <w:spacing w:line="480" w:lineRule="auto"/>
      <w:ind w:left="2041" w:hanging="737"/>
    </w:pPr>
    <w:rPr>
      <w:noProof/>
      <w:sz w:val="18"/>
    </w:rPr>
  </w:style>
  <w:style w:type="paragraph" w:styleId="Spistreci6">
    <w:name w:val="toc 6"/>
    <w:basedOn w:val="Normalny"/>
    <w:next w:val="Normalny"/>
    <w:autoRedefine/>
    <w:uiPriority w:val="39"/>
    <w:rsid w:val="00501A2A"/>
    <w:pPr>
      <w:tabs>
        <w:tab w:val="left" w:pos="1701"/>
        <w:tab w:val="right" w:leader="dot" w:pos="9062"/>
      </w:tabs>
      <w:ind w:left="1701" w:hanging="425"/>
    </w:pPr>
    <w:rPr>
      <w:i/>
      <w:noProof/>
      <w:sz w:val="16"/>
    </w:rPr>
  </w:style>
  <w:style w:type="paragraph" w:styleId="Stopka">
    <w:name w:val="footer"/>
    <w:basedOn w:val="Normalny"/>
    <w:link w:val="StopkaZnak"/>
    <w:rsid w:val="008E7C03"/>
    <w:pPr>
      <w:tabs>
        <w:tab w:val="center" w:pos="4536"/>
        <w:tab w:val="right" w:pos="9072"/>
      </w:tabs>
    </w:pPr>
  </w:style>
  <w:style w:type="table" w:styleId="Tabela-Siatka">
    <w:name w:val="Table Grid"/>
    <w:basedOn w:val="Standardowy"/>
    <w:rsid w:val="008E7C03"/>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basedOn w:val="Domylnaczcionkaakapitu"/>
    <w:rsid w:val="008E7C03"/>
  </w:style>
  <w:style w:type="paragraph" w:styleId="Nagwek">
    <w:name w:val="header"/>
    <w:aliases w:val="Nagłówek Znak Znak Znak Znak Znak,Nagłówek strony"/>
    <w:basedOn w:val="Normalny"/>
    <w:link w:val="NagwekZnak"/>
    <w:rsid w:val="00394256"/>
    <w:pPr>
      <w:tabs>
        <w:tab w:val="center" w:pos="4536"/>
        <w:tab w:val="right" w:pos="9072"/>
      </w:tabs>
    </w:pPr>
    <w:rPr>
      <w:lang w:val="x-none" w:eastAsia="x-none"/>
    </w:rPr>
  </w:style>
  <w:style w:type="character" w:customStyle="1" w:styleId="NagwekZnak">
    <w:name w:val="Nagłówek Znak"/>
    <w:aliases w:val="Nagłówek Znak Znak Znak Znak Znak Znak1,Nagłówek strony Znak"/>
    <w:link w:val="Nagwek"/>
    <w:rsid w:val="00142694"/>
    <w:rPr>
      <w:rFonts w:ascii="Arial" w:hAnsi="Arial"/>
      <w:sz w:val="24"/>
      <w:szCs w:val="24"/>
    </w:rPr>
  </w:style>
  <w:style w:type="paragraph" w:styleId="Tekstprzypisudolnego">
    <w:name w:val="footnote text"/>
    <w:basedOn w:val="Normalny"/>
    <w:link w:val="TekstprzypisudolnegoZnak"/>
    <w:uiPriority w:val="99"/>
    <w:rsid w:val="00CA4C24"/>
    <w:pPr>
      <w:tabs>
        <w:tab w:val="left" w:pos="851"/>
      </w:tabs>
      <w:spacing w:line="200" w:lineRule="exact"/>
      <w:ind w:firstLine="567"/>
      <w:jc w:val="both"/>
    </w:pPr>
    <w:rPr>
      <w:i/>
      <w:sz w:val="20"/>
      <w:szCs w:val="20"/>
      <w:lang w:val="x-none" w:eastAsia="x-none"/>
    </w:rPr>
  </w:style>
  <w:style w:type="character" w:customStyle="1" w:styleId="TekstprzypisudolnegoZnak">
    <w:name w:val="Tekst przypisu dolnego Znak"/>
    <w:link w:val="Tekstprzypisudolnego"/>
    <w:uiPriority w:val="99"/>
    <w:rsid w:val="00142694"/>
    <w:rPr>
      <w:rFonts w:ascii="Arial" w:hAnsi="Arial"/>
      <w:i/>
    </w:rPr>
  </w:style>
  <w:style w:type="character" w:styleId="Odwoanieprzypisudolnego">
    <w:name w:val="footnote reference"/>
    <w:rsid w:val="00CA4C24"/>
    <w:rPr>
      <w:vertAlign w:val="superscript"/>
    </w:rPr>
  </w:style>
  <w:style w:type="paragraph" w:styleId="Tekstpodstawowywcity">
    <w:name w:val="Body Text Indent"/>
    <w:basedOn w:val="Normalny"/>
    <w:link w:val="TekstpodstawowywcityZnak"/>
    <w:rsid w:val="007240C2"/>
    <w:pPr>
      <w:ind w:firstLine="357"/>
      <w:jc w:val="both"/>
    </w:pPr>
    <w:rPr>
      <w:rFonts w:ascii="Verdana" w:hAnsi="Verdana"/>
      <w:sz w:val="20"/>
      <w:szCs w:val="20"/>
    </w:rPr>
  </w:style>
  <w:style w:type="character" w:styleId="Odwoaniedokomentarza">
    <w:name w:val="annotation reference"/>
    <w:semiHidden/>
    <w:rsid w:val="0087657E"/>
    <w:rPr>
      <w:sz w:val="16"/>
      <w:szCs w:val="16"/>
    </w:rPr>
  </w:style>
  <w:style w:type="paragraph" w:styleId="Indeks2">
    <w:name w:val="index 2"/>
    <w:basedOn w:val="Normalny"/>
    <w:next w:val="Normalny"/>
    <w:autoRedefine/>
    <w:semiHidden/>
    <w:rsid w:val="00060D16"/>
    <w:pPr>
      <w:ind w:left="480" w:hanging="240"/>
    </w:pPr>
  </w:style>
  <w:style w:type="paragraph" w:styleId="Tekstkomentarza">
    <w:name w:val="annotation text"/>
    <w:basedOn w:val="Normalny"/>
    <w:link w:val="TekstkomentarzaZnak"/>
    <w:semiHidden/>
    <w:rsid w:val="0087657E"/>
    <w:rPr>
      <w:sz w:val="20"/>
      <w:szCs w:val="20"/>
    </w:rPr>
  </w:style>
  <w:style w:type="paragraph" w:styleId="Tematkomentarza">
    <w:name w:val="annotation subject"/>
    <w:basedOn w:val="Tekstkomentarza"/>
    <w:next w:val="Tekstkomentarza"/>
    <w:link w:val="TematkomentarzaZnak"/>
    <w:semiHidden/>
    <w:rsid w:val="0087657E"/>
    <w:rPr>
      <w:b/>
      <w:bCs/>
    </w:rPr>
  </w:style>
  <w:style w:type="paragraph" w:styleId="Tekstdymka">
    <w:name w:val="Balloon Text"/>
    <w:basedOn w:val="Normalny"/>
    <w:link w:val="TekstdymkaZnak"/>
    <w:semiHidden/>
    <w:rsid w:val="0087657E"/>
    <w:rPr>
      <w:rFonts w:ascii="Tahoma" w:hAnsi="Tahoma" w:cs="Tahoma"/>
      <w:sz w:val="16"/>
      <w:szCs w:val="16"/>
    </w:rPr>
  </w:style>
  <w:style w:type="paragraph" w:styleId="Mapadokumentu">
    <w:name w:val="Document Map"/>
    <w:basedOn w:val="Normalny"/>
    <w:link w:val="MapadokumentuZnak"/>
    <w:semiHidden/>
    <w:rsid w:val="000F3842"/>
    <w:pPr>
      <w:shd w:val="clear" w:color="auto" w:fill="000080"/>
    </w:pPr>
    <w:rPr>
      <w:rFonts w:ascii="Tahoma" w:hAnsi="Tahoma" w:cs="Tahoma"/>
      <w:sz w:val="20"/>
      <w:szCs w:val="20"/>
    </w:rPr>
  </w:style>
  <w:style w:type="character" w:styleId="UyteHipercze">
    <w:name w:val="FollowedHyperlink"/>
    <w:rsid w:val="005C37C9"/>
    <w:rPr>
      <w:color w:val="800080"/>
      <w:u w:val="single"/>
    </w:rPr>
  </w:style>
  <w:style w:type="paragraph" w:customStyle="1" w:styleId="xl155">
    <w:name w:val="xl155"/>
    <w:basedOn w:val="Normalny"/>
    <w:rsid w:val="005C37C9"/>
    <w:pPr>
      <w:shd w:val="clear" w:color="auto" w:fill="B6D9E6"/>
      <w:spacing w:before="100" w:beforeAutospacing="1" w:after="100" w:afterAutospacing="1" w:line="240" w:lineRule="auto"/>
      <w:ind w:firstLineChars="100" w:firstLine="100"/>
      <w:textAlignment w:val="center"/>
    </w:pPr>
    <w:rPr>
      <w:rFonts w:ascii="Arial Narrow" w:hAnsi="Arial Narrow"/>
      <w:sz w:val="10"/>
      <w:szCs w:val="10"/>
    </w:rPr>
  </w:style>
  <w:style w:type="paragraph" w:customStyle="1" w:styleId="xl156">
    <w:name w:val="xl156"/>
    <w:basedOn w:val="Normalny"/>
    <w:rsid w:val="005C37C9"/>
    <w:pPr>
      <w:spacing w:before="100" w:beforeAutospacing="1" w:after="100" w:afterAutospacing="1" w:line="240" w:lineRule="auto"/>
      <w:ind w:firstLineChars="100" w:firstLine="100"/>
      <w:textAlignment w:val="center"/>
    </w:pPr>
    <w:rPr>
      <w:rFonts w:ascii="Arial Narrow" w:hAnsi="Arial Narrow"/>
      <w:sz w:val="10"/>
      <w:szCs w:val="10"/>
    </w:rPr>
  </w:style>
  <w:style w:type="paragraph" w:customStyle="1" w:styleId="xl157">
    <w:name w:val="xl157"/>
    <w:basedOn w:val="Normalny"/>
    <w:rsid w:val="005C37C9"/>
    <w:pPr>
      <w:spacing w:before="100" w:beforeAutospacing="1" w:after="100" w:afterAutospacing="1" w:line="240" w:lineRule="auto"/>
      <w:jc w:val="center"/>
      <w:textAlignment w:val="center"/>
    </w:pPr>
    <w:rPr>
      <w:rFonts w:ascii="Arial Narrow" w:hAnsi="Arial Narrow"/>
      <w:sz w:val="10"/>
      <w:szCs w:val="10"/>
    </w:rPr>
  </w:style>
  <w:style w:type="paragraph" w:customStyle="1" w:styleId="xl158">
    <w:name w:val="xl158"/>
    <w:basedOn w:val="Normalny"/>
    <w:rsid w:val="005C37C9"/>
    <w:pPr>
      <w:spacing w:before="100" w:beforeAutospacing="1" w:after="100" w:afterAutospacing="1" w:line="240" w:lineRule="auto"/>
      <w:jc w:val="right"/>
      <w:textAlignment w:val="center"/>
    </w:pPr>
    <w:rPr>
      <w:rFonts w:ascii="Arial Narrow" w:hAnsi="Arial Narrow"/>
      <w:sz w:val="10"/>
      <w:szCs w:val="10"/>
    </w:rPr>
  </w:style>
  <w:style w:type="paragraph" w:customStyle="1" w:styleId="xl159">
    <w:name w:val="xl159"/>
    <w:basedOn w:val="Normalny"/>
    <w:rsid w:val="005C37C9"/>
    <w:pPr>
      <w:spacing w:before="100" w:beforeAutospacing="1" w:after="100" w:afterAutospacing="1" w:line="240" w:lineRule="auto"/>
    </w:pPr>
    <w:rPr>
      <w:rFonts w:ascii="Arial Narrow" w:hAnsi="Arial Narrow"/>
      <w:sz w:val="10"/>
      <w:szCs w:val="10"/>
    </w:rPr>
  </w:style>
  <w:style w:type="paragraph" w:customStyle="1" w:styleId="xl160">
    <w:name w:val="xl160"/>
    <w:basedOn w:val="Normalny"/>
    <w:rsid w:val="005C37C9"/>
    <w:pPr>
      <w:spacing w:before="100" w:beforeAutospacing="1" w:after="100" w:afterAutospacing="1" w:line="240" w:lineRule="auto"/>
      <w:jc w:val="center"/>
    </w:pPr>
    <w:rPr>
      <w:rFonts w:ascii="Arial Narrow" w:hAnsi="Arial Narrow"/>
      <w:b/>
      <w:bCs/>
      <w:sz w:val="10"/>
      <w:szCs w:val="10"/>
    </w:rPr>
  </w:style>
  <w:style w:type="paragraph" w:customStyle="1" w:styleId="xl161">
    <w:name w:val="xl161"/>
    <w:basedOn w:val="Normalny"/>
    <w:rsid w:val="005C37C9"/>
    <w:pPr>
      <w:spacing w:before="100" w:beforeAutospacing="1" w:after="100" w:afterAutospacing="1" w:line="240" w:lineRule="auto"/>
      <w:jc w:val="center"/>
    </w:pPr>
    <w:rPr>
      <w:rFonts w:ascii="Arial Narrow" w:hAnsi="Arial Narrow"/>
      <w:sz w:val="10"/>
      <w:szCs w:val="10"/>
    </w:rPr>
  </w:style>
  <w:style w:type="paragraph" w:customStyle="1" w:styleId="xl162">
    <w:name w:val="xl162"/>
    <w:basedOn w:val="Normalny"/>
    <w:rsid w:val="005C37C9"/>
    <w:pPr>
      <w:spacing w:before="100" w:beforeAutospacing="1" w:after="100" w:afterAutospacing="1" w:line="240" w:lineRule="auto"/>
      <w:jc w:val="center"/>
    </w:pPr>
    <w:rPr>
      <w:rFonts w:ascii="Arial Narrow" w:hAnsi="Arial Narrow"/>
      <w:sz w:val="10"/>
      <w:szCs w:val="10"/>
    </w:rPr>
  </w:style>
  <w:style w:type="paragraph" w:customStyle="1" w:styleId="xl163">
    <w:name w:val="xl163"/>
    <w:basedOn w:val="Normalny"/>
    <w:rsid w:val="005C37C9"/>
    <w:pPr>
      <w:shd w:val="clear" w:color="auto" w:fill="EFF6FB"/>
      <w:spacing w:before="100" w:beforeAutospacing="1" w:after="100" w:afterAutospacing="1" w:line="240" w:lineRule="auto"/>
      <w:ind w:firstLineChars="100" w:firstLine="100"/>
      <w:textAlignment w:val="center"/>
    </w:pPr>
    <w:rPr>
      <w:rFonts w:ascii="Arial Narrow" w:hAnsi="Arial Narrow"/>
      <w:sz w:val="10"/>
      <w:szCs w:val="10"/>
    </w:rPr>
  </w:style>
  <w:style w:type="paragraph" w:customStyle="1" w:styleId="xl164">
    <w:name w:val="xl164"/>
    <w:basedOn w:val="Normalny"/>
    <w:rsid w:val="005C37C9"/>
    <w:pPr>
      <w:spacing w:before="100" w:beforeAutospacing="1" w:after="100" w:afterAutospacing="1" w:line="240" w:lineRule="auto"/>
    </w:pPr>
    <w:rPr>
      <w:rFonts w:ascii="Arial Narrow" w:hAnsi="Arial Narrow"/>
      <w:b/>
      <w:bCs/>
      <w:sz w:val="10"/>
      <w:szCs w:val="10"/>
    </w:rPr>
  </w:style>
  <w:style w:type="paragraph" w:customStyle="1" w:styleId="xl165">
    <w:name w:val="xl165"/>
    <w:basedOn w:val="Normalny"/>
    <w:rsid w:val="005C37C9"/>
    <w:pPr>
      <w:pBdr>
        <w:bottom w:val="single" w:sz="4" w:space="0" w:color="848484"/>
      </w:pBdr>
      <w:spacing w:before="100" w:beforeAutospacing="1" w:after="100" w:afterAutospacing="1" w:line="240" w:lineRule="auto"/>
    </w:pPr>
    <w:rPr>
      <w:rFonts w:ascii="Arial Narrow" w:hAnsi="Arial Narrow"/>
      <w:b/>
      <w:bCs/>
      <w:sz w:val="10"/>
      <w:szCs w:val="10"/>
    </w:rPr>
  </w:style>
  <w:style w:type="paragraph" w:customStyle="1" w:styleId="xl166">
    <w:name w:val="xl166"/>
    <w:basedOn w:val="Normalny"/>
    <w:rsid w:val="005C37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167">
    <w:name w:val="xl167"/>
    <w:basedOn w:val="Normalny"/>
    <w:rsid w:val="005C37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168">
    <w:name w:val="xl168"/>
    <w:basedOn w:val="Normalny"/>
    <w:rsid w:val="005C37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169">
    <w:name w:val="xl169"/>
    <w:basedOn w:val="Normalny"/>
    <w:rsid w:val="005C37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170">
    <w:name w:val="xl170"/>
    <w:basedOn w:val="Normalny"/>
    <w:rsid w:val="005C37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sz w:val="10"/>
      <w:szCs w:val="10"/>
    </w:rPr>
  </w:style>
  <w:style w:type="paragraph" w:customStyle="1" w:styleId="xl171">
    <w:name w:val="xl171"/>
    <w:basedOn w:val="Normalny"/>
    <w:rsid w:val="005C37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hAnsi="Arial Narrow"/>
      <w:b/>
      <w:bCs/>
      <w:sz w:val="10"/>
      <w:szCs w:val="10"/>
    </w:rPr>
  </w:style>
  <w:style w:type="paragraph" w:customStyle="1" w:styleId="xl172">
    <w:name w:val="xl172"/>
    <w:basedOn w:val="Normalny"/>
    <w:rsid w:val="005C37C9"/>
    <w:pPr>
      <w:pBdr>
        <w:top w:val="single" w:sz="4" w:space="0" w:color="auto"/>
        <w:left w:val="single" w:sz="4" w:space="0" w:color="auto"/>
        <w:bottom w:val="single" w:sz="4" w:space="0" w:color="auto"/>
        <w:right w:val="single" w:sz="4" w:space="0" w:color="auto"/>
      </w:pBdr>
      <w:shd w:val="clear" w:color="auto" w:fill="EFF6FB"/>
      <w:spacing w:before="100" w:beforeAutospacing="1" w:after="100" w:afterAutospacing="1" w:line="240" w:lineRule="auto"/>
      <w:textAlignment w:val="center"/>
    </w:pPr>
    <w:rPr>
      <w:rFonts w:ascii="Arial Narrow" w:hAnsi="Arial Narrow"/>
      <w:sz w:val="10"/>
      <w:szCs w:val="10"/>
    </w:rPr>
  </w:style>
  <w:style w:type="paragraph" w:customStyle="1" w:styleId="xl173">
    <w:name w:val="xl173"/>
    <w:basedOn w:val="Normalny"/>
    <w:rsid w:val="005C37C9"/>
    <w:pPr>
      <w:pBdr>
        <w:top w:val="single" w:sz="4" w:space="0" w:color="auto"/>
        <w:left w:val="single" w:sz="4" w:space="0" w:color="auto"/>
        <w:bottom w:val="single" w:sz="4" w:space="0" w:color="auto"/>
        <w:right w:val="single" w:sz="4" w:space="0" w:color="auto"/>
      </w:pBdr>
      <w:shd w:val="clear" w:color="auto" w:fill="EFF6FB"/>
      <w:spacing w:before="100" w:beforeAutospacing="1" w:after="100" w:afterAutospacing="1" w:line="240" w:lineRule="auto"/>
      <w:jc w:val="center"/>
      <w:textAlignment w:val="center"/>
    </w:pPr>
    <w:rPr>
      <w:rFonts w:ascii="Arial Narrow" w:hAnsi="Arial Narrow"/>
      <w:sz w:val="10"/>
      <w:szCs w:val="10"/>
    </w:rPr>
  </w:style>
  <w:style w:type="paragraph" w:customStyle="1" w:styleId="xl174">
    <w:name w:val="xl174"/>
    <w:basedOn w:val="Normalny"/>
    <w:rsid w:val="005C37C9"/>
    <w:pPr>
      <w:pBdr>
        <w:top w:val="single" w:sz="4" w:space="0" w:color="auto"/>
        <w:left w:val="single" w:sz="4" w:space="0" w:color="auto"/>
        <w:bottom w:val="single" w:sz="4" w:space="0" w:color="auto"/>
        <w:right w:val="single" w:sz="4" w:space="0" w:color="auto"/>
      </w:pBdr>
      <w:shd w:val="clear" w:color="auto" w:fill="EFF6FB"/>
      <w:spacing w:before="100" w:beforeAutospacing="1" w:after="100" w:afterAutospacing="1" w:line="240" w:lineRule="auto"/>
      <w:jc w:val="center"/>
      <w:textAlignment w:val="center"/>
    </w:pPr>
    <w:rPr>
      <w:rFonts w:ascii="Arial Narrow" w:hAnsi="Arial Narrow"/>
      <w:sz w:val="10"/>
      <w:szCs w:val="10"/>
    </w:rPr>
  </w:style>
  <w:style w:type="paragraph" w:customStyle="1" w:styleId="xl175">
    <w:name w:val="xl175"/>
    <w:basedOn w:val="Normalny"/>
    <w:rsid w:val="005C37C9"/>
    <w:pPr>
      <w:pBdr>
        <w:top w:val="single" w:sz="4" w:space="0" w:color="auto"/>
        <w:left w:val="single" w:sz="4" w:space="0" w:color="auto"/>
        <w:bottom w:val="single" w:sz="4" w:space="0" w:color="auto"/>
        <w:right w:val="single" w:sz="4" w:space="0" w:color="auto"/>
      </w:pBdr>
      <w:shd w:val="clear" w:color="auto" w:fill="EFF6FB"/>
      <w:spacing w:before="100" w:beforeAutospacing="1" w:after="100" w:afterAutospacing="1" w:line="240" w:lineRule="auto"/>
      <w:jc w:val="right"/>
      <w:textAlignment w:val="center"/>
    </w:pPr>
    <w:rPr>
      <w:rFonts w:ascii="Arial Narrow" w:hAnsi="Arial Narrow"/>
      <w:sz w:val="10"/>
      <w:szCs w:val="10"/>
    </w:rPr>
  </w:style>
  <w:style w:type="paragraph" w:styleId="Spistreci7">
    <w:name w:val="toc 7"/>
    <w:basedOn w:val="Normalny"/>
    <w:next w:val="Normalny"/>
    <w:autoRedefine/>
    <w:uiPriority w:val="39"/>
    <w:rsid w:val="00E67D60"/>
    <w:pPr>
      <w:tabs>
        <w:tab w:val="right" w:leader="dot" w:pos="9061"/>
      </w:tabs>
      <w:ind w:left="1304" w:hanging="397"/>
    </w:pPr>
    <w:rPr>
      <w:noProof/>
      <w:sz w:val="16"/>
    </w:rPr>
  </w:style>
  <w:style w:type="paragraph" w:styleId="Spistreci8">
    <w:name w:val="toc 8"/>
    <w:basedOn w:val="Normalny"/>
    <w:next w:val="Normalny"/>
    <w:autoRedefine/>
    <w:uiPriority w:val="39"/>
    <w:rsid w:val="00BF66A5"/>
    <w:pPr>
      <w:spacing w:line="240" w:lineRule="auto"/>
      <w:ind w:left="1680"/>
    </w:pPr>
    <w:rPr>
      <w:rFonts w:ascii="Times New Roman" w:hAnsi="Times New Roman"/>
    </w:rPr>
  </w:style>
  <w:style w:type="paragraph" w:styleId="Spistreci9">
    <w:name w:val="toc 9"/>
    <w:basedOn w:val="Normalny"/>
    <w:next w:val="Normalny"/>
    <w:autoRedefine/>
    <w:uiPriority w:val="39"/>
    <w:rsid w:val="00BF66A5"/>
    <w:pPr>
      <w:spacing w:line="240" w:lineRule="auto"/>
      <w:ind w:left="1920"/>
    </w:pPr>
    <w:rPr>
      <w:rFonts w:ascii="Times New Roman" w:hAnsi="Times New Roman"/>
    </w:rPr>
  </w:style>
  <w:style w:type="paragraph" w:styleId="Legenda">
    <w:name w:val="caption"/>
    <w:basedOn w:val="Normalny"/>
    <w:next w:val="Normalny"/>
    <w:qFormat/>
    <w:rsid w:val="00F71A9C"/>
    <w:pPr>
      <w:spacing w:line="240" w:lineRule="auto"/>
    </w:pPr>
    <w:rPr>
      <w:rFonts w:ascii="Times New Roman" w:hAnsi="Times New Roman"/>
      <w:b/>
      <w:bCs/>
      <w:sz w:val="20"/>
      <w:szCs w:val="20"/>
    </w:rPr>
  </w:style>
  <w:style w:type="character" w:styleId="Pogrubienie">
    <w:name w:val="Strong"/>
    <w:qFormat/>
    <w:rsid w:val="00F71A9C"/>
    <w:rPr>
      <w:b/>
      <w:bCs/>
    </w:rPr>
  </w:style>
  <w:style w:type="paragraph" w:customStyle="1" w:styleId="xl153">
    <w:name w:val="xl153"/>
    <w:basedOn w:val="Normalny"/>
    <w:rsid w:val="00B71B06"/>
    <w:pPr>
      <w:pBdr>
        <w:top w:val="single" w:sz="4" w:space="0" w:color="auto"/>
        <w:left w:val="single" w:sz="4" w:space="0" w:color="auto"/>
        <w:bottom w:val="single" w:sz="4" w:space="0" w:color="auto"/>
        <w:right w:val="single" w:sz="4" w:space="0" w:color="auto"/>
      </w:pBdr>
      <w:shd w:val="clear" w:color="auto" w:fill="B7CFE8"/>
      <w:spacing w:before="100" w:beforeAutospacing="1" w:after="100" w:afterAutospacing="1" w:line="240" w:lineRule="auto"/>
      <w:jc w:val="right"/>
      <w:textAlignment w:val="center"/>
    </w:pPr>
    <w:rPr>
      <w:rFonts w:ascii="Arial Narrow" w:hAnsi="Arial Narrow"/>
      <w:b/>
      <w:bCs/>
      <w:sz w:val="12"/>
      <w:szCs w:val="12"/>
    </w:rPr>
  </w:style>
  <w:style w:type="paragraph" w:customStyle="1" w:styleId="xl154">
    <w:name w:val="xl154"/>
    <w:basedOn w:val="Normalny"/>
    <w:rsid w:val="00B71B06"/>
    <w:pPr>
      <w:pBdr>
        <w:top w:val="single" w:sz="4" w:space="0" w:color="auto"/>
        <w:left w:val="single" w:sz="4" w:space="0" w:color="auto"/>
        <w:bottom w:val="single" w:sz="4" w:space="0" w:color="auto"/>
        <w:right w:val="single" w:sz="4" w:space="0" w:color="auto"/>
      </w:pBdr>
      <w:shd w:val="clear" w:color="auto" w:fill="B7CFE8"/>
      <w:spacing w:before="100" w:beforeAutospacing="1" w:after="100" w:afterAutospacing="1" w:line="240" w:lineRule="auto"/>
      <w:jc w:val="right"/>
      <w:textAlignment w:val="center"/>
    </w:pPr>
    <w:rPr>
      <w:rFonts w:ascii="Arial Narrow" w:hAnsi="Arial Narrow"/>
      <w:b/>
      <w:bCs/>
      <w:sz w:val="12"/>
      <w:szCs w:val="12"/>
    </w:rPr>
  </w:style>
  <w:style w:type="character" w:customStyle="1" w:styleId="NagwekZnakZnakZnakZnakZnakZnak">
    <w:name w:val="Nagłówek Znak Znak Znak Znak Znak Znak"/>
    <w:aliases w:val="Nagłówek strony Znak Znak"/>
    <w:rsid w:val="00142694"/>
    <w:rPr>
      <w:sz w:val="24"/>
      <w:szCs w:val="24"/>
      <w:lang w:val="pl-PL" w:eastAsia="pl-PL" w:bidi="ar-SA"/>
    </w:rPr>
  </w:style>
  <w:style w:type="paragraph" w:styleId="Tekstpodstawowywcity3">
    <w:name w:val="Body Text Indent 3"/>
    <w:basedOn w:val="Normalny"/>
    <w:link w:val="Tekstpodstawowywcity3Znak"/>
    <w:rsid w:val="00142694"/>
    <w:pPr>
      <w:widowControl w:val="0"/>
      <w:tabs>
        <w:tab w:val="left" w:pos="0"/>
      </w:tabs>
      <w:spacing w:before="120" w:after="120" w:line="240" w:lineRule="auto"/>
      <w:ind w:firstLine="567"/>
      <w:jc w:val="both"/>
    </w:pPr>
    <w:rPr>
      <w:rFonts w:ascii="Times New Roman" w:hAnsi="Times New Roman"/>
      <w:b/>
      <w:bCs/>
      <w:iCs/>
      <w:lang w:val="x-none" w:eastAsia="x-none"/>
    </w:rPr>
  </w:style>
  <w:style w:type="character" w:customStyle="1" w:styleId="Tekstpodstawowywcity3Znak">
    <w:name w:val="Tekst podstawowy wcięty 3 Znak"/>
    <w:link w:val="Tekstpodstawowywcity3"/>
    <w:rsid w:val="00142694"/>
    <w:rPr>
      <w:b/>
      <w:bCs/>
      <w:iCs/>
      <w:sz w:val="24"/>
      <w:szCs w:val="24"/>
    </w:rPr>
  </w:style>
  <w:style w:type="paragraph" w:customStyle="1" w:styleId="Styl1">
    <w:name w:val="Styl1"/>
    <w:basedOn w:val="Nagwek7"/>
    <w:rsid w:val="00142694"/>
  </w:style>
  <w:style w:type="paragraph" w:customStyle="1" w:styleId="Styl2">
    <w:name w:val="Styl2"/>
    <w:basedOn w:val="Nagwek8"/>
    <w:rsid w:val="00142694"/>
  </w:style>
  <w:style w:type="paragraph" w:styleId="Tekstpodstawowy">
    <w:name w:val="Body Text"/>
    <w:basedOn w:val="Normalny"/>
    <w:link w:val="TekstpodstawowyZnak"/>
    <w:rsid w:val="00142694"/>
    <w:pPr>
      <w:tabs>
        <w:tab w:val="left" w:pos="851"/>
      </w:tabs>
      <w:spacing w:after="120" w:line="200" w:lineRule="exact"/>
      <w:ind w:firstLine="567"/>
      <w:jc w:val="both"/>
    </w:pPr>
    <w:rPr>
      <w:i/>
      <w:sz w:val="14"/>
      <w:szCs w:val="20"/>
      <w:lang w:val="x-none" w:eastAsia="x-none"/>
    </w:rPr>
  </w:style>
  <w:style w:type="character" w:customStyle="1" w:styleId="TekstpodstawowyZnak">
    <w:name w:val="Tekst podstawowy Znak"/>
    <w:link w:val="Tekstpodstawowy"/>
    <w:rsid w:val="00142694"/>
    <w:rPr>
      <w:rFonts w:ascii="Arial" w:hAnsi="Arial"/>
      <w:i/>
      <w:sz w:val="14"/>
    </w:rPr>
  </w:style>
  <w:style w:type="paragraph" w:customStyle="1" w:styleId="tekst">
    <w:name w:val="tekst"/>
    <w:basedOn w:val="Normalny"/>
    <w:autoRedefine/>
    <w:rsid w:val="00142694"/>
    <w:pPr>
      <w:tabs>
        <w:tab w:val="left" w:pos="851"/>
      </w:tabs>
      <w:spacing w:line="270" w:lineRule="exact"/>
      <w:ind w:firstLine="340"/>
      <w:jc w:val="both"/>
    </w:pPr>
    <w:rPr>
      <w:rFonts w:ascii="NewBrunswick" w:hAnsi="NewBrunswick"/>
      <w:i/>
      <w:sz w:val="22"/>
      <w:szCs w:val="20"/>
    </w:rPr>
  </w:style>
  <w:style w:type="paragraph" w:customStyle="1" w:styleId="akapitakapit">
    <w:name w:val="akapitakapit"/>
    <w:basedOn w:val="tekst"/>
    <w:autoRedefine/>
    <w:rsid w:val="00142694"/>
    <w:pPr>
      <w:spacing w:line="80" w:lineRule="exact"/>
      <w:ind w:firstLine="0"/>
    </w:pPr>
  </w:style>
  <w:style w:type="paragraph" w:customStyle="1" w:styleId="xl149">
    <w:name w:val="xl149"/>
    <w:basedOn w:val="Normalny"/>
    <w:rsid w:val="00142694"/>
    <w:pPr>
      <w:pBdr>
        <w:top w:val="single" w:sz="4" w:space="0" w:color="auto"/>
        <w:left w:val="single" w:sz="4" w:space="0" w:color="auto"/>
        <w:bottom w:val="single" w:sz="4" w:space="0" w:color="auto"/>
        <w:right w:val="single" w:sz="4" w:space="0" w:color="auto"/>
      </w:pBdr>
      <w:shd w:val="clear" w:color="auto" w:fill="8DB0DB"/>
      <w:spacing w:before="100" w:beforeAutospacing="1" w:after="100" w:afterAutospacing="1" w:line="240" w:lineRule="auto"/>
      <w:jc w:val="center"/>
      <w:textAlignment w:val="center"/>
    </w:pPr>
    <w:rPr>
      <w:rFonts w:cs="Arial"/>
      <w:b/>
      <w:bCs/>
      <w:sz w:val="14"/>
      <w:szCs w:val="14"/>
    </w:rPr>
  </w:style>
  <w:style w:type="paragraph" w:customStyle="1" w:styleId="xl150">
    <w:name w:val="xl150"/>
    <w:basedOn w:val="Normalny"/>
    <w:rsid w:val="00142694"/>
    <w:pPr>
      <w:pBdr>
        <w:top w:val="single" w:sz="4" w:space="0" w:color="auto"/>
        <w:left w:val="single" w:sz="4" w:space="0" w:color="auto"/>
        <w:bottom w:val="single" w:sz="4" w:space="0" w:color="auto"/>
        <w:right w:val="single" w:sz="4" w:space="0" w:color="auto"/>
      </w:pBdr>
      <w:shd w:val="clear" w:color="auto" w:fill="8DB0DB"/>
      <w:spacing w:before="100" w:beforeAutospacing="1" w:after="100" w:afterAutospacing="1" w:line="240" w:lineRule="auto"/>
      <w:jc w:val="center"/>
      <w:textAlignment w:val="center"/>
    </w:pPr>
    <w:rPr>
      <w:rFonts w:cs="Arial"/>
      <w:b/>
      <w:bCs/>
      <w:sz w:val="14"/>
      <w:szCs w:val="14"/>
    </w:rPr>
  </w:style>
  <w:style w:type="paragraph" w:customStyle="1" w:styleId="xl151">
    <w:name w:val="xl151"/>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2"/>
      <w:szCs w:val="12"/>
    </w:rPr>
  </w:style>
  <w:style w:type="paragraph" w:customStyle="1" w:styleId="xl152">
    <w:name w:val="xl152"/>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2"/>
      <w:szCs w:val="12"/>
    </w:rPr>
  </w:style>
  <w:style w:type="paragraph" w:customStyle="1" w:styleId="xl176">
    <w:name w:val="xl176"/>
    <w:basedOn w:val="Normalny"/>
    <w:rsid w:val="0014269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cs="Arial"/>
      <w:sz w:val="12"/>
      <w:szCs w:val="12"/>
    </w:rPr>
  </w:style>
  <w:style w:type="paragraph" w:customStyle="1" w:styleId="xl177">
    <w:name w:val="xl177"/>
    <w:basedOn w:val="Normalny"/>
    <w:rsid w:val="0014269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cs="Arial"/>
      <w:sz w:val="12"/>
      <w:szCs w:val="12"/>
    </w:rPr>
  </w:style>
  <w:style w:type="paragraph" w:customStyle="1" w:styleId="xl178">
    <w:name w:val="xl178"/>
    <w:basedOn w:val="Normalny"/>
    <w:rsid w:val="0014269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cs="Arial"/>
      <w:sz w:val="12"/>
      <w:szCs w:val="12"/>
    </w:rPr>
  </w:style>
  <w:style w:type="paragraph" w:customStyle="1" w:styleId="xl179">
    <w:name w:val="xl179"/>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jc w:val="center"/>
      <w:textAlignment w:val="center"/>
    </w:pPr>
    <w:rPr>
      <w:rFonts w:cs="Arial"/>
      <w:b/>
      <w:bCs/>
      <w:sz w:val="12"/>
      <w:szCs w:val="12"/>
    </w:rPr>
  </w:style>
  <w:style w:type="paragraph" w:customStyle="1" w:styleId="xl180">
    <w:name w:val="xl180"/>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jc w:val="center"/>
      <w:textAlignment w:val="center"/>
    </w:pPr>
    <w:rPr>
      <w:rFonts w:cs="Arial"/>
      <w:b/>
      <w:bCs/>
      <w:sz w:val="12"/>
      <w:szCs w:val="12"/>
    </w:rPr>
  </w:style>
  <w:style w:type="paragraph" w:customStyle="1" w:styleId="xl181">
    <w:name w:val="xl181"/>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textAlignment w:val="center"/>
    </w:pPr>
    <w:rPr>
      <w:rFonts w:cs="Arial"/>
      <w:b/>
      <w:bCs/>
      <w:sz w:val="12"/>
      <w:szCs w:val="12"/>
    </w:rPr>
  </w:style>
  <w:style w:type="paragraph" w:customStyle="1" w:styleId="xl182">
    <w:name w:val="xl182"/>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textAlignment w:val="center"/>
    </w:pPr>
    <w:rPr>
      <w:rFonts w:cs="Arial"/>
      <w:b/>
      <w:bCs/>
      <w:sz w:val="12"/>
      <w:szCs w:val="12"/>
    </w:rPr>
  </w:style>
  <w:style w:type="paragraph" w:customStyle="1" w:styleId="xl183">
    <w:name w:val="xl183"/>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textAlignment w:val="center"/>
    </w:pPr>
    <w:rPr>
      <w:rFonts w:cs="Arial"/>
      <w:b/>
      <w:bCs/>
      <w:sz w:val="12"/>
      <w:szCs w:val="12"/>
    </w:rPr>
  </w:style>
  <w:style w:type="paragraph" w:customStyle="1" w:styleId="xl184">
    <w:name w:val="xl184"/>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textAlignment w:val="center"/>
    </w:pPr>
    <w:rPr>
      <w:rFonts w:cs="Arial"/>
      <w:b/>
      <w:bCs/>
      <w:sz w:val="12"/>
      <w:szCs w:val="12"/>
    </w:rPr>
  </w:style>
  <w:style w:type="paragraph" w:customStyle="1" w:styleId="xl185">
    <w:name w:val="xl185"/>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textAlignment w:val="center"/>
    </w:pPr>
    <w:rPr>
      <w:rFonts w:cs="Arial"/>
      <w:b/>
      <w:bCs/>
      <w:sz w:val="12"/>
      <w:szCs w:val="12"/>
    </w:rPr>
  </w:style>
  <w:style w:type="paragraph" w:customStyle="1" w:styleId="xl186">
    <w:name w:val="xl186"/>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jc w:val="right"/>
      <w:textAlignment w:val="center"/>
    </w:pPr>
    <w:rPr>
      <w:rFonts w:cs="Arial"/>
      <w:b/>
      <w:bCs/>
      <w:color w:val="FF1818"/>
      <w:sz w:val="12"/>
      <w:szCs w:val="12"/>
    </w:rPr>
  </w:style>
  <w:style w:type="paragraph" w:customStyle="1" w:styleId="xl187">
    <w:name w:val="xl187"/>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textAlignment w:val="center"/>
    </w:pPr>
    <w:rPr>
      <w:rFonts w:cs="Arial"/>
      <w:b/>
      <w:bCs/>
      <w:sz w:val="12"/>
      <w:szCs w:val="12"/>
    </w:rPr>
  </w:style>
  <w:style w:type="paragraph" w:customStyle="1" w:styleId="xl188">
    <w:name w:val="xl188"/>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jc w:val="center"/>
      <w:textAlignment w:val="center"/>
    </w:pPr>
    <w:rPr>
      <w:rFonts w:cs="Arial"/>
      <w:b/>
      <w:bCs/>
      <w:sz w:val="12"/>
      <w:szCs w:val="12"/>
    </w:rPr>
  </w:style>
  <w:style w:type="paragraph" w:customStyle="1" w:styleId="xl189">
    <w:name w:val="xl189"/>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jc w:val="center"/>
      <w:textAlignment w:val="center"/>
    </w:pPr>
    <w:rPr>
      <w:rFonts w:cs="Arial"/>
      <w:b/>
      <w:bCs/>
      <w:sz w:val="12"/>
      <w:szCs w:val="12"/>
    </w:rPr>
  </w:style>
  <w:style w:type="paragraph" w:customStyle="1" w:styleId="xl190">
    <w:name w:val="xl190"/>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jc w:val="right"/>
      <w:textAlignment w:val="center"/>
    </w:pPr>
    <w:rPr>
      <w:rFonts w:cs="Arial"/>
      <w:b/>
      <w:bCs/>
      <w:sz w:val="12"/>
      <w:szCs w:val="12"/>
    </w:rPr>
  </w:style>
  <w:style w:type="paragraph" w:customStyle="1" w:styleId="xl191">
    <w:name w:val="xl191"/>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jc w:val="right"/>
      <w:textAlignment w:val="center"/>
    </w:pPr>
    <w:rPr>
      <w:rFonts w:cs="Arial"/>
      <w:b/>
      <w:bCs/>
      <w:sz w:val="12"/>
      <w:szCs w:val="12"/>
    </w:rPr>
  </w:style>
  <w:style w:type="paragraph" w:customStyle="1" w:styleId="xl192">
    <w:name w:val="xl192"/>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jc w:val="right"/>
      <w:textAlignment w:val="center"/>
    </w:pPr>
    <w:rPr>
      <w:rFonts w:cs="Arial"/>
      <w:b/>
      <w:bCs/>
      <w:sz w:val="12"/>
      <w:szCs w:val="12"/>
    </w:rPr>
  </w:style>
  <w:style w:type="paragraph" w:customStyle="1" w:styleId="xl193">
    <w:name w:val="xl193"/>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textAlignment w:val="center"/>
    </w:pPr>
    <w:rPr>
      <w:rFonts w:cs="Arial"/>
      <w:b/>
      <w:bCs/>
      <w:sz w:val="12"/>
      <w:szCs w:val="12"/>
    </w:rPr>
  </w:style>
  <w:style w:type="paragraph" w:customStyle="1" w:styleId="xl194">
    <w:name w:val="xl194"/>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textAlignment w:val="center"/>
    </w:pPr>
    <w:rPr>
      <w:rFonts w:cs="Arial"/>
      <w:b/>
      <w:bCs/>
      <w:sz w:val="12"/>
      <w:szCs w:val="12"/>
    </w:rPr>
  </w:style>
  <w:style w:type="paragraph" w:customStyle="1" w:styleId="xl195">
    <w:name w:val="xl195"/>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jc w:val="right"/>
      <w:textAlignment w:val="center"/>
    </w:pPr>
    <w:rPr>
      <w:rFonts w:cs="Arial"/>
      <w:b/>
      <w:bCs/>
      <w:color w:val="FF1818"/>
      <w:sz w:val="12"/>
      <w:szCs w:val="12"/>
    </w:rPr>
  </w:style>
  <w:style w:type="paragraph" w:customStyle="1" w:styleId="przerwaakapit">
    <w:name w:val="przerwaakapit"/>
    <w:basedOn w:val="tekst"/>
    <w:rsid w:val="00142694"/>
    <w:pPr>
      <w:spacing w:line="80" w:lineRule="exact"/>
      <w:ind w:firstLine="0"/>
    </w:pPr>
  </w:style>
  <w:style w:type="paragraph" w:customStyle="1" w:styleId="cz">
    <w:name w:val="część"/>
    <w:basedOn w:val="Nagwek1"/>
    <w:autoRedefine/>
    <w:rsid w:val="00142694"/>
    <w:pPr>
      <w:keepNext w:val="0"/>
      <w:tabs>
        <w:tab w:val="left" w:pos="851"/>
      </w:tabs>
      <w:spacing w:line="400" w:lineRule="exact"/>
      <w:ind w:firstLine="567"/>
      <w:jc w:val="center"/>
    </w:pPr>
    <w:rPr>
      <w:rFonts w:ascii="NewBrunswick" w:hAnsi="NewBrunswick" w:cs="Times New Roman"/>
      <w:bCs w:val="0"/>
      <w:i/>
      <w:kern w:val="0"/>
      <w:sz w:val="34"/>
      <w:szCs w:val="20"/>
    </w:rPr>
  </w:style>
  <w:style w:type="paragraph" w:customStyle="1" w:styleId="rozdzia">
    <w:name w:val="rozdział"/>
    <w:basedOn w:val="Nagwek1"/>
    <w:autoRedefine/>
    <w:rsid w:val="00142694"/>
    <w:pPr>
      <w:keepNext w:val="0"/>
      <w:tabs>
        <w:tab w:val="left" w:pos="851"/>
      </w:tabs>
      <w:spacing w:line="270" w:lineRule="exact"/>
      <w:ind w:firstLine="567"/>
      <w:jc w:val="center"/>
    </w:pPr>
    <w:rPr>
      <w:rFonts w:ascii="NewBrunswick" w:hAnsi="NewBrunswick" w:cs="Times New Roman"/>
      <w:bCs w:val="0"/>
      <w:i/>
      <w:kern w:val="0"/>
      <w:sz w:val="30"/>
      <w:szCs w:val="20"/>
    </w:rPr>
  </w:style>
  <w:style w:type="paragraph" w:customStyle="1" w:styleId="cytatatekst">
    <w:name w:val="cytatatekst"/>
    <w:basedOn w:val="tekst"/>
    <w:autoRedefine/>
    <w:rsid w:val="00142694"/>
    <w:pPr>
      <w:spacing w:line="140" w:lineRule="exact"/>
      <w:ind w:firstLine="0"/>
    </w:pPr>
  </w:style>
  <w:style w:type="paragraph" w:customStyle="1" w:styleId="cytat">
    <w:name w:val="cytat"/>
    <w:basedOn w:val="Tekstpodstawowy"/>
    <w:autoRedefine/>
    <w:rsid w:val="00142694"/>
    <w:pPr>
      <w:spacing w:after="0" w:line="270" w:lineRule="exact"/>
      <w:ind w:left="340" w:right="340" w:firstLine="227"/>
    </w:pPr>
    <w:rPr>
      <w:rFonts w:ascii="NewBrunswick" w:hAnsi="NewBrunswick"/>
      <w:b/>
    </w:rPr>
  </w:style>
  <w:style w:type="paragraph" w:customStyle="1" w:styleId="podpiscytatu">
    <w:name w:val="podpiscytatu"/>
    <w:basedOn w:val="Nagwek1"/>
    <w:autoRedefine/>
    <w:rsid w:val="00142694"/>
    <w:pPr>
      <w:keepNext w:val="0"/>
      <w:tabs>
        <w:tab w:val="left" w:pos="851"/>
      </w:tabs>
      <w:spacing w:line="270" w:lineRule="exact"/>
      <w:ind w:right="340" w:firstLine="567"/>
    </w:pPr>
    <w:rPr>
      <w:rFonts w:ascii="NewBrunswick" w:hAnsi="NewBrunswick" w:cs="Times New Roman"/>
      <w:bCs w:val="0"/>
      <w:i/>
      <w:kern w:val="0"/>
      <w:sz w:val="22"/>
      <w:szCs w:val="20"/>
    </w:rPr>
  </w:style>
  <w:style w:type="paragraph" w:customStyle="1" w:styleId="podpiscytat">
    <w:name w:val="podpiscytat"/>
    <w:basedOn w:val="Tekstpodstawowy"/>
    <w:autoRedefine/>
    <w:rsid w:val="00142694"/>
    <w:pPr>
      <w:spacing w:after="0" w:line="270" w:lineRule="exact"/>
      <w:ind w:right="340"/>
      <w:jc w:val="right"/>
    </w:pPr>
    <w:rPr>
      <w:rFonts w:ascii="NewBrunswick" w:hAnsi="NewBrunswick"/>
      <w:b/>
    </w:rPr>
  </w:style>
  <w:style w:type="paragraph" w:customStyle="1" w:styleId="podracytat">
    <w:name w:val="podracytat"/>
    <w:basedOn w:val="Nagwek1"/>
    <w:autoRedefine/>
    <w:rsid w:val="00142694"/>
    <w:pPr>
      <w:keepNext w:val="0"/>
      <w:tabs>
        <w:tab w:val="left" w:pos="851"/>
      </w:tabs>
      <w:spacing w:line="120" w:lineRule="exact"/>
      <w:ind w:firstLine="567"/>
      <w:jc w:val="center"/>
      <w:outlineLvl w:val="9"/>
    </w:pPr>
    <w:rPr>
      <w:rFonts w:ascii="NewBrunswick" w:hAnsi="NewBrunswick" w:cs="Times New Roman"/>
      <w:b w:val="0"/>
      <w:bCs w:val="0"/>
      <w:i/>
      <w:kern w:val="0"/>
      <w:sz w:val="22"/>
      <w:szCs w:val="20"/>
    </w:rPr>
  </w:style>
  <w:style w:type="paragraph" w:styleId="Tytu">
    <w:name w:val="Title"/>
    <w:basedOn w:val="Normalny"/>
    <w:link w:val="TytuZnak"/>
    <w:qFormat/>
    <w:rsid w:val="00142694"/>
    <w:pPr>
      <w:spacing w:line="240" w:lineRule="auto"/>
      <w:jc w:val="center"/>
    </w:pPr>
    <w:rPr>
      <w:b/>
      <w:sz w:val="32"/>
      <w:szCs w:val="20"/>
      <w:lang w:val="x-none" w:eastAsia="x-none"/>
    </w:rPr>
  </w:style>
  <w:style w:type="character" w:customStyle="1" w:styleId="TytuZnak">
    <w:name w:val="Tytuł Znak"/>
    <w:link w:val="Tytu"/>
    <w:rsid w:val="00142694"/>
    <w:rPr>
      <w:rFonts w:ascii="Arial" w:hAnsi="Arial"/>
      <w:b/>
      <w:sz w:val="32"/>
    </w:rPr>
  </w:style>
  <w:style w:type="paragraph" w:styleId="NormalnyWeb">
    <w:name w:val="Normal (Web)"/>
    <w:basedOn w:val="Normalny"/>
    <w:rsid w:val="00142694"/>
    <w:pPr>
      <w:spacing w:before="100" w:after="100" w:line="240" w:lineRule="auto"/>
    </w:pPr>
    <w:rPr>
      <w:rFonts w:ascii="Arial Unicode MS" w:eastAsia="Arial Unicode MS" w:hAnsi="Arial Unicode MS"/>
      <w:szCs w:val="20"/>
    </w:rPr>
  </w:style>
  <w:style w:type="paragraph" w:styleId="Tekstpodstawowy2">
    <w:name w:val="Body Text 2"/>
    <w:basedOn w:val="Normalny"/>
    <w:link w:val="Tekstpodstawowy2Znak"/>
    <w:rsid w:val="00142694"/>
    <w:pPr>
      <w:tabs>
        <w:tab w:val="num" w:pos="426"/>
      </w:tabs>
      <w:spacing w:before="120" w:after="120"/>
      <w:jc w:val="both"/>
    </w:pPr>
    <w:rPr>
      <w:rFonts w:ascii="Times New Roman" w:hAnsi="Times New Roman"/>
      <w:szCs w:val="20"/>
      <w:lang w:val="x-none" w:eastAsia="x-none"/>
    </w:rPr>
  </w:style>
  <w:style w:type="character" w:customStyle="1" w:styleId="Tekstpodstawowy2Znak">
    <w:name w:val="Tekst podstawowy 2 Znak"/>
    <w:link w:val="Tekstpodstawowy2"/>
    <w:rsid w:val="00142694"/>
    <w:rPr>
      <w:sz w:val="24"/>
    </w:rPr>
  </w:style>
  <w:style w:type="paragraph" w:customStyle="1" w:styleId="tyt">
    <w:name w:val="tyt"/>
    <w:basedOn w:val="Normalny"/>
    <w:rsid w:val="00142694"/>
    <w:pPr>
      <w:keepNext/>
      <w:overflowPunct w:val="0"/>
      <w:autoSpaceDE w:val="0"/>
      <w:autoSpaceDN w:val="0"/>
      <w:adjustRightInd w:val="0"/>
      <w:spacing w:before="60" w:after="60" w:line="240" w:lineRule="auto"/>
      <w:jc w:val="center"/>
      <w:textAlignment w:val="baseline"/>
    </w:pPr>
    <w:rPr>
      <w:rFonts w:ascii="Times New Roman" w:hAnsi="Times New Roman"/>
      <w:b/>
      <w:szCs w:val="20"/>
    </w:rPr>
  </w:style>
  <w:style w:type="paragraph" w:customStyle="1" w:styleId="ust">
    <w:name w:val="ust"/>
    <w:rsid w:val="00142694"/>
    <w:pPr>
      <w:overflowPunct w:val="0"/>
      <w:autoSpaceDE w:val="0"/>
      <w:autoSpaceDN w:val="0"/>
      <w:adjustRightInd w:val="0"/>
      <w:spacing w:before="60" w:after="60"/>
      <w:ind w:left="426" w:hanging="284"/>
      <w:jc w:val="both"/>
      <w:textAlignment w:val="baseline"/>
    </w:pPr>
    <w:rPr>
      <w:sz w:val="24"/>
    </w:rPr>
  </w:style>
  <w:style w:type="paragraph" w:customStyle="1" w:styleId="pkt">
    <w:name w:val="pkt"/>
    <w:basedOn w:val="Normalny"/>
    <w:rsid w:val="00142694"/>
    <w:pPr>
      <w:overflowPunct w:val="0"/>
      <w:autoSpaceDE w:val="0"/>
      <w:autoSpaceDN w:val="0"/>
      <w:adjustRightInd w:val="0"/>
      <w:spacing w:before="60" w:after="60" w:line="240" w:lineRule="auto"/>
      <w:ind w:left="851" w:hanging="295"/>
      <w:jc w:val="both"/>
      <w:textAlignment w:val="baseline"/>
    </w:pPr>
    <w:rPr>
      <w:rFonts w:ascii="Times New Roman" w:hAnsi="Times New Roman"/>
      <w:szCs w:val="20"/>
    </w:rPr>
  </w:style>
  <w:style w:type="paragraph" w:customStyle="1" w:styleId="pkt1">
    <w:name w:val="pkt1"/>
    <w:basedOn w:val="pkt"/>
    <w:rsid w:val="00142694"/>
    <w:pPr>
      <w:ind w:left="850" w:hanging="425"/>
    </w:pPr>
  </w:style>
  <w:style w:type="paragraph" w:styleId="Tekstpodstawowywcity2">
    <w:name w:val="Body Text Indent 2"/>
    <w:basedOn w:val="Normalny"/>
    <w:link w:val="Tekstpodstawowywcity2Znak"/>
    <w:rsid w:val="00142694"/>
    <w:pPr>
      <w:tabs>
        <w:tab w:val="left" w:pos="851"/>
      </w:tabs>
      <w:spacing w:line="200" w:lineRule="exact"/>
      <w:ind w:firstLine="708"/>
      <w:jc w:val="both"/>
    </w:pPr>
    <w:rPr>
      <w:rFonts w:ascii="Times New Roman" w:hAnsi="Times New Roman"/>
      <w:iCs/>
      <w:szCs w:val="20"/>
      <w:lang w:val="x-none" w:eastAsia="x-none"/>
    </w:rPr>
  </w:style>
  <w:style w:type="character" w:customStyle="1" w:styleId="Tekstpodstawowywcity2Znak">
    <w:name w:val="Tekst podstawowy wcięty 2 Znak"/>
    <w:link w:val="Tekstpodstawowywcity2"/>
    <w:rsid w:val="00142694"/>
    <w:rPr>
      <w:iCs/>
      <w:sz w:val="24"/>
    </w:rPr>
  </w:style>
  <w:style w:type="paragraph" w:styleId="Tekstpodstawowy3">
    <w:name w:val="Body Text 3"/>
    <w:basedOn w:val="Normalny"/>
    <w:link w:val="Tekstpodstawowy3Znak"/>
    <w:rsid w:val="00142694"/>
    <w:pPr>
      <w:widowControl w:val="0"/>
      <w:tabs>
        <w:tab w:val="left" w:pos="-720"/>
      </w:tabs>
      <w:suppressAutoHyphens/>
      <w:autoSpaceDE w:val="0"/>
      <w:autoSpaceDN w:val="0"/>
      <w:spacing w:line="240" w:lineRule="auto"/>
      <w:jc w:val="both"/>
      <w:outlineLvl w:val="0"/>
    </w:pPr>
    <w:rPr>
      <w:rFonts w:ascii="Arial Narrow" w:hAnsi="Arial Narrow"/>
      <w:b/>
      <w:bCs/>
      <w:spacing w:val="-3"/>
      <w:sz w:val="32"/>
      <w:szCs w:val="32"/>
      <w:lang w:val="en-US" w:eastAsia="x-none"/>
    </w:rPr>
  </w:style>
  <w:style w:type="character" w:customStyle="1" w:styleId="Tekstpodstawowy3Znak">
    <w:name w:val="Tekst podstawowy 3 Znak"/>
    <w:link w:val="Tekstpodstawowy3"/>
    <w:rsid w:val="00142694"/>
    <w:rPr>
      <w:rFonts w:ascii="Arial Narrow" w:hAnsi="Arial Narrow"/>
      <w:b/>
      <w:bCs/>
      <w:spacing w:val="-3"/>
      <w:sz w:val="32"/>
      <w:szCs w:val="32"/>
      <w:lang w:val="en-US"/>
    </w:rPr>
  </w:style>
  <w:style w:type="paragraph" w:styleId="Lista">
    <w:name w:val="List"/>
    <w:basedOn w:val="Normalny"/>
    <w:rsid w:val="00142694"/>
    <w:pPr>
      <w:spacing w:line="240" w:lineRule="auto"/>
      <w:ind w:left="283" w:hanging="283"/>
    </w:pPr>
    <w:rPr>
      <w:rFonts w:ascii="Times New Roman" w:hAnsi="Times New Roman"/>
      <w:sz w:val="20"/>
      <w:szCs w:val="20"/>
    </w:rPr>
  </w:style>
  <w:style w:type="paragraph" w:styleId="Listapunktowana2">
    <w:name w:val="List Bullet 2"/>
    <w:basedOn w:val="Normalny"/>
    <w:autoRedefine/>
    <w:rsid w:val="00142694"/>
    <w:pPr>
      <w:tabs>
        <w:tab w:val="num" w:pos="1854"/>
      </w:tabs>
      <w:ind w:left="1854" w:hanging="360"/>
      <w:jc w:val="both"/>
    </w:pPr>
    <w:rPr>
      <w:rFonts w:ascii="Times New Roman" w:hAnsi="Times New Roman"/>
      <w:snapToGrid w:val="0"/>
      <w:szCs w:val="20"/>
    </w:rPr>
  </w:style>
  <w:style w:type="paragraph" w:styleId="Lista2">
    <w:name w:val="List 2"/>
    <w:basedOn w:val="Normalny"/>
    <w:rsid w:val="00142694"/>
    <w:pPr>
      <w:spacing w:line="240" w:lineRule="auto"/>
      <w:ind w:left="566" w:hanging="283"/>
    </w:pPr>
    <w:rPr>
      <w:rFonts w:ascii="Times New Roman" w:hAnsi="Times New Roman"/>
      <w:sz w:val="20"/>
      <w:szCs w:val="20"/>
    </w:rPr>
  </w:style>
  <w:style w:type="paragraph" w:customStyle="1" w:styleId="Etykietadokumentu">
    <w:name w:val="Etykieta dokumentu"/>
    <w:next w:val="Normalny"/>
    <w:rsid w:val="00142694"/>
    <w:pPr>
      <w:pBdr>
        <w:top w:val="double" w:sz="6" w:space="8" w:color="808080"/>
        <w:bottom w:val="double" w:sz="6" w:space="8" w:color="808080"/>
      </w:pBdr>
      <w:spacing w:after="40" w:line="240" w:lineRule="atLeast"/>
      <w:jc w:val="center"/>
    </w:pPr>
    <w:rPr>
      <w:rFonts w:ascii="Garamond" w:hAnsi="Garamond"/>
      <w:b/>
      <w:caps/>
      <w:spacing w:val="20"/>
      <w:sz w:val="18"/>
      <w:lang w:val="en-US"/>
    </w:rPr>
  </w:style>
  <w:style w:type="character" w:customStyle="1" w:styleId="fcon-text1">
    <w:name w:val="fcon-text1"/>
    <w:rsid w:val="00142694"/>
    <w:rPr>
      <w:rFonts w:ascii="Tahoma" w:hAnsi="Tahoma" w:cs="Tahoma" w:hint="default"/>
      <w:b w:val="0"/>
      <w:bCs w:val="0"/>
      <w:color w:val="625E52"/>
      <w:sz w:val="17"/>
      <w:szCs w:val="17"/>
    </w:rPr>
  </w:style>
  <w:style w:type="paragraph" w:customStyle="1" w:styleId="Tekstpodstawowy21">
    <w:name w:val="Tekst podstawowy 21"/>
    <w:basedOn w:val="Normalny"/>
    <w:rsid w:val="00142694"/>
    <w:pPr>
      <w:jc w:val="both"/>
    </w:pPr>
    <w:rPr>
      <w:rFonts w:ascii="Times New Roman" w:hAnsi="Times New Roman"/>
      <w:szCs w:val="20"/>
    </w:rPr>
  </w:style>
  <w:style w:type="paragraph" w:customStyle="1" w:styleId="font5">
    <w:name w:val="font5"/>
    <w:basedOn w:val="Normalny"/>
    <w:rsid w:val="00142694"/>
    <w:pPr>
      <w:spacing w:before="100" w:beforeAutospacing="1" w:after="100" w:afterAutospacing="1" w:line="240" w:lineRule="auto"/>
    </w:pPr>
    <w:rPr>
      <w:rFonts w:cs="Arial"/>
      <w:sz w:val="18"/>
      <w:szCs w:val="18"/>
    </w:rPr>
  </w:style>
  <w:style w:type="paragraph" w:customStyle="1" w:styleId="font6">
    <w:name w:val="font6"/>
    <w:basedOn w:val="Normalny"/>
    <w:rsid w:val="00142694"/>
    <w:pPr>
      <w:spacing w:before="100" w:beforeAutospacing="1" w:after="100" w:afterAutospacing="1" w:line="240" w:lineRule="auto"/>
    </w:pPr>
    <w:rPr>
      <w:rFonts w:ascii="Tahoma" w:hAnsi="Tahoma" w:cs="Tahoma"/>
      <w:color w:val="000000"/>
      <w:sz w:val="16"/>
      <w:szCs w:val="16"/>
    </w:rPr>
  </w:style>
  <w:style w:type="paragraph" w:customStyle="1" w:styleId="font7">
    <w:name w:val="font7"/>
    <w:basedOn w:val="Normalny"/>
    <w:rsid w:val="00142694"/>
    <w:pPr>
      <w:spacing w:before="100" w:beforeAutospacing="1" w:after="100" w:afterAutospacing="1" w:line="240" w:lineRule="auto"/>
    </w:pPr>
    <w:rPr>
      <w:rFonts w:ascii="Tahoma" w:hAnsi="Tahoma" w:cs="Tahoma"/>
      <w:b/>
      <w:bCs/>
      <w:color w:val="000000"/>
      <w:sz w:val="16"/>
      <w:szCs w:val="16"/>
    </w:rPr>
  </w:style>
  <w:style w:type="paragraph" w:customStyle="1" w:styleId="font8">
    <w:name w:val="font8"/>
    <w:basedOn w:val="Normalny"/>
    <w:rsid w:val="00142694"/>
    <w:pPr>
      <w:spacing w:before="100" w:beforeAutospacing="1" w:after="100" w:afterAutospacing="1" w:line="240" w:lineRule="auto"/>
    </w:pPr>
    <w:rPr>
      <w:rFonts w:cs="Arial"/>
      <w:sz w:val="12"/>
      <w:szCs w:val="12"/>
    </w:rPr>
  </w:style>
  <w:style w:type="paragraph" w:customStyle="1" w:styleId="xl24">
    <w:name w:val="xl24"/>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4"/>
      <w:szCs w:val="14"/>
    </w:rPr>
  </w:style>
  <w:style w:type="paragraph" w:customStyle="1" w:styleId="xl25">
    <w:name w:val="xl25"/>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4"/>
      <w:szCs w:val="14"/>
    </w:rPr>
  </w:style>
  <w:style w:type="paragraph" w:customStyle="1" w:styleId="xl26">
    <w:name w:val="xl26"/>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14"/>
      <w:szCs w:val="14"/>
      <w:u w:val="single"/>
    </w:rPr>
  </w:style>
  <w:style w:type="paragraph" w:customStyle="1" w:styleId="xl27">
    <w:name w:val="xl27"/>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cs="Arial"/>
      <w:sz w:val="14"/>
      <w:szCs w:val="14"/>
    </w:rPr>
  </w:style>
  <w:style w:type="paragraph" w:customStyle="1" w:styleId="xl28">
    <w:name w:val="xl28"/>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4"/>
      <w:szCs w:val="14"/>
    </w:rPr>
  </w:style>
  <w:style w:type="paragraph" w:customStyle="1" w:styleId="xl29">
    <w:name w:val="xl29"/>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2"/>
      <w:szCs w:val="12"/>
    </w:rPr>
  </w:style>
  <w:style w:type="paragraph" w:customStyle="1" w:styleId="xl30">
    <w:name w:val="xl30"/>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4"/>
      <w:szCs w:val="14"/>
      <w:u w:val="single"/>
    </w:rPr>
  </w:style>
  <w:style w:type="paragraph" w:customStyle="1" w:styleId="xl31">
    <w:name w:val="xl31"/>
    <w:basedOn w:val="Normalny"/>
    <w:rsid w:val="0014269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cs="Arial"/>
      <w:sz w:val="14"/>
      <w:szCs w:val="14"/>
    </w:rPr>
  </w:style>
  <w:style w:type="paragraph" w:customStyle="1" w:styleId="xl32">
    <w:name w:val="xl32"/>
    <w:basedOn w:val="Normalny"/>
    <w:rsid w:val="0014269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cs="Arial"/>
      <w:b/>
      <w:bCs/>
      <w:sz w:val="14"/>
      <w:szCs w:val="14"/>
      <w:u w:val="single"/>
    </w:rPr>
  </w:style>
  <w:style w:type="paragraph" w:customStyle="1" w:styleId="xl33">
    <w:name w:val="xl33"/>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color w:val="008000"/>
      <w:sz w:val="14"/>
      <w:szCs w:val="14"/>
    </w:rPr>
  </w:style>
  <w:style w:type="paragraph" w:customStyle="1" w:styleId="xl34">
    <w:name w:val="xl34"/>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2"/>
      <w:szCs w:val="12"/>
    </w:rPr>
  </w:style>
  <w:style w:type="paragraph" w:customStyle="1" w:styleId="xl35">
    <w:name w:val="xl35"/>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2"/>
      <w:szCs w:val="12"/>
    </w:rPr>
  </w:style>
  <w:style w:type="paragraph" w:customStyle="1" w:styleId="xl36">
    <w:name w:val="xl36"/>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2"/>
      <w:szCs w:val="12"/>
    </w:rPr>
  </w:style>
  <w:style w:type="paragraph" w:customStyle="1" w:styleId="xl37">
    <w:name w:val="xl37"/>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 w:val="12"/>
      <w:szCs w:val="12"/>
    </w:rPr>
  </w:style>
  <w:style w:type="paragraph" w:customStyle="1" w:styleId="xl38">
    <w:name w:val="xl38"/>
    <w:basedOn w:val="Normalny"/>
    <w:rsid w:val="0014269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cs="Arial"/>
      <w:sz w:val="12"/>
      <w:szCs w:val="12"/>
    </w:rPr>
  </w:style>
  <w:style w:type="paragraph" w:customStyle="1" w:styleId="xl39">
    <w:name w:val="xl39"/>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 w:val="12"/>
      <w:szCs w:val="12"/>
    </w:rPr>
  </w:style>
  <w:style w:type="paragraph" w:customStyle="1" w:styleId="xl40">
    <w:name w:val="xl40"/>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Arial"/>
      <w:sz w:val="12"/>
      <w:szCs w:val="12"/>
    </w:rPr>
  </w:style>
  <w:style w:type="paragraph" w:customStyle="1" w:styleId="xl41">
    <w:name w:val="xl41"/>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2"/>
      <w:szCs w:val="12"/>
      <w:u w:val="single"/>
    </w:rPr>
  </w:style>
  <w:style w:type="paragraph" w:customStyle="1" w:styleId="xl42">
    <w:name w:val="xl42"/>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2"/>
      <w:szCs w:val="12"/>
    </w:rPr>
  </w:style>
  <w:style w:type="paragraph" w:customStyle="1" w:styleId="xl43">
    <w:name w:val="xl43"/>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 w:val="12"/>
      <w:szCs w:val="12"/>
    </w:rPr>
  </w:style>
  <w:style w:type="paragraph" w:customStyle="1" w:styleId="xl44">
    <w:name w:val="xl44"/>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2"/>
      <w:szCs w:val="12"/>
    </w:rPr>
  </w:style>
  <w:style w:type="paragraph" w:customStyle="1" w:styleId="xl45">
    <w:name w:val="xl45"/>
    <w:basedOn w:val="Normalny"/>
    <w:rsid w:val="0014269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center"/>
    </w:pPr>
    <w:rPr>
      <w:rFonts w:cs="Arial"/>
      <w:b/>
      <w:bCs/>
      <w:color w:val="008000"/>
      <w:sz w:val="14"/>
      <w:szCs w:val="14"/>
    </w:rPr>
  </w:style>
  <w:style w:type="paragraph" w:customStyle="1" w:styleId="xl46">
    <w:name w:val="xl46"/>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rPr>
  </w:style>
  <w:style w:type="paragraph" w:customStyle="1" w:styleId="xl47">
    <w:name w:val="xl47"/>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rPr>
  </w:style>
  <w:style w:type="paragraph" w:customStyle="1" w:styleId="xl48">
    <w:name w:val="xl48"/>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u w:val="single"/>
    </w:rPr>
  </w:style>
  <w:style w:type="paragraph" w:customStyle="1" w:styleId="xl49">
    <w:name w:val="xl49"/>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color w:val="CCFFCC"/>
      <w:sz w:val="14"/>
      <w:szCs w:val="14"/>
      <w:u w:val="single"/>
    </w:rPr>
  </w:style>
  <w:style w:type="paragraph" w:customStyle="1" w:styleId="xl50">
    <w:name w:val="xl50"/>
    <w:basedOn w:val="Normalny"/>
    <w:rsid w:val="0014269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cs="Arial"/>
      <w:b/>
      <w:bCs/>
      <w:color w:val="CCFFCC"/>
      <w:sz w:val="14"/>
      <w:szCs w:val="14"/>
      <w:u w:val="single"/>
    </w:rPr>
  </w:style>
  <w:style w:type="paragraph" w:customStyle="1" w:styleId="xl51">
    <w:name w:val="xl51"/>
    <w:basedOn w:val="Normalny"/>
    <w:rsid w:val="0014269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textAlignment w:val="center"/>
    </w:pPr>
    <w:rPr>
      <w:rFonts w:cs="Arial"/>
      <w:b/>
      <w:bCs/>
      <w:sz w:val="12"/>
      <w:szCs w:val="12"/>
      <w:u w:val="single"/>
    </w:rPr>
  </w:style>
  <w:style w:type="paragraph" w:customStyle="1" w:styleId="xl52">
    <w:name w:val="xl52"/>
    <w:basedOn w:val="Normalny"/>
    <w:rsid w:val="0014269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cs="Arial"/>
      <w:sz w:val="12"/>
      <w:szCs w:val="12"/>
    </w:rPr>
  </w:style>
  <w:style w:type="paragraph" w:customStyle="1" w:styleId="xl53">
    <w:name w:val="xl53"/>
    <w:basedOn w:val="Normalny"/>
    <w:rsid w:val="0014269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textAlignment w:val="center"/>
    </w:pPr>
    <w:rPr>
      <w:rFonts w:cs="Arial"/>
      <w:b/>
      <w:bCs/>
      <w:sz w:val="14"/>
      <w:szCs w:val="14"/>
      <w:u w:val="single"/>
    </w:rPr>
  </w:style>
  <w:style w:type="paragraph" w:customStyle="1" w:styleId="xl54">
    <w:name w:val="xl54"/>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4"/>
      <w:szCs w:val="14"/>
    </w:rPr>
  </w:style>
  <w:style w:type="paragraph" w:customStyle="1" w:styleId="xl55">
    <w:name w:val="xl55"/>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12"/>
      <w:szCs w:val="12"/>
    </w:rPr>
  </w:style>
  <w:style w:type="paragraph" w:customStyle="1" w:styleId="xl56">
    <w:name w:val="xl56"/>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14"/>
      <w:szCs w:val="14"/>
      <w:u w:val="single"/>
    </w:rPr>
  </w:style>
  <w:style w:type="paragraph" w:customStyle="1" w:styleId="xl57">
    <w:name w:val="xl57"/>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2"/>
      <w:szCs w:val="12"/>
    </w:rPr>
  </w:style>
  <w:style w:type="paragraph" w:customStyle="1" w:styleId="xl58">
    <w:name w:val="xl58"/>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2"/>
      <w:szCs w:val="12"/>
    </w:rPr>
  </w:style>
  <w:style w:type="paragraph" w:customStyle="1" w:styleId="xl59">
    <w:name w:val="xl59"/>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rPr>
  </w:style>
  <w:style w:type="paragraph" w:customStyle="1" w:styleId="xl60">
    <w:name w:val="xl60"/>
    <w:basedOn w:val="Normalny"/>
    <w:rsid w:val="00142694"/>
    <w:pPr>
      <w:pBdr>
        <w:top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cs="Arial"/>
      <w:b/>
      <w:bCs/>
      <w:sz w:val="14"/>
      <w:szCs w:val="14"/>
      <w:u w:val="single"/>
    </w:rPr>
  </w:style>
  <w:style w:type="paragraph" w:customStyle="1" w:styleId="xl61">
    <w:name w:val="xl61"/>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14"/>
      <w:szCs w:val="14"/>
      <w:u w:val="single"/>
    </w:rPr>
  </w:style>
  <w:style w:type="paragraph" w:customStyle="1" w:styleId="xl62">
    <w:name w:val="xl62"/>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cs="Arial"/>
      <w:sz w:val="12"/>
      <w:szCs w:val="12"/>
    </w:rPr>
  </w:style>
  <w:style w:type="paragraph" w:customStyle="1" w:styleId="xl63">
    <w:name w:val="xl63"/>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2"/>
      <w:szCs w:val="12"/>
    </w:rPr>
  </w:style>
  <w:style w:type="paragraph" w:customStyle="1" w:styleId="xl64">
    <w:name w:val="xl64"/>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cs="Arial"/>
      <w:sz w:val="12"/>
      <w:szCs w:val="12"/>
    </w:rPr>
  </w:style>
  <w:style w:type="paragraph" w:customStyle="1" w:styleId="xl65">
    <w:name w:val="xl65"/>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pPr>
    <w:rPr>
      <w:rFonts w:cs="Arial"/>
      <w:sz w:val="12"/>
      <w:szCs w:val="12"/>
    </w:rPr>
  </w:style>
  <w:style w:type="paragraph" w:customStyle="1" w:styleId="xl66">
    <w:name w:val="xl66"/>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cs="Arial"/>
      <w:sz w:val="14"/>
      <w:szCs w:val="14"/>
    </w:rPr>
  </w:style>
  <w:style w:type="paragraph" w:customStyle="1" w:styleId="xl67">
    <w:name w:val="xl67"/>
    <w:basedOn w:val="Normalny"/>
    <w:rsid w:val="00142694"/>
    <w:pPr>
      <w:pBdr>
        <w:top w:val="single" w:sz="4" w:space="0" w:color="auto"/>
        <w:bottom w:val="single" w:sz="4" w:space="0" w:color="auto"/>
      </w:pBdr>
      <w:spacing w:before="100" w:beforeAutospacing="1" w:after="100" w:afterAutospacing="1" w:line="240" w:lineRule="auto"/>
      <w:textAlignment w:val="center"/>
    </w:pPr>
    <w:rPr>
      <w:rFonts w:cs="Arial"/>
      <w:b/>
      <w:bCs/>
      <w:sz w:val="14"/>
      <w:szCs w:val="14"/>
    </w:rPr>
  </w:style>
  <w:style w:type="paragraph" w:customStyle="1" w:styleId="xl68">
    <w:name w:val="xl68"/>
    <w:basedOn w:val="Normalny"/>
    <w:rsid w:val="0014269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4"/>
      <w:szCs w:val="14"/>
    </w:rPr>
  </w:style>
  <w:style w:type="paragraph" w:customStyle="1" w:styleId="xl69">
    <w:name w:val="xl69"/>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rPr>
  </w:style>
  <w:style w:type="paragraph" w:customStyle="1" w:styleId="xl70">
    <w:name w:val="xl70"/>
    <w:basedOn w:val="Normalny"/>
    <w:rsid w:val="0014269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rPr>
  </w:style>
  <w:style w:type="paragraph" w:customStyle="1" w:styleId="xl71">
    <w:name w:val="xl71"/>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4"/>
      <w:szCs w:val="14"/>
    </w:rPr>
  </w:style>
  <w:style w:type="paragraph" w:customStyle="1" w:styleId="xl72">
    <w:name w:val="xl72"/>
    <w:basedOn w:val="Normalny"/>
    <w:rsid w:val="0014269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cs="Arial"/>
      <w:sz w:val="14"/>
      <w:szCs w:val="14"/>
    </w:rPr>
  </w:style>
  <w:style w:type="paragraph" w:customStyle="1" w:styleId="xl73">
    <w:name w:val="xl73"/>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4"/>
      <w:szCs w:val="14"/>
    </w:rPr>
  </w:style>
  <w:style w:type="paragraph" w:customStyle="1" w:styleId="xl74">
    <w:name w:val="xl74"/>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ascii="Times New Roman" w:hAnsi="Times New Roman"/>
      <w:b/>
      <w:bCs/>
      <w:sz w:val="14"/>
      <w:szCs w:val="14"/>
    </w:rPr>
  </w:style>
  <w:style w:type="paragraph" w:customStyle="1" w:styleId="xl75">
    <w:name w:val="xl75"/>
    <w:basedOn w:val="Normalny"/>
    <w:rsid w:val="0014269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76">
    <w:name w:val="xl76"/>
    <w:basedOn w:val="Normalny"/>
    <w:rsid w:val="0014269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77">
    <w:name w:val="xl77"/>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2"/>
      <w:szCs w:val="12"/>
    </w:rPr>
  </w:style>
  <w:style w:type="paragraph" w:customStyle="1" w:styleId="xl78">
    <w:name w:val="xl78"/>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2"/>
      <w:szCs w:val="12"/>
    </w:rPr>
  </w:style>
  <w:style w:type="paragraph" w:customStyle="1" w:styleId="xl79">
    <w:name w:val="xl79"/>
    <w:basedOn w:val="Normalny"/>
    <w:rsid w:val="0014269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textAlignment w:val="center"/>
    </w:pPr>
    <w:rPr>
      <w:rFonts w:cs="Arial"/>
      <w:b/>
      <w:bCs/>
      <w:sz w:val="14"/>
      <w:szCs w:val="14"/>
    </w:rPr>
  </w:style>
  <w:style w:type="paragraph" w:customStyle="1" w:styleId="xl80">
    <w:name w:val="xl80"/>
    <w:basedOn w:val="Normalny"/>
    <w:rsid w:val="0014269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textAlignment w:val="center"/>
    </w:pPr>
    <w:rPr>
      <w:rFonts w:cs="Arial"/>
      <w:b/>
      <w:bCs/>
      <w:sz w:val="14"/>
      <w:szCs w:val="14"/>
    </w:rPr>
  </w:style>
  <w:style w:type="paragraph" w:customStyle="1" w:styleId="xl81">
    <w:name w:val="xl81"/>
    <w:basedOn w:val="Normalny"/>
    <w:rsid w:val="0014269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textAlignment w:val="center"/>
    </w:pPr>
    <w:rPr>
      <w:rFonts w:cs="Arial"/>
      <w:b/>
      <w:bCs/>
      <w:sz w:val="14"/>
      <w:szCs w:val="14"/>
    </w:rPr>
  </w:style>
  <w:style w:type="paragraph" w:customStyle="1" w:styleId="xl82">
    <w:name w:val="xl82"/>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cs="Arial"/>
      <w:b/>
      <w:bCs/>
      <w:sz w:val="14"/>
      <w:szCs w:val="14"/>
    </w:rPr>
  </w:style>
  <w:style w:type="paragraph" w:customStyle="1" w:styleId="xl83">
    <w:name w:val="xl83"/>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cs="Arial"/>
      <w:b/>
      <w:bCs/>
      <w:sz w:val="14"/>
      <w:szCs w:val="14"/>
    </w:rPr>
  </w:style>
  <w:style w:type="paragraph" w:customStyle="1" w:styleId="xl84">
    <w:name w:val="xl84"/>
    <w:basedOn w:val="Normalny"/>
    <w:rsid w:val="00142694"/>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textAlignment w:val="center"/>
    </w:pPr>
    <w:rPr>
      <w:rFonts w:cs="Arial"/>
      <w:b/>
      <w:bCs/>
      <w:sz w:val="12"/>
      <w:szCs w:val="12"/>
    </w:rPr>
  </w:style>
  <w:style w:type="paragraph" w:customStyle="1" w:styleId="xl85">
    <w:name w:val="xl85"/>
    <w:basedOn w:val="Normalny"/>
    <w:rsid w:val="00142694"/>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textAlignment w:val="center"/>
    </w:pPr>
    <w:rPr>
      <w:rFonts w:ascii="Times New Roman" w:hAnsi="Times New Roman"/>
      <w:b/>
      <w:bCs/>
      <w:sz w:val="12"/>
      <w:szCs w:val="12"/>
    </w:rPr>
  </w:style>
  <w:style w:type="paragraph" w:customStyle="1" w:styleId="xl86">
    <w:name w:val="xl86"/>
    <w:basedOn w:val="Normalny"/>
    <w:rsid w:val="00142694"/>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textAlignment w:val="center"/>
    </w:pPr>
    <w:rPr>
      <w:rFonts w:cs="Arial"/>
      <w:b/>
      <w:bCs/>
      <w:sz w:val="12"/>
      <w:szCs w:val="12"/>
    </w:rPr>
  </w:style>
  <w:style w:type="paragraph" w:customStyle="1" w:styleId="xl87">
    <w:name w:val="xl87"/>
    <w:basedOn w:val="Normalny"/>
    <w:rsid w:val="00142694"/>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textAlignment w:val="center"/>
    </w:pPr>
    <w:rPr>
      <w:rFonts w:cs="Arial"/>
      <w:b/>
      <w:bCs/>
      <w:sz w:val="12"/>
      <w:szCs w:val="12"/>
    </w:rPr>
  </w:style>
  <w:style w:type="paragraph" w:customStyle="1" w:styleId="xl88">
    <w:name w:val="xl88"/>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cs="Arial"/>
      <w:b/>
      <w:bCs/>
      <w:sz w:val="14"/>
      <w:szCs w:val="14"/>
    </w:rPr>
  </w:style>
  <w:style w:type="paragraph" w:customStyle="1" w:styleId="xl89">
    <w:name w:val="xl89"/>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cs="Arial"/>
      <w:b/>
      <w:bCs/>
      <w:sz w:val="14"/>
      <w:szCs w:val="14"/>
    </w:rPr>
  </w:style>
  <w:style w:type="paragraph" w:customStyle="1" w:styleId="xl90">
    <w:name w:val="xl90"/>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cs="Arial"/>
      <w:b/>
      <w:bCs/>
      <w:sz w:val="14"/>
      <w:szCs w:val="14"/>
    </w:rPr>
  </w:style>
  <w:style w:type="paragraph" w:customStyle="1" w:styleId="xl91">
    <w:name w:val="xl91"/>
    <w:basedOn w:val="Normalny"/>
    <w:rsid w:val="00142694"/>
    <w:pPr>
      <w:pBdr>
        <w:top w:val="single" w:sz="4" w:space="0" w:color="auto"/>
        <w:left w:val="single" w:sz="4" w:space="0" w:color="auto"/>
        <w:bottom w:val="single" w:sz="4" w:space="0" w:color="auto"/>
      </w:pBdr>
      <w:shd w:val="clear" w:color="auto" w:fill="CCFFFF"/>
      <w:spacing w:before="100" w:beforeAutospacing="1" w:after="100" w:afterAutospacing="1" w:line="240" w:lineRule="auto"/>
      <w:textAlignment w:val="center"/>
    </w:pPr>
    <w:rPr>
      <w:rFonts w:cs="Arial"/>
      <w:b/>
      <w:bCs/>
      <w:sz w:val="14"/>
      <w:szCs w:val="14"/>
    </w:rPr>
  </w:style>
  <w:style w:type="paragraph" w:customStyle="1" w:styleId="xl92">
    <w:name w:val="xl92"/>
    <w:basedOn w:val="Normalny"/>
    <w:rsid w:val="00142694"/>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textAlignment w:val="center"/>
    </w:pPr>
    <w:rPr>
      <w:rFonts w:cs="Arial"/>
      <w:b/>
      <w:bCs/>
      <w:sz w:val="12"/>
      <w:szCs w:val="12"/>
    </w:rPr>
  </w:style>
  <w:style w:type="paragraph" w:customStyle="1" w:styleId="xl93">
    <w:name w:val="xl93"/>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94">
    <w:name w:val="xl94"/>
    <w:basedOn w:val="Normalny"/>
    <w:rsid w:val="0014269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textAlignment w:val="center"/>
    </w:pPr>
    <w:rPr>
      <w:rFonts w:ascii="Times New Roman" w:hAnsi="Times New Roman"/>
      <w:b/>
      <w:bCs/>
      <w:sz w:val="14"/>
      <w:szCs w:val="14"/>
    </w:rPr>
  </w:style>
  <w:style w:type="paragraph" w:customStyle="1" w:styleId="xl95">
    <w:name w:val="xl95"/>
    <w:basedOn w:val="Normalny"/>
    <w:rsid w:val="00142694"/>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hAnsi="Times New Roman"/>
      <w:sz w:val="12"/>
      <w:szCs w:val="12"/>
    </w:rPr>
  </w:style>
  <w:style w:type="paragraph" w:customStyle="1" w:styleId="xl96">
    <w:name w:val="xl96"/>
    <w:basedOn w:val="Normalny"/>
    <w:rsid w:val="00142694"/>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textAlignment w:val="top"/>
    </w:pPr>
    <w:rPr>
      <w:rFonts w:cs="Arial"/>
      <w:sz w:val="12"/>
      <w:szCs w:val="12"/>
    </w:rPr>
  </w:style>
  <w:style w:type="paragraph" w:customStyle="1" w:styleId="xl97">
    <w:name w:val="xl97"/>
    <w:basedOn w:val="Normalny"/>
    <w:rsid w:val="00142694"/>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textAlignment w:val="center"/>
    </w:pPr>
    <w:rPr>
      <w:rFonts w:cs="Arial"/>
      <w:sz w:val="12"/>
      <w:szCs w:val="12"/>
    </w:rPr>
  </w:style>
  <w:style w:type="paragraph" w:customStyle="1" w:styleId="xl98">
    <w:name w:val="xl98"/>
    <w:basedOn w:val="Normalny"/>
    <w:rsid w:val="00142694"/>
    <w:pPr>
      <w:pBdr>
        <w:top w:val="single" w:sz="4" w:space="0" w:color="auto"/>
        <w:left w:val="single" w:sz="4" w:space="0" w:color="auto"/>
        <w:bottom w:val="single" w:sz="4" w:space="0" w:color="auto"/>
      </w:pBdr>
      <w:shd w:val="clear" w:color="auto" w:fill="99CCFF"/>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99">
    <w:name w:val="xl99"/>
    <w:basedOn w:val="Normalny"/>
    <w:rsid w:val="00142694"/>
    <w:pPr>
      <w:pBdr>
        <w:top w:val="single" w:sz="4" w:space="0" w:color="auto"/>
        <w:bottom w:val="single" w:sz="4" w:space="0" w:color="auto"/>
        <w:right w:val="single" w:sz="4" w:space="0" w:color="auto"/>
      </w:pBdr>
      <w:shd w:val="clear" w:color="auto" w:fill="99CCFF"/>
      <w:spacing w:before="100" w:beforeAutospacing="1" w:after="100" w:afterAutospacing="1" w:line="240" w:lineRule="auto"/>
      <w:textAlignment w:val="center"/>
    </w:pPr>
    <w:rPr>
      <w:rFonts w:ascii="Times New Roman" w:hAnsi="Times New Roman"/>
      <w:b/>
      <w:bCs/>
      <w:sz w:val="14"/>
      <w:szCs w:val="14"/>
    </w:rPr>
  </w:style>
  <w:style w:type="paragraph" w:customStyle="1" w:styleId="xl100">
    <w:name w:val="xl100"/>
    <w:basedOn w:val="Normalny"/>
    <w:rsid w:val="00142694"/>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cs="Arial"/>
      <w:sz w:val="14"/>
      <w:szCs w:val="14"/>
    </w:rPr>
  </w:style>
  <w:style w:type="paragraph" w:customStyle="1" w:styleId="xl101">
    <w:name w:val="xl101"/>
    <w:basedOn w:val="Normalny"/>
    <w:rsid w:val="00142694"/>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cs="Arial"/>
      <w:sz w:val="14"/>
      <w:szCs w:val="14"/>
    </w:rPr>
  </w:style>
  <w:style w:type="paragraph" w:customStyle="1" w:styleId="xl102">
    <w:name w:val="xl102"/>
    <w:basedOn w:val="Normalny"/>
    <w:rsid w:val="00142694"/>
    <w:pPr>
      <w:spacing w:before="100" w:beforeAutospacing="1" w:after="100" w:afterAutospacing="1" w:line="240" w:lineRule="auto"/>
      <w:textAlignment w:val="center"/>
    </w:pPr>
    <w:rPr>
      <w:rFonts w:cs="Arial"/>
      <w:b/>
      <w:bCs/>
      <w:color w:val="FFFFFF"/>
      <w:sz w:val="14"/>
      <w:szCs w:val="14"/>
    </w:rPr>
  </w:style>
  <w:style w:type="paragraph" w:customStyle="1" w:styleId="xl103">
    <w:name w:val="xl103"/>
    <w:basedOn w:val="Normalny"/>
    <w:rsid w:val="00142694"/>
    <w:pPr>
      <w:spacing w:before="100" w:beforeAutospacing="1" w:after="100" w:afterAutospacing="1" w:line="240" w:lineRule="auto"/>
      <w:textAlignment w:val="center"/>
    </w:pPr>
    <w:rPr>
      <w:rFonts w:ascii="Times New Roman" w:hAnsi="Times New Roman"/>
      <w:b/>
      <w:bCs/>
      <w:sz w:val="14"/>
      <w:szCs w:val="14"/>
    </w:rPr>
  </w:style>
  <w:style w:type="paragraph" w:customStyle="1" w:styleId="xl104">
    <w:name w:val="xl104"/>
    <w:basedOn w:val="Normalny"/>
    <w:rsid w:val="00142694"/>
    <w:pPr>
      <w:spacing w:before="100" w:beforeAutospacing="1" w:after="100" w:afterAutospacing="1" w:line="240" w:lineRule="auto"/>
      <w:textAlignment w:val="center"/>
    </w:pPr>
    <w:rPr>
      <w:rFonts w:cs="Arial"/>
      <w:b/>
      <w:bCs/>
      <w:sz w:val="14"/>
      <w:szCs w:val="14"/>
    </w:rPr>
  </w:style>
  <w:style w:type="paragraph" w:customStyle="1" w:styleId="xl105">
    <w:name w:val="xl105"/>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2"/>
      <w:szCs w:val="12"/>
    </w:rPr>
  </w:style>
  <w:style w:type="paragraph" w:customStyle="1" w:styleId="xl106">
    <w:name w:val="xl106"/>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2"/>
      <w:szCs w:val="12"/>
    </w:rPr>
  </w:style>
  <w:style w:type="paragraph" w:customStyle="1" w:styleId="xl107">
    <w:name w:val="xl107"/>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2"/>
      <w:szCs w:val="12"/>
    </w:rPr>
  </w:style>
  <w:style w:type="paragraph" w:customStyle="1" w:styleId="xl108">
    <w:name w:val="xl108"/>
    <w:basedOn w:val="Normalny"/>
    <w:rsid w:val="00142694"/>
    <w:pPr>
      <w:pBdr>
        <w:left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2"/>
      <w:szCs w:val="12"/>
    </w:rPr>
  </w:style>
  <w:style w:type="paragraph" w:customStyle="1" w:styleId="xl109">
    <w:name w:val="xl109"/>
    <w:basedOn w:val="Normalny"/>
    <w:rsid w:val="00142694"/>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2"/>
      <w:szCs w:val="12"/>
    </w:rPr>
  </w:style>
  <w:style w:type="paragraph" w:customStyle="1" w:styleId="xl110">
    <w:name w:val="xl110"/>
    <w:basedOn w:val="Normalny"/>
    <w:rsid w:val="00142694"/>
    <w:pPr>
      <w:spacing w:before="100" w:beforeAutospacing="1" w:after="100" w:afterAutospacing="1" w:line="240" w:lineRule="auto"/>
      <w:textAlignment w:val="center"/>
    </w:pPr>
    <w:rPr>
      <w:rFonts w:cs="Arial"/>
      <w:b/>
      <w:bCs/>
      <w:sz w:val="14"/>
      <w:szCs w:val="14"/>
    </w:rPr>
  </w:style>
  <w:style w:type="paragraph" w:customStyle="1" w:styleId="xl111">
    <w:name w:val="xl111"/>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right"/>
      <w:textAlignment w:val="center"/>
    </w:pPr>
    <w:rPr>
      <w:rFonts w:cs="Arial"/>
      <w:b/>
      <w:bCs/>
      <w:sz w:val="14"/>
      <w:szCs w:val="14"/>
    </w:rPr>
  </w:style>
  <w:style w:type="paragraph" w:customStyle="1" w:styleId="xl112">
    <w:name w:val="xl112"/>
    <w:basedOn w:val="Normalny"/>
    <w:rsid w:val="00142694"/>
    <w:pPr>
      <w:pBdr>
        <w:top w:val="single" w:sz="4" w:space="0" w:color="auto"/>
        <w:right w:val="single" w:sz="4" w:space="0" w:color="auto"/>
      </w:pBdr>
      <w:spacing w:before="100" w:beforeAutospacing="1" w:after="100" w:afterAutospacing="1" w:line="240" w:lineRule="auto"/>
      <w:textAlignment w:val="center"/>
    </w:pPr>
    <w:rPr>
      <w:rFonts w:cs="Arial"/>
      <w:b/>
      <w:bCs/>
      <w:sz w:val="14"/>
      <w:szCs w:val="14"/>
    </w:rPr>
  </w:style>
  <w:style w:type="paragraph" w:customStyle="1" w:styleId="xl113">
    <w:name w:val="xl113"/>
    <w:basedOn w:val="Normalny"/>
    <w:rsid w:val="00142694"/>
    <w:pPr>
      <w:pBdr>
        <w:top w:val="single" w:sz="4" w:space="0" w:color="auto"/>
        <w:bottom w:val="single" w:sz="4" w:space="0" w:color="auto"/>
        <w:right w:val="single" w:sz="4" w:space="0" w:color="auto"/>
      </w:pBdr>
      <w:shd w:val="clear" w:color="auto" w:fill="99CCFF"/>
      <w:spacing w:before="100" w:beforeAutospacing="1" w:after="100" w:afterAutospacing="1" w:line="240" w:lineRule="auto"/>
      <w:textAlignment w:val="center"/>
    </w:pPr>
    <w:rPr>
      <w:rFonts w:ascii="Times New Roman" w:hAnsi="Times New Roman"/>
      <w:b/>
      <w:bCs/>
      <w:sz w:val="14"/>
      <w:szCs w:val="14"/>
    </w:rPr>
  </w:style>
  <w:style w:type="paragraph" w:customStyle="1" w:styleId="xl114">
    <w:name w:val="xl114"/>
    <w:basedOn w:val="Normalny"/>
    <w:rsid w:val="00142694"/>
    <w:pPr>
      <w:pBdr>
        <w:top w:val="single" w:sz="4" w:space="0" w:color="auto"/>
        <w:bottom w:val="single" w:sz="4" w:space="0" w:color="auto"/>
      </w:pBdr>
      <w:shd w:val="clear" w:color="auto" w:fill="99CCFF"/>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115">
    <w:name w:val="xl115"/>
    <w:basedOn w:val="Normalny"/>
    <w:rsid w:val="00142694"/>
    <w:pPr>
      <w:pBdr>
        <w:top w:val="single" w:sz="4" w:space="0" w:color="auto"/>
        <w:bottom w:val="single" w:sz="4" w:space="0" w:color="auto"/>
        <w:right w:val="single" w:sz="4" w:space="0" w:color="auto"/>
      </w:pBdr>
      <w:shd w:val="clear" w:color="auto" w:fill="99CCFF"/>
      <w:spacing w:before="100" w:beforeAutospacing="1" w:after="100" w:afterAutospacing="1" w:line="240" w:lineRule="auto"/>
      <w:jc w:val="center"/>
      <w:textAlignment w:val="center"/>
    </w:pPr>
    <w:rPr>
      <w:rFonts w:ascii="Times New Roman" w:hAnsi="Times New Roman"/>
      <w:b/>
      <w:bCs/>
      <w:sz w:val="14"/>
      <w:szCs w:val="14"/>
    </w:rPr>
  </w:style>
  <w:style w:type="paragraph" w:styleId="Tekstprzypisukocowego">
    <w:name w:val="endnote text"/>
    <w:basedOn w:val="Normalny"/>
    <w:link w:val="TekstprzypisukocowegoZnak"/>
    <w:uiPriority w:val="99"/>
    <w:rsid w:val="00142694"/>
    <w:pPr>
      <w:spacing w:line="240" w:lineRule="auto"/>
    </w:pPr>
    <w:rPr>
      <w:rFonts w:ascii="Times New Roman" w:hAnsi="Times New Roman"/>
      <w:sz w:val="20"/>
      <w:szCs w:val="20"/>
    </w:rPr>
  </w:style>
  <w:style w:type="character" w:customStyle="1" w:styleId="TekstprzypisukocowegoZnak">
    <w:name w:val="Tekst przypisu końcowego Znak"/>
    <w:basedOn w:val="Domylnaczcionkaakapitu"/>
    <w:link w:val="Tekstprzypisukocowego"/>
    <w:uiPriority w:val="99"/>
    <w:rsid w:val="00142694"/>
  </w:style>
  <w:style w:type="paragraph" w:styleId="Indeks1">
    <w:name w:val="index 1"/>
    <w:basedOn w:val="Normalny"/>
    <w:next w:val="Normalny"/>
    <w:autoRedefine/>
    <w:rsid w:val="00142694"/>
    <w:pPr>
      <w:spacing w:line="720" w:lineRule="auto"/>
      <w:ind w:left="238" w:hanging="238"/>
    </w:pPr>
    <w:rPr>
      <w:rFonts w:ascii="Times New Roman" w:hAnsi="Times New Roman"/>
    </w:rPr>
  </w:style>
  <w:style w:type="paragraph" w:styleId="Spisilustracji">
    <w:name w:val="table of figures"/>
    <w:basedOn w:val="Normalny"/>
    <w:next w:val="Normalny"/>
    <w:rsid w:val="00142694"/>
    <w:pPr>
      <w:spacing w:after="120" w:line="240" w:lineRule="auto"/>
    </w:pPr>
    <w:rPr>
      <w:rFonts w:ascii="Verdana" w:hAnsi="Verdana"/>
      <w:sz w:val="18"/>
    </w:rPr>
  </w:style>
  <w:style w:type="paragraph" w:customStyle="1" w:styleId="Default">
    <w:name w:val="Default"/>
    <w:rsid w:val="00142694"/>
    <w:pPr>
      <w:autoSpaceDE w:val="0"/>
      <w:autoSpaceDN w:val="0"/>
      <w:adjustRightInd w:val="0"/>
    </w:pPr>
    <w:rPr>
      <w:rFonts w:ascii="Swis721LtEU" w:hAnsi="Swis721LtEU" w:cs="Swis721LtEU"/>
      <w:color w:val="000000"/>
      <w:sz w:val="24"/>
      <w:szCs w:val="24"/>
    </w:rPr>
  </w:style>
  <w:style w:type="paragraph" w:styleId="Akapitzlist">
    <w:name w:val="List Paragraph"/>
    <w:basedOn w:val="Normalny"/>
    <w:uiPriority w:val="34"/>
    <w:qFormat/>
    <w:rsid w:val="00142694"/>
    <w:pPr>
      <w:ind w:left="720"/>
      <w:contextualSpacing/>
    </w:pPr>
  </w:style>
  <w:style w:type="paragraph" w:customStyle="1" w:styleId="xl214">
    <w:name w:val="xl214"/>
    <w:basedOn w:val="Normalny"/>
    <w:rsid w:val="00740FFC"/>
    <w:pPr>
      <w:pBdr>
        <w:top w:val="single" w:sz="4" w:space="0" w:color="848484"/>
        <w:left w:val="single" w:sz="4" w:space="0" w:color="848484"/>
        <w:bottom w:val="single" w:sz="4" w:space="0" w:color="848484"/>
        <w:right w:val="single" w:sz="4" w:space="0" w:color="848484"/>
      </w:pBdr>
      <w:shd w:val="clear" w:color="000000" w:fill="EFF6FB"/>
      <w:spacing w:before="100" w:beforeAutospacing="1" w:after="100" w:afterAutospacing="1" w:line="240" w:lineRule="auto"/>
      <w:jc w:val="right"/>
      <w:textAlignment w:val="center"/>
    </w:pPr>
    <w:rPr>
      <w:rFonts w:ascii="Arial Narrow" w:hAnsi="Arial Narrow"/>
      <w:sz w:val="10"/>
      <w:szCs w:val="10"/>
    </w:rPr>
  </w:style>
  <w:style w:type="paragraph" w:customStyle="1" w:styleId="xl215">
    <w:name w:val="xl215"/>
    <w:basedOn w:val="Normalny"/>
    <w:rsid w:val="00740FFC"/>
    <w:pPr>
      <w:pBdr>
        <w:top w:val="single" w:sz="4" w:space="0" w:color="848484"/>
        <w:left w:val="single" w:sz="4" w:space="0" w:color="848484"/>
        <w:bottom w:val="single" w:sz="4" w:space="0" w:color="848484"/>
        <w:right w:val="single" w:sz="4" w:space="0" w:color="848484"/>
      </w:pBdr>
      <w:shd w:val="clear" w:color="000000" w:fill="EFF6FB"/>
      <w:spacing w:before="100" w:beforeAutospacing="1" w:after="100" w:afterAutospacing="1" w:line="240" w:lineRule="auto"/>
      <w:jc w:val="center"/>
      <w:textAlignment w:val="center"/>
    </w:pPr>
    <w:rPr>
      <w:rFonts w:ascii="Arial Narrow" w:hAnsi="Arial Narrow"/>
      <w:sz w:val="10"/>
      <w:szCs w:val="10"/>
    </w:rPr>
  </w:style>
  <w:style w:type="paragraph" w:customStyle="1" w:styleId="xl216">
    <w:name w:val="xl216"/>
    <w:basedOn w:val="Normalny"/>
    <w:rsid w:val="00740FFC"/>
    <w:pPr>
      <w:pBdr>
        <w:top w:val="single" w:sz="4" w:space="0" w:color="848484"/>
        <w:left w:val="single" w:sz="4" w:space="0" w:color="848484"/>
        <w:bottom w:val="single" w:sz="4" w:space="0" w:color="848484"/>
        <w:right w:val="single" w:sz="4" w:space="0" w:color="848484"/>
      </w:pBdr>
      <w:shd w:val="clear" w:color="000000" w:fill="EFF6FB"/>
      <w:spacing w:before="100" w:beforeAutospacing="1" w:after="100" w:afterAutospacing="1" w:line="240" w:lineRule="auto"/>
      <w:textAlignment w:val="center"/>
    </w:pPr>
    <w:rPr>
      <w:rFonts w:ascii="Arial Narrow" w:hAnsi="Arial Narrow"/>
      <w:sz w:val="10"/>
      <w:szCs w:val="10"/>
    </w:rPr>
  </w:style>
  <w:style w:type="paragraph" w:customStyle="1" w:styleId="xl217">
    <w:name w:val="xl217"/>
    <w:basedOn w:val="Normalny"/>
    <w:rsid w:val="00740FFC"/>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right"/>
      <w:textAlignment w:val="center"/>
    </w:pPr>
    <w:rPr>
      <w:rFonts w:ascii="Arial Narrow" w:hAnsi="Arial Narrow"/>
      <w:b/>
      <w:bCs/>
      <w:sz w:val="10"/>
      <w:szCs w:val="10"/>
    </w:rPr>
  </w:style>
  <w:style w:type="paragraph" w:customStyle="1" w:styleId="xl218">
    <w:name w:val="xl218"/>
    <w:basedOn w:val="Normalny"/>
    <w:rsid w:val="00740FFC"/>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19">
    <w:name w:val="xl219"/>
    <w:basedOn w:val="Normalny"/>
    <w:rsid w:val="00740FFC"/>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textAlignment w:val="center"/>
    </w:pPr>
    <w:rPr>
      <w:rFonts w:ascii="Arial Narrow" w:hAnsi="Arial Narrow"/>
      <w:b/>
      <w:bCs/>
      <w:sz w:val="10"/>
      <w:szCs w:val="10"/>
    </w:rPr>
  </w:style>
  <w:style w:type="paragraph" w:customStyle="1" w:styleId="xl220">
    <w:name w:val="xl220"/>
    <w:basedOn w:val="Normalny"/>
    <w:rsid w:val="00740FFC"/>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sz w:val="10"/>
      <w:szCs w:val="10"/>
    </w:rPr>
  </w:style>
  <w:style w:type="paragraph" w:customStyle="1" w:styleId="xl221">
    <w:name w:val="xl221"/>
    <w:basedOn w:val="Normalny"/>
    <w:rsid w:val="00740FFC"/>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22">
    <w:name w:val="xl222"/>
    <w:basedOn w:val="Normalny"/>
    <w:rsid w:val="00740FFC"/>
    <w:pPr>
      <w:pBdr>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23">
    <w:name w:val="xl223"/>
    <w:basedOn w:val="Normalny"/>
    <w:rsid w:val="00740FFC"/>
    <w:pPr>
      <w:pBdr>
        <w:bottom w:val="single" w:sz="4" w:space="0" w:color="848484"/>
      </w:pBdr>
      <w:shd w:val="clear" w:color="000000" w:fill="EFF6FB"/>
      <w:spacing w:before="100" w:beforeAutospacing="1" w:after="100" w:afterAutospacing="1" w:line="240" w:lineRule="auto"/>
      <w:textAlignment w:val="center"/>
    </w:pPr>
    <w:rPr>
      <w:rFonts w:ascii="Arial Narrow" w:hAnsi="Arial Narrow"/>
      <w:sz w:val="10"/>
      <w:szCs w:val="10"/>
    </w:rPr>
  </w:style>
  <w:style w:type="paragraph" w:customStyle="1" w:styleId="xl224">
    <w:name w:val="xl224"/>
    <w:basedOn w:val="Normalny"/>
    <w:rsid w:val="00740FFC"/>
    <w:pPr>
      <w:shd w:val="clear" w:color="000000" w:fill="B6D9E6"/>
      <w:spacing w:before="100" w:beforeAutospacing="1" w:after="100" w:afterAutospacing="1" w:line="240" w:lineRule="auto"/>
      <w:textAlignment w:val="center"/>
    </w:pPr>
    <w:rPr>
      <w:rFonts w:ascii="Arial Narrow" w:hAnsi="Arial Narrow"/>
      <w:sz w:val="10"/>
      <w:szCs w:val="10"/>
    </w:rPr>
  </w:style>
  <w:style w:type="paragraph" w:customStyle="1" w:styleId="xl225">
    <w:name w:val="xl225"/>
    <w:basedOn w:val="Normalny"/>
    <w:rsid w:val="00740FFC"/>
    <w:pPr>
      <w:spacing w:before="100" w:beforeAutospacing="1" w:after="100" w:afterAutospacing="1" w:line="240" w:lineRule="auto"/>
    </w:pPr>
    <w:rPr>
      <w:rFonts w:cs="Arial"/>
      <w:sz w:val="16"/>
      <w:szCs w:val="16"/>
    </w:rPr>
  </w:style>
  <w:style w:type="paragraph" w:customStyle="1" w:styleId="xl226">
    <w:name w:val="xl226"/>
    <w:basedOn w:val="Normalny"/>
    <w:rsid w:val="00740FFC"/>
    <w:pPr>
      <w:spacing w:before="100" w:beforeAutospacing="1" w:after="100" w:afterAutospacing="1" w:line="240" w:lineRule="auto"/>
    </w:pPr>
    <w:rPr>
      <w:rFonts w:cs="Arial"/>
      <w:sz w:val="16"/>
      <w:szCs w:val="16"/>
    </w:rPr>
  </w:style>
  <w:style w:type="paragraph" w:customStyle="1" w:styleId="xl227">
    <w:name w:val="xl227"/>
    <w:basedOn w:val="Normalny"/>
    <w:rsid w:val="00740FFC"/>
    <w:pPr>
      <w:spacing w:before="100" w:beforeAutospacing="1" w:after="100" w:afterAutospacing="1" w:line="240" w:lineRule="auto"/>
    </w:pPr>
    <w:rPr>
      <w:rFonts w:cs="Arial"/>
      <w:b/>
      <w:bCs/>
      <w:sz w:val="16"/>
      <w:szCs w:val="16"/>
    </w:rPr>
  </w:style>
  <w:style w:type="paragraph" w:customStyle="1" w:styleId="xl228">
    <w:name w:val="xl228"/>
    <w:basedOn w:val="Normalny"/>
    <w:rsid w:val="00740FFC"/>
    <w:pPr>
      <w:spacing w:before="100" w:beforeAutospacing="1" w:after="100" w:afterAutospacing="1" w:line="240" w:lineRule="auto"/>
    </w:pPr>
    <w:rPr>
      <w:rFonts w:ascii="Arial Narrow" w:hAnsi="Arial Narrow"/>
      <w:sz w:val="10"/>
      <w:szCs w:val="10"/>
    </w:rPr>
  </w:style>
  <w:style w:type="paragraph" w:customStyle="1" w:styleId="xl229">
    <w:name w:val="xl229"/>
    <w:basedOn w:val="Normalny"/>
    <w:rsid w:val="00740FFC"/>
    <w:pPr>
      <w:spacing w:before="100" w:beforeAutospacing="1" w:after="100" w:afterAutospacing="1" w:line="240" w:lineRule="auto"/>
      <w:jc w:val="center"/>
    </w:pPr>
    <w:rPr>
      <w:rFonts w:ascii="Arial Narrow" w:hAnsi="Arial Narrow"/>
      <w:sz w:val="10"/>
      <w:szCs w:val="10"/>
    </w:rPr>
  </w:style>
  <w:style w:type="paragraph" w:customStyle="1" w:styleId="xl230">
    <w:name w:val="xl230"/>
    <w:basedOn w:val="Normalny"/>
    <w:rsid w:val="00740FFC"/>
    <w:pPr>
      <w:pBdr>
        <w:top w:val="single" w:sz="4" w:space="0" w:color="848484"/>
        <w:left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31">
    <w:name w:val="xl231"/>
    <w:basedOn w:val="Normalny"/>
    <w:rsid w:val="00740FFC"/>
    <w:pPr>
      <w:pBdr>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32">
    <w:name w:val="xl232"/>
    <w:basedOn w:val="Normalny"/>
    <w:rsid w:val="00740FFC"/>
    <w:pPr>
      <w:pBdr>
        <w:top w:val="single" w:sz="4" w:space="0" w:color="848484"/>
        <w:left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33">
    <w:name w:val="xl233"/>
    <w:basedOn w:val="Normalny"/>
    <w:rsid w:val="00740FFC"/>
    <w:pPr>
      <w:pBdr>
        <w:top w:val="single" w:sz="4" w:space="0" w:color="848484"/>
        <w:left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34">
    <w:name w:val="xl234"/>
    <w:basedOn w:val="Normalny"/>
    <w:rsid w:val="00740FFC"/>
    <w:pPr>
      <w:pBdr>
        <w:top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35">
    <w:name w:val="xl235"/>
    <w:basedOn w:val="Normalny"/>
    <w:rsid w:val="00740FFC"/>
    <w:pPr>
      <w:pBdr>
        <w:top w:val="single" w:sz="4" w:space="0" w:color="848484"/>
        <w:left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36">
    <w:name w:val="xl236"/>
    <w:basedOn w:val="Normalny"/>
    <w:rsid w:val="00740FFC"/>
    <w:pPr>
      <w:pBdr>
        <w:top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37">
    <w:name w:val="xl237"/>
    <w:basedOn w:val="Normalny"/>
    <w:rsid w:val="00740FFC"/>
    <w:pPr>
      <w:pBdr>
        <w:top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08">
    <w:name w:val="xl208"/>
    <w:basedOn w:val="Normalny"/>
    <w:rsid w:val="00427E18"/>
    <w:pPr>
      <w:spacing w:before="100" w:beforeAutospacing="1" w:after="100" w:afterAutospacing="1" w:line="240" w:lineRule="auto"/>
    </w:pPr>
    <w:rPr>
      <w:rFonts w:cs="Arial"/>
      <w:sz w:val="16"/>
      <w:szCs w:val="16"/>
    </w:rPr>
  </w:style>
  <w:style w:type="paragraph" w:customStyle="1" w:styleId="xl209">
    <w:name w:val="xl209"/>
    <w:basedOn w:val="Normalny"/>
    <w:rsid w:val="00427E18"/>
    <w:pPr>
      <w:spacing w:before="100" w:beforeAutospacing="1" w:after="100" w:afterAutospacing="1" w:line="240" w:lineRule="auto"/>
    </w:pPr>
    <w:rPr>
      <w:rFonts w:cs="Arial"/>
      <w:b/>
      <w:bCs/>
      <w:sz w:val="16"/>
      <w:szCs w:val="16"/>
    </w:rPr>
  </w:style>
  <w:style w:type="paragraph" w:customStyle="1" w:styleId="xl210">
    <w:name w:val="xl210"/>
    <w:basedOn w:val="Normalny"/>
    <w:rsid w:val="00427E18"/>
    <w:pPr>
      <w:spacing w:before="100" w:beforeAutospacing="1" w:after="100" w:afterAutospacing="1" w:line="240" w:lineRule="auto"/>
      <w:jc w:val="center"/>
      <w:textAlignment w:val="center"/>
    </w:pPr>
    <w:rPr>
      <w:rFonts w:cs="Arial"/>
      <w:sz w:val="12"/>
      <w:szCs w:val="12"/>
    </w:rPr>
  </w:style>
  <w:style w:type="paragraph" w:customStyle="1" w:styleId="xl211">
    <w:name w:val="xl211"/>
    <w:basedOn w:val="Normalny"/>
    <w:rsid w:val="00427E18"/>
    <w:pPr>
      <w:spacing w:before="100" w:beforeAutospacing="1" w:after="100" w:afterAutospacing="1" w:line="240" w:lineRule="auto"/>
      <w:jc w:val="center"/>
      <w:textAlignment w:val="center"/>
    </w:pPr>
    <w:rPr>
      <w:rFonts w:cs="Arial"/>
      <w:b/>
      <w:bCs/>
      <w:sz w:val="16"/>
      <w:szCs w:val="16"/>
    </w:rPr>
  </w:style>
  <w:style w:type="paragraph" w:customStyle="1" w:styleId="xl212">
    <w:name w:val="xl212"/>
    <w:basedOn w:val="Normalny"/>
    <w:rsid w:val="00427E18"/>
    <w:pPr>
      <w:pBdr>
        <w:top w:val="single" w:sz="4" w:space="0" w:color="auto"/>
        <w:left w:val="single" w:sz="4" w:space="0" w:color="auto"/>
        <w:bottom w:val="single" w:sz="4" w:space="0" w:color="auto"/>
        <w:right w:val="single" w:sz="4" w:space="0" w:color="auto"/>
      </w:pBdr>
      <w:shd w:val="clear" w:color="000000" w:fill="8DB0DB"/>
      <w:spacing w:before="100" w:beforeAutospacing="1" w:after="100" w:afterAutospacing="1" w:line="240" w:lineRule="auto"/>
      <w:jc w:val="center"/>
      <w:textAlignment w:val="center"/>
    </w:pPr>
    <w:rPr>
      <w:rFonts w:cs="Arial"/>
      <w:b/>
      <w:bCs/>
      <w:sz w:val="14"/>
      <w:szCs w:val="14"/>
    </w:rPr>
  </w:style>
  <w:style w:type="paragraph" w:customStyle="1" w:styleId="xl213">
    <w:name w:val="xl213"/>
    <w:basedOn w:val="Normalny"/>
    <w:rsid w:val="00427E18"/>
    <w:pPr>
      <w:pBdr>
        <w:top w:val="single" w:sz="4" w:space="0" w:color="auto"/>
        <w:left w:val="single" w:sz="4" w:space="0" w:color="auto"/>
        <w:bottom w:val="single" w:sz="4" w:space="0" w:color="auto"/>
        <w:right w:val="single" w:sz="4" w:space="0" w:color="auto"/>
      </w:pBdr>
      <w:shd w:val="clear" w:color="000000" w:fill="8DB0DB"/>
      <w:spacing w:before="100" w:beforeAutospacing="1" w:after="100" w:afterAutospacing="1" w:line="240" w:lineRule="auto"/>
      <w:jc w:val="center"/>
      <w:textAlignment w:val="center"/>
    </w:pPr>
    <w:rPr>
      <w:rFonts w:cs="Arial"/>
      <w:b/>
      <w:bCs/>
      <w:sz w:val="14"/>
      <w:szCs w:val="14"/>
    </w:rPr>
  </w:style>
  <w:style w:type="paragraph" w:customStyle="1" w:styleId="xl238">
    <w:name w:val="xl238"/>
    <w:basedOn w:val="Normalny"/>
    <w:rsid w:val="004820E9"/>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center"/>
      <w:textAlignment w:val="center"/>
    </w:pPr>
    <w:rPr>
      <w:rFonts w:cs="Arial"/>
      <w:b/>
      <w:bCs/>
      <w:sz w:val="12"/>
      <w:szCs w:val="12"/>
    </w:rPr>
  </w:style>
  <w:style w:type="paragraph" w:customStyle="1" w:styleId="xl239">
    <w:name w:val="xl239"/>
    <w:basedOn w:val="Normalny"/>
    <w:rsid w:val="004820E9"/>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textAlignment w:val="center"/>
    </w:pPr>
    <w:rPr>
      <w:rFonts w:cs="Arial"/>
      <w:b/>
      <w:bCs/>
      <w:sz w:val="12"/>
      <w:szCs w:val="12"/>
    </w:rPr>
  </w:style>
  <w:style w:type="paragraph" w:customStyle="1" w:styleId="xl240">
    <w:name w:val="xl240"/>
    <w:basedOn w:val="Normalny"/>
    <w:rsid w:val="004820E9"/>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right"/>
      <w:textAlignment w:val="center"/>
    </w:pPr>
    <w:rPr>
      <w:rFonts w:cs="Arial"/>
      <w:b/>
      <w:bCs/>
      <w:sz w:val="12"/>
      <w:szCs w:val="12"/>
    </w:rPr>
  </w:style>
  <w:style w:type="paragraph" w:customStyle="1" w:styleId="xl241">
    <w:name w:val="xl241"/>
    <w:basedOn w:val="Normalny"/>
    <w:rsid w:val="004820E9"/>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right"/>
      <w:textAlignment w:val="center"/>
    </w:pPr>
    <w:rPr>
      <w:rFonts w:cs="Arial"/>
      <w:b/>
      <w:bCs/>
      <w:sz w:val="12"/>
      <w:szCs w:val="12"/>
    </w:rPr>
  </w:style>
  <w:style w:type="paragraph" w:customStyle="1" w:styleId="xl242">
    <w:name w:val="xl242"/>
    <w:basedOn w:val="Normalny"/>
    <w:rsid w:val="004820E9"/>
    <w:pPr>
      <w:pBdr>
        <w:top w:val="single" w:sz="4" w:space="0" w:color="auto"/>
        <w:left w:val="single" w:sz="4" w:space="11" w:color="auto"/>
        <w:bottom w:val="single" w:sz="4" w:space="0" w:color="auto"/>
        <w:right w:val="single" w:sz="4" w:space="0" w:color="auto"/>
      </w:pBdr>
      <w:shd w:val="clear" w:color="000000" w:fill="FFFDC1"/>
      <w:spacing w:before="100" w:beforeAutospacing="1" w:after="100" w:afterAutospacing="1" w:line="240" w:lineRule="auto"/>
      <w:ind w:firstLineChars="100" w:firstLine="100"/>
      <w:textAlignment w:val="center"/>
    </w:pPr>
    <w:rPr>
      <w:rFonts w:cs="Arial"/>
      <w:b/>
      <w:bCs/>
      <w:sz w:val="12"/>
      <w:szCs w:val="12"/>
    </w:rPr>
  </w:style>
  <w:style w:type="paragraph" w:customStyle="1" w:styleId="xl243">
    <w:name w:val="xl243"/>
    <w:basedOn w:val="Normalny"/>
    <w:rsid w:val="004820E9"/>
    <w:pPr>
      <w:pBdr>
        <w:top w:val="single" w:sz="4" w:space="0" w:color="auto"/>
        <w:left w:val="single" w:sz="4" w:space="11" w:color="auto"/>
        <w:bottom w:val="single" w:sz="4" w:space="0" w:color="auto"/>
        <w:right w:val="single" w:sz="4" w:space="0" w:color="auto"/>
      </w:pBdr>
      <w:shd w:val="clear" w:color="000000" w:fill="FFFDC1"/>
      <w:spacing w:before="100" w:beforeAutospacing="1" w:after="100" w:afterAutospacing="1" w:line="240" w:lineRule="auto"/>
      <w:ind w:firstLineChars="100" w:firstLine="100"/>
      <w:textAlignment w:val="center"/>
    </w:pPr>
    <w:rPr>
      <w:rFonts w:cs="Arial"/>
      <w:b/>
      <w:bCs/>
      <w:sz w:val="12"/>
      <w:szCs w:val="12"/>
    </w:rPr>
  </w:style>
  <w:style w:type="paragraph" w:customStyle="1" w:styleId="xl244">
    <w:name w:val="xl244"/>
    <w:basedOn w:val="Normalny"/>
    <w:rsid w:val="004820E9"/>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right"/>
      <w:textAlignment w:val="center"/>
    </w:pPr>
    <w:rPr>
      <w:rFonts w:cs="Arial"/>
      <w:b/>
      <w:bCs/>
      <w:color w:val="FF1818"/>
      <w:sz w:val="12"/>
      <w:szCs w:val="12"/>
    </w:rPr>
  </w:style>
  <w:style w:type="paragraph" w:customStyle="1" w:styleId="xl245">
    <w:name w:val="xl245"/>
    <w:basedOn w:val="Normalny"/>
    <w:rsid w:val="004820E9"/>
    <w:pPr>
      <w:spacing w:before="100" w:beforeAutospacing="1" w:after="100" w:afterAutospacing="1" w:line="240" w:lineRule="auto"/>
    </w:pPr>
    <w:rPr>
      <w:rFonts w:cs="Arial"/>
      <w:sz w:val="16"/>
      <w:szCs w:val="16"/>
    </w:rPr>
  </w:style>
  <w:style w:type="paragraph" w:customStyle="1" w:styleId="xl246">
    <w:name w:val="xl246"/>
    <w:basedOn w:val="Normalny"/>
    <w:rsid w:val="004820E9"/>
    <w:pPr>
      <w:spacing w:before="100" w:beforeAutospacing="1" w:after="100" w:afterAutospacing="1" w:line="240" w:lineRule="auto"/>
    </w:pPr>
    <w:rPr>
      <w:rFonts w:cs="Arial"/>
      <w:sz w:val="16"/>
      <w:szCs w:val="16"/>
    </w:rPr>
  </w:style>
  <w:style w:type="paragraph" w:customStyle="1" w:styleId="xl247">
    <w:name w:val="xl247"/>
    <w:basedOn w:val="Normalny"/>
    <w:rsid w:val="004820E9"/>
    <w:pPr>
      <w:spacing w:before="100" w:beforeAutospacing="1" w:after="100" w:afterAutospacing="1" w:line="240" w:lineRule="auto"/>
      <w:jc w:val="center"/>
      <w:textAlignment w:val="center"/>
    </w:pPr>
    <w:rPr>
      <w:rFonts w:cs="Arial"/>
      <w:b/>
      <w:bCs/>
      <w:sz w:val="16"/>
      <w:szCs w:val="16"/>
    </w:rPr>
  </w:style>
  <w:style w:type="paragraph" w:customStyle="1" w:styleId="xl248">
    <w:name w:val="xl248"/>
    <w:basedOn w:val="Normalny"/>
    <w:rsid w:val="004820E9"/>
    <w:pPr>
      <w:spacing w:before="100" w:beforeAutospacing="1" w:after="100" w:afterAutospacing="1" w:line="240" w:lineRule="auto"/>
      <w:jc w:val="center"/>
      <w:textAlignment w:val="center"/>
    </w:pPr>
    <w:rPr>
      <w:rFonts w:cs="Arial"/>
      <w:sz w:val="12"/>
      <w:szCs w:val="12"/>
    </w:rPr>
  </w:style>
  <w:style w:type="paragraph" w:customStyle="1" w:styleId="xl249">
    <w:name w:val="xl249"/>
    <w:basedOn w:val="Normalny"/>
    <w:rsid w:val="004820E9"/>
    <w:pPr>
      <w:spacing w:before="100" w:beforeAutospacing="1" w:after="100" w:afterAutospacing="1" w:line="240" w:lineRule="auto"/>
    </w:pPr>
    <w:rPr>
      <w:rFonts w:cs="Arial"/>
      <w:b/>
      <w:bCs/>
      <w:sz w:val="16"/>
      <w:szCs w:val="16"/>
    </w:rPr>
  </w:style>
  <w:style w:type="paragraph" w:customStyle="1" w:styleId="xl250">
    <w:name w:val="xl250"/>
    <w:basedOn w:val="Normalny"/>
    <w:rsid w:val="004820E9"/>
    <w:pPr>
      <w:spacing w:before="100" w:beforeAutospacing="1" w:after="100" w:afterAutospacing="1" w:line="240" w:lineRule="auto"/>
    </w:pPr>
    <w:rPr>
      <w:rFonts w:cs="Arial"/>
      <w:sz w:val="16"/>
      <w:szCs w:val="16"/>
    </w:rPr>
  </w:style>
  <w:style w:type="paragraph" w:customStyle="1" w:styleId="xl251">
    <w:name w:val="xl251"/>
    <w:basedOn w:val="Normalny"/>
    <w:rsid w:val="004820E9"/>
    <w:pPr>
      <w:spacing w:before="100" w:beforeAutospacing="1" w:after="100" w:afterAutospacing="1" w:line="240" w:lineRule="auto"/>
    </w:pPr>
    <w:rPr>
      <w:rFonts w:cs="Arial"/>
      <w:sz w:val="16"/>
      <w:szCs w:val="16"/>
    </w:rPr>
  </w:style>
  <w:style w:type="character" w:styleId="Uwydatnienie">
    <w:name w:val="Emphasis"/>
    <w:qFormat/>
    <w:rsid w:val="00A402C7"/>
    <w:rPr>
      <w:i/>
      <w:iCs/>
    </w:rPr>
  </w:style>
  <w:style w:type="character" w:styleId="Odwoanieprzypisukocowego">
    <w:name w:val="endnote reference"/>
    <w:rsid w:val="00A87BDA"/>
    <w:rPr>
      <w:vertAlign w:val="superscript"/>
    </w:rPr>
  </w:style>
  <w:style w:type="character" w:customStyle="1" w:styleId="ZnakZnak2">
    <w:name w:val="Znak Znak2"/>
    <w:rsid w:val="00A87BDA"/>
    <w:rPr>
      <w:rFonts w:ascii="Arial" w:hAnsi="Arial"/>
      <w:bCs/>
      <w:i/>
      <w:szCs w:val="22"/>
      <w:lang w:val="pl-PL" w:eastAsia="pl-PL" w:bidi="ar-SA"/>
    </w:rPr>
  </w:style>
  <w:style w:type="paragraph" w:styleId="Podtytu">
    <w:name w:val="Subtitle"/>
    <w:basedOn w:val="Normalny"/>
    <w:link w:val="PodtytuZnak"/>
    <w:qFormat/>
    <w:rsid w:val="00A87BDA"/>
    <w:pPr>
      <w:jc w:val="center"/>
    </w:pPr>
    <w:rPr>
      <w:rFonts w:ascii="Times New Roman" w:hAnsi="Times New Roman"/>
      <w:b/>
      <w:bCs/>
      <w:sz w:val="26"/>
      <w:szCs w:val="20"/>
      <w:lang w:val="x-none" w:eastAsia="x-none"/>
    </w:rPr>
  </w:style>
  <w:style w:type="character" w:customStyle="1" w:styleId="PodtytuZnak">
    <w:name w:val="Podtytuł Znak"/>
    <w:link w:val="Podtytu"/>
    <w:rsid w:val="00A87BDA"/>
    <w:rPr>
      <w:b/>
      <w:bCs/>
      <w:sz w:val="26"/>
    </w:rPr>
  </w:style>
  <w:style w:type="paragraph" w:customStyle="1" w:styleId="xl252">
    <w:name w:val="xl252"/>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right"/>
      <w:textAlignment w:val="center"/>
    </w:pPr>
    <w:rPr>
      <w:rFonts w:cs="Arial"/>
      <w:b/>
      <w:bCs/>
      <w:sz w:val="12"/>
      <w:szCs w:val="12"/>
    </w:rPr>
  </w:style>
  <w:style w:type="paragraph" w:customStyle="1" w:styleId="xl253">
    <w:name w:val="xl253"/>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textAlignment w:val="center"/>
    </w:pPr>
    <w:rPr>
      <w:rFonts w:cs="Arial"/>
      <w:b/>
      <w:bCs/>
      <w:sz w:val="12"/>
      <w:szCs w:val="12"/>
    </w:rPr>
  </w:style>
  <w:style w:type="paragraph" w:customStyle="1" w:styleId="xl254">
    <w:name w:val="xl254"/>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textAlignment w:val="center"/>
    </w:pPr>
    <w:rPr>
      <w:rFonts w:cs="Arial"/>
      <w:b/>
      <w:bCs/>
      <w:sz w:val="12"/>
      <w:szCs w:val="12"/>
    </w:rPr>
  </w:style>
  <w:style w:type="paragraph" w:customStyle="1" w:styleId="xl255">
    <w:name w:val="xl255"/>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textAlignment w:val="center"/>
    </w:pPr>
    <w:rPr>
      <w:rFonts w:cs="Arial"/>
      <w:b/>
      <w:bCs/>
      <w:sz w:val="12"/>
      <w:szCs w:val="12"/>
    </w:rPr>
  </w:style>
  <w:style w:type="paragraph" w:customStyle="1" w:styleId="xl256">
    <w:name w:val="xl256"/>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textAlignment w:val="center"/>
    </w:pPr>
    <w:rPr>
      <w:rFonts w:cs="Arial"/>
      <w:b/>
      <w:bCs/>
      <w:sz w:val="12"/>
      <w:szCs w:val="12"/>
    </w:rPr>
  </w:style>
  <w:style w:type="paragraph" w:customStyle="1" w:styleId="xl257">
    <w:name w:val="xl257"/>
    <w:basedOn w:val="Normalny"/>
    <w:rsid w:val="00D619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2"/>
      <w:szCs w:val="12"/>
    </w:rPr>
  </w:style>
  <w:style w:type="paragraph" w:customStyle="1" w:styleId="xl258">
    <w:name w:val="xl258"/>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right"/>
      <w:textAlignment w:val="center"/>
    </w:pPr>
    <w:rPr>
      <w:rFonts w:cs="Arial"/>
      <w:b/>
      <w:bCs/>
      <w:sz w:val="12"/>
      <w:szCs w:val="12"/>
    </w:rPr>
  </w:style>
  <w:style w:type="paragraph" w:customStyle="1" w:styleId="xl259">
    <w:name w:val="xl259"/>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right"/>
      <w:textAlignment w:val="center"/>
    </w:pPr>
    <w:rPr>
      <w:rFonts w:cs="Arial"/>
      <w:b/>
      <w:bCs/>
      <w:color w:val="FF1818"/>
      <w:sz w:val="12"/>
      <w:szCs w:val="12"/>
    </w:rPr>
  </w:style>
  <w:style w:type="paragraph" w:customStyle="1" w:styleId="xl260">
    <w:name w:val="xl260"/>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right"/>
      <w:textAlignment w:val="center"/>
    </w:pPr>
    <w:rPr>
      <w:rFonts w:cs="Arial"/>
      <w:b/>
      <w:bCs/>
      <w:sz w:val="12"/>
      <w:szCs w:val="12"/>
    </w:rPr>
  </w:style>
  <w:style w:type="paragraph" w:customStyle="1" w:styleId="msonormal0">
    <w:name w:val="msonormal"/>
    <w:basedOn w:val="Normalny"/>
    <w:rsid w:val="00CA281E"/>
    <w:pPr>
      <w:spacing w:before="100" w:beforeAutospacing="1" w:after="100" w:afterAutospacing="1" w:line="240" w:lineRule="auto"/>
    </w:pPr>
    <w:rPr>
      <w:rFonts w:ascii="Times New Roman" w:hAnsi="Times New Roman"/>
    </w:rPr>
  </w:style>
  <w:style w:type="paragraph" w:customStyle="1" w:styleId="xl352">
    <w:name w:val="xl352"/>
    <w:basedOn w:val="Normalny"/>
    <w:rsid w:val="00916181"/>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right"/>
      <w:textAlignment w:val="center"/>
    </w:pPr>
    <w:rPr>
      <w:rFonts w:ascii="Arial Narrow" w:hAnsi="Arial Narrow"/>
      <w:b/>
      <w:bCs/>
      <w:sz w:val="10"/>
      <w:szCs w:val="10"/>
    </w:rPr>
  </w:style>
  <w:style w:type="paragraph" w:customStyle="1" w:styleId="xl353">
    <w:name w:val="xl353"/>
    <w:basedOn w:val="Normalny"/>
    <w:rsid w:val="00916181"/>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sz w:val="10"/>
      <w:szCs w:val="10"/>
    </w:rPr>
  </w:style>
  <w:style w:type="paragraph" w:customStyle="1" w:styleId="xl354">
    <w:name w:val="xl354"/>
    <w:basedOn w:val="Normalny"/>
    <w:rsid w:val="00916181"/>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55">
    <w:name w:val="xl355"/>
    <w:basedOn w:val="Normalny"/>
    <w:rsid w:val="00916181"/>
    <w:pPr>
      <w:pBdr>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56">
    <w:name w:val="xl356"/>
    <w:basedOn w:val="Normalny"/>
    <w:rsid w:val="00916181"/>
    <w:pPr>
      <w:pBdr>
        <w:top w:val="single" w:sz="4" w:space="0" w:color="848484"/>
        <w:left w:val="single" w:sz="4" w:space="0" w:color="848484"/>
        <w:bottom w:val="single" w:sz="4" w:space="0" w:color="848484"/>
        <w:right w:val="single" w:sz="4" w:space="0" w:color="848484"/>
      </w:pBdr>
      <w:shd w:val="clear" w:color="000000" w:fill="EFF6FB"/>
      <w:spacing w:before="100" w:beforeAutospacing="1" w:after="100" w:afterAutospacing="1" w:line="240" w:lineRule="auto"/>
      <w:jc w:val="right"/>
      <w:textAlignment w:val="center"/>
    </w:pPr>
    <w:rPr>
      <w:rFonts w:ascii="Arial Narrow" w:hAnsi="Arial Narrow"/>
      <w:sz w:val="10"/>
      <w:szCs w:val="10"/>
    </w:rPr>
  </w:style>
  <w:style w:type="paragraph" w:customStyle="1" w:styleId="xl357">
    <w:name w:val="xl357"/>
    <w:basedOn w:val="Normalny"/>
    <w:rsid w:val="00916181"/>
    <w:pPr>
      <w:pBdr>
        <w:bottom w:val="single" w:sz="4" w:space="0" w:color="848484"/>
      </w:pBdr>
      <w:shd w:val="clear" w:color="000000" w:fill="EFF6FB"/>
      <w:spacing w:before="100" w:beforeAutospacing="1" w:after="100" w:afterAutospacing="1" w:line="240" w:lineRule="auto"/>
      <w:textAlignment w:val="center"/>
    </w:pPr>
    <w:rPr>
      <w:rFonts w:ascii="Arial Narrow" w:hAnsi="Arial Narrow"/>
      <w:sz w:val="10"/>
      <w:szCs w:val="10"/>
    </w:rPr>
  </w:style>
  <w:style w:type="paragraph" w:customStyle="1" w:styleId="xl358">
    <w:name w:val="xl358"/>
    <w:basedOn w:val="Normalny"/>
    <w:rsid w:val="00916181"/>
    <w:pPr>
      <w:shd w:val="clear" w:color="000000" w:fill="B6D9E6"/>
      <w:spacing w:before="100" w:beforeAutospacing="1" w:after="100" w:afterAutospacing="1" w:line="240" w:lineRule="auto"/>
      <w:textAlignment w:val="center"/>
    </w:pPr>
    <w:rPr>
      <w:rFonts w:ascii="Arial Narrow" w:hAnsi="Arial Narrow"/>
      <w:sz w:val="10"/>
      <w:szCs w:val="10"/>
    </w:rPr>
  </w:style>
  <w:style w:type="paragraph" w:customStyle="1" w:styleId="xl359">
    <w:name w:val="xl359"/>
    <w:basedOn w:val="Normalny"/>
    <w:rsid w:val="00916181"/>
    <w:pPr>
      <w:spacing w:before="100" w:beforeAutospacing="1" w:after="100" w:afterAutospacing="1" w:line="240" w:lineRule="auto"/>
    </w:pPr>
    <w:rPr>
      <w:rFonts w:ascii="Arial Narrow" w:hAnsi="Arial Narrow"/>
      <w:sz w:val="10"/>
      <w:szCs w:val="10"/>
    </w:rPr>
  </w:style>
  <w:style w:type="paragraph" w:customStyle="1" w:styleId="xl360">
    <w:name w:val="xl360"/>
    <w:basedOn w:val="Normalny"/>
    <w:rsid w:val="00916181"/>
    <w:pPr>
      <w:pBdr>
        <w:top w:val="single" w:sz="4" w:space="0" w:color="848484"/>
        <w:left w:val="single" w:sz="4" w:space="0" w:color="848484"/>
        <w:bottom w:val="single" w:sz="4" w:space="0" w:color="848484"/>
        <w:right w:val="single" w:sz="4" w:space="0" w:color="848484"/>
      </w:pBdr>
      <w:shd w:val="clear" w:color="000000" w:fill="EFF6FB"/>
      <w:spacing w:before="100" w:beforeAutospacing="1" w:after="100" w:afterAutospacing="1" w:line="240" w:lineRule="auto"/>
      <w:jc w:val="center"/>
      <w:textAlignment w:val="center"/>
    </w:pPr>
    <w:rPr>
      <w:rFonts w:ascii="Arial Narrow" w:hAnsi="Arial Narrow"/>
      <w:sz w:val="10"/>
      <w:szCs w:val="10"/>
    </w:rPr>
  </w:style>
  <w:style w:type="paragraph" w:customStyle="1" w:styleId="xl361">
    <w:name w:val="xl361"/>
    <w:basedOn w:val="Normalny"/>
    <w:rsid w:val="00916181"/>
    <w:pPr>
      <w:pBdr>
        <w:top w:val="single" w:sz="4" w:space="0" w:color="848484"/>
        <w:left w:val="single" w:sz="4" w:space="0" w:color="848484"/>
        <w:bottom w:val="single" w:sz="4" w:space="0" w:color="848484"/>
        <w:right w:val="single" w:sz="4" w:space="0" w:color="848484"/>
      </w:pBdr>
      <w:shd w:val="clear" w:color="000000" w:fill="EFF6FB"/>
      <w:spacing w:before="100" w:beforeAutospacing="1" w:after="100" w:afterAutospacing="1" w:line="240" w:lineRule="auto"/>
      <w:textAlignment w:val="center"/>
    </w:pPr>
    <w:rPr>
      <w:rFonts w:ascii="Arial Narrow" w:hAnsi="Arial Narrow"/>
      <w:sz w:val="10"/>
      <w:szCs w:val="10"/>
    </w:rPr>
  </w:style>
  <w:style w:type="paragraph" w:customStyle="1" w:styleId="xl362">
    <w:name w:val="xl362"/>
    <w:basedOn w:val="Normalny"/>
    <w:rsid w:val="00916181"/>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63">
    <w:name w:val="xl363"/>
    <w:basedOn w:val="Normalny"/>
    <w:rsid w:val="00916181"/>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textAlignment w:val="center"/>
    </w:pPr>
    <w:rPr>
      <w:rFonts w:ascii="Arial Narrow" w:hAnsi="Arial Narrow"/>
      <w:b/>
      <w:bCs/>
      <w:sz w:val="10"/>
      <w:szCs w:val="10"/>
    </w:rPr>
  </w:style>
  <w:style w:type="paragraph" w:customStyle="1" w:styleId="xl364">
    <w:name w:val="xl364"/>
    <w:basedOn w:val="Normalny"/>
    <w:rsid w:val="00916181"/>
    <w:pPr>
      <w:spacing w:before="100" w:beforeAutospacing="1" w:after="100" w:afterAutospacing="1" w:line="240" w:lineRule="auto"/>
      <w:jc w:val="center"/>
    </w:pPr>
    <w:rPr>
      <w:rFonts w:ascii="Arial Narrow" w:hAnsi="Arial Narrow"/>
      <w:sz w:val="10"/>
      <w:szCs w:val="10"/>
    </w:rPr>
  </w:style>
  <w:style w:type="paragraph" w:customStyle="1" w:styleId="xl365">
    <w:name w:val="xl365"/>
    <w:basedOn w:val="Normalny"/>
    <w:rsid w:val="00916181"/>
    <w:pPr>
      <w:spacing w:before="100" w:beforeAutospacing="1" w:after="100" w:afterAutospacing="1" w:line="240" w:lineRule="auto"/>
    </w:pPr>
    <w:rPr>
      <w:rFonts w:cs="Arial"/>
      <w:sz w:val="16"/>
      <w:szCs w:val="16"/>
    </w:rPr>
  </w:style>
  <w:style w:type="paragraph" w:customStyle="1" w:styleId="xl366">
    <w:name w:val="xl366"/>
    <w:basedOn w:val="Normalny"/>
    <w:rsid w:val="00916181"/>
    <w:pPr>
      <w:spacing w:before="100" w:beforeAutospacing="1" w:after="100" w:afterAutospacing="1" w:line="240" w:lineRule="auto"/>
    </w:pPr>
    <w:rPr>
      <w:rFonts w:cs="Arial"/>
      <w:sz w:val="16"/>
      <w:szCs w:val="16"/>
    </w:rPr>
  </w:style>
  <w:style w:type="paragraph" w:customStyle="1" w:styleId="xl367">
    <w:name w:val="xl367"/>
    <w:basedOn w:val="Normalny"/>
    <w:rsid w:val="00916181"/>
    <w:pPr>
      <w:spacing w:before="100" w:beforeAutospacing="1" w:after="100" w:afterAutospacing="1" w:line="240" w:lineRule="auto"/>
    </w:pPr>
    <w:rPr>
      <w:rFonts w:cs="Arial"/>
      <w:b/>
      <w:bCs/>
      <w:sz w:val="16"/>
      <w:szCs w:val="16"/>
    </w:rPr>
  </w:style>
  <w:style w:type="paragraph" w:customStyle="1" w:styleId="xl368">
    <w:name w:val="xl368"/>
    <w:basedOn w:val="Normalny"/>
    <w:rsid w:val="00916181"/>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69">
    <w:name w:val="xl369"/>
    <w:basedOn w:val="Normalny"/>
    <w:rsid w:val="00916181"/>
    <w:pPr>
      <w:pBdr>
        <w:top w:val="single" w:sz="4" w:space="0" w:color="848484"/>
        <w:left w:val="single" w:sz="4" w:space="0" w:color="848484"/>
        <w:bottom w:val="single" w:sz="4" w:space="0" w:color="848484"/>
        <w:right w:val="single" w:sz="4" w:space="0" w:color="848484"/>
      </w:pBdr>
      <w:shd w:val="clear" w:color="000000" w:fill="EFF6FB"/>
      <w:spacing w:before="100" w:beforeAutospacing="1" w:after="100" w:afterAutospacing="1" w:line="240" w:lineRule="auto"/>
      <w:jc w:val="center"/>
      <w:textAlignment w:val="center"/>
    </w:pPr>
    <w:rPr>
      <w:rFonts w:ascii="Arial Narrow" w:hAnsi="Arial Narrow"/>
      <w:sz w:val="10"/>
      <w:szCs w:val="10"/>
    </w:rPr>
  </w:style>
  <w:style w:type="paragraph" w:customStyle="1" w:styleId="xl370">
    <w:name w:val="xl370"/>
    <w:basedOn w:val="Normalny"/>
    <w:rsid w:val="00916181"/>
    <w:pPr>
      <w:spacing w:before="100" w:beforeAutospacing="1" w:after="100" w:afterAutospacing="1" w:line="240" w:lineRule="auto"/>
      <w:jc w:val="center"/>
    </w:pPr>
    <w:rPr>
      <w:rFonts w:cs="Arial"/>
      <w:sz w:val="16"/>
      <w:szCs w:val="16"/>
    </w:rPr>
  </w:style>
  <w:style w:type="paragraph" w:customStyle="1" w:styleId="xl371">
    <w:name w:val="xl371"/>
    <w:basedOn w:val="Normalny"/>
    <w:rsid w:val="00916181"/>
    <w:pPr>
      <w:pBdr>
        <w:top w:val="single" w:sz="4" w:space="0" w:color="848484"/>
        <w:left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2">
    <w:name w:val="xl372"/>
    <w:basedOn w:val="Normalny"/>
    <w:rsid w:val="00916181"/>
    <w:pPr>
      <w:pBdr>
        <w:top w:val="single" w:sz="4" w:space="0" w:color="848484"/>
        <w:left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3">
    <w:name w:val="xl373"/>
    <w:basedOn w:val="Normalny"/>
    <w:rsid w:val="00916181"/>
    <w:pPr>
      <w:pBdr>
        <w:top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4">
    <w:name w:val="xl374"/>
    <w:basedOn w:val="Normalny"/>
    <w:rsid w:val="00916181"/>
    <w:pPr>
      <w:pBdr>
        <w:top w:val="single" w:sz="4" w:space="0" w:color="848484"/>
        <w:left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5">
    <w:name w:val="xl375"/>
    <w:basedOn w:val="Normalny"/>
    <w:rsid w:val="00916181"/>
    <w:pPr>
      <w:pBdr>
        <w:top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6">
    <w:name w:val="xl376"/>
    <w:basedOn w:val="Normalny"/>
    <w:rsid w:val="00916181"/>
    <w:pPr>
      <w:pBdr>
        <w:top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7">
    <w:name w:val="xl377"/>
    <w:basedOn w:val="Normalny"/>
    <w:rsid w:val="00916181"/>
    <w:pPr>
      <w:pBdr>
        <w:top w:val="single" w:sz="4" w:space="0" w:color="848484"/>
        <w:left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8">
    <w:name w:val="xl378"/>
    <w:basedOn w:val="Normalny"/>
    <w:rsid w:val="00916181"/>
    <w:pPr>
      <w:pBdr>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9">
    <w:name w:val="xl379"/>
    <w:basedOn w:val="Normalny"/>
    <w:rsid w:val="00D72B60"/>
    <w:pPr>
      <w:pBdr>
        <w:top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80">
    <w:name w:val="xl380"/>
    <w:basedOn w:val="Normalny"/>
    <w:rsid w:val="00D72B60"/>
    <w:pPr>
      <w:pBdr>
        <w:top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81">
    <w:name w:val="xl381"/>
    <w:basedOn w:val="Normalny"/>
    <w:rsid w:val="00D72B60"/>
    <w:pPr>
      <w:pBdr>
        <w:top w:val="single" w:sz="4" w:space="0" w:color="848484"/>
        <w:left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82">
    <w:name w:val="xl382"/>
    <w:basedOn w:val="Normalny"/>
    <w:rsid w:val="00D72B60"/>
    <w:pPr>
      <w:pBdr>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83">
    <w:name w:val="xl383"/>
    <w:basedOn w:val="Normalny"/>
    <w:rsid w:val="00D72B60"/>
    <w:pPr>
      <w:pBdr>
        <w:top w:val="single" w:sz="4" w:space="0" w:color="848484"/>
        <w:left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84">
    <w:name w:val="xl384"/>
    <w:basedOn w:val="Normalny"/>
    <w:rsid w:val="00D72B60"/>
    <w:pPr>
      <w:pBdr>
        <w:top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85">
    <w:name w:val="xl385"/>
    <w:basedOn w:val="Normalny"/>
    <w:rsid w:val="00426983"/>
    <w:pPr>
      <w:pBdr>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character" w:customStyle="1" w:styleId="normaltextrun">
    <w:name w:val="normaltextrun"/>
    <w:basedOn w:val="Domylnaczcionkaakapitu"/>
    <w:rsid w:val="005E5299"/>
  </w:style>
  <w:style w:type="character" w:customStyle="1" w:styleId="markedcontent">
    <w:name w:val="markedcontent"/>
    <w:basedOn w:val="Domylnaczcionkaakapitu"/>
    <w:rsid w:val="00393D1B"/>
  </w:style>
  <w:style w:type="character" w:customStyle="1" w:styleId="Nagwek1Znak">
    <w:name w:val="Nagłówek 1 Znak"/>
    <w:aliases w:val="podrozdział Znak"/>
    <w:basedOn w:val="Domylnaczcionkaakapitu"/>
    <w:link w:val="Nagwek1"/>
    <w:rsid w:val="00C90787"/>
    <w:rPr>
      <w:rFonts w:ascii="Arial" w:hAnsi="Arial" w:cs="Arial"/>
      <w:b/>
      <w:bCs/>
      <w:kern w:val="32"/>
      <w:sz w:val="40"/>
      <w:szCs w:val="32"/>
    </w:rPr>
  </w:style>
  <w:style w:type="character" w:customStyle="1" w:styleId="Nagwek4Znak">
    <w:name w:val="Nagłówek 4 Znak"/>
    <w:basedOn w:val="Domylnaczcionkaakapitu"/>
    <w:link w:val="Nagwek4"/>
    <w:rsid w:val="00C90787"/>
    <w:rPr>
      <w:rFonts w:ascii="Arial" w:hAnsi="Arial"/>
      <w:bCs/>
      <w:sz w:val="30"/>
    </w:rPr>
  </w:style>
  <w:style w:type="character" w:customStyle="1" w:styleId="Nagwek3Znak">
    <w:name w:val="Nagłówek 3 Znak"/>
    <w:basedOn w:val="Domylnaczcionkaakapitu"/>
    <w:link w:val="Nagwek3"/>
    <w:rsid w:val="008A572A"/>
    <w:rPr>
      <w:rFonts w:ascii="Arial" w:hAnsi="Arial" w:cs="Arial"/>
      <w:bCs/>
      <w:i/>
      <w:szCs w:val="26"/>
    </w:rPr>
  </w:style>
  <w:style w:type="character" w:customStyle="1" w:styleId="Nagwek5Znak">
    <w:name w:val="Nagłówek 5 Znak"/>
    <w:basedOn w:val="Domylnaczcionkaakapitu"/>
    <w:link w:val="Nagwek5"/>
    <w:rsid w:val="008A572A"/>
    <w:rPr>
      <w:rFonts w:ascii="Arial" w:hAnsi="Arial"/>
      <w:bCs/>
      <w:i/>
      <w:iCs/>
      <w:szCs w:val="26"/>
    </w:rPr>
  </w:style>
  <w:style w:type="character" w:customStyle="1" w:styleId="StopkaZnak">
    <w:name w:val="Stopka Znak"/>
    <w:basedOn w:val="Domylnaczcionkaakapitu"/>
    <w:link w:val="Stopka"/>
    <w:rsid w:val="008A572A"/>
    <w:rPr>
      <w:rFonts w:ascii="Arial" w:hAnsi="Arial"/>
      <w:sz w:val="24"/>
      <w:szCs w:val="24"/>
    </w:rPr>
  </w:style>
  <w:style w:type="character" w:customStyle="1" w:styleId="TekstpodstawowywcityZnak">
    <w:name w:val="Tekst podstawowy wcięty Znak"/>
    <w:basedOn w:val="Domylnaczcionkaakapitu"/>
    <w:link w:val="Tekstpodstawowywcity"/>
    <w:rsid w:val="008A572A"/>
    <w:rPr>
      <w:rFonts w:ascii="Verdana" w:hAnsi="Verdana"/>
    </w:rPr>
  </w:style>
  <w:style w:type="character" w:customStyle="1" w:styleId="TekstkomentarzaZnak">
    <w:name w:val="Tekst komentarza Znak"/>
    <w:basedOn w:val="Domylnaczcionkaakapitu"/>
    <w:link w:val="Tekstkomentarza"/>
    <w:semiHidden/>
    <w:rsid w:val="008A572A"/>
    <w:rPr>
      <w:rFonts w:ascii="Arial" w:hAnsi="Arial"/>
    </w:rPr>
  </w:style>
  <w:style w:type="character" w:customStyle="1" w:styleId="TematkomentarzaZnak">
    <w:name w:val="Temat komentarza Znak"/>
    <w:basedOn w:val="TekstkomentarzaZnak"/>
    <w:link w:val="Tematkomentarza"/>
    <w:semiHidden/>
    <w:rsid w:val="008A572A"/>
    <w:rPr>
      <w:rFonts w:ascii="Arial" w:hAnsi="Arial"/>
      <w:b/>
      <w:bCs/>
    </w:rPr>
  </w:style>
  <w:style w:type="character" w:customStyle="1" w:styleId="TekstdymkaZnak">
    <w:name w:val="Tekst dymka Znak"/>
    <w:basedOn w:val="Domylnaczcionkaakapitu"/>
    <w:link w:val="Tekstdymka"/>
    <w:semiHidden/>
    <w:rsid w:val="008A572A"/>
    <w:rPr>
      <w:rFonts w:ascii="Tahoma" w:hAnsi="Tahoma" w:cs="Tahoma"/>
      <w:sz w:val="16"/>
      <w:szCs w:val="16"/>
    </w:rPr>
  </w:style>
  <w:style w:type="character" w:customStyle="1" w:styleId="MapadokumentuZnak">
    <w:name w:val="Mapa dokumentu Znak"/>
    <w:basedOn w:val="Domylnaczcionkaakapitu"/>
    <w:link w:val="Mapadokumentu"/>
    <w:semiHidden/>
    <w:rsid w:val="008A572A"/>
    <w:rPr>
      <w:rFonts w:ascii="Tahoma" w:hAnsi="Tahoma" w:cs="Tahoma"/>
      <w:shd w:val="clear" w:color="auto" w:fill="000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312">
      <w:bodyDiv w:val="1"/>
      <w:marLeft w:val="0"/>
      <w:marRight w:val="0"/>
      <w:marTop w:val="0"/>
      <w:marBottom w:val="0"/>
      <w:divBdr>
        <w:top w:val="none" w:sz="0" w:space="0" w:color="auto"/>
        <w:left w:val="none" w:sz="0" w:space="0" w:color="auto"/>
        <w:bottom w:val="none" w:sz="0" w:space="0" w:color="auto"/>
        <w:right w:val="none" w:sz="0" w:space="0" w:color="auto"/>
      </w:divBdr>
    </w:div>
    <w:div w:id="1667707">
      <w:bodyDiv w:val="1"/>
      <w:marLeft w:val="0"/>
      <w:marRight w:val="0"/>
      <w:marTop w:val="0"/>
      <w:marBottom w:val="0"/>
      <w:divBdr>
        <w:top w:val="none" w:sz="0" w:space="0" w:color="auto"/>
        <w:left w:val="none" w:sz="0" w:space="0" w:color="auto"/>
        <w:bottom w:val="none" w:sz="0" w:space="0" w:color="auto"/>
        <w:right w:val="none" w:sz="0" w:space="0" w:color="auto"/>
      </w:divBdr>
    </w:div>
    <w:div w:id="1977097">
      <w:bodyDiv w:val="1"/>
      <w:marLeft w:val="0"/>
      <w:marRight w:val="0"/>
      <w:marTop w:val="0"/>
      <w:marBottom w:val="0"/>
      <w:divBdr>
        <w:top w:val="none" w:sz="0" w:space="0" w:color="auto"/>
        <w:left w:val="none" w:sz="0" w:space="0" w:color="auto"/>
        <w:bottom w:val="none" w:sz="0" w:space="0" w:color="auto"/>
        <w:right w:val="none" w:sz="0" w:space="0" w:color="auto"/>
      </w:divBdr>
    </w:div>
    <w:div w:id="4134410">
      <w:bodyDiv w:val="1"/>
      <w:marLeft w:val="0"/>
      <w:marRight w:val="0"/>
      <w:marTop w:val="0"/>
      <w:marBottom w:val="0"/>
      <w:divBdr>
        <w:top w:val="none" w:sz="0" w:space="0" w:color="auto"/>
        <w:left w:val="none" w:sz="0" w:space="0" w:color="auto"/>
        <w:bottom w:val="none" w:sz="0" w:space="0" w:color="auto"/>
        <w:right w:val="none" w:sz="0" w:space="0" w:color="auto"/>
      </w:divBdr>
    </w:div>
    <w:div w:id="6835648">
      <w:bodyDiv w:val="1"/>
      <w:marLeft w:val="0"/>
      <w:marRight w:val="0"/>
      <w:marTop w:val="0"/>
      <w:marBottom w:val="0"/>
      <w:divBdr>
        <w:top w:val="none" w:sz="0" w:space="0" w:color="auto"/>
        <w:left w:val="none" w:sz="0" w:space="0" w:color="auto"/>
        <w:bottom w:val="none" w:sz="0" w:space="0" w:color="auto"/>
        <w:right w:val="none" w:sz="0" w:space="0" w:color="auto"/>
      </w:divBdr>
    </w:div>
    <w:div w:id="7172686">
      <w:bodyDiv w:val="1"/>
      <w:marLeft w:val="0"/>
      <w:marRight w:val="0"/>
      <w:marTop w:val="0"/>
      <w:marBottom w:val="0"/>
      <w:divBdr>
        <w:top w:val="none" w:sz="0" w:space="0" w:color="auto"/>
        <w:left w:val="none" w:sz="0" w:space="0" w:color="auto"/>
        <w:bottom w:val="none" w:sz="0" w:space="0" w:color="auto"/>
        <w:right w:val="none" w:sz="0" w:space="0" w:color="auto"/>
      </w:divBdr>
    </w:div>
    <w:div w:id="8139020">
      <w:bodyDiv w:val="1"/>
      <w:marLeft w:val="0"/>
      <w:marRight w:val="0"/>
      <w:marTop w:val="0"/>
      <w:marBottom w:val="0"/>
      <w:divBdr>
        <w:top w:val="none" w:sz="0" w:space="0" w:color="auto"/>
        <w:left w:val="none" w:sz="0" w:space="0" w:color="auto"/>
        <w:bottom w:val="none" w:sz="0" w:space="0" w:color="auto"/>
        <w:right w:val="none" w:sz="0" w:space="0" w:color="auto"/>
      </w:divBdr>
    </w:div>
    <w:div w:id="13699506">
      <w:bodyDiv w:val="1"/>
      <w:marLeft w:val="0"/>
      <w:marRight w:val="0"/>
      <w:marTop w:val="0"/>
      <w:marBottom w:val="0"/>
      <w:divBdr>
        <w:top w:val="none" w:sz="0" w:space="0" w:color="auto"/>
        <w:left w:val="none" w:sz="0" w:space="0" w:color="auto"/>
        <w:bottom w:val="none" w:sz="0" w:space="0" w:color="auto"/>
        <w:right w:val="none" w:sz="0" w:space="0" w:color="auto"/>
      </w:divBdr>
    </w:div>
    <w:div w:id="15162122">
      <w:bodyDiv w:val="1"/>
      <w:marLeft w:val="0"/>
      <w:marRight w:val="0"/>
      <w:marTop w:val="0"/>
      <w:marBottom w:val="0"/>
      <w:divBdr>
        <w:top w:val="none" w:sz="0" w:space="0" w:color="auto"/>
        <w:left w:val="none" w:sz="0" w:space="0" w:color="auto"/>
        <w:bottom w:val="none" w:sz="0" w:space="0" w:color="auto"/>
        <w:right w:val="none" w:sz="0" w:space="0" w:color="auto"/>
      </w:divBdr>
    </w:div>
    <w:div w:id="16780523">
      <w:bodyDiv w:val="1"/>
      <w:marLeft w:val="0"/>
      <w:marRight w:val="0"/>
      <w:marTop w:val="0"/>
      <w:marBottom w:val="0"/>
      <w:divBdr>
        <w:top w:val="none" w:sz="0" w:space="0" w:color="auto"/>
        <w:left w:val="none" w:sz="0" w:space="0" w:color="auto"/>
        <w:bottom w:val="none" w:sz="0" w:space="0" w:color="auto"/>
        <w:right w:val="none" w:sz="0" w:space="0" w:color="auto"/>
      </w:divBdr>
    </w:div>
    <w:div w:id="24063144">
      <w:bodyDiv w:val="1"/>
      <w:marLeft w:val="0"/>
      <w:marRight w:val="0"/>
      <w:marTop w:val="0"/>
      <w:marBottom w:val="0"/>
      <w:divBdr>
        <w:top w:val="none" w:sz="0" w:space="0" w:color="auto"/>
        <w:left w:val="none" w:sz="0" w:space="0" w:color="auto"/>
        <w:bottom w:val="none" w:sz="0" w:space="0" w:color="auto"/>
        <w:right w:val="none" w:sz="0" w:space="0" w:color="auto"/>
      </w:divBdr>
    </w:div>
    <w:div w:id="26108342">
      <w:bodyDiv w:val="1"/>
      <w:marLeft w:val="0"/>
      <w:marRight w:val="0"/>
      <w:marTop w:val="0"/>
      <w:marBottom w:val="0"/>
      <w:divBdr>
        <w:top w:val="none" w:sz="0" w:space="0" w:color="auto"/>
        <w:left w:val="none" w:sz="0" w:space="0" w:color="auto"/>
        <w:bottom w:val="none" w:sz="0" w:space="0" w:color="auto"/>
        <w:right w:val="none" w:sz="0" w:space="0" w:color="auto"/>
      </w:divBdr>
    </w:div>
    <w:div w:id="27144678">
      <w:bodyDiv w:val="1"/>
      <w:marLeft w:val="0"/>
      <w:marRight w:val="0"/>
      <w:marTop w:val="0"/>
      <w:marBottom w:val="0"/>
      <w:divBdr>
        <w:top w:val="none" w:sz="0" w:space="0" w:color="auto"/>
        <w:left w:val="none" w:sz="0" w:space="0" w:color="auto"/>
        <w:bottom w:val="none" w:sz="0" w:space="0" w:color="auto"/>
        <w:right w:val="none" w:sz="0" w:space="0" w:color="auto"/>
      </w:divBdr>
    </w:div>
    <w:div w:id="29036732">
      <w:bodyDiv w:val="1"/>
      <w:marLeft w:val="0"/>
      <w:marRight w:val="0"/>
      <w:marTop w:val="0"/>
      <w:marBottom w:val="0"/>
      <w:divBdr>
        <w:top w:val="none" w:sz="0" w:space="0" w:color="auto"/>
        <w:left w:val="none" w:sz="0" w:space="0" w:color="auto"/>
        <w:bottom w:val="none" w:sz="0" w:space="0" w:color="auto"/>
        <w:right w:val="none" w:sz="0" w:space="0" w:color="auto"/>
      </w:divBdr>
    </w:div>
    <w:div w:id="30418784">
      <w:bodyDiv w:val="1"/>
      <w:marLeft w:val="0"/>
      <w:marRight w:val="0"/>
      <w:marTop w:val="0"/>
      <w:marBottom w:val="0"/>
      <w:divBdr>
        <w:top w:val="none" w:sz="0" w:space="0" w:color="auto"/>
        <w:left w:val="none" w:sz="0" w:space="0" w:color="auto"/>
        <w:bottom w:val="none" w:sz="0" w:space="0" w:color="auto"/>
        <w:right w:val="none" w:sz="0" w:space="0" w:color="auto"/>
      </w:divBdr>
    </w:div>
    <w:div w:id="30425168">
      <w:bodyDiv w:val="1"/>
      <w:marLeft w:val="0"/>
      <w:marRight w:val="0"/>
      <w:marTop w:val="0"/>
      <w:marBottom w:val="0"/>
      <w:divBdr>
        <w:top w:val="none" w:sz="0" w:space="0" w:color="auto"/>
        <w:left w:val="none" w:sz="0" w:space="0" w:color="auto"/>
        <w:bottom w:val="none" w:sz="0" w:space="0" w:color="auto"/>
        <w:right w:val="none" w:sz="0" w:space="0" w:color="auto"/>
      </w:divBdr>
    </w:div>
    <w:div w:id="32119311">
      <w:bodyDiv w:val="1"/>
      <w:marLeft w:val="0"/>
      <w:marRight w:val="0"/>
      <w:marTop w:val="0"/>
      <w:marBottom w:val="0"/>
      <w:divBdr>
        <w:top w:val="none" w:sz="0" w:space="0" w:color="auto"/>
        <w:left w:val="none" w:sz="0" w:space="0" w:color="auto"/>
        <w:bottom w:val="none" w:sz="0" w:space="0" w:color="auto"/>
        <w:right w:val="none" w:sz="0" w:space="0" w:color="auto"/>
      </w:divBdr>
    </w:div>
    <w:div w:id="33771295">
      <w:bodyDiv w:val="1"/>
      <w:marLeft w:val="0"/>
      <w:marRight w:val="0"/>
      <w:marTop w:val="0"/>
      <w:marBottom w:val="0"/>
      <w:divBdr>
        <w:top w:val="none" w:sz="0" w:space="0" w:color="auto"/>
        <w:left w:val="none" w:sz="0" w:space="0" w:color="auto"/>
        <w:bottom w:val="none" w:sz="0" w:space="0" w:color="auto"/>
        <w:right w:val="none" w:sz="0" w:space="0" w:color="auto"/>
      </w:divBdr>
    </w:div>
    <w:div w:id="35005390">
      <w:bodyDiv w:val="1"/>
      <w:marLeft w:val="0"/>
      <w:marRight w:val="0"/>
      <w:marTop w:val="0"/>
      <w:marBottom w:val="0"/>
      <w:divBdr>
        <w:top w:val="none" w:sz="0" w:space="0" w:color="auto"/>
        <w:left w:val="none" w:sz="0" w:space="0" w:color="auto"/>
        <w:bottom w:val="none" w:sz="0" w:space="0" w:color="auto"/>
        <w:right w:val="none" w:sz="0" w:space="0" w:color="auto"/>
      </w:divBdr>
    </w:div>
    <w:div w:id="35350988">
      <w:bodyDiv w:val="1"/>
      <w:marLeft w:val="0"/>
      <w:marRight w:val="0"/>
      <w:marTop w:val="0"/>
      <w:marBottom w:val="0"/>
      <w:divBdr>
        <w:top w:val="none" w:sz="0" w:space="0" w:color="auto"/>
        <w:left w:val="none" w:sz="0" w:space="0" w:color="auto"/>
        <w:bottom w:val="none" w:sz="0" w:space="0" w:color="auto"/>
        <w:right w:val="none" w:sz="0" w:space="0" w:color="auto"/>
      </w:divBdr>
    </w:div>
    <w:div w:id="36392648">
      <w:bodyDiv w:val="1"/>
      <w:marLeft w:val="0"/>
      <w:marRight w:val="0"/>
      <w:marTop w:val="0"/>
      <w:marBottom w:val="0"/>
      <w:divBdr>
        <w:top w:val="none" w:sz="0" w:space="0" w:color="auto"/>
        <w:left w:val="none" w:sz="0" w:space="0" w:color="auto"/>
        <w:bottom w:val="none" w:sz="0" w:space="0" w:color="auto"/>
        <w:right w:val="none" w:sz="0" w:space="0" w:color="auto"/>
      </w:divBdr>
    </w:div>
    <w:div w:id="38481001">
      <w:bodyDiv w:val="1"/>
      <w:marLeft w:val="0"/>
      <w:marRight w:val="0"/>
      <w:marTop w:val="0"/>
      <w:marBottom w:val="0"/>
      <w:divBdr>
        <w:top w:val="none" w:sz="0" w:space="0" w:color="auto"/>
        <w:left w:val="none" w:sz="0" w:space="0" w:color="auto"/>
        <w:bottom w:val="none" w:sz="0" w:space="0" w:color="auto"/>
        <w:right w:val="none" w:sz="0" w:space="0" w:color="auto"/>
      </w:divBdr>
    </w:div>
    <w:div w:id="39288131">
      <w:bodyDiv w:val="1"/>
      <w:marLeft w:val="0"/>
      <w:marRight w:val="0"/>
      <w:marTop w:val="0"/>
      <w:marBottom w:val="0"/>
      <w:divBdr>
        <w:top w:val="none" w:sz="0" w:space="0" w:color="auto"/>
        <w:left w:val="none" w:sz="0" w:space="0" w:color="auto"/>
        <w:bottom w:val="none" w:sz="0" w:space="0" w:color="auto"/>
        <w:right w:val="none" w:sz="0" w:space="0" w:color="auto"/>
      </w:divBdr>
    </w:div>
    <w:div w:id="40132149">
      <w:bodyDiv w:val="1"/>
      <w:marLeft w:val="0"/>
      <w:marRight w:val="0"/>
      <w:marTop w:val="0"/>
      <w:marBottom w:val="0"/>
      <w:divBdr>
        <w:top w:val="none" w:sz="0" w:space="0" w:color="auto"/>
        <w:left w:val="none" w:sz="0" w:space="0" w:color="auto"/>
        <w:bottom w:val="none" w:sz="0" w:space="0" w:color="auto"/>
        <w:right w:val="none" w:sz="0" w:space="0" w:color="auto"/>
      </w:divBdr>
    </w:div>
    <w:div w:id="40712050">
      <w:bodyDiv w:val="1"/>
      <w:marLeft w:val="0"/>
      <w:marRight w:val="0"/>
      <w:marTop w:val="0"/>
      <w:marBottom w:val="0"/>
      <w:divBdr>
        <w:top w:val="none" w:sz="0" w:space="0" w:color="auto"/>
        <w:left w:val="none" w:sz="0" w:space="0" w:color="auto"/>
        <w:bottom w:val="none" w:sz="0" w:space="0" w:color="auto"/>
        <w:right w:val="none" w:sz="0" w:space="0" w:color="auto"/>
      </w:divBdr>
    </w:div>
    <w:div w:id="44138078">
      <w:bodyDiv w:val="1"/>
      <w:marLeft w:val="0"/>
      <w:marRight w:val="0"/>
      <w:marTop w:val="0"/>
      <w:marBottom w:val="0"/>
      <w:divBdr>
        <w:top w:val="none" w:sz="0" w:space="0" w:color="auto"/>
        <w:left w:val="none" w:sz="0" w:space="0" w:color="auto"/>
        <w:bottom w:val="none" w:sz="0" w:space="0" w:color="auto"/>
        <w:right w:val="none" w:sz="0" w:space="0" w:color="auto"/>
      </w:divBdr>
    </w:div>
    <w:div w:id="44763416">
      <w:bodyDiv w:val="1"/>
      <w:marLeft w:val="0"/>
      <w:marRight w:val="0"/>
      <w:marTop w:val="0"/>
      <w:marBottom w:val="0"/>
      <w:divBdr>
        <w:top w:val="none" w:sz="0" w:space="0" w:color="auto"/>
        <w:left w:val="none" w:sz="0" w:space="0" w:color="auto"/>
        <w:bottom w:val="none" w:sz="0" w:space="0" w:color="auto"/>
        <w:right w:val="none" w:sz="0" w:space="0" w:color="auto"/>
      </w:divBdr>
    </w:div>
    <w:div w:id="45765386">
      <w:bodyDiv w:val="1"/>
      <w:marLeft w:val="0"/>
      <w:marRight w:val="0"/>
      <w:marTop w:val="0"/>
      <w:marBottom w:val="0"/>
      <w:divBdr>
        <w:top w:val="none" w:sz="0" w:space="0" w:color="auto"/>
        <w:left w:val="none" w:sz="0" w:space="0" w:color="auto"/>
        <w:bottom w:val="none" w:sz="0" w:space="0" w:color="auto"/>
        <w:right w:val="none" w:sz="0" w:space="0" w:color="auto"/>
      </w:divBdr>
    </w:div>
    <w:div w:id="47464268">
      <w:bodyDiv w:val="1"/>
      <w:marLeft w:val="0"/>
      <w:marRight w:val="0"/>
      <w:marTop w:val="0"/>
      <w:marBottom w:val="0"/>
      <w:divBdr>
        <w:top w:val="none" w:sz="0" w:space="0" w:color="auto"/>
        <w:left w:val="none" w:sz="0" w:space="0" w:color="auto"/>
        <w:bottom w:val="none" w:sz="0" w:space="0" w:color="auto"/>
        <w:right w:val="none" w:sz="0" w:space="0" w:color="auto"/>
      </w:divBdr>
    </w:div>
    <w:div w:id="49696426">
      <w:bodyDiv w:val="1"/>
      <w:marLeft w:val="0"/>
      <w:marRight w:val="0"/>
      <w:marTop w:val="0"/>
      <w:marBottom w:val="0"/>
      <w:divBdr>
        <w:top w:val="none" w:sz="0" w:space="0" w:color="auto"/>
        <w:left w:val="none" w:sz="0" w:space="0" w:color="auto"/>
        <w:bottom w:val="none" w:sz="0" w:space="0" w:color="auto"/>
        <w:right w:val="none" w:sz="0" w:space="0" w:color="auto"/>
      </w:divBdr>
    </w:div>
    <w:div w:id="50004304">
      <w:bodyDiv w:val="1"/>
      <w:marLeft w:val="0"/>
      <w:marRight w:val="0"/>
      <w:marTop w:val="0"/>
      <w:marBottom w:val="0"/>
      <w:divBdr>
        <w:top w:val="none" w:sz="0" w:space="0" w:color="auto"/>
        <w:left w:val="none" w:sz="0" w:space="0" w:color="auto"/>
        <w:bottom w:val="none" w:sz="0" w:space="0" w:color="auto"/>
        <w:right w:val="none" w:sz="0" w:space="0" w:color="auto"/>
      </w:divBdr>
    </w:div>
    <w:div w:id="51075738">
      <w:bodyDiv w:val="1"/>
      <w:marLeft w:val="0"/>
      <w:marRight w:val="0"/>
      <w:marTop w:val="0"/>
      <w:marBottom w:val="0"/>
      <w:divBdr>
        <w:top w:val="none" w:sz="0" w:space="0" w:color="auto"/>
        <w:left w:val="none" w:sz="0" w:space="0" w:color="auto"/>
        <w:bottom w:val="none" w:sz="0" w:space="0" w:color="auto"/>
        <w:right w:val="none" w:sz="0" w:space="0" w:color="auto"/>
      </w:divBdr>
    </w:div>
    <w:div w:id="52579963">
      <w:bodyDiv w:val="1"/>
      <w:marLeft w:val="0"/>
      <w:marRight w:val="0"/>
      <w:marTop w:val="0"/>
      <w:marBottom w:val="0"/>
      <w:divBdr>
        <w:top w:val="none" w:sz="0" w:space="0" w:color="auto"/>
        <w:left w:val="none" w:sz="0" w:space="0" w:color="auto"/>
        <w:bottom w:val="none" w:sz="0" w:space="0" w:color="auto"/>
        <w:right w:val="none" w:sz="0" w:space="0" w:color="auto"/>
      </w:divBdr>
    </w:div>
    <w:div w:id="52780811">
      <w:bodyDiv w:val="1"/>
      <w:marLeft w:val="0"/>
      <w:marRight w:val="0"/>
      <w:marTop w:val="0"/>
      <w:marBottom w:val="0"/>
      <w:divBdr>
        <w:top w:val="none" w:sz="0" w:space="0" w:color="auto"/>
        <w:left w:val="none" w:sz="0" w:space="0" w:color="auto"/>
        <w:bottom w:val="none" w:sz="0" w:space="0" w:color="auto"/>
        <w:right w:val="none" w:sz="0" w:space="0" w:color="auto"/>
      </w:divBdr>
    </w:div>
    <w:div w:id="53549273">
      <w:bodyDiv w:val="1"/>
      <w:marLeft w:val="0"/>
      <w:marRight w:val="0"/>
      <w:marTop w:val="0"/>
      <w:marBottom w:val="0"/>
      <w:divBdr>
        <w:top w:val="none" w:sz="0" w:space="0" w:color="auto"/>
        <w:left w:val="none" w:sz="0" w:space="0" w:color="auto"/>
        <w:bottom w:val="none" w:sz="0" w:space="0" w:color="auto"/>
        <w:right w:val="none" w:sz="0" w:space="0" w:color="auto"/>
      </w:divBdr>
    </w:div>
    <w:div w:id="55906569">
      <w:bodyDiv w:val="1"/>
      <w:marLeft w:val="0"/>
      <w:marRight w:val="0"/>
      <w:marTop w:val="0"/>
      <w:marBottom w:val="0"/>
      <w:divBdr>
        <w:top w:val="none" w:sz="0" w:space="0" w:color="auto"/>
        <w:left w:val="none" w:sz="0" w:space="0" w:color="auto"/>
        <w:bottom w:val="none" w:sz="0" w:space="0" w:color="auto"/>
        <w:right w:val="none" w:sz="0" w:space="0" w:color="auto"/>
      </w:divBdr>
    </w:div>
    <w:div w:id="56171450">
      <w:bodyDiv w:val="1"/>
      <w:marLeft w:val="0"/>
      <w:marRight w:val="0"/>
      <w:marTop w:val="0"/>
      <w:marBottom w:val="0"/>
      <w:divBdr>
        <w:top w:val="none" w:sz="0" w:space="0" w:color="auto"/>
        <w:left w:val="none" w:sz="0" w:space="0" w:color="auto"/>
        <w:bottom w:val="none" w:sz="0" w:space="0" w:color="auto"/>
        <w:right w:val="none" w:sz="0" w:space="0" w:color="auto"/>
      </w:divBdr>
    </w:div>
    <w:div w:id="56366242">
      <w:bodyDiv w:val="1"/>
      <w:marLeft w:val="0"/>
      <w:marRight w:val="0"/>
      <w:marTop w:val="0"/>
      <w:marBottom w:val="0"/>
      <w:divBdr>
        <w:top w:val="none" w:sz="0" w:space="0" w:color="auto"/>
        <w:left w:val="none" w:sz="0" w:space="0" w:color="auto"/>
        <w:bottom w:val="none" w:sz="0" w:space="0" w:color="auto"/>
        <w:right w:val="none" w:sz="0" w:space="0" w:color="auto"/>
      </w:divBdr>
    </w:div>
    <w:div w:id="56561370">
      <w:bodyDiv w:val="1"/>
      <w:marLeft w:val="0"/>
      <w:marRight w:val="0"/>
      <w:marTop w:val="0"/>
      <w:marBottom w:val="0"/>
      <w:divBdr>
        <w:top w:val="none" w:sz="0" w:space="0" w:color="auto"/>
        <w:left w:val="none" w:sz="0" w:space="0" w:color="auto"/>
        <w:bottom w:val="none" w:sz="0" w:space="0" w:color="auto"/>
        <w:right w:val="none" w:sz="0" w:space="0" w:color="auto"/>
      </w:divBdr>
    </w:div>
    <w:div w:id="58022321">
      <w:bodyDiv w:val="1"/>
      <w:marLeft w:val="0"/>
      <w:marRight w:val="0"/>
      <w:marTop w:val="0"/>
      <w:marBottom w:val="0"/>
      <w:divBdr>
        <w:top w:val="none" w:sz="0" w:space="0" w:color="auto"/>
        <w:left w:val="none" w:sz="0" w:space="0" w:color="auto"/>
        <w:bottom w:val="none" w:sz="0" w:space="0" w:color="auto"/>
        <w:right w:val="none" w:sz="0" w:space="0" w:color="auto"/>
      </w:divBdr>
    </w:div>
    <w:div w:id="58945695">
      <w:bodyDiv w:val="1"/>
      <w:marLeft w:val="0"/>
      <w:marRight w:val="0"/>
      <w:marTop w:val="0"/>
      <w:marBottom w:val="0"/>
      <w:divBdr>
        <w:top w:val="none" w:sz="0" w:space="0" w:color="auto"/>
        <w:left w:val="none" w:sz="0" w:space="0" w:color="auto"/>
        <w:bottom w:val="none" w:sz="0" w:space="0" w:color="auto"/>
        <w:right w:val="none" w:sz="0" w:space="0" w:color="auto"/>
      </w:divBdr>
    </w:div>
    <w:div w:id="59527996">
      <w:bodyDiv w:val="1"/>
      <w:marLeft w:val="0"/>
      <w:marRight w:val="0"/>
      <w:marTop w:val="0"/>
      <w:marBottom w:val="0"/>
      <w:divBdr>
        <w:top w:val="none" w:sz="0" w:space="0" w:color="auto"/>
        <w:left w:val="none" w:sz="0" w:space="0" w:color="auto"/>
        <w:bottom w:val="none" w:sz="0" w:space="0" w:color="auto"/>
        <w:right w:val="none" w:sz="0" w:space="0" w:color="auto"/>
      </w:divBdr>
    </w:div>
    <w:div w:id="59864484">
      <w:bodyDiv w:val="1"/>
      <w:marLeft w:val="0"/>
      <w:marRight w:val="0"/>
      <w:marTop w:val="0"/>
      <w:marBottom w:val="0"/>
      <w:divBdr>
        <w:top w:val="none" w:sz="0" w:space="0" w:color="auto"/>
        <w:left w:val="none" w:sz="0" w:space="0" w:color="auto"/>
        <w:bottom w:val="none" w:sz="0" w:space="0" w:color="auto"/>
        <w:right w:val="none" w:sz="0" w:space="0" w:color="auto"/>
      </w:divBdr>
    </w:div>
    <w:div w:id="64569126">
      <w:bodyDiv w:val="1"/>
      <w:marLeft w:val="0"/>
      <w:marRight w:val="0"/>
      <w:marTop w:val="0"/>
      <w:marBottom w:val="0"/>
      <w:divBdr>
        <w:top w:val="none" w:sz="0" w:space="0" w:color="auto"/>
        <w:left w:val="none" w:sz="0" w:space="0" w:color="auto"/>
        <w:bottom w:val="none" w:sz="0" w:space="0" w:color="auto"/>
        <w:right w:val="none" w:sz="0" w:space="0" w:color="auto"/>
      </w:divBdr>
    </w:div>
    <w:div w:id="65538745">
      <w:bodyDiv w:val="1"/>
      <w:marLeft w:val="0"/>
      <w:marRight w:val="0"/>
      <w:marTop w:val="0"/>
      <w:marBottom w:val="0"/>
      <w:divBdr>
        <w:top w:val="none" w:sz="0" w:space="0" w:color="auto"/>
        <w:left w:val="none" w:sz="0" w:space="0" w:color="auto"/>
        <w:bottom w:val="none" w:sz="0" w:space="0" w:color="auto"/>
        <w:right w:val="none" w:sz="0" w:space="0" w:color="auto"/>
      </w:divBdr>
    </w:div>
    <w:div w:id="65685407">
      <w:bodyDiv w:val="1"/>
      <w:marLeft w:val="0"/>
      <w:marRight w:val="0"/>
      <w:marTop w:val="0"/>
      <w:marBottom w:val="0"/>
      <w:divBdr>
        <w:top w:val="none" w:sz="0" w:space="0" w:color="auto"/>
        <w:left w:val="none" w:sz="0" w:space="0" w:color="auto"/>
        <w:bottom w:val="none" w:sz="0" w:space="0" w:color="auto"/>
        <w:right w:val="none" w:sz="0" w:space="0" w:color="auto"/>
      </w:divBdr>
    </w:div>
    <w:div w:id="65759997">
      <w:bodyDiv w:val="1"/>
      <w:marLeft w:val="0"/>
      <w:marRight w:val="0"/>
      <w:marTop w:val="0"/>
      <w:marBottom w:val="0"/>
      <w:divBdr>
        <w:top w:val="none" w:sz="0" w:space="0" w:color="auto"/>
        <w:left w:val="none" w:sz="0" w:space="0" w:color="auto"/>
        <w:bottom w:val="none" w:sz="0" w:space="0" w:color="auto"/>
        <w:right w:val="none" w:sz="0" w:space="0" w:color="auto"/>
      </w:divBdr>
    </w:div>
    <w:div w:id="67072408">
      <w:bodyDiv w:val="1"/>
      <w:marLeft w:val="0"/>
      <w:marRight w:val="0"/>
      <w:marTop w:val="0"/>
      <w:marBottom w:val="0"/>
      <w:divBdr>
        <w:top w:val="none" w:sz="0" w:space="0" w:color="auto"/>
        <w:left w:val="none" w:sz="0" w:space="0" w:color="auto"/>
        <w:bottom w:val="none" w:sz="0" w:space="0" w:color="auto"/>
        <w:right w:val="none" w:sz="0" w:space="0" w:color="auto"/>
      </w:divBdr>
    </w:div>
    <w:div w:id="68433321">
      <w:bodyDiv w:val="1"/>
      <w:marLeft w:val="0"/>
      <w:marRight w:val="0"/>
      <w:marTop w:val="0"/>
      <w:marBottom w:val="0"/>
      <w:divBdr>
        <w:top w:val="none" w:sz="0" w:space="0" w:color="auto"/>
        <w:left w:val="none" w:sz="0" w:space="0" w:color="auto"/>
        <w:bottom w:val="none" w:sz="0" w:space="0" w:color="auto"/>
        <w:right w:val="none" w:sz="0" w:space="0" w:color="auto"/>
      </w:divBdr>
    </w:div>
    <w:div w:id="68618515">
      <w:bodyDiv w:val="1"/>
      <w:marLeft w:val="0"/>
      <w:marRight w:val="0"/>
      <w:marTop w:val="0"/>
      <w:marBottom w:val="0"/>
      <w:divBdr>
        <w:top w:val="none" w:sz="0" w:space="0" w:color="auto"/>
        <w:left w:val="none" w:sz="0" w:space="0" w:color="auto"/>
        <w:bottom w:val="none" w:sz="0" w:space="0" w:color="auto"/>
        <w:right w:val="none" w:sz="0" w:space="0" w:color="auto"/>
      </w:divBdr>
    </w:div>
    <w:div w:id="69158412">
      <w:bodyDiv w:val="1"/>
      <w:marLeft w:val="0"/>
      <w:marRight w:val="0"/>
      <w:marTop w:val="0"/>
      <w:marBottom w:val="0"/>
      <w:divBdr>
        <w:top w:val="none" w:sz="0" w:space="0" w:color="auto"/>
        <w:left w:val="none" w:sz="0" w:space="0" w:color="auto"/>
        <w:bottom w:val="none" w:sz="0" w:space="0" w:color="auto"/>
        <w:right w:val="none" w:sz="0" w:space="0" w:color="auto"/>
      </w:divBdr>
    </w:div>
    <w:div w:id="72897297">
      <w:bodyDiv w:val="1"/>
      <w:marLeft w:val="0"/>
      <w:marRight w:val="0"/>
      <w:marTop w:val="0"/>
      <w:marBottom w:val="0"/>
      <w:divBdr>
        <w:top w:val="none" w:sz="0" w:space="0" w:color="auto"/>
        <w:left w:val="none" w:sz="0" w:space="0" w:color="auto"/>
        <w:bottom w:val="none" w:sz="0" w:space="0" w:color="auto"/>
        <w:right w:val="none" w:sz="0" w:space="0" w:color="auto"/>
      </w:divBdr>
    </w:div>
    <w:div w:id="78721603">
      <w:bodyDiv w:val="1"/>
      <w:marLeft w:val="0"/>
      <w:marRight w:val="0"/>
      <w:marTop w:val="0"/>
      <w:marBottom w:val="0"/>
      <w:divBdr>
        <w:top w:val="none" w:sz="0" w:space="0" w:color="auto"/>
        <w:left w:val="none" w:sz="0" w:space="0" w:color="auto"/>
        <w:bottom w:val="none" w:sz="0" w:space="0" w:color="auto"/>
        <w:right w:val="none" w:sz="0" w:space="0" w:color="auto"/>
      </w:divBdr>
    </w:div>
    <w:div w:id="79566402">
      <w:bodyDiv w:val="1"/>
      <w:marLeft w:val="0"/>
      <w:marRight w:val="0"/>
      <w:marTop w:val="0"/>
      <w:marBottom w:val="0"/>
      <w:divBdr>
        <w:top w:val="none" w:sz="0" w:space="0" w:color="auto"/>
        <w:left w:val="none" w:sz="0" w:space="0" w:color="auto"/>
        <w:bottom w:val="none" w:sz="0" w:space="0" w:color="auto"/>
        <w:right w:val="none" w:sz="0" w:space="0" w:color="auto"/>
      </w:divBdr>
    </w:div>
    <w:div w:id="81226681">
      <w:bodyDiv w:val="1"/>
      <w:marLeft w:val="0"/>
      <w:marRight w:val="0"/>
      <w:marTop w:val="0"/>
      <w:marBottom w:val="0"/>
      <w:divBdr>
        <w:top w:val="none" w:sz="0" w:space="0" w:color="auto"/>
        <w:left w:val="none" w:sz="0" w:space="0" w:color="auto"/>
        <w:bottom w:val="none" w:sz="0" w:space="0" w:color="auto"/>
        <w:right w:val="none" w:sz="0" w:space="0" w:color="auto"/>
      </w:divBdr>
    </w:div>
    <w:div w:id="81687054">
      <w:bodyDiv w:val="1"/>
      <w:marLeft w:val="0"/>
      <w:marRight w:val="0"/>
      <w:marTop w:val="0"/>
      <w:marBottom w:val="0"/>
      <w:divBdr>
        <w:top w:val="none" w:sz="0" w:space="0" w:color="auto"/>
        <w:left w:val="none" w:sz="0" w:space="0" w:color="auto"/>
        <w:bottom w:val="none" w:sz="0" w:space="0" w:color="auto"/>
        <w:right w:val="none" w:sz="0" w:space="0" w:color="auto"/>
      </w:divBdr>
    </w:div>
    <w:div w:id="81878207">
      <w:bodyDiv w:val="1"/>
      <w:marLeft w:val="0"/>
      <w:marRight w:val="0"/>
      <w:marTop w:val="0"/>
      <w:marBottom w:val="0"/>
      <w:divBdr>
        <w:top w:val="none" w:sz="0" w:space="0" w:color="auto"/>
        <w:left w:val="none" w:sz="0" w:space="0" w:color="auto"/>
        <w:bottom w:val="none" w:sz="0" w:space="0" w:color="auto"/>
        <w:right w:val="none" w:sz="0" w:space="0" w:color="auto"/>
      </w:divBdr>
    </w:div>
    <w:div w:id="82143315">
      <w:bodyDiv w:val="1"/>
      <w:marLeft w:val="0"/>
      <w:marRight w:val="0"/>
      <w:marTop w:val="0"/>
      <w:marBottom w:val="0"/>
      <w:divBdr>
        <w:top w:val="none" w:sz="0" w:space="0" w:color="auto"/>
        <w:left w:val="none" w:sz="0" w:space="0" w:color="auto"/>
        <w:bottom w:val="none" w:sz="0" w:space="0" w:color="auto"/>
        <w:right w:val="none" w:sz="0" w:space="0" w:color="auto"/>
      </w:divBdr>
    </w:div>
    <w:div w:id="83378165">
      <w:bodyDiv w:val="1"/>
      <w:marLeft w:val="0"/>
      <w:marRight w:val="0"/>
      <w:marTop w:val="0"/>
      <w:marBottom w:val="0"/>
      <w:divBdr>
        <w:top w:val="none" w:sz="0" w:space="0" w:color="auto"/>
        <w:left w:val="none" w:sz="0" w:space="0" w:color="auto"/>
        <w:bottom w:val="none" w:sz="0" w:space="0" w:color="auto"/>
        <w:right w:val="none" w:sz="0" w:space="0" w:color="auto"/>
      </w:divBdr>
    </w:div>
    <w:div w:id="83692763">
      <w:bodyDiv w:val="1"/>
      <w:marLeft w:val="0"/>
      <w:marRight w:val="0"/>
      <w:marTop w:val="0"/>
      <w:marBottom w:val="0"/>
      <w:divBdr>
        <w:top w:val="none" w:sz="0" w:space="0" w:color="auto"/>
        <w:left w:val="none" w:sz="0" w:space="0" w:color="auto"/>
        <w:bottom w:val="none" w:sz="0" w:space="0" w:color="auto"/>
        <w:right w:val="none" w:sz="0" w:space="0" w:color="auto"/>
      </w:divBdr>
    </w:div>
    <w:div w:id="87889600">
      <w:bodyDiv w:val="1"/>
      <w:marLeft w:val="0"/>
      <w:marRight w:val="0"/>
      <w:marTop w:val="0"/>
      <w:marBottom w:val="0"/>
      <w:divBdr>
        <w:top w:val="none" w:sz="0" w:space="0" w:color="auto"/>
        <w:left w:val="none" w:sz="0" w:space="0" w:color="auto"/>
        <w:bottom w:val="none" w:sz="0" w:space="0" w:color="auto"/>
        <w:right w:val="none" w:sz="0" w:space="0" w:color="auto"/>
      </w:divBdr>
    </w:div>
    <w:div w:id="89160247">
      <w:bodyDiv w:val="1"/>
      <w:marLeft w:val="0"/>
      <w:marRight w:val="0"/>
      <w:marTop w:val="0"/>
      <w:marBottom w:val="0"/>
      <w:divBdr>
        <w:top w:val="none" w:sz="0" w:space="0" w:color="auto"/>
        <w:left w:val="none" w:sz="0" w:space="0" w:color="auto"/>
        <w:bottom w:val="none" w:sz="0" w:space="0" w:color="auto"/>
        <w:right w:val="none" w:sz="0" w:space="0" w:color="auto"/>
      </w:divBdr>
    </w:div>
    <w:div w:id="89208303">
      <w:bodyDiv w:val="1"/>
      <w:marLeft w:val="0"/>
      <w:marRight w:val="0"/>
      <w:marTop w:val="0"/>
      <w:marBottom w:val="0"/>
      <w:divBdr>
        <w:top w:val="none" w:sz="0" w:space="0" w:color="auto"/>
        <w:left w:val="none" w:sz="0" w:space="0" w:color="auto"/>
        <w:bottom w:val="none" w:sz="0" w:space="0" w:color="auto"/>
        <w:right w:val="none" w:sz="0" w:space="0" w:color="auto"/>
      </w:divBdr>
    </w:div>
    <w:div w:id="89353097">
      <w:bodyDiv w:val="1"/>
      <w:marLeft w:val="0"/>
      <w:marRight w:val="0"/>
      <w:marTop w:val="0"/>
      <w:marBottom w:val="0"/>
      <w:divBdr>
        <w:top w:val="none" w:sz="0" w:space="0" w:color="auto"/>
        <w:left w:val="none" w:sz="0" w:space="0" w:color="auto"/>
        <w:bottom w:val="none" w:sz="0" w:space="0" w:color="auto"/>
        <w:right w:val="none" w:sz="0" w:space="0" w:color="auto"/>
      </w:divBdr>
    </w:div>
    <w:div w:id="89663810">
      <w:bodyDiv w:val="1"/>
      <w:marLeft w:val="0"/>
      <w:marRight w:val="0"/>
      <w:marTop w:val="0"/>
      <w:marBottom w:val="0"/>
      <w:divBdr>
        <w:top w:val="none" w:sz="0" w:space="0" w:color="auto"/>
        <w:left w:val="none" w:sz="0" w:space="0" w:color="auto"/>
        <w:bottom w:val="none" w:sz="0" w:space="0" w:color="auto"/>
        <w:right w:val="none" w:sz="0" w:space="0" w:color="auto"/>
      </w:divBdr>
    </w:div>
    <w:div w:id="92824387">
      <w:bodyDiv w:val="1"/>
      <w:marLeft w:val="0"/>
      <w:marRight w:val="0"/>
      <w:marTop w:val="0"/>
      <w:marBottom w:val="0"/>
      <w:divBdr>
        <w:top w:val="none" w:sz="0" w:space="0" w:color="auto"/>
        <w:left w:val="none" w:sz="0" w:space="0" w:color="auto"/>
        <w:bottom w:val="none" w:sz="0" w:space="0" w:color="auto"/>
        <w:right w:val="none" w:sz="0" w:space="0" w:color="auto"/>
      </w:divBdr>
    </w:div>
    <w:div w:id="95486973">
      <w:bodyDiv w:val="1"/>
      <w:marLeft w:val="0"/>
      <w:marRight w:val="0"/>
      <w:marTop w:val="0"/>
      <w:marBottom w:val="0"/>
      <w:divBdr>
        <w:top w:val="none" w:sz="0" w:space="0" w:color="auto"/>
        <w:left w:val="none" w:sz="0" w:space="0" w:color="auto"/>
        <w:bottom w:val="none" w:sz="0" w:space="0" w:color="auto"/>
        <w:right w:val="none" w:sz="0" w:space="0" w:color="auto"/>
      </w:divBdr>
    </w:div>
    <w:div w:id="96143714">
      <w:bodyDiv w:val="1"/>
      <w:marLeft w:val="0"/>
      <w:marRight w:val="0"/>
      <w:marTop w:val="0"/>
      <w:marBottom w:val="0"/>
      <w:divBdr>
        <w:top w:val="none" w:sz="0" w:space="0" w:color="auto"/>
        <w:left w:val="none" w:sz="0" w:space="0" w:color="auto"/>
        <w:bottom w:val="none" w:sz="0" w:space="0" w:color="auto"/>
        <w:right w:val="none" w:sz="0" w:space="0" w:color="auto"/>
      </w:divBdr>
    </w:div>
    <w:div w:id="98181906">
      <w:bodyDiv w:val="1"/>
      <w:marLeft w:val="0"/>
      <w:marRight w:val="0"/>
      <w:marTop w:val="0"/>
      <w:marBottom w:val="0"/>
      <w:divBdr>
        <w:top w:val="none" w:sz="0" w:space="0" w:color="auto"/>
        <w:left w:val="none" w:sz="0" w:space="0" w:color="auto"/>
        <w:bottom w:val="none" w:sz="0" w:space="0" w:color="auto"/>
        <w:right w:val="none" w:sz="0" w:space="0" w:color="auto"/>
      </w:divBdr>
    </w:div>
    <w:div w:id="100928111">
      <w:bodyDiv w:val="1"/>
      <w:marLeft w:val="0"/>
      <w:marRight w:val="0"/>
      <w:marTop w:val="0"/>
      <w:marBottom w:val="0"/>
      <w:divBdr>
        <w:top w:val="none" w:sz="0" w:space="0" w:color="auto"/>
        <w:left w:val="none" w:sz="0" w:space="0" w:color="auto"/>
        <w:bottom w:val="none" w:sz="0" w:space="0" w:color="auto"/>
        <w:right w:val="none" w:sz="0" w:space="0" w:color="auto"/>
      </w:divBdr>
    </w:div>
    <w:div w:id="101384471">
      <w:bodyDiv w:val="1"/>
      <w:marLeft w:val="0"/>
      <w:marRight w:val="0"/>
      <w:marTop w:val="0"/>
      <w:marBottom w:val="0"/>
      <w:divBdr>
        <w:top w:val="none" w:sz="0" w:space="0" w:color="auto"/>
        <w:left w:val="none" w:sz="0" w:space="0" w:color="auto"/>
        <w:bottom w:val="none" w:sz="0" w:space="0" w:color="auto"/>
        <w:right w:val="none" w:sz="0" w:space="0" w:color="auto"/>
      </w:divBdr>
    </w:div>
    <w:div w:id="104079669">
      <w:bodyDiv w:val="1"/>
      <w:marLeft w:val="0"/>
      <w:marRight w:val="0"/>
      <w:marTop w:val="0"/>
      <w:marBottom w:val="0"/>
      <w:divBdr>
        <w:top w:val="none" w:sz="0" w:space="0" w:color="auto"/>
        <w:left w:val="none" w:sz="0" w:space="0" w:color="auto"/>
        <w:bottom w:val="none" w:sz="0" w:space="0" w:color="auto"/>
        <w:right w:val="none" w:sz="0" w:space="0" w:color="auto"/>
      </w:divBdr>
    </w:div>
    <w:div w:id="105004784">
      <w:bodyDiv w:val="1"/>
      <w:marLeft w:val="0"/>
      <w:marRight w:val="0"/>
      <w:marTop w:val="0"/>
      <w:marBottom w:val="0"/>
      <w:divBdr>
        <w:top w:val="none" w:sz="0" w:space="0" w:color="auto"/>
        <w:left w:val="none" w:sz="0" w:space="0" w:color="auto"/>
        <w:bottom w:val="none" w:sz="0" w:space="0" w:color="auto"/>
        <w:right w:val="none" w:sz="0" w:space="0" w:color="auto"/>
      </w:divBdr>
    </w:div>
    <w:div w:id="107700357">
      <w:bodyDiv w:val="1"/>
      <w:marLeft w:val="0"/>
      <w:marRight w:val="0"/>
      <w:marTop w:val="0"/>
      <w:marBottom w:val="0"/>
      <w:divBdr>
        <w:top w:val="none" w:sz="0" w:space="0" w:color="auto"/>
        <w:left w:val="none" w:sz="0" w:space="0" w:color="auto"/>
        <w:bottom w:val="none" w:sz="0" w:space="0" w:color="auto"/>
        <w:right w:val="none" w:sz="0" w:space="0" w:color="auto"/>
      </w:divBdr>
    </w:div>
    <w:div w:id="107816955">
      <w:bodyDiv w:val="1"/>
      <w:marLeft w:val="0"/>
      <w:marRight w:val="0"/>
      <w:marTop w:val="0"/>
      <w:marBottom w:val="0"/>
      <w:divBdr>
        <w:top w:val="none" w:sz="0" w:space="0" w:color="auto"/>
        <w:left w:val="none" w:sz="0" w:space="0" w:color="auto"/>
        <w:bottom w:val="none" w:sz="0" w:space="0" w:color="auto"/>
        <w:right w:val="none" w:sz="0" w:space="0" w:color="auto"/>
      </w:divBdr>
    </w:div>
    <w:div w:id="108666806">
      <w:bodyDiv w:val="1"/>
      <w:marLeft w:val="0"/>
      <w:marRight w:val="0"/>
      <w:marTop w:val="0"/>
      <w:marBottom w:val="0"/>
      <w:divBdr>
        <w:top w:val="none" w:sz="0" w:space="0" w:color="auto"/>
        <w:left w:val="none" w:sz="0" w:space="0" w:color="auto"/>
        <w:bottom w:val="none" w:sz="0" w:space="0" w:color="auto"/>
        <w:right w:val="none" w:sz="0" w:space="0" w:color="auto"/>
      </w:divBdr>
    </w:div>
    <w:div w:id="109739052">
      <w:bodyDiv w:val="1"/>
      <w:marLeft w:val="0"/>
      <w:marRight w:val="0"/>
      <w:marTop w:val="0"/>
      <w:marBottom w:val="0"/>
      <w:divBdr>
        <w:top w:val="none" w:sz="0" w:space="0" w:color="auto"/>
        <w:left w:val="none" w:sz="0" w:space="0" w:color="auto"/>
        <w:bottom w:val="none" w:sz="0" w:space="0" w:color="auto"/>
        <w:right w:val="none" w:sz="0" w:space="0" w:color="auto"/>
      </w:divBdr>
    </w:div>
    <w:div w:id="111169581">
      <w:bodyDiv w:val="1"/>
      <w:marLeft w:val="0"/>
      <w:marRight w:val="0"/>
      <w:marTop w:val="0"/>
      <w:marBottom w:val="0"/>
      <w:divBdr>
        <w:top w:val="none" w:sz="0" w:space="0" w:color="auto"/>
        <w:left w:val="none" w:sz="0" w:space="0" w:color="auto"/>
        <w:bottom w:val="none" w:sz="0" w:space="0" w:color="auto"/>
        <w:right w:val="none" w:sz="0" w:space="0" w:color="auto"/>
      </w:divBdr>
    </w:div>
    <w:div w:id="112986171">
      <w:bodyDiv w:val="1"/>
      <w:marLeft w:val="0"/>
      <w:marRight w:val="0"/>
      <w:marTop w:val="0"/>
      <w:marBottom w:val="0"/>
      <w:divBdr>
        <w:top w:val="none" w:sz="0" w:space="0" w:color="auto"/>
        <w:left w:val="none" w:sz="0" w:space="0" w:color="auto"/>
        <w:bottom w:val="none" w:sz="0" w:space="0" w:color="auto"/>
        <w:right w:val="none" w:sz="0" w:space="0" w:color="auto"/>
      </w:divBdr>
    </w:div>
    <w:div w:id="116946672">
      <w:bodyDiv w:val="1"/>
      <w:marLeft w:val="0"/>
      <w:marRight w:val="0"/>
      <w:marTop w:val="0"/>
      <w:marBottom w:val="0"/>
      <w:divBdr>
        <w:top w:val="none" w:sz="0" w:space="0" w:color="auto"/>
        <w:left w:val="none" w:sz="0" w:space="0" w:color="auto"/>
        <w:bottom w:val="none" w:sz="0" w:space="0" w:color="auto"/>
        <w:right w:val="none" w:sz="0" w:space="0" w:color="auto"/>
      </w:divBdr>
    </w:div>
    <w:div w:id="119618095">
      <w:bodyDiv w:val="1"/>
      <w:marLeft w:val="0"/>
      <w:marRight w:val="0"/>
      <w:marTop w:val="0"/>
      <w:marBottom w:val="0"/>
      <w:divBdr>
        <w:top w:val="none" w:sz="0" w:space="0" w:color="auto"/>
        <w:left w:val="none" w:sz="0" w:space="0" w:color="auto"/>
        <w:bottom w:val="none" w:sz="0" w:space="0" w:color="auto"/>
        <w:right w:val="none" w:sz="0" w:space="0" w:color="auto"/>
      </w:divBdr>
    </w:div>
    <w:div w:id="120416028">
      <w:bodyDiv w:val="1"/>
      <w:marLeft w:val="0"/>
      <w:marRight w:val="0"/>
      <w:marTop w:val="0"/>
      <w:marBottom w:val="0"/>
      <w:divBdr>
        <w:top w:val="none" w:sz="0" w:space="0" w:color="auto"/>
        <w:left w:val="none" w:sz="0" w:space="0" w:color="auto"/>
        <w:bottom w:val="none" w:sz="0" w:space="0" w:color="auto"/>
        <w:right w:val="none" w:sz="0" w:space="0" w:color="auto"/>
      </w:divBdr>
    </w:div>
    <w:div w:id="121927987">
      <w:bodyDiv w:val="1"/>
      <w:marLeft w:val="0"/>
      <w:marRight w:val="0"/>
      <w:marTop w:val="0"/>
      <w:marBottom w:val="0"/>
      <w:divBdr>
        <w:top w:val="none" w:sz="0" w:space="0" w:color="auto"/>
        <w:left w:val="none" w:sz="0" w:space="0" w:color="auto"/>
        <w:bottom w:val="none" w:sz="0" w:space="0" w:color="auto"/>
        <w:right w:val="none" w:sz="0" w:space="0" w:color="auto"/>
      </w:divBdr>
    </w:div>
    <w:div w:id="122504695">
      <w:bodyDiv w:val="1"/>
      <w:marLeft w:val="0"/>
      <w:marRight w:val="0"/>
      <w:marTop w:val="0"/>
      <w:marBottom w:val="0"/>
      <w:divBdr>
        <w:top w:val="none" w:sz="0" w:space="0" w:color="auto"/>
        <w:left w:val="none" w:sz="0" w:space="0" w:color="auto"/>
        <w:bottom w:val="none" w:sz="0" w:space="0" w:color="auto"/>
        <w:right w:val="none" w:sz="0" w:space="0" w:color="auto"/>
      </w:divBdr>
    </w:div>
    <w:div w:id="123474213">
      <w:bodyDiv w:val="1"/>
      <w:marLeft w:val="0"/>
      <w:marRight w:val="0"/>
      <w:marTop w:val="0"/>
      <w:marBottom w:val="0"/>
      <w:divBdr>
        <w:top w:val="none" w:sz="0" w:space="0" w:color="auto"/>
        <w:left w:val="none" w:sz="0" w:space="0" w:color="auto"/>
        <w:bottom w:val="none" w:sz="0" w:space="0" w:color="auto"/>
        <w:right w:val="none" w:sz="0" w:space="0" w:color="auto"/>
      </w:divBdr>
    </w:div>
    <w:div w:id="126169013">
      <w:bodyDiv w:val="1"/>
      <w:marLeft w:val="0"/>
      <w:marRight w:val="0"/>
      <w:marTop w:val="0"/>
      <w:marBottom w:val="0"/>
      <w:divBdr>
        <w:top w:val="none" w:sz="0" w:space="0" w:color="auto"/>
        <w:left w:val="none" w:sz="0" w:space="0" w:color="auto"/>
        <w:bottom w:val="none" w:sz="0" w:space="0" w:color="auto"/>
        <w:right w:val="none" w:sz="0" w:space="0" w:color="auto"/>
      </w:divBdr>
    </w:div>
    <w:div w:id="129443954">
      <w:bodyDiv w:val="1"/>
      <w:marLeft w:val="0"/>
      <w:marRight w:val="0"/>
      <w:marTop w:val="0"/>
      <w:marBottom w:val="0"/>
      <w:divBdr>
        <w:top w:val="none" w:sz="0" w:space="0" w:color="auto"/>
        <w:left w:val="none" w:sz="0" w:space="0" w:color="auto"/>
        <w:bottom w:val="none" w:sz="0" w:space="0" w:color="auto"/>
        <w:right w:val="none" w:sz="0" w:space="0" w:color="auto"/>
      </w:divBdr>
    </w:div>
    <w:div w:id="131024088">
      <w:bodyDiv w:val="1"/>
      <w:marLeft w:val="0"/>
      <w:marRight w:val="0"/>
      <w:marTop w:val="0"/>
      <w:marBottom w:val="0"/>
      <w:divBdr>
        <w:top w:val="none" w:sz="0" w:space="0" w:color="auto"/>
        <w:left w:val="none" w:sz="0" w:space="0" w:color="auto"/>
        <w:bottom w:val="none" w:sz="0" w:space="0" w:color="auto"/>
        <w:right w:val="none" w:sz="0" w:space="0" w:color="auto"/>
      </w:divBdr>
    </w:div>
    <w:div w:id="134228749">
      <w:bodyDiv w:val="1"/>
      <w:marLeft w:val="0"/>
      <w:marRight w:val="0"/>
      <w:marTop w:val="0"/>
      <w:marBottom w:val="0"/>
      <w:divBdr>
        <w:top w:val="none" w:sz="0" w:space="0" w:color="auto"/>
        <w:left w:val="none" w:sz="0" w:space="0" w:color="auto"/>
        <w:bottom w:val="none" w:sz="0" w:space="0" w:color="auto"/>
        <w:right w:val="none" w:sz="0" w:space="0" w:color="auto"/>
      </w:divBdr>
    </w:div>
    <w:div w:id="134874582">
      <w:bodyDiv w:val="1"/>
      <w:marLeft w:val="0"/>
      <w:marRight w:val="0"/>
      <w:marTop w:val="0"/>
      <w:marBottom w:val="0"/>
      <w:divBdr>
        <w:top w:val="none" w:sz="0" w:space="0" w:color="auto"/>
        <w:left w:val="none" w:sz="0" w:space="0" w:color="auto"/>
        <w:bottom w:val="none" w:sz="0" w:space="0" w:color="auto"/>
        <w:right w:val="none" w:sz="0" w:space="0" w:color="auto"/>
      </w:divBdr>
    </w:div>
    <w:div w:id="138037961">
      <w:bodyDiv w:val="1"/>
      <w:marLeft w:val="0"/>
      <w:marRight w:val="0"/>
      <w:marTop w:val="0"/>
      <w:marBottom w:val="0"/>
      <w:divBdr>
        <w:top w:val="none" w:sz="0" w:space="0" w:color="auto"/>
        <w:left w:val="none" w:sz="0" w:space="0" w:color="auto"/>
        <w:bottom w:val="none" w:sz="0" w:space="0" w:color="auto"/>
        <w:right w:val="none" w:sz="0" w:space="0" w:color="auto"/>
      </w:divBdr>
    </w:div>
    <w:div w:id="138495932">
      <w:bodyDiv w:val="1"/>
      <w:marLeft w:val="0"/>
      <w:marRight w:val="0"/>
      <w:marTop w:val="0"/>
      <w:marBottom w:val="0"/>
      <w:divBdr>
        <w:top w:val="none" w:sz="0" w:space="0" w:color="auto"/>
        <w:left w:val="none" w:sz="0" w:space="0" w:color="auto"/>
        <w:bottom w:val="none" w:sz="0" w:space="0" w:color="auto"/>
        <w:right w:val="none" w:sz="0" w:space="0" w:color="auto"/>
      </w:divBdr>
    </w:div>
    <w:div w:id="138573599">
      <w:bodyDiv w:val="1"/>
      <w:marLeft w:val="0"/>
      <w:marRight w:val="0"/>
      <w:marTop w:val="0"/>
      <w:marBottom w:val="0"/>
      <w:divBdr>
        <w:top w:val="none" w:sz="0" w:space="0" w:color="auto"/>
        <w:left w:val="none" w:sz="0" w:space="0" w:color="auto"/>
        <w:bottom w:val="none" w:sz="0" w:space="0" w:color="auto"/>
        <w:right w:val="none" w:sz="0" w:space="0" w:color="auto"/>
      </w:divBdr>
    </w:div>
    <w:div w:id="139425358">
      <w:bodyDiv w:val="1"/>
      <w:marLeft w:val="0"/>
      <w:marRight w:val="0"/>
      <w:marTop w:val="0"/>
      <w:marBottom w:val="0"/>
      <w:divBdr>
        <w:top w:val="none" w:sz="0" w:space="0" w:color="auto"/>
        <w:left w:val="none" w:sz="0" w:space="0" w:color="auto"/>
        <w:bottom w:val="none" w:sz="0" w:space="0" w:color="auto"/>
        <w:right w:val="none" w:sz="0" w:space="0" w:color="auto"/>
      </w:divBdr>
    </w:div>
    <w:div w:id="140083175">
      <w:bodyDiv w:val="1"/>
      <w:marLeft w:val="0"/>
      <w:marRight w:val="0"/>
      <w:marTop w:val="0"/>
      <w:marBottom w:val="0"/>
      <w:divBdr>
        <w:top w:val="none" w:sz="0" w:space="0" w:color="auto"/>
        <w:left w:val="none" w:sz="0" w:space="0" w:color="auto"/>
        <w:bottom w:val="none" w:sz="0" w:space="0" w:color="auto"/>
        <w:right w:val="none" w:sz="0" w:space="0" w:color="auto"/>
      </w:divBdr>
    </w:div>
    <w:div w:id="141167869">
      <w:bodyDiv w:val="1"/>
      <w:marLeft w:val="0"/>
      <w:marRight w:val="0"/>
      <w:marTop w:val="0"/>
      <w:marBottom w:val="0"/>
      <w:divBdr>
        <w:top w:val="none" w:sz="0" w:space="0" w:color="auto"/>
        <w:left w:val="none" w:sz="0" w:space="0" w:color="auto"/>
        <w:bottom w:val="none" w:sz="0" w:space="0" w:color="auto"/>
        <w:right w:val="none" w:sz="0" w:space="0" w:color="auto"/>
      </w:divBdr>
    </w:div>
    <w:div w:id="143932343">
      <w:bodyDiv w:val="1"/>
      <w:marLeft w:val="0"/>
      <w:marRight w:val="0"/>
      <w:marTop w:val="0"/>
      <w:marBottom w:val="0"/>
      <w:divBdr>
        <w:top w:val="none" w:sz="0" w:space="0" w:color="auto"/>
        <w:left w:val="none" w:sz="0" w:space="0" w:color="auto"/>
        <w:bottom w:val="none" w:sz="0" w:space="0" w:color="auto"/>
        <w:right w:val="none" w:sz="0" w:space="0" w:color="auto"/>
      </w:divBdr>
    </w:div>
    <w:div w:id="145247493">
      <w:bodyDiv w:val="1"/>
      <w:marLeft w:val="0"/>
      <w:marRight w:val="0"/>
      <w:marTop w:val="0"/>
      <w:marBottom w:val="0"/>
      <w:divBdr>
        <w:top w:val="none" w:sz="0" w:space="0" w:color="auto"/>
        <w:left w:val="none" w:sz="0" w:space="0" w:color="auto"/>
        <w:bottom w:val="none" w:sz="0" w:space="0" w:color="auto"/>
        <w:right w:val="none" w:sz="0" w:space="0" w:color="auto"/>
      </w:divBdr>
    </w:div>
    <w:div w:id="145585898">
      <w:bodyDiv w:val="1"/>
      <w:marLeft w:val="0"/>
      <w:marRight w:val="0"/>
      <w:marTop w:val="0"/>
      <w:marBottom w:val="0"/>
      <w:divBdr>
        <w:top w:val="none" w:sz="0" w:space="0" w:color="auto"/>
        <w:left w:val="none" w:sz="0" w:space="0" w:color="auto"/>
        <w:bottom w:val="none" w:sz="0" w:space="0" w:color="auto"/>
        <w:right w:val="none" w:sz="0" w:space="0" w:color="auto"/>
      </w:divBdr>
    </w:div>
    <w:div w:id="146020047">
      <w:bodyDiv w:val="1"/>
      <w:marLeft w:val="0"/>
      <w:marRight w:val="0"/>
      <w:marTop w:val="0"/>
      <w:marBottom w:val="0"/>
      <w:divBdr>
        <w:top w:val="none" w:sz="0" w:space="0" w:color="auto"/>
        <w:left w:val="none" w:sz="0" w:space="0" w:color="auto"/>
        <w:bottom w:val="none" w:sz="0" w:space="0" w:color="auto"/>
        <w:right w:val="none" w:sz="0" w:space="0" w:color="auto"/>
      </w:divBdr>
    </w:div>
    <w:div w:id="146752108">
      <w:bodyDiv w:val="1"/>
      <w:marLeft w:val="0"/>
      <w:marRight w:val="0"/>
      <w:marTop w:val="0"/>
      <w:marBottom w:val="0"/>
      <w:divBdr>
        <w:top w:val="none" w:sz="0" w:space="0" w:color="auto"/>
        <w:left w:val="none" w:sz="0" w:space="0" w:color="auto"/>
        <w:bottom w:val="none" w:sz="0" w:space="0" w:color="auto"/>
        <w:right w:val="none" w:sz="0" w:space="0" w:color="auto"/>
      </w:divBdr>
    </w:div>
    <w:div w:id="147291701">
      <w:bodyDiv w:val="1"/>
      <w:marLeft w:val="0"/>
      <w:marRight w:val="0"/>
      <w:marTop w:val="0"/>
      <w:marBottom w:val="0"/>
      <w:divBdr>
        <w:top w:val="none" w:sz="0" w:space="0" w:color="auto"/>
        <w:left w:val="none" w:sz="0" w:space="0" w:color="auto"/>
        <w:bottom w:val="none" w:sz="0" w:space="0" w:color="auto"/>
        <w:right w:val="none" w:sz="0" w:space="0" w:color="auto"/>
      </w:divBdr>
    </w:div>
    <w:div w:id="148643160">
      <w:bodyDiv w:val="1"/>
      <w:marLeft w:val="0"/>
      <w:marRight w:val="0"/>
      <w:marTop w:val="0"/>
      <w:marBottom w:val="0"/>
      <w:divBdr>
        <w:top w:val="none" w:sz="0" w:space="0" w:color="auto"/>
        <w:left w:val="none" w:sz="0" w:space="0" w:color="auto"/>
        <w:bottom w:val="none" w:sz="0" w:space="0" w:color="auto"/>
        <w:right w:val="none" w:sz="0" w:space="0" w:color="auto"/>
      </w:divBdr>
    </w:div>
    <w:div w:id="149250060">
      <w:bodyDiv w:val="1"/>
      <w:marLeft w:val="0"/>
      <w:marRight w:val="0"/>
      <w:marTop w:val="0"/>
      <w:marBottom w:val="0"/>
      <w:divBdr>
        <w:top w:val="none" w:sz="0" w:space="0" w:color="auto"/>
        <w:left w:val="none" w:sz="0" w:space="0" w:color="auto"/>
        <w:bottom w:val="none" w:sz="0" w:space="0" w:color="auto"/>
        <w:right w:val="none" w:sz="0" w:space="0" w:color="auto"/>
      </w:divBdr>
    </w:div>
    <w:div w:id="149449190">
      <w:bodyDiv w:val="1"/>
      <w:marLeft w:val="0"/>
      <w:marRight w:val="0"/>
      <w:marTop w:val="0"/>
      <w:marBottom w:val="0"/>
      <w:divBdr>
        <w:top w:val="none" w:sz="0" w:space="0" w:color="auto"/>
        <w:left w:val="none" w:sz="0" w:space="0" w:color="auto"/>
        <w:bottom w:val="none" w:sz="0" w:space="0" w:color="auto"/>
        <w:right w:val="none" w:sz="0" w:space="0" w:color="auto"/>
      </w:divBdr>
    </w:div>
    <w:div w:id="149565485">
      <w:bodyDiv w:val="1"/>
      <w:marLeft w:val="0"/>
      <w:marRight w:val="0"/>
      <w:marTop w:val="0"/>
      <w:marBottom w:val="0"/>
      <w:divBdr>
        <w:top w:val="none" w:sz="0" w:space="0" w:color="auto"/>
        <w:left w:val="none" w:sz="0" w:space="0" w:color="auto"/>
        <w:bottom w:val="none" w:sz="0" w:space="0" w:color="auto"/>
        <w:right w:val="none" w:sz="0" w:space="0" w:color="auto"/>
      </w:divBdr>
    </w:div>
    <w:div w:id="149831251">
      <w:bodyDiv w:val="1"/>
      <w:marLeft w:val="0"/>
      <w:marRight w:val="0"/>
      <w:marTop w:val="0"/>
      <w:marBottom w:val="0"/>
      <w:divBdr>
        <w:top w:val="none" w:sz="0" w:space="0" w:color="auto"/>
        <w:left w:val="none" w:sz="0" w:space="0" w:color="auto"/>
        <w:bottom w:val="none" w:sz="0" w:space="0" w:color="auto"/>
        <w:right w:val="none" w:sz="0" w:space="0" w:color="auto"/>
      </w:divBdr>
    </w:div>
    <w:div w:id="150828777">
      <w:bodyDiv w:val="1"/>
      <w:marLeft w:val="0"/>
      <w:marRight w:val="0"/>
      <w:marTop w:val="0"/>
      <w:marBottom w:val="0"/>
      <w:divBdr>
        <w:top w:val="none" w:sz="0" w:space="0" w:color="auto"/>
        <w:left w:val="none" w:sz="0" w:space="0" w:color="auto"/>
        <w:bottom w:val="none" w:sz="0" w:space="0" w:color="auto"/>
        <w:right w:val="none" w:sz="0" w:space="0" w:color="auto"/>
      </w:divBdr>
    </w:div>
    <w:div w:id="152113986">
      <w:bodyDiv w:val="1"/>
      <w:marLeft w:val="0"/>
      <w:marRight w:val="0"/>
      <w:marTop w:val="0"/>
      <w:marBottom w:val="0"/>
      <w:divBdr>
        <w:top w:val="none" w:sz="0" w:space="0" w:color="auto"/>
        <w:left w:val="none" w:sz="0" w:space="0" w:color="auto"/>
        <w:bottom w:val="none" w:sz="0" w:space="0" w:color="auto"/>
        <w:right w:val="none" w:sz="0" w:space="0" w:color="auto"/>
      </w:divBdr>
    </w:div>
    <w:div w:id="153185752">
      <w:bodyDiv w:val="1"/>
      <w:marLeft w:val="0"/>
      <w:marRight w:val="0"/>
      <w:marTop w:val="0"/>
      <w:marBottom w:val="0"/>
      <w:divBdr>
        <w:top w:val="none" w:sz="0" w:space="0" w:color="auto"/>
        <w:left w:val="none" w:sz="0" w:space="0" w:color="auto"/>
        <w:bottom w:val="none" w:sz="0" w:space="0" w:color="auto"/>
        <w:right w:val="none" w:sz="0" w:space="0" w:color="auto"/>
      </w:divBdr>
    </w:div>
    <w:div w:id="154152850">
      <w:bodyDiv w:val="1"/>
      <w:marLeft w:val="0"/>
      <w:marRight w:val="0"/>
      <w:marTop w:val="0"/>
      <w:marBottom w:val="0"/>
      <w:divBdr>
        <w:top w:val="none" w:sz="0" w:space="0" w:color="auto"/>
        <w:left w:val="none" w:sz="0" w:space="0" w:color="auto"/>
        <w:bottom w:val="none" w:sz="0" w:space="0" w:color="auto"/>
        <w:right w:val="none" w:sz="0" w:space="0" w:color="auto"/>
      </w:divBdr>
    </w:div>
    <w:div w:id="154537873">
      <w:bodyDiv w:val="1"/>
      <w:marLeft w:val="0"/>
      <w:marRight w:val="0"/>
      <w:marTop w:val="0"/>
      <w:marBottom w:val="0"/>
      <w:divBdr>
        <w:top w:val="none" w:sz="0" w:space="0" w:color="auto"/>
        <w:left w:val="none" w:sz="0" w:space="0" w:color="auto"/>
        <w:bottom w:val="none" w:sz="0" w:space="0" w:color="auto"/>
        <w:right w:val="none" w:sz="0" w:space="0" w:color="auto"/>
      </w:divBdr>
    </w:div>
    <w:div w:id="155924420">
      <w:bodyDiv w:val="1"/>
      <w:marLeft w:val="0"/>
      <w:marRight w:val="0"/>
      <w:marTop w:val="0"/>
      <w:marBottom w:val="0"/>
      <w:divBdr>
        <w:top w:val="none" w:sz="0" w:space="0" w:color="auto"/>
        <w:left w:val="none" w:sz="0" w:space="0" w:color="auto"/>
        <w:bottom w:val="none" w:sz="0" w:space="0" w:color="auto"/>
        <w:right w:val="none" w:sz="0" w:space="0" w:color="auto"/>
      </w:divBdr>
    </w:div>
    <w:div w:id="157230405">
      <w:bodyDiv w:val="1"/>
      <w:marLeft w:val="0"/>
      <w:marRight w:val="0"/>
      <w:marTop w:val="0"/>
      <w:marBottom w:val="0"/>
      <w:divBdr>
        <w:top w:val="none" w:sz="0" w:space="0" w:color="auto"/>
        <w:left w:val="none" w:sz="0" w:space="0" w:color="auto"/>
        <w:bottom w:val="none" w:sz="0" w:space="0" w:color="auto"/>
        <w:right w:val="none" w:sz="0" w:space="0" w:color="auto"/>
      </w:divBdr>
    </w:div>
    <w:div w:id="159659046">
      <w:bodyDiv w:val="1"/>
      <w:marLeft w:val="0"/>
      <w:marRight w:val="0"/>
      <w:marTop w:val="0"/>
      <w:marBottom w:val="0"/>
      <w:divBdr>
        <w:top w:val="none" w:sz="0" w:space="0" w:color="auto"/>
        <w:left w:val="none" w:sz="0" w:space="0" w:color="auto"/>
        <w:bottom w:val="none" w:sz="0" w:space="0" w:color="auto"/>
        <w:right w:val="none" w:sz="0" w:space="0" w:color="auto"/>
      </w:divBdr>
    </w:div>
    <w:div w:id="160631339">
      <w:bodyDiv w:val="1"/>
      <w:marLeft w:val="0"/>
      <w:marRight w:val="0"/>
      <w:marTop w:val="0"/>
      <w:marBottom w:val="0"/>
      <w:divBdr>
        <w:top w:val="none" w:sz="0" w:space="0" w:color="auto"/>
        <w:left w:val="none" w:sz="0" w:space="0" w:color="auto"/>
        <w:bottom w:val="none" w:sz="0" w:space="0" w:color="auto"/>
        <w:right w:val="none" w:sz="0" w:space="0" w:color="auto"/>
      </w:divBdr>
    </w:div>
    <w:div w:id="160852254">
      <w:bodyDiv w:val="1"/>
      <w:marLeft w:val="0"/>
      <w:marRight w:val="0"/>
      <w:marTop w:val="0"/>
      <w:marBottom w:val="0"/>
      <w:divBdr>
        <w:top w:val="none" w:sz="0" w:space="0" w:color="auto"/>
        <w:left w:val="none" w:sz="0" w:space="0" w:color="auto"/>
        <w:bottom w:val="none" w:sz="0" w:space="0" w:color="auto"/>
        <w:right w:val="none" w:sz="0" w:space="0" w:color="auto"/>
      </w:divBdr>
    </w:div>
    <w:div w:id="160892437">
      <w:bodyDiv w:val="1"/>
      <w:marLeft w:val="0"/>
      <w:marRight w:val="0"/>
      <w:marTop w:val="0"/>
      <w:marBottom w:val="0"/>
      <w:divBdr>
        <w:top w:val="none" w:sz="0" w:space="0" w:color="auto"/>
        <w:left w:val="none" w:sz="0" w:space="0" w:color="auto"/>
        <w:bottom w:val="none" w:sz="0" w:space="0" w:color="auto"/>
        <w:right w:val="none" w:sz="0" w:space="0" w:color="auto"/>
      </w:divBdr>
    </w:div>
    <w:div w:id="162549244">
      <w:bodyDiv w:val="1"/>
      <w:marLeft w:val="0"/>
      <w:marRight w:val="0"/>
      <w:marTop w:val="0"/>
      <w:marBottom w:val="0"/>
      <w:divBdr>
        <w:top w:val="none" w:sz="0" w:space="0" w:color="auto"/>
        <w:left w:val="none" w:sz="0" w:space="0" w:color="auto"/>
        <w:bottom w:val="none" w:sz="0" w:space="0" w:color="auto"/>
        <w:right w:val="none" w:sz="0" w:space="0" w:color="auto"/>
      </w:divBdr>
    </w:div>
    <w:div w:id="162550485">
      <w:bodyDiv w:val="1"/>
      <w:marLeft w:val="0"/>
      <w:marRight w:val="0"/>
      <w:marTop w:val="0"/>
      <w:marBottom w:val="0"/>
      <w:divBdr>
        <w:top w:val="none" w:sz="0" w:space="0" w:color="auto"/>
        <w:left w:val="none" w:sz="0" w:space="0" w:color="auto"/>
        <w:bottom w:val="none" w:sz="0" w:space="0" w:color="auto"/>
        <w:right w:val="none" w:sz="0" w:space="0" w:color="auto"/>
      </w:divBdr>
    </w:div>
    <w:div w:id="165949582">
      <w:bodyDiv w:val="1"/>
      <w:marLeft w:val="0"/>
      <w:marRight w:val="0"/>
      <w:marTop w:val="0"/>
      <w:marBottom w:val="0"/>
      <w:divBdr>
        <w:top w:val="none" w:sz="0" w:space="0" w:color="auto"/>
        <w:left w:val="none" w:sz="0" w:space="0" w:color="auto"/>
        <w:bottom w:val="none" w:sz="0" w:space="0" w:color="auto"/>
        <w:right w:val="none" w:sz="0" w:space="0" w:color="auto"/>
      </w:divBdr>
    </w:div>
    <w:div w:id="165950395">
      <w:bodyDiv w:val="1"/>
      <w:marLeft w:val="0"/>
      <w:marRight w:val="0"/>
      <w:marTop w:val="0"/>
      <w:marBottom w:val="0"/>
      <w:divBdr>
        <w:top w:val="none" w:sz="0" w:space="0" w:color="auto"/>
        <w:left w:val="none" w:sz="0" w:space="0" w:color="auto"/>
        <w:bottom w:val="none" w:sz="0" w:space="0" w:color="auto"/>
        <w:right w:val="none" w:sz="0" w:space="0" w:color="auto"/>
      </w:divBdr>
    </w:div>
    <w:div w:id="166487329">
      <w:bodyDiv w:val="1"/>
      <w:marLeft w:val="0"/>
      <w:marRight w:val="0"/>
      <w:marTop w:val="0"/>
      <w:marBottom w:val="0"/>
      <w:divBdr>
        <w:top w:val="none" w:sz="0" w:space="0" w:color="auto"/>
        <w:left w:val="none" w:sz="0" w:space="0" w:color="auto"/>
        <w:bottom w:val="none" w:sz="0" w:space="0" w:color="auto"/>
        <w:right w:val="none" w:sz="0" w:space="0" w:color="auto"/>
      </w:divBdr>
    </w:div>
    <w:div w:id="166556340">
      <w:bodyDiv w:val="1"/>
      <w:marLeft w:val="0"/>
      <w:marRight w:val="0"/>
      <w:marTop w:val="0"/>
      <w:marBottom w:val="0"/>
      <w:divBdr>
        <w:top w:val="none" w:sz="0" w:space="0" w:color="auto"/>
        <w:left w:val="none" w:sz="0" w:space="0" w:color="auto"/>
        <w:bottom w:val="none" w:sz="0" w:space="0" w:color="auto"/>
        <w:right w:val="none" w:sz="0" w:space="0" w:color="auto"/>
      </w:divBdr>
    </w:div>
    <w:div w:id="167251537">
      <w:bodyDiv w:val="1"/>
      <w:marLeft w:val="0"/>
      <w:marRight w:val="0"/>
      <w:marTop w:val="0"/>
      <w:marBottom w:val="0"/>
      <w:divBdr>
        <w:top w:val="none" w:sz="0" w:space="0" w:color="auto"/>
        <w:left w:val="none" w:sz="0" w:space="0" w:color="auto"/>
        <w:bottom w:val="none" w:sz="0" w:space="0" w:color="auto"/>
        <w:right w:val="none" w:sz="0" w:space="0" w:color="auto"/>
      </w:divBdr>
    </w:div>
    <w:div w:id="168760800">
      <w:bodyDiv w:val="1"/>
      <w:marLeft w:val="0"/>
      <w:marRight w:val="0"/>
      <w:marTop w:val="0"/>
      <w:marBottom w:val="0"/>
      <w:divBdr>
        <w:top w:val="none" w:sz="0" w:space="0" w:color="auto"/>
        <w:left w:val="none" w:sz="0" w:space="0" w:color="auto"/>
        <w:bottom w:val="none" w:sz="0" w:space="0" w:color="auto"/>
        <w:right w:val="none" w:sz="0" w:space="0" w:color="auto"/>
      </w:divBdr>
    </w:div>
    <w:div w:id="168956432">
      <w:bodyDiv w:val="1"/>
      <w:marLeft w:val="0"/>
      <w:marRight w:val="0"/>
      <w:marTop w:val="0"/>
      <w:marBottom w:val="0"/>
      <w:divBdr>
        <w:top w:val="none" w:sz="0" w:space="0" w:color="auto"/>
        <w:left w:val="none" w:sz="0" w:space="0" w:color="auto"/>
        <w:bottom w:val="none" w:sz="0" w:space="0" w:color="auto"/>
        <w:right w:val="none" w:sz="0" w:space="0" w:color="auto"/>
      </w:divBdr>
    </w:div>
    <w:div w:id="170722361">
      <w:bodyDiv w:val="1"/>
      <w:marLeft w:val="0"/>
      <w:marRight w:val="0"/>
      <w:marTop w:val="0"/>
      <w:marBottom w:val="0"/>
      <w:divBdr>
        <w:top w:val="none" w:sz="0" w:space="0" w:color="auto"/>
        <w:left w:val="none" w:sz="0" w:space="0" w:color="auto"/>
        <w:bottom w:val="none" w:sz="0" w:space="0" w:color="auto"/>
        <w:right w:val="none" w:sz="0" w:space="0" w:color="auto"/>
      </w:divBdr>
    </w:div>
    <w:div w:id="171536566">
      <w:bodyDiv w:val="1"/>
      <w:marLeft w:val="0"/>
      <w:marRight w:val="0"/>
      <w:marTop w:val="0"/>
      <w:marBottom w:val="0"/>
      <w:divBdr>
        <w:top w:val="none" w:sz="0" w:space="0" w:color="auto"/>
        <w:left w:val="none" w:sz="0" w:space="0" w:color="auto"/>
        <w:bottom w:val="none" w:sz="0" w:space="0" w:color="auto"/>
        <w:right w:val="none" w:sz="0" w:space="0" w:color="auto"/>
      </w:divBdr>
    </w:div>
    <w:div w:id="172184203">
      <w:bodyDiv w:val="1"/>
      <w:marLeft w:val="0"/>
      <w:marRight w:val="0"/>
      <w:marTop w:val="0"/>
      <w:marBottom w:val="0"/>
      <w:divBdr>
        <w:top w:val="none" w:sz="0" w:space="0" w:color="auto"/>
        <w:left w:val="none" w:sz="0" w:space="0" w:color="auto"/>
        <w:bottom w:val="none" w:sz="0" w:space="0" w:color="auto"/>
        <w:right w:val="none" w:sz="0" w:space="0" w:color="auto"/>
      </w:divBdr>
    </w:div>
    <w:div w:id="172259065">
      <w:bodyDiv w:val="1"/>
      <w:marLeft w:val="0"/>
      <w:marRight w:val="0"/>
      <w:marTop w:val="0"/>
      <w:marBottom w:val="0"/>
      <w:divBdr>
        <w:top w:val="none" w:sz="0" w:space="0" w:color="auto"/>
        <w:left w:val="none" w:sz="0" w:space="0" w:color="auto"/>
        <w:bottom w:val="none" w:sz="0" w:space="0" w:color="auto"/>
        <w:right w:val="none" w:sz="0" w:space="0" w:color="auto"/>
      </w:divBdr>
    </w:div>
    <w:div w:id="174349802">
      <w:bodyDiv w:val="1"/>
      <w:marLeft w:val="0"/>
      <w:marRight w:val="0"/>
      <w:marTop w:val="0"/>
      <w:marBottom w:val="0"/>
      <w:divBdr>
        <w:top w:val="none" w:sz="0" w:space="0" w:color="auto"/>
        <w:left w:val="none" w:sz="0" w:space="0" w:color="auto"/>
        <w:bottom w:val="none" w:sz="0" w:space="0" w:color="auto"/>
        <w:right w:val="none" w:sz="0" w:space="0" w:color="auto"/>
      </w:divBdr>
    </w:div>
    <w:div w:id="176192166">
      <w:bodyDiv w:val="1"/>
      <w:marLeft w:val="0"/>
      <w:marRight w:val="0"/>
      <w:marTop w:val="0"/>
      <w:marBottom w:val="0"/>
      <w:divBdr>
        <w:top w:val="none" w:sz="0" w:space="0" w:color="auto"/>
        <w:left w:val="none" w:sz="0" w:space="0" w:color="auto"/>
        <w:bottom w:val="none" w:sz="0" w:space="0" w:color="auto"/>
        <w:right w:val="none" w:sz="0" w:space="0" w:color="auto"/>
      </w:divBdr>
    </w:div>
    <w:div w:id="178130272">
      <w:bodyDiv w:val="1"/>
      <w:marLeft w:val="0"/>
      <w:marRight w:val="0"/>
      <w:marTop w:val="0"/>
      <w:marBottom w:val="0"/>
      <w:divBdr>
        <w:top w:val="none" w:sz="0" w:space="0" w:color="auto"/>
        <w:left w:val="none" w:sz="0" w:space="0" w:color="auto"/>
        <w:bottom w:val="none" w:sz="0" w:space="0" w:color="auto"/>
        <w:right w:val="none" w:sz="0" w:space="0" w:color="auto"/>
      </w:divBdr>
    </w:div>
    <w:div w:id="180093233">
      <w:bodyDiv w:val="1"/>
      <w:marLeft w:val="0"/>
      <w:marRight w:val="0"/>
      <w:marTop w:val="0"/>
      <w:marBottom w:val="0"/>
      <w:divBdr>
        <w:top w:val="none" w:sz="0" w:space="0" w:color="auto"/>
        <w:left w:val="none" w:sz="0" w:space="0" w:color="auto"/>
        <w:bottom w:val="none" w:sz="0" w:space="0" w:color="auto"/>
        <w:right w:val="none" w:sz="0" w:space="0" w:color="auto"/>
      </w:divBdr>
    </w:div>
    <w:div w:id="180244581">
      <w:bodyDiv w:val="1"/>
      <w:marLeft w:val="0"/>
      <w:marRight w:val="0"/>
      <w:marTop w:val="0"/>
      <w:marBottom w:val="0"/>
      <w:divBdr>
        <w:top w:val="none" w:sz="0" w:space="0" w:color="auto"/>
        <w:left w:val="none" w:sz="0" w:space="0" w:color="auto"/>
        <w:bottom w:val="none" w:sz="0" w:space="0" w:color="auto"/>
        <w:right w:val="none" w:sz="0" w:space="0" w:color="auto"/>
      </w:divBdr>
    </w:div>
    <w:div w:id="180895205">
      <w:bodyDiv w:val="1"/>
      <w:marLeft w:val="0"/>
      <w:marRight w:val="0"/>
      <w:marTop w:val="0"/>
      <w:marBottom w:val="0"/>
      <w:divBdr>
        <w:top w:val="none" w:sz="0" w:space="0" w:color="auto"/>
        <w:left w:val="none" w:sz="0" w:space="0" w:color="auto"/>
        <w:bottom w:val="none" w:sz="0" w:space="0" w:color="auto"/>
        <w:right w:val="none" w:sz="0" w:space="0" w:color="auto"/>
      </w:divBdr>
    </w:div>
    <w:div w:id="181095162">
      <w:bodyDiv w:val="1"/>
      <w:marLeft w:val="0"/>
      <w:marRight w:val="0"/>
      <w:marTop w:val="0"/>
      <w:marBottom w:val="0"/>
      <w:divBdr>
        <w:top w:val="none" w:sz="0" w:space="0" w:color="auto"/>
        <w:left w:val="none" w:sz="0" w:space="0" w:color="auto"/>
        <w:bottom w:val="none" w:sz="0" w:space="0" w:color="auto"/>
        <w:right w:val="none" w:sz="0" w:space="0" w:color="auto"/>
      </w:divBdr>
    </w:div>
    <w:div w:id="183714945">
      <w:bodyDiv w:val="1"/>
      <w:marLeft w:val="0"/>
      <w:marRight w:val="0"/>
      <w:marTop w:val="0"/>
      <w:marBottom w:val="0"/>
      <w:divBdr>
        <w:top w:val="none" w:sz="0" w:space="0" w:color="auto"/>
        <w:left w:val="none" w:sz="0" w:space="0" w:color="auto"/>
        <w:bottom w:val="none" w:sz="0" w:space="0" w:color="auto"/>
        <w:right w:val="none" w:sz="0" w:space="0" w:color="auto"/>
      </w:divBdr>
    </w:div>
    <w:div w:id="187574007">
      <w:bodyDiv w:val="1"/>
      <w:marLeft w:val="0"/>
      <w:marRight w:val="0"/>
      <w:marTop w:val="0"/>
      <w:marBottom w:val="0"/>
      <w:divBdr>
        <w:top w:val="none" w:sz="0" w:space="0" w:color="auto"/>
        <w:left w:val="none" w:sz="0" w:space="0" w:color="auto"/>
        <w:bottom w:val="none" w:sz="0" w:space="0" w:color="auto"/>
        <w:right w:val="none" w:sz="0" w:space="0" w:color="auto"/>
      </w:divBdr>
    </w:div>
    <w:div w:id="189686022">
      <w:bodyDiv w:val="1"/>
      <w:marLeft w:val="0"/>
      <w:marRight w:val="0"/>
      <w:marTop w:val="0"/>
      <w:marBottom w:val="0"/>
      <w:divBdr>
        <w:top w:val="none" w:sz="0" w:space="0" w:color="auto"/>
        <w:left w:val="none" w:sz="0" w:space="0" w:color="auto"/>
        <w:bottom w:val="none" w:sz="0" w:space="0" w:color="auto"/>
        <w:right w:val="none" w:sz="0" w:space="0" w:color="auto"/>
      </w:divBdr>
    </w:div>
    <w:div w:id="190151099">
      <w:bodyDiv w:val="1"/>
      <w:marLeft w:val="0"/>
      <w:marRight w:val="0"/>
      <w:marTop w:val="0"/>
      <w:marBottom w:val="0"/>
      <w:divBdr>
        <w:top w:val="none" w:sz="0" w:space="0" w:color="auto"/>
        <w:left w:val="none" w:sz="0" w:space="0" w:color="auto"/>
        <w:bottom w:val="none" w:sz="0" w:space="0" w:color="auto"/>
        <w:right w:val="none" w:sz="0" w:space="0" w:color="auto"/>
      </w:divBdr>
    </w:div>
    <w:div w:id="192571629">
      <w:bodyDiv w:val="1"/>
      <w:marLeft w:val="0"/>
      <w:marRight w:val="0"/>
      <w:marTop w:val="0"/>
      <w:marBottom w:val="0"/>
      <w:divBdr>
        <w:top w:val="none" w:sz="0" w:space="0" w:color="auto"/>
        <w:left w:val="none" w:sz="0" w:space="0" w:color="auto"/>
        <w:bottom w:val="none" w:sz="0" w:space="0" w:color="auto"/>
        <w:right w:val="none" w:sz="0" w:space="0" w:color="auto"/>
      </w:divBdr>
    </w:div>
    <w:div w:id="196429461">
      <w:bodyDiv w:val="1"/>
      <w:marLeft w:val="0"/>
      <w:marRight w:val="0"/>
      <w:marTop w:val="0"/>
      <w:marBottom w:val="0"/>
      <w:divBdr>
        <w:top w:val="none" w:sz="0" w:space="0" w:color="auto"/>
        <w:left w:val="none" w:sz="0" w:space="0" w:color="auto"/>
        <w:bottom w:val="none" w:sz="0" w:space="0" w:color="auto"/>
        <w:right w:val="none" w:sz="0" w:space="0" w:color="auto"/>
      </w:divBdr>
    </w:div>
    <w:div w:id="198595892">
      <w:bodyDiv w:val="1"/>
      <w:marLeft w:val="0"/>
      <w:marRight w:val="0"/>
      <w:marTop w:val="0"/>
      <w:marBottom w:val="0"/>
      <w:divBdr>
        <w:top w:val="none" w:sz="0" w:space="0" w:color="auto"/>
        <w:left w:val="none" w:sz="0" w:space="0" w:color="auto"/>
        <w:bottom w:val="none" w:sz="0" w:space="0" w:color="auto"/>
        <w:right w:val="none" w:sz="0" w:space="0" w:color="auto"/>
      </w:divBdr>
    </w:div>
    <w:div w:id="202910838">
      <w:bodyDiv w:val="1"/>
      <w:marLeft w:val="0"/>
      <w:marRight w:val="0"/>
      <w:marTop w:val="0"/>
      <w:marBottom w:val="0"/>
      <w:divBdr>
        <w:top w:val="none" w:sz="0" w:space="0" w:color="auto"/>
        <w:left w:val="none" w:sz="0" w:space="0" w:color="auto"/>
        <w:bottom w:val="none" w:sz="0" w:space="0" w:color="auto"/>
        <w:right w:val="none" w:sz="0" w:space="0" w:color="auto"/>
      </w:divBdr>
    </w:div>
    <w:div w:id="203178724">
      <w:bodyDiv w:val="1"/>
      <w:marLeft w:val="0"/>
      <w:marRight w:val="0"/>
      <w:marTop w:val="0"/>
      <w:marBottom w:val="0"/>
      <w:divBdr>
        <w:top w:val="none" w:sz="0" w:space="0" w:color="auto"/>
        <w:left w:val="none" w:sz="0" w:space="0" w:color="auto"/>
        <w:bottom w:val="none" w:sz="0" w:space="0" w:color="auto"/>
        <w:right w:val="none" w:sz="0" w:space="0" w:color="auto"/>
      </w:divBdr>
    </w:div>
    <w:div w:id="203253210">
      <w:bodyDiv w:val="1"/>
      <w:marLeft w:val="0"/>
      <w:marRight w:val="0"/>
      <w:marTop w:val="0"/>
      <w:marBottom w:val="0"/>
      <w:divBdr>
        <w:top w:val="none" w:sz="0" w:space="0" w:color="auto"/>
        <w:left w:val="none" w:sz="0" w:space="0" w:color="auto"/>
        <w:bottom w:val="none" w:sz="0" w:space="0" w:color="auto"/>
        <w:right w:val="none" w:sz="0" w:space="0" w:color="auto"/>
      </w:divBdr>
    </w:div>
    <w:div w:id="203637660">
      <w:bodyDiv w:val="1"/>
      <w:marLeft w:val="0"/>
      <w:marRight w:val="0"/>
      <w:marTop w:val="0"/>
      <w:marBottom w:val="0"/>
      <w:divBdr>
        <w:top w:val="none" w:sz="0" w:space="0" w:color="auto"/>
        <w:left w:val="none" w:sz="0" w:space="0" w:color="auto"/>
        <w:bottom w:val="none" w:sz="0" w:space="0" w:color="auto"/>
        <w:right w:val="none" w:sz="0" w:space="0" w:color="auto"/>
      </w:divBdr>
    </w:div>
    <w:div w:id="207033311">
      <w:bodyDiv w:val="1"/>
      <w:marLeft w:val="0"/>
      <w:marRight w:val="0"/>
      <w:marTop w:val="0"/>
      <w:marBottom w:val="0"/>
      <w:divBdr>
        <w:top w:val="none" w:sz="0" w:space="0" w:color="auto"/>
        <w:left w:val="none" w:sz="0" w:space="0" w:color="auto"/>
        <w:bottom w:val="none" w:sz="0" w:space="0" w:color="auto"/>
        <w:right w:val="none" w:sz="0" w:space="0" w:color="auto"/>
      </w:divBdr>
    </w:div>
    <w:div w:id="208806883">
      <w:bodyDiv w:val="1"/>
      <w:marLeft w:val="0"/>
      <w:marRight w:val="0"/>
      <w:marTop w:val="0"/>
      <w:marBottom w:val="0"/>
      <w:divBdr>
        <w:top w:val="none" w:sz="0" w:space="0" w:color="auto"/>
        <w:left w:val="none" w:sz="0" w:space="0" w:color="auto"/>
        <w:bottom w:val="none" w:sz="0" w:space="0" w:color="auto"/>
        <w:right w:val="none" w:sz="0" w:space="0" w:color="auto"/>
      </w:divBdr>
    </w:div>
    <w:div w:id="210271825">
      <w:bodyDiv w:val="1"/>
      <w:marLeft w:val="0"/>
      <w:marRight w:val="0"/>
      <w:marTop w:val="0"/>
      <w:marBottom w:val="0"/>
      <w:divBdr>
        <w:top w:val="none" w:sz="0" w:space="0" w:color="auto"/>
        <w:left w:val="none" w:sz="0" w:space="0" w:color="auto"/>
        <w:bottom w:val="none" w:sz="0" w:space="0" w:color="auto"/>
        <w:right w:val="none" w:sz="0" w:space="0" w:color="auto"/>
      </w:divBdr>
    </w:div>
    <w:div w:id="210463025">
      <w:bodyDiv w:val="1"/>
      <w:marLeft w:val="0"/>
      <w:marRight w:val="0"/>
      <w:marTop w:val="0"/>
      <w:marBottom w:val="0"/>
      <w:divBdr>
        <w:top w:val="none" w:sz="0" w:space="0" w:color="auto"/>
        <w:left w:val="none" w:sz="0" w:space="0" w:color="auto"/>
        <w:bottom w:val="none" w:sz="0" w:space="0" w:color="auto"/>
        <w:right w:val="none" w:sz="0" w:space="0" w:color="auto"/>
      </w:divBdr>
    </w:div>
    <w:div w:id="211428433">
      <w:bodyDiv w:val="1"/>
      <w:marLeft w:val="0"/>
      <w:marRight w:val="0"/>
      <w:marTop w:val="0"/>
      <w:marBottom w:val="0"/>
      <w:divBdr>
        <w:top w:val="none" w:sz="0" w:space="0" w:color="auto"/>
        <w:left w:val="none" w:sz="0" w:space="0" w:color="auto"/>
        <w:bottom w:val="none" w:sz="0" w:space="0" w:color="auto"/>
        <w:right w:val="none" w:sz="0" w:space="0" w:color="auto"/>
      </w:divBdr>
    </w:div>
    <w:div w:id="214004570">
      <w:bodyDiv w:val="1"/>
      <w:marLeft w:val="0"/>
      <w:marRight w:val="0"/>
      <w:marTop w:val="0"/>
      <w:marBottom w:val="0"/>
      <w:divBdr>
        <w:top w:val="none" w:sz="0" w:space="0" w:color="auto"/>
        <w:left w:val="none" w:sz="0" w:space="0" w:color="auto"/>
        <w:bottom w:val="none" w:sz="0" w:space="0" w:color="auto"/>
        <w:right w:val="none" w:sz="0" w:space="0" w:color="auto"/>
      </w:divBdr>
    </w:div>
    <w:div w:id="214972890">
      <w:bodyDiv w:val="1"/>
      <w:marLeft w:val="0"/>
      <w:marRight w:val="0"/>
      <w:marTop w:val="0"/>
      <w:marBottom w:val="0"/>
      <w:divBdr>
        <w:top w:val="none" w:sz="0" w:space="0" w:color="auto"/>
        <w:left w:val="none" w:sz="0" w:space="0" w:color="auto"/>
        <w:bottom w:val="none" w:sz="0" w:space="0" w:color="auto"/>
        <w:right w:val="none" w:sz="0" w:space="0" w:color="auto"/>
      </w:divBdr>
    </w:div>
    <w:div w:id="215044622">
      <w:bodyDiv w:val="1"/>
      <w:marLeft w:val="0"/>
      <w:marRight w:val="0"/>
      <w:marTop w:val="0"/>
      <w:marBottom w:val="0"/>
      <w:divBdr>
        <w:top w:val="none" w:sz="0" w:space="0" w:color="auto"/>
        <w:left w:val="none" w:sz="0" w:space="0" w:color="auto"/>
        <w:bottom w:val="none" w:sz="0" w:space="0" w:color="auto"/>
        <w:right w:val="none" w:sz="0" w:space="0" w:color="auto"/>
      </w:divBdr>
    </w:div>
    <w:div w:id="218632757">
      <w:bodyDiv w:val="1"/>
      <w:marLeft w:val="0"/>
      <w:marRight w:val="0"/>
      <w:marTop w:val="0"/>
      <w:marBottom w:val="0"/>
      <w:divBdr>
        <w:top w:val="none" w:sz="0" w:space="0" w:color="auto"/>
        <w:left w:val="none" w:sz="0" w:space="0" w:color="auto"/>
        <w:bottom w:val="none" w:sz="0" w:space="0" w:color="auto"/>
        <w:right w:val="none" w:sz="0" w:space="0" w:color="auto"/>
      </w:divBdr>
    </w:div>
    <w:div w:id="219950389">
      <w:bodyDiv w:val="1"/>
      <w:marLeft w:val="0"/>
      <w:marRight w:val="0"/>
      <w:marTop w:val="0"/>
      <w:marBottom w:val="0"/>
      <w:divBdr>
        <w:top w:val="none" w:sz="0" w:space="0" w:color="auto"/>
        <w:left w:val="none" w:sz="0" w:space="0" w:color="auto"/>
        <w:bottom w:val="none" w:sz="0" w:space="0" w:color="auto"/>
        <w:right w:val="none" w:sz="0" w:space="0" w:color="auto"/>
      </w:divBdr>
    </w:div>
    <w:div w:id="222371353">
      <w:bodyDiv w:val="1"/>
      <w:marLeft w:val="0"/>
      <w:marRight w:val="0"/>
      <w:marTop w:val="0"/>
      <w:marBottom w:val="0"/>
      <w:divBdr>
        <w:top w:val="none" w:sz="0" w:space="0" w:color="auto"/>
        <w:left w:val="none" w:sz="0" w:space="0" w:color="auto"/>
        <w:bottom w:val="none" w:sz="0" w:space="0" w:color="auto"/>
        <w:right w:val="none" w:sz="0" w:space="0" w:color="auto"/>
      </w:divBdr>
    </w:div>
    <w:div w:id="224799353">
      <w:bodyDiv w:val="1"/>
      <w:marLeft w:val="0"/>
      <w:marRight w:val="0"/>
      <w:marTop w:val="0"/>
      <w:marBottom w:val="0"/>
      <w:divBdr>
        <w:top w:val="none" w:sz="0" w:space="0" w:color="auto"/>
        <w:left w:val="none" w:sz="0" w:space="0" w:color="auto"/>
        <w:bottom w:val="none" w:sz="0" w:space="0" w:color="auto"/>
        <w:right w:val="none" w:sz="0" w:space="0" w:color="auto"/>
      </w:divBdr>
    </w:div>
    <w:div w:id="225645755">
      <w:bodyDiv w:val="1"/>
      <w:marLeft w:val="0"/>
      <w:marRight w:val="0"/>
      <w:marTop w:val="0"/>
      <w:marBottom w:val="0"/>
      <w:divBdr>
        <w:top w:val="none" w:sz="0" w:space="0" w:color="auto"/>
        <w:left w:val="none" w:sz="0" w:space="0" w:color="auto"/>
        <w:bottom w:val="none" w:sz="0" w:space="0" w:color="auto"/>
        <w:right w:val="none" w:sz="0" w:space="0" w:color="auto"/>
      </w:divBdr>
    </w:div>
    <w:div w:id="227229736">
      <w:bodyDiv w:val="1"/>
      <w:marLeft w:val="0"/>
      <w:marRight w:val="0"/>
      <w:marTop w:val="0"/>
      <w:marBottom w:val="0"/>
      <w:divBdr>
        <w:top w:val="none" w:sz="0" w:space="0" w:color="auto"/>
        <w:left w:val="none" w:sz="0" w:space="0" w:color="auto"/>
        <w:bottom w:val="none" w:sz="0" w:space="0" w:color="auto"/>
        <w:right w:val="none" w:sz="0" w:space="0" w:color="auto"/>
      </w:divBdr>
    </w:div>
    <w:div w:id="228925778">
      <w:bodyDiv w:val="1"/>
      <w:marLeft w:val="0"/>
      <w:marRight w:val="0"/>
      <w:marTop w:val="0"/>
      <w:marBottom w:val="0"/>
      <w:divBdr>
        <w:top w:val="none" w:sz="0" w:space="0" w:color="auto"/>
        <w:left w:val="none" w:sz="0" w:space="0" w:color="auto"/>
        <w:bottom w:val="none" w:sz="0" w:space="0" w:color="auto"/>
        <w:right w:val="none" w:sz="0" w:space="0" w:color="auto"/>
      </w:divBdr>
    </w:div>
    <w:div w:id="233125676">
      <w:bodyDiv w:val="1"/>
      <w:marLeft w:val="0"/>
      <w:marRight w:val="0"/>
      <w:marTop w:val="0"/>
      <w:marBottom w:val="0"/>
      <w:divBdr>
        <w:top w:val="none" w:sz="0" w:space="0" w:color="auto"/>
        <w:left w:val="none" w:sz="0" w:space="0" w:color="auto"/>
        <w:bottom w:val="none" w:sz="0" w:space="0" w:color="auto"/>
        <w:right w:val="none" w:sz="0" w:space="0" w:color="auto"/>
      </w:divBdr>
    </w:div>
    <w:div w:id="233203604">
      <w:bodyDiv w:val="1"/>
      <w:marLeft w:val="0"/>
      <w:marRight w:val="0"/>
      <w:marTop w:val="0"/>
      <w:marBottom w:val="0"/>
      <w:divBdr>
        <w:top w:val="none" w:sz="0" w:space="0" w:color="auto"/>
        <w:left w:val="none" w:sz="0" w:space="0" w:color="auto"/>
        <w:bottom w:val="none" w:sz="0" w:space="0" w:color="auto"/>
        <w:right w:val="none" w:sz="0" w:space="0" w:color="auto"/>
      </w:divBdr>
    </w:div>
    <w:div w:id="233592168">
      <w:bodyDiv w:val="1"/>
      <w:marLeft w:val="0"/>
      <w:marRight w:val="0"/>
      <w:marTop w:val="0"/>
      <w:marBottom w:val="0"/>
      <w:divBdr>
        <w:top w:val="none" w:sz="0" w:space="0" w:color="auto"/>
        <w:left w:val="none" w:sz="0" w:space="0" w:color="auto"/>
        <w:bottom w:val="none" w:sz="0" w:space="0" w:color="auto"/>
        <w:right w:val="none" w:sz="0" w:space="0" w:color="auto"/>
      </w:divBdr>
    </w:div>
    <w:div w:id="236597234">
      <w:bodyDiv w:val="1"/>
      <w:marLeft w:val="0"/>
      <w:marRight w:val="0"/>
      <w:marTop w:val="0"/>
      <w:marBottom w:val="0"/>
      <w:divBdr>
        <w:top w:val="none" w:sz="0" w:space="0" w:color="auto"/>
        <w:left w:val="none" w:sz="0" w:space="0" w:color="auto"/>
        <w:bottom w:val="none" w:sz="0" w:space="0" w:color="auto"/>
        <w:right w:val="none" w:sz="0" w:space="0" w:color="auto"/>
      </w:divBdr>
    </w:div>
    <w:div w:id="236866146">
      <w:bodyDiv w:val="1"/>
      <w:marLeft w:val="0"/>
      <w:marRight w:val="0"/>
      <w:marTop w:val="0"/>
      <w:marBottom w:val="0"/>
      <w:divBdr>
        <w:top w:val="none" w:sz="0" w:space="0" w:color="auto"/>
        <w:left w:val="none" w:sz="0" w:space="0" w:color="auto"/>
        <w:bottom w:val="none" w:sz="0" w:space="0" w:color="auto"/>
        <w:right w:val="none" w:sz="0" w:space="0" w:color="auto"/>
      </w:divBdr>
    </w:div>
    <w:div w:id="236869198">
      <w:bodyDiv w:val="1"/>
      <w:marLeft w:val="0"/>
      <w:marRight w:val="0"/>
      <w:marTop w:val="0"/>
      <w:marBottom w:val="0"/>
      <w:divBdr>
        <w:top w:val="none" w:sz="0" w:space="0" w:color="auto"/>
        <w:left w:val="none" w:sz="0" w:space="0" w:color="auto"/>
        <w:bottom w:val="none" w:sz="0" w:space="0" w:color="auto"/>
        <w:right w:val="none" w:sz="0" w:space="0" w:color="auto"/>
      </w:divBdr>
    </w:div>
    <w:div w:id="237859757">
      <w:bodyDiv w:val="1"/>
      <w:marLeft w:val="0"/>
      <w:marRight w:val="0"/>
      <w:marTop w:val="0"/>
      <w:marBottom w:val="0"/>
      <w:divBdr>
        <w:top w:val="none" w:sz="0" w:space="0" w:color="auto"/>
        <w:left w:val="none" w:sz="0" w:space="0" w:color="auto"/>
        <w:bottom w:val="none" w:sz="0" w:space="0" w:color="auto"/>
        <w:right w:val="none" w:sz="0" w:space="0" w:color="auto"/>
      </w:divBdr>
    </w:div>
    <w:div w:id="243490874">
      <w:bodyDiv w:val="1"/>
      <w:marLeft w:val="0"/>
      <w:marRight w:val="0"/>
      <w:marTop w:val="0"/>
      <w:marBottom w:val="0"/>
      <w:divBdr>
        <w:top w:val="none" w:sz="0" w:space="0" w:color="auto"/>
        <w:left w:val="none" w:sz="0" w:space="0" w:color="auto"/>
        <w:bottom w:val="none" w:sz="0" w:space="0" w:color="auto"/>
        <w:right w:val="none" w:sz="0" w:space="0" w:color="auto"/>
      </w:divBdr>
    </w:div>
    <w:div w:id="243685770">
      <w:bodyDiv w:val="1"/>
      <w:marLeft w:val="0"/>
      <w:marRight w:val="0"/>
      <w:marTop w:val="0"/>
      <w:marBottom w:val="0"/>
      <w:divBdr>
        <w:top w:val="none" w:sz="0" w:space="0" w:color="auto"/>
        <w:left w:val="none" w:sz="0" w:space="0" w:color="auto"/>
        <w:bottom w:val="none" w:sz="0" w:space="0" w:color="auto"/>
        <w:right w:val="none" w:sz="0" w:space="0" w:color="auto"/>
      </w:divBdr>
    </w:div>
    <w:div w:id="244195303">
      <w:bodyDiv w:val="1"/>
      <w:marLeft w:val="0"/>
      <w:marRight w:val="0"/>
      <w:marTop w:val="0"/>
      <w:marBottom w:val="0"/>
      <w:divBdr>
        <w:top w:val="none" w:sz="0" w:space="0" w:color="auto"/>
        <w:left w:val="none" w:sz="0" w:space="0" w:color="auto"/>
        <w:bottom w:val="none" w:sz="0" w:space="0" w:color="auto"/>
        <w:right w:val="none" w:sz="0" w:space="0" w:color="auto"/>
      </w:divBdr>
    </w:div>
    <w:div w:id="244925456">
      <w:bodyDiv w:val="1"/>
      <w:marLeft w:val="0"/>
      <w:marRight w:val="0"/>
      <w:marTop w:val="0"/>
      <w:marBottom w:val="0"/>
      <w:divBdr>
        <w:top w:val="none" w:sz="0" w:space="0" w:color="auto"/>
        <w:left w:val="none" w:sz="0" w:space="0" w:color="auto"/>
        <w:bottom w:val="none" w:sz="0" w:space="0" w:color="auto"/>
        <w:right w:val="none" w:sz="0" w:space="0" w:color="auto"/>
      </w:divBdr>
    </w:div>
    <w:div w:id="245041308">
      <w:bodyDiv w:val="1"/>
      <w:marLeft w:val="0"/>
      <w:marRight w:val="0"/>
      <w:marTop w:val="0"/>
      <w:marBottom w:val="0"/>
      <w:divBdr>
        <w:top w:val="none" w:sz="0" w:space="0" w:color="auto"/>
        <w:left w:val="none" w:sz="0" w:space="0" w:color="auto"/>
        <w:bottom w:val="none" w:sz="0" w:space="0" w:color="auto"/>
        <w:right w:val="none" w:sz="0" w:space="0" w:color="auto"/>
      </w:divBdr>
    </w:div>
    <w:div w:id="246034337">
      <w:bodyDiv w:val="1"/>
      <w:marLeft w:val="0"/>
      <w:marRight w:val="0"/>
      <w:marTop w:val="0"/>
      <w:marBottom w:val="0"/>
      <w:divBdr>
        <w:top w:val="none" w:sz="0" w:space="0" w:color="auto"/>
        <w:left w:val="none" w:sz="0" w:space="0" w:color="auto"/>
        <w:bottom w:val="none" w:sz="0" w:space="0" w:color="auto"/>
        <w:right w:val="none" w:sz="0" w:space="0" w:color="auto"/>
      </w:divBdr>
    </w:div>
    <w:div w:id="246962665">
      <w:bodyDiv w:val="1"/>
      <w:marLeft w:val="0"/>
      <w:marRight w:val="0"/>
      <w:marTop w:val="0"/>
      <w:marBottom w:val="0"/>
      <w:divBdr>
        <w:top w:val="none" w:sz="0" w:space="0" w:color="auto"/>
        <w:left w:val="none" w:sz="0" w:space="0" w:color="auto"/>
        <w:bottom w:val="none" w:sz="0" w:space="0" w:color="auto"/>
        <w:right w:val="none" w:sz="0" w:space="0" w:color="auto"/>
      </w:divBdr>
    </w:div>
    <w:div w:id="249314419">
      <w:bodyDiv w:val="1"/>
      <w:marLeft w:val="0"/>
      <w:marRight w:val="0"/>
      <w:marTop w:val="0"/>
      <w:marBottom w:val="0"/>
      <w:divBdr>
        <w:top w:val="none" w:sz="0" w:space="0" w:color="auto"/>
        <w:left w:val="none" w:sz="0" w:space="0" w:color="auto"/>
        <w:bottom w:val="none" w:sz="0" w:space="0" w:color="auto"/>
        <w:right w:val="none" w:sz="0" w:space="0" w:color="auto"/>
      </w:divBdr>
    </w:div>
    <w:div w:id="249631573">
      <w:bodyDiv w:val="1"/>
      <w:marLeft w:val="0"/>
      <w:marRight w:val="0"/>
      <w:marTop w:val="0"/>
      <w:marBottom w:val="0"/>
      <w:divBdr>
        <w:top w:val="none" w:sz="0" w:space="0" w:color="auto"/>
        <w:left w:val="none" w:sz="0" w:space="0" w:color="auto"/>
        <w:bottom w:val="none" w:sz="0" w:space="0" w:color="auto"/>
        <w:right w:val="none" w:sz="0" w:space="0" w:color="auto"/>
      </w:divBdr>
    </w:div>
    <w:div w:id="249853619">
      <w:bodyDiv w:val="1"/>
      <w:marLeft w:val="0"/>
      <w:marRight w:val="0"/>
      <w:marTop w:val="0"/>
      <w:marBottom w:val="0"/>
      <w:divBdr>
        <w:top w:val="none" w:sz="0" w:space="0" w:color="auto"/>
        <w:left w:val="none" w:sz="0" w:space="0" w:color="auto"/>
        <w:bottom w:val="none" w:sz="0" w:space="0" w:color="auto"/>
        <w:right w:val="none" w:sz="0" w:space="0" w:color="auto"/>
      </w:divBdr>
    </w:div>
    <w:div w:id="252594368">
      <w:bodyDiv w:val="1"/>
      <w:marLeft w:val="0"/>
      <w:marRight w:val="0"/>
      <w:marTop w:val="0"/>
      <w:marBottom w:val="0"/>
      <w:divBdr>
        <w:top w:val="none" w:sz="0" w:space="0" w:color="auto"/>
        <w:left w:val="none" w:sz="0" w:space="0" w:color="auto"/>
        <w:bottom w:val="none" w:sz="0" w:space="0" w:color="auto"/>
        <w:right w:val="none" w:sz="0" w:space="0" w:color="auto"/>
      </w:divBdr>
    </w:div>
    <w:div w:id="252713631">
      <w:bodyDiv w:val="1"/>
      <w:marLeft w:val="0"/>
      <w:marRight w:val="0"/>
      <w:marTop w:val="0"/>
      <w:marBottom w:val="0"/>
      <w:divBdr>
        <w:top w:val="none" w:sz="0" w:space="0" w:color="auto"/>
        <w:left w:val="none" w:sz="0" w:space="0" w:color="auto"/>
        <w:bottom w:val="none" w:sz="0" w:space="0" w:color="auto"/>
        <w:right w:val="none" w:sz="0" w:space="0" w:color="auto"/>
      </w:divBdr>
    </w:div>
    <w:div w:id="255677502">
      <w:bodyDiv w:val="1"/>
      <w:marLeft w:val="0"/>
      <w:marRight w:val="0"/>
      <w:marTop w:val="0"/>
      <w:marBottom w:val="0"/>
      <w:divBdr>
        <w:top w:val="none" w:sz="0" w:space="0" w:color="auto"/>
        <w:left w:val="none" w:sz="0" w:space="0" w:color="auto"/>
        <w:bottom w:val="none" w:sz="0" w:space="0" w:color="auto"/>
        <w:right w:val="none" w:sz="0" w:space="0" w:color="auto"/>
      </w:divBdr>
    </w:div>
    <w:div w:id="255790511">
      <w:bodyDiv w:val="1"/>
      <w:marLeft w:val="0"/>
      <w:marRight w:val="0"/>
      <w:marTop w:val="0"/>
      <w:marBottom w:val="0"/>
      <w:divBdr>
        <w:top w:val="none" w:sz="0" w:space="0" w:color="auto"/>
        <w:left w:val="none" w:sz="0" w:space="0" w:color="auto"/>
        <w:bottom w:val="none" w:sz="0" w:space="0" w:color="auto"/>
        <w:right w:val="none" w:sz="0" w:space="0" w:color="auto"/>
      </w:divBdr>
    </w:div>
    <w:div w:id="257562508">
      <w:bodyDiv w:val="1"/>
      <w:marLeft w:val="0"/>
      <w:marRight w:val="0"/>
      <w:marTop w:val="0"/>
      <w:marBottom w:val="0"/>
      <w:divBdr>
        <w:top w:val="none" w:sz="0" w:space="0" w:color="auto"/>
        <w:left w:val="none" w:sz="0" w:space="0" w:color="auto"/>
        <w:bottom w:val="none" w:sz="0" w:space="0" w:color="auto"/>
        <w:right w:val="none" w:sz="0" w:space="0" w:color="auto"/>
      </w:divBdr>
    </w:div>
    <w:div w:id="259877250">
      <w:bodyDiv w:val="1"/>
      <w:marLeft w:val="0"/>
      <w:marRight w:val="0"/>
      <w:marTop w:val="0"/>
      <w:marBottom w:val="0"/>
      <w:divBdr>
        <w:top w:val="none" w:sz="0" w:space="0" w:color="auto"/>
        <w:left w:val="none" w:sz="0" w:space="0" w:color="auto"/>
        <w:bottom w:val="none" w:sz="0" w:space="0" w:color="auto"/>
        <w:right w:val="none" w:sz="0" w:space="0" w:color="auto"/>
      </w:divBdr>
    </w:div>
    <w:div w:id="260144921">
      <w:bodyDiv w:val="1"/>
      <w:marLeft w:val="0"/>
      <w:marRight w:val="0"/>
      <w:marTop w:val="0"/>
      <w:marBottom w:val="0"/>
      <w:divBdr>
        <w:top w:val="none" w:sz="0" w:space="0" w:color="auto"/>
        <w:left w:val="none" w:sz="0" w:space="0" w:color="auto"/>
        <w:bottom w:val="none" w:sz="0" w:space="0" w:color="auto"/>
        <w:right w:val="none" w:sz="0" w:space="0" w:color="auto"/>
      </w:divBdr>
    </w:div>
    <w:div w:id="262109692">
      <w:bodyDiv w:val="1"/>
      <w:marLeft w:val="0"/>
      <w:marRight w:val="0"/>
      <w:marTop w:val="0"/>
      <w:marBottom w:val="0"/>
      <w:divBdr>
        <w:top w:val="none" w:sz="0" w:space="0" w:color="auto"/>
        <w:left w:val="none" w:sz="0" w:space="0" w:color="auto"/>
        <w:bottom w:val="none" w:sz="0" w:space="0" w:color="auto"/>
        <w:right w:val="none" w:sz="0" w:space="0" w:color="auto"/>
      </w:divBdr>
    </w:div>
    <w:div w:id="263225306">
      <w:bodyDiv w:val="1"/>
      <w:marLeft w:val="0"/>
      <w:marRight w:val="0"/>
      <w:marTop w:val="0"/>
      <w:marBottom w:val="0"/>
      <w:divBdr>
        <w:top w:val="none" w:sz="0" w:space="0" w:color="auto"/>
        <w:left w:val="none" w:sz="0" w:space="0" w:color="auto"/>
        <w:bottom w:val="none" w:sz="0" w:space="0" w:color="auto"/>
        <w:right w:val="none" w:sz="0" w:space="0" w:color="auto"/>
      </w:divBdr>
    </w:div>
    <w:div w:id="265967549">
      <w:bodyDiv w:val="1"/>
      <w:marLeft w:val="0"/>
      <w:marRight w:val="0"/>
      <w:marTop w:val="0"/>
      <w:marBottom w:val="0"/>
      <w:divBdr>
        <w:top w:val="none" w:sz="0" w:space="0" w:color="auto"/>
        <w:left w:val="none" w:sz="0" w:space="0" w:color="auto"/>
        <w:bottom w:val="none" w:sz="0" w:space="0" w:color="auto"/>
        <w:right w:val="none" w:sz="0" w:space="0" w:color="auto"/>
      </w:divBdr>
    </w:div>
    <w:div w:id="266541250">
      <w:bodyDiv w:val="1"/>
      <w:marLeft w:val="0"/>
      <w:marRight w:val="0"/>
      <w:marTop w:val="0"/>
      <w:marBottom w:val="0"/>
      <w:divBdr>
        <w:top w:val="none" w:sz="0" w:space="0" w:color="auto"/>
        <w:left w:val="none" w:sz="0" w:space="0" w:color="auto"/>
        <w:bottom w:val="none" w:sz="0" w:space="0" w:color="auto"/>
        <w:right w:val="none" w:sz="0" w:space="0" w:color="auto"/>
      </w:divBdr>
    </w:div>
    <w:div w:id="266815082">
      <w:bodyDiv w:val="1"/>
      <w:marLeft w:val="0"/>
      <w:marRight w:val="0"/>
      <w:marTop w:val="0"/>
      <w:marBottom w:val="0"/>
      <w:divBdr>
        <w:top w:val="none" w:sz="0" w:space="0" w:color="auto"/>
        <w:left w:val="none" w:sz="0" w:space="0" w:color="auto"/>
        <w:bottom w:val="none" w:sz="0" w:space="0" w:color="auto"/>
        <w:right w:val="none" w:sz="0" w:space="0" w:color="auto"/>
      </w:divBdr>
    </w:div>
    <w:div w:id="266930947">
      <w:bodyDiv w:val="1"/>
      <w:marLeft w:val="0"/>
      <w:marRight w:val="0"/>
      <w:marTop w:val="0"/>
      <w:marBottom w:val="0"/>
      <w:divBdr>
        <w:top w:val="none" w:sz="0" w:space="0" w:color="auto"/>
        <w:left w:val="none" w:sz="0" w:space="0" w:color="auto"/>
        <w:bottom w:val="none" w:sz="0" w:space="0" w:color="auto"/>
        <w:right w:val="none" w:sz="0" w:space="0" w:color="auto"/>
      </w:divBdr>
    </w:div>
    <w:div w:id="272523009">
      <w:bodyDiv w:val="1"/>
      <w:marLeft w:val="0"/>
      <w:marRight w:val="0"/>
      <w:marTop w:val="0"/>
      <w:marBottom w:val="0"/>
      <w:divBdr>
        <w:top w:val="none" w:sz="0" w:space="0" w:color="auto"/>
        <w:left w:val="none" w:sz="0" w:space="0" w:color="auto"/>
        <w:bottom w:val="none" w:sz="0" w:space="0" w:color="auto"/>
        <w:right w:val="none" w:sz="0" w:space="0" w:color="auto"/>
      </w:divBdr>
    </w:div>
    <w:div w:id="276067222">
      <w:bodyDiv w:val="1"/>
      <w:marLeft w:val="0"/>
      <w:marRight w:val="0"/>
      <w:marTop w:val="0"/>
      <w:marBottom w:val="0"/>
      <w:divBdr>
        <w:top w:val="none" w:sz="0" w:space="0" w:color="auto"/>
        <w:left w:val="none" w:sz="0" w:space="0" w:color="auto"/>
        <w:bottom w:val="none" w:sz="0" w:space="0" w:color="auto"/>
        <w:right w:val="none" w:sz="0" w:space="0" w:color="auto"/>
      </w:divBdr>
    </w:div>
    <w:div w:id="276838968">
      <w:bodyDiv w:val="1"/>
      <w:marLeft w:val="0"/>
      <w:marRight w:val="0"/>
      <w:marTop w:val="0"/>
      <w:marBottom w:val="0"/>
      <w:divBdr>
        <w:top w:val="none" w:sz="0" w:space="0" w:color="auto"/>
        <w:left w:val="none" w:sz="0" w:space="0" w:color="auto"/>
        <w:bottom w:val="none" w:sz="0" w:space="0" w:color="auto"/>
        <w:right w:val="none" w:sz="0" w:space="0" w:color="auto"/>
      </w:divBdr>
    </w:div>
    <w:div w:id="278875839">
      <w:bodyDiv w:val="1"/>
      <w:marLeft w:val="0"/>
      <w:marRight w:val="0"/>
      <w:marTop w:val="0"/>
      <w:marBottom w:val="0"/>
      <w:divBdr>
        <w:top w:val="none" w:sz="0" w:space="0" w:color="auto"/>
        <w:left w:val="none" w:sz="0" w:space="0" w:color="auto"/>
        <w:bottom w:val="none" w:sz="0" w:space="0" w:color="auto"/>
        <w:right w:val="none" w:sz="0" w:space="0" w:color="auto"/>
      </w:divBdr>
    </w:div>
    <w:div w:id="280192119">
      <w:bodyDiv w:val="1"/>
      <w:marLeft w:val="0"/>
      <w:marRight w:val="0"/>
      <w:marTop w:val="0"/>
      <w:marBottom w:val="0"/>
      <w:divBdr>
        <w:top w:val="none" w:sz="0" w:space="0" w:color="auto"/>
        <w:left w:val="none" w:sz="0" w:space="0" w:color="auto"/>
        <w:bottom w:val="none" w:sz="0" w:space="0" w:color="auto"/>
        <w:right w:val="none" w:sz="0" w:space="0" w:color="auto"/>
      </w:divBdr>
    </w:div>
    <w:div w:id="283467516">
      <w:bodyDiv w:val="1"/>
      <w:marLeft w:val="0"/>
      <w:marRight w:val="0"/>
      <w:marTop w:val="0"/>
      <w:marBottom w:val="0"/>
      <w:divBdr>
        <w:top w:val="none" w:sz="0" w:space="0" w:color="auto"/>
        <w:left w:val="none" w:sz="0" w:space="0" w:color="auto"/>
        <w:bottom w:val="none" w:sz="0" w:space="0" w:color="auto"/>
        <w:right w:val="none" w:sz="0" w:space="0" w:color="auto"/>
      </w:divBdr>
    </w:div>
    <w:div w:id="284311640">
      <w:bodyDiv w:val="1"/>
      <w:marLeft w:val="0"/>
      <w:marRight w:val="0"/>
      <w:marTop w:val="0"/>
      <w:marBottom w:val="0"/>
      <w:divBdr>
        <w:top w:val="none" w:sz="0" w:space="0" w:color="auto"/>
        <w:left w:val="none" w:sz="0" w:space="0" w:color="auto"/>
        <w:bottom w:val="none" w:sz="0" w:space="0" w:color="auto"/>
        <w:right w:val="none" w:sz="0" w:space="0" w:color="auto"/>
      </w:divBdr>
    </w:div>
    <w:div w:id="285703358">
      <w:bodyDiv w:val="1"/>
      <w:marLeft w:val="0"/>
      <w:marRight w:val="0"/>
      <w:marTop w:val="0"/>
      <w:marBottom w:val="0"/>
      <w:divBdr>
        <w:top w:val="none" w:sz="0" w:space="0" w:color="auto"/>
        <w:left w:val="none" w:sz="0" w:space="0" w:color="auto"/>
        <w:bottom w:val="none" w:sz="0" w:space="0" w:color="auto"/>
        <w:right w:val="none" w:sz="0" w:space="0" w:color="auto"/>
      </w:divBdr>
    </w:div>
    <w:div w:id="287245137">
      <w:bodyDiv w:val="1"/>
      <w:marLeft w:val="0"/>
      <w:marRight w:val="0"/>
      <w:marTop w:val="0"/>
      <w:marBottom w:val="0"/>
      <w:divBdr>
        <w:top w:val="none" w:sz="0" w:space="0" w:color="auto"/>
        <w:left w:val="none" w:sz="0" w:space="0" w:color="auto"/>
        <w:bottom w:val="none" w:sz="0" w:space="0" w:color="auto"/>
        <w:right w:val="none" w:sz="0" w:space="0" w:color="auto"/>
      </w:divBdr>
    </w:div>
    <w:div w:id="290407126">
      <w:bodyDiv w:val="1"/>
      <w:marLeft w:val="0"/>
      <w:marRight w:val="0"/>
      <w:marTop w:val="0"/>
      <w:marBottom w:val="0"/>
      <w:divBdr>
        <w:top w:val="none" w:sz="0" w:space="0" w:color="auto"/>
        <w:left w:val="none" w:sz="0" w:space="0" w:color="auto"/>
        <w:bottom w:val="none" w:sz="0" w:space="0" w:color="auto"/>
        <w:right w:val="none" w:sz="0" w:space="0" w:color="auto"/>
      </w:divBdr>
    </w:div>
    <w:div w:id="290522320">
      <w:bodyDiv w:val="1"/>
      <w:marLeft w:val="0"/>
      <w:marRight w:val="0"/>
      <w:marTop w:val="0"/>
      <w:marBottom w:val="0"/>
      <w:divBdr>
        <w:top w:val="none" w:sz="0" w:space="0" w:color="auto"/>
        <w:left w:val="none" w:sz="0" w:space="0" w:color="auto"/>
        <w:bottom w:val="none" w:sz="0" w:space="0" w:color="auto"/>
        <w:right w:val="none" w:sz="0" w:space="0" w:color="auto"/>
      </w:divBdr>
    </w:div>
    <w:div w:id="294335725">
      <w:bodyDiv w:val="1"/>
      <w:marLeft w:val="0"/>
      <w:marRight w:val="0"/>
      <w:marTop w:val="0"/>
      <w:marBottom w:val="0"/>
      <w:divBdr>
        <w:top w:val="none" w:sz="0" w:space="0" w:color="auto"/>
        <w:left w:val="none" w:sz="0" w:space="0" w:color="auto"/>
        <w:bottom w:val="none" w:sz="0" w:space="0" w:color="auto"/>
        <w:right w:val="none" w:sz="0" w:space="0" w:color="auto"/>
      </w:divBdr>
    </w:div>
    <w:div w:id="298221134">
      <w:bodyDiv w:val="1"/>
      <w:marLeft w:val="0"/>
      <w:marRight w:val="0"/>
      <w:marTop w:val="0"/>
      <w:marBottom w:val="0"/>
      <w:divBdr>
        <w:top w:val="none" w:sz="0" w:space="0" w:color="auto"/>
        <w:left w:val="none" w:sz="0" w:space="0" w:color="auto"/>
        <w:bottom w:val="none" w:sz="0" w:space="0" w:color="auto"/>
        <w:right w:val="none" w:sz="0" w:space="0" w:color="auto"/>
      </w:divBdr>
    </w:div>
    <w:div w:id="303051200">
      <w:bodyDiv w:val="1"/>
      <w:marLeft w:val="0"/>
      <w:marRight w:val="0"/>
      <w:marTop w:val="0"/>
      <w:marBottom w:val="0"/>
      <w:divBdr>
        <w:top w:val="none" w:sz="0" w:space="0" w:color="auto"/>
        <w:left w:val="none" w:sz="0" w:space="0" w:color="auto"/>
        <w:bottom w:val="none" w:sz="0" w:space="0" w:color="auto"/>
        <w:right w:val="none" w:sz="0" w:space="0" w:color="auto"/>
      </w:divBdr>
    </w:div>
    <w:div w:id="304511394">
      <w:bodyDiv w:val="1"/>
      <w:marLeft w:val="0"/>
      <w:marRight w:val="0"/>
      <w:marTop w:val="0"/>
      <w:marBottom w:val="0"/>
      <w:divBdr>
        <w:top w:val="none" w:sz="0" w:space="0" w:color="auto"/>
        <w:left w:val="none" w:sz="0" w:space="0" w:color="auto"/>
        <w:bottom w:val="none" w:sz="0" w:space="0" w:color="auto"/>
        <w:right w:val="none" w:sz="0" w:space="0" w:color="auto"/>
      </w:divBdr>
    </w:div>
    <w:div w:id="310448388">
      <w:bodyDiv w:val="1"/>
      <w:marLeft w:val="0"/>
      <w:marRight w:val="0"/>
      <w:marTop w:val="0"/>
      <w:marBottom w:val="0"/>
      <w:divBdr>
        <w:top w:val="none" w:sz="0" w:space="0" w:color="auto"/>
        <w:left w:val="none" w:sz="0" w:space="0" w:color="auto"/>
        <w:bottom w:val="none" w:sz="0" w:space="0" w:color="auto"/>
        <w:right w:val="none" w:sz="0" w:space="0" w:color="auto"/>
      </w:divBdr>
    </w:div>
    <w:div w:id="314526835">
      <w:bodyDiv w:val="1"/>
      <w:marLeft w:val="0"/>
      <w:marRight w:val="0"/>
      <w:marTop w:val="0"/>
      <w:marBottom w:val="0"/>
      <w:divBdr>
        <w:top w:val="none" w:sz="0" w:space="0" w:color="auto"/>
        <w:left w:val="none" w:sz="0" w:space="0" w:color="auto"/>
        <w:bottom w:val="none" w:sz="0" w:space="0" w:color="auto"/>
        <w:right w:val="none" w:sz="0" w:space="0" w:color="auto"/>
      </w:divBdr>
    </w:div>
    <w:div w:id="314769876">
      <w:bodyDiv w:val="1"/>
      <w:marLeft w:val="0"/>
      <w:marRight w:val="0"/>
      <w:marTop w:val="0"/>
      <w:marBottom w:val="0"/>
      <w:divBdr>
        <w:top w:val="none" w:sz="0" w:space="0" w:color="auto"/>
        <w:left w:val="none" w:sz="0" w:space="0" w:color="auto"/>
        <w:bottom w:val="none" w:sz="0" w:space="0" w:color="auto"/>
        <w:right w:val="none" w:sz="0" w:space="0" w:color="auto"/>
      </w:divBdr>
    </w:div>
    <w:div w:id="315303121">
      <w:bodyDiv w:val="1"/>
      <w:marLeft w:val="0"/>
      <w:marRight w:val="0"/>
      <w:marTop w:val="0"/>
      <w:marBottom w:val="0"/>
      <w:divBdr>
        <w:top w:val="none" w:sz="0" w:space="0" w:color="auto"/>
        <w:left w:val="none" w:sz="0" w:space="0" w:color="auto"/>
        <w:bottom w:val="none" w:sz="0" w:space="0" w:color="auto"/>
        <w:right w:val="none" w:sz="0" w:space="0" w:color="auto"/>
      </w:divBdr>
    </w:div>
    <w:div w:id="316306377">
      <w:bodyDiv w:val="1"/>
      <w:marLeft w:val="0"/>
      <w:marRight w:val="0"/>
      <w:marTop w:val="0"/>
      <w:marBottom w:val="0"/>
      <w:divBdr>
        <w:top w:val="none" w:sz="0" w:space="0" w:color="auto"/>
        <w:left w:val="none" w:sz="0" w:space="0" w:color="auto"/>
        <w:bottom w:val="none" w:sz="0" w:space="0" w:color="auto"/>
        <w:right w:val="none" w:sz="0" w:space="0" w:color="auto"/>
      </w:divBdr>
    </w:div>
    <w:div w:id="316885709">
      <w:bodyDiv w:val="1"/>
      <w:marLeft w:val="0"/>
      <w:marRight w:val="0"/>
      <w:marTop w:val="0"/>
      <w:marBottom w:val="0"/>
      <w:divBdr>
        <w:top w:val="none" w:sz="0" w:space="0" w:color="auto"/>
        <w:left w:val="none" w:sz="0" w:space="0" w:color="auto"/>
        <w:bottom w:val="none" w:sz="0" w:space="0" w:color="auto"/>
        <w:right w:val="none" w:sz="0" w:space="0" w:color="auto"/>
      </w:divBdr>
    </w:div>
    <w:div w:id="316962400">
      <w:bodyDiv w:val="1"/>
      <w:marLeft w:val="0"/>
      <w:marRight w:val="0"/>
      <w:marTop w:val="0"/>
      <w:marBottom w:val="0"/>
      <w:divBdr>
        <w:top w:val="none" w:sz="0" w:space="0" w:color="auto"/>
        <w:left w:val="none" w:sz="0" w:space="0" w:color="auto"/>
        <w:bottom w:val="none" w:sz="0" w:space="0" w:color="auto"/>
        <w:right w:val="none" w:sz="0" w:space="0" w:color="auto"/>
      </w:divBdr>
    </w:div>
    <w:div w:id="317463793">
      <w:bodyDiv w:val="1"/>
      <w:marLeft w:val="0"/>
      <w:marRight w:val="0"/>
      <w:marTop w:val="0"/>
      <w:marBottom w:val="0"/>
      <w:divBdr>
        <w:top w:val="none" w:sz="0" w:space="0" w:color="auto"/>
        <w:left w:val="none" w:sz="0" w:space="0" w:color="auto"/>
        <w:bottom w:val="none" w:sz="0" w:space="0" w:color="auto"/>
        <w:right w:val="none" w:sz="0" w:space="0" w:color="auto"/>
      </w:divBdr>
    </w:div>
    <w:div w:id="318266180">
      <w:bodyDiv w:val="1"/>
      <w:marLeft w:val="0"/>
      <w:marRight w:val="0"/>
      <w:marTop w:val="0"/>
      <w:marBottom w:val="0"/>
      <w:divBdr>
        <w:top w:val="none" w:sz="0" w:space="0" w:color="auto"/>
        <w:left w:val="none" w:sz="0" w:space="0" w:color="auto"/>
        <w:bottom w:val="none" w:sz="0" w:space="0" w:color="auto"/>
        <w:right w:val="none" w:sz="0" w:space="0" w:color="auto"/>
      </w:divBdr>
    </w:div>
    <w:div w:id="319769487">
      <w:bodyDiv w:val="1"/>
      <w:marLeft w:val="0"/>
      <w:marRight w:val="0"/>
      <w:marTop w:val="0"/>
      <w:marBottom w:val="0"/>
      <w:divBdr>
        <w:top w:val="none" w:sz="0" w:space="0" w:color="auto"/>
        <w:left w:val="none" w:sz="0" w:space="0" w:color="auto"/>
        <w:bottom w:val="none" w:sz="0" w:space="0" w:color="auto"/>
        <w:right w:val="none" w:sz="0" w:space="0" w:color="auto"/>
      </w:divBdr>
    </w:div>
    <w:div w:id="321394971">
      <w:bodyDiv w:val="1"/>
      <w:marLeft w:val="0"/>
      <w:marRight w:val="0"/>
      <w:marTop w:val="0"/>
      <w:marBottom w:val="0"/>
      <w:divBdr>
        <w:top w:val="none" w:sz="0" w:space="0" w:color="auto"/>
        <w:left w:val="none" w:sz="0" w:space="0" w:color="auto"/>
        <w:bottom w:val="none" w:sz="0" w:space="0" w:color="auto"/>
        <w:right w:val="none" w:sz="0" w:space="0" w:color="auto"/>
      </w:divBdr>
    </w:div>
    <w:div w:id="322128717">
      <w:bodyDiv w:val="1"/>
      <w:marLeft w:val="0"/>
      <w:marRight w:val="0"/>
      <w:marTop w:val="0"/>
      <w:marBottom w:val="0"/>
      <w:divBdr>
        <w:top w:val="none" w:sz="0" w:space="0" w:color="auto"/>
        <w:left w:val="none" w:sz="0" w:space="0" w:color="auto"/>
        <w:bottom w:val="none" w:sz="0" w:space="0" w:color="auto"/>
        <w:right w:val="none" w:sz="0" w:space="0" w:color="auto"/>
      </w:divBdr>
    </w:div>
    <w:div w:id="322785323">
      <w:bodyDiv w:val="1"/>
      <w:marLeft w:val="0"/>
      <w:marRight w:val="0"/>
      <w:marTop w:val="0"/>
      <w:marBottom w:val="0"/>
      <w:divBdr>
        <w:top w:val="none" w:sz="0" w:space="0" w:color="auto"/>
        <w:left w:val="none" w:sz="0" w:space="0" w:color="auto"/>
        <w:bottom w:val="none" w:sz="0" w:space="0" w:color="auto"/>
        <w:right w:val="none" w:sz="0" w:space="0" w:color="auto"/>
      </w:divBdr>
    </w:div>
    <w:div w:id="322971306">
      <w:bodyDiv w:val="1"/>
      <w:marLeft w:val="0"/>
      <w:marRight w:val="0"/>
      <w:marTop w:val="0"/>
      <w:marBottom w:val="0"/>
      <w:divBdr>
        <w:top w:val="none" w:sz="0" w:space="0" w:color="auto"/>
        <w:left w:val="none" w:sz="0" w:space="0" w:color="auto"/>
        <w:bottom w:val="none" w:sz="0" w:space="0" w:color="auto"/>
        <w:right w:val="none" w:sz="0" w:space="0" w:color="auto"/>
      </w:divBdr>
    </w:div>
    <w:div w:id="326133943">
      <w:bodyDiv w:val="1"/>
      <w:marLeft w:val="0"/>
      <w:marRight w:val="0"/>
      <w:marTop w:val="0"/>
      <w:marBottom w:val="0"/>
      <w:divBdr>
        <w:top w:val="none" w:sz="0" w:space="0" w:color="auto"/>
        <w:left w:val="none" w:sz="0" w:space="0" w:color="auto"/>
        <w:bottom w:val="none" w:sz="0" w:space="0" w:color="auto"/>
        <w:right w:val="none" w:sz="0" w:space="0" w:color="auto"/>
      </w:divBdr>
    </w:div>
    <w:div w:id="326204457">
      <w:bodyDiv w:val="1"/>
      <w:marLeft w:val="0"/>
      <w:marRight w:val="0"/>
      <w:marTop w:val="0"/>
      <w:marBottom w:val="0"/>
      <w:divBdr>
        <w:top w:val="none" w:sz="0" w:space="0" w:color="auto"/>
        <w:left w:val="none" w:sz="0" w:space="0" w:color="auto"/>
        <w:bottom w:val="none" w:sz="0" w:space="0" w:color="auto"/>
        <w:right w:val="none" w:sz="0" w:space="0" w:color="auto"/>
      </w:divBdr>
    </w:div>
    <w:div w:id="326831383">
      <w:bodyDiv w:val="1"/>
      <w:marLeft w:val="0"/>
      <w:marRight w:val="0"/>
      <w:marTop w:val="0"/>
      <w:marBottom w:val="0"/>
      <w:divBdr>
        <w:top w:val="none" w:sz="0" w:space="0" w:color="auto"/>
        <w:left w:val="none" w:sz="0" w:space="0" w:color="auto"/>
        <w:bottom w:val="none" w:sz="0" w:space="0" w:color="auto"/>
        <w:right w:val="none" w:sz="0" w:space="0" w:color="auto"/>
      </w:divBdr>
    </w:div>
    <w:div w:id="327558869">
      <w:bodyDiv w:val="1"/>
      <w:marLeft w:val="0"/>
      <w:marRight w:val="0"/>
      <w:marTop w:val="0"/>
      <w:marBottom w:val="0"/>
      <w:divBdr>
        <w:top w:val="none" w:sz="0" w:space="0" w:color="auto"/>
        <w:left w:val="none" w:sz="0" w:space="0" w:color="auto"/>
        <w:bottom w:val="none" w:sz="0" w:space="0" w:color="auto"/>
        <w:right w:val="none" w:sz="0" w:space="0" w:color="auto"/>
      </w:divBdr>
    </w:div>
    <w:div w:id="327827772">
      <w:bodyDiv w:val="1"/>
      <w:marLeft w:val="0"/>
      <w:marRight w:val="0"/>
      <w:marTop w:val="0"/>
      <w:marBottom w:val="0"/>
      <w:divBdr>
        <w:top w:val="none" w:sz="0" w:space="0" w:color="auto"/>
        <w:left w:val="none" w:sz="0" w:space="0" w:color="auto"/>
        <w:bottom w:val="none" w:sz="0" w:space="0" w:color="auto"/>
        <w:right w:val="none" w:sz="0" w:space="0" w:color="auto"/>
      </w:divBdr>
    </w:div>
    <w:div w:id="334696198">
      <w:bodyDiv w:val="1"/>
      <w:marLeft w:val="0"/>
      <w:marRight w:val="0"/>
      <w:marTop w:val="0"/>
      <w:marBottom w:val="0"/>
      <w:divBdr>
        <w:top w:val="none" w:sz="0" w:space="0" w:color="auto"/>
        <w:left w:val="none" w:sz="0" w:space="0" w:color="auto"/>
        <w:bottom w:val="none" w:sz="0" w:space="0" w:color="auto"/>
        <w:right w:val="none" w:sz="0" w:space="0" w:color="auto"/>
      </w:divBdr>
    </w:div>
    <w:div w:id="335962655">
      <w:bodyDiv w:val="1"/>
      <w:marLeft w:val="0"/>
      <w:marRight w:val="0"/>
      <w:marTop w:val="0"/>
      <w:marBottom w:val="0"/>
      <w:divBdr>
        <w:top w:val="none" w:sz="0" w:space="0" w:color="auto"/>
        <w:left w:val="none" w:sz="0" w:space="0" w:color="auto"/>
        <w:bottom w:val="none" w:sz="0" w:space="0" w:color="auto"/>
        <w:right w:val="none" w:sz="0" w:space="0" w:color="auto"/>
      </w:divBdr>
    </w:div>
    <w:div w:id="339547982">
      <w:bodyDiv w:val="1"/>
      <w:marLeft w:val="0"/>
      <w:marRight w:val="0"/>
      <w:marTop w:val="0"/>
      <w:marBottom w:val="0"/>
      <w:divBdr>
        <w:top w:val="none" w:sz="0" w:space="0" w:color="auto"/>
        <w:left w:val="none" w:sz="0" w:space="0" w:color="auto"/>
        <w:bottom w:val="none" w:sz="0" w:space="0" w:color="auto"/>
        <w:right w:val="none" w:sz="0" w:space="0" w:color="auto"/>
      </w:divBdr>
    </w:div>
    <w:div w:id="339620793">
      <w:bodyDiv w:val="1"/>
      <w:marLeft w:val="0"/>
      <w:marRight w:val="0"/>
      <w:marTop w:val="0"/>
      <w:marBottom w:val="0"/>
      <w:divBdr>
        <w:top w:val="none" w:sz="0" w:space="0" w:color="auto"/>
        <w:left w:val="none" w:sz="0" w:space="0" w:color="auto"/>
        <w:bottom w:val="none" w:sz="0" w:space="0" w:color="auto"/>
        <w:right w:val="none" w:sz="0" w:space="0" w:color="auto"/>
      </w:divBdr>
    </w:div>
    <w:div w:id="341472425">
      <w:bodyDiv w:val="1"/>
      <w:marLeft w:val="0"/>
      <w:marRight w:val="0"/>
      <w:marTop w:val="0"/>
      <w:marBottom w:val="0"/>
      <w:divBdr>
        <w:top w:val="none" w:sz="0" w:space="0" w:color="auto"/>
        <w:left w:val="none" w:sz="0" w:space="0" w:color="auto"/>
        <w:bottom w:val="none" w:sz="0" w:space="0" w:color="auto"/>
        <w:right w:val="none" w:sz="0" w:space="0" w:color="auto"/>
      </w:divBdr>
    </w:div>
    <w:div w:id="341589831">
      <w:bodyDiv w:val="1"/>
      <w:marLeft w:val="0"/>
      <w:marRight w:val="0"/>
      <w:marTop w:val="0"/>
      <w:marBottom w:val="0"/>
      <w:divBdr>
        <w:top w:val="none" w:sz="0" w:space="0" w:color="auto"/>
        <w:left w:val="none" w:sz="0" w:space="0" w:color="auto"/>
        <w:bottom w:val="none" w:sz="0" w:space="0" w:color="auto"/>
        <w:right w:val="none" w:sz="0" w:space="0" w:color="auto"/>
      </w:divBdr>
    </w:div>
    <w:div w:id="341787340">
      <w:bodyDiv w:val="1"/>
      <w:marLeft w:val="0"/>
      <w:marRight w:val="0"/>
      <w:marTop w:val="0"/>
      <w:marBottom w:val="0"/>
      <w:divBdr>
        <w:top w:val="none" w:sz="0" w:space="0" w:color="auto"/>
        <w:left w:val="none" w:sz="0" w:space="0" w:color="auto"/>
        <w:bottom w:val="none" w:sz="0" w:space="0" w:color="auto"/>
        <w:right w:val="none" w:sz="0" w:space="0" w:color="auto"/>
      </w:divBdr>
    </w:div>
    <w:div w:id="344215411">
      <w:bodyDiv w:val="1"/>
      <w:marLeft w:val="0"/>
      <w:marRight w:val="0"/>
      <w:marTop w:val="0"/>
      <w:marBottom w:val="0"/>
      <w:divBdr>
        <w:top w:val="none" w:sz="0" w:space="0" w:color="auto"/>
        <w:left w:val="none" w:sz="0" w:space="0" w:color="auto"/>
        <w:bottom w:val="none" w:sz="0" w:space="0" w:color="auto"/>
        <w:right w:val="none" w:sz="0" w:space="0" w:color="auto"/>
      </w:divBdr>
    </w:div>
    <w:div w:id="344674539">
      <w:bodyDiv w:val="1"/>
      <w:marLeft w:val="0"/>
      <w:marRight w:val="0"/>
      <w:marTop w:val="0"/>
      <w:marBottom w:val="0"/>
      <w:divBdr>
        <w:top w:val="none" w:sz="0" w:space="0" w:color="auto"/>
        <w:left w:val="none" w:sz="0" w:space="0" w:color="auto"/>
        <w:bottom w:val="none" w:sz="0" w:space="0" w:color="auto"/>
        <w:right w:val="none" w:sz="0" w:space="0" w:color="auto"/>
      </w:divBdr>
    </w:div>
    <w:div w:id="345980106">
      <w:bodyDiv w:val="1"/>
      <w:marLeft w:val="0"/>
      <w:marRight w:val="0"/>
      <w:marTop w:val="0"/>
      <w:marBottom w:val="0"/>
      <w:divBdr>
        <w:top w:val="none" w:sz="0" w:space="0" w:color="auto"/>
        <w:left w:val="none" w:sz="0" w:space="0" w:color="auto"/>
        <w:bottom w:val="none" w:sz="0" w:space="0" w:color="auto"/>
        <w:right w:val="none" w:sz="0" w:space="0" w:color="auto"/>
      </w:divBdr>
    </w:div>
    <w:div w:id="348684007">
      <w:bodyDiv w:val="1"/>
      <w:marLeft w:val="0"/>
      <w:marRight w:val="0"/>
      <w:marTop w:val="0"/>
      <w:marBottom w:val="0"/>
      <w:divBdr>
        <w:top w:val="none" w:sz="0" w:space="0" w:color="auto"/>
        <w:left w:val="none" w:sz="0" w:space="0" w:color="auto"/>
        <w:bottom w:val="none" w:sz="0" w:space="0" w:color="auto"/>
        <w:right w:val="none" w:sz="0" w:space="0" w:color="auto"/>
      </w:divBdr>
    </w:div>
    <w:div w:id="351802977">
      <w:bodyDiv w:val="1"/>
      <w:marLeft w:val="0"/>
      <w:marRight w:val="0"/>
      <w:marTop w:val="0"/>
      <w:marBottom w:val="0"/>
      <w:divBdr>
        <w:top w:val="none" w:sz="0" w:space="0" w:color="auto"/>
        <w:left w:val="none" w:sz="0" w:space="0" w:color="auto"/>
        <w:bottom w:val="none" w:sz="0" w:space="0" w:color="auto"/>
        <w:right w:val="none" w:sz="0" w:space="0" w:color="auto"/>
      </w:divBdr>
    </w:div>
    <w:div w:id="352656157">
      <w:bodyDiv w:val="1"/>
      <w:marLeft w:val="0"/>
      <w:marRight w:val="0"/>
      <w:marTop w:val="0"/>
      <w:marBottom w:val="0"/>
      <w:divBdr>
        <w:top w:val="none" w:sz="0" w:space="0" w:color="auto"/>
        <w:left w:val="none" w:sz="0" w:space="0" w:color="auto"/>
        <w:bottom w:val="none" w:sz="0" w:space="0" w:color="auto"/>
        <w:right w:val="none" w:sz="0" w:space="0" w:color="auto"/>
      </w:divBdr>
    </w:div>
    <w:div w:id="353001914">
      <w:bodyDiv w:val="1"/>
      <w:marLeft w:val="0"/>
      <w:marRight w:val="0"/>
      <w:marTop w:val="0"/>
      <w:marBottom w:val="0"/>
      <w:divBdr>
        <w:top w:val="none" w:sz="0" w:space="0" w:color="auto"/>
        <w:left w:val="none" w:sz="0" w:space="0" w:color="auto"/>
        <w:bottom w:val="none" w:sz="0" w:space="0" w:color="auto"/>
        <w:right w:val="none" w:sz="0" w:space="0" w:color="auto"/>
      </w:divBdr>
    </w:div>
    <w:div w:id="358899182">
      <w:bodyDiv w:val="1"/>
      <w:marLeft w:val="0"/>
      <w:marRight w:val="0"/>
      <w:marTop w:val="0"/>
      <w:marBottom w:val="0"/>
      <w:divBdr>
        <w:top w:val="none" w:sz="0" w:space="0" w:color="auto"/>
        <w:left w:val="none" w:sz="0" w:space="0" w:color="auto"/>
        <w:bottom w:val="none" w:sz="0" w:space="0" w:color="auto"/>
        <w:right w:val="none" w:sz="0" w:space="0" w:color="auto"/>
      </w:divBdr>
    </w:div>
    <w:div w:id="360711528">
      <w:bodyDiv w:val="1"/>
      <w:marLeft w:val="0"/>
      <w:marRight w:val="0"/>
      <w:marTop w:val="0"/>
      <w:marBottom w:val="0"/>
      <w:divBdr>
        <w:top w:val="none" w:sz="0" w:space="0" w:color="auto"/>
        <w:left w:val="none" w:sz="0" w:space="0" w:color="auto"/>
        <w:bottom w:val="none" w:sz="0" w:space="0" w:color="auto"/>
        <w:right w:val="none" w:sz="0" w:space="0" w:color="auto"/>
      </w:divBdr>
    </w:div>
    <w:div w:id="361366040">
      <w:bodyDiv w:val="1"/>
      <w:marLeft w:val="0"/>
      <w:marRight w:val="0"/>
      <w:marTop w:val="0"/>
      <w:marBottom w:val="0"/>
      <w:divBdr>
        <w:top w:val="none" w:sz="0" w:space="0" w:color="auto"/>
        <w:left w:val="none" w:sz="0" w:space="0" w:color="auto"/>
        <w:bottom w:val="none" w:sz="0" w:space="0" w:color="auto"/>
        <w:right w:val="none" w:sz="0" w:space="0" w:color="auto"/>
      </w:divBdr>
    </w:div>
    <w:div w:id="363293710">
      <w:bodyDiv w:val="1"/>
      <w:marLeft w:val="0"/>
      <w:marRight w:val="0"/>
      <w:marTop w:val="0"/>
      <w:marBottom w:val="0"/>
      <w:divBdr>
        <w:top w:val="none" w:sz="0" w:space="0" w:color="auto"/>
        <w:left w:val="none" w:sz="0" w:space="0" w:color="auto"/>
        <w:bottom w:val="none" w:sz="0" w:space="0" w:color="auto"/>
        <w:right w:val="none" w:sz="0" w:space="0" w:color="auto"/>
      </w:divBdr>
    </w:div>
    <w:div w:id="363944948">
      <w:bodyDiv w:val="1"/>
      <w:marLeft w:val="0"/>
      <w:marRight w:val="0"/>
      <w:marTop w:val="0"/>
      <w:marBottom w:val="0"/>
      <w:divBdr>
        <w:top w:val="none" w:sz="0" w:space="0" w:color="auto"/>
        <w:left w:val="none" w:sz="0" w:space="0" w:color="auto"/>
        <w:bottom w:val="none" w:sz="0" w:space="0" w:color="auto"/>
        <w:right w:val="none" w:sz="0" w:space="0" w:color="auto"/>
      </w:divBdr>
    </w:div>
    <w:div w:id="367800308">
      <w:bodyDiv w:val="1"/>
      <w:marLeft w:val="0"/>
      <w:marRight w:val="0"/>
      <w:marTop w:val="0"/>
      <w:marBottom w:val="0"/>
      <w:divBdr>
        <w:top w:val="none" w:sz="0" w:space="0" w:color="auto"/>
        <w:left w:val="none" w:sz="0" w:space="0" w:color="auto"/>
        <w:bottom w:val="none" w:sz="0" w:space="0" w:color="auto"/>
        <w:right w:val="none" w:sz="0" w:space="0" w:color="auto"/>
      </w:divBdr>
    </w:div>
    <w:div w:id="368336379">
      <w:bodyDiv w:val="1"/>
      <w:marLeft w:val="0"/>
      <w:marRight w:val="0"/>
      <w:marTop w:val="0"/>
      <w:marBottom w:val="0"/>
      <w:divBdr>
        <w:top w:val="none" w:sz="0" w:space="0" w:color="auto"/>
        <w:left w:val="none" w:sz="0" w:space="0" w:color="auto"/>
        <w:bottom w:val="none" w:sz="0" w:space="0" w:color="auto"/>
        <w:right w:val="none" w:sz="0" w:space="0" w:color="auto"/>
      </w:divBdr>
    </w:div>
    <w:div w:id="368846059">
      <w:bodyDiv w:val="1"/>
      <w:marLeft w:val="0"/>
      <w:marRight w:val="0"/>
      <w:marTop w:val="0"/>
      <w:marBottom w:val="0"/>
      <w:divBdr>
        <w:top w:val="none" w:sz="0" w:space="0" w:color="auto"/>
        <w:left w:val="none" w:sz="0" w:space="0" w:color="auto"/>
        <w:bottom w:val="none" w:sz="0" w:space="0" w:color="auto"/>
        <w:right w:val="none" w:sz="0" w:space="0" w:color="auto"/>
      </w:divBdr>
    </w:div>
    <w:div w:id="368917216">
      <w:bodyDiv w:val="1"/>
      <w:marLeft w:val="0"/>
      <w:marRight w:val="0"/>
      <w:marTop w:val="0"/>
      <w:marBottom w:val="0"/>
      <w:divBdr>
        <w:top w:val="none" w:sz="0" w:space="0" w:color="auto"/>
        <w:left w:val="none" w:sz="0" w:space="0" w:color="auto"/>
        <w:bottom w:val="none" w:sz="0" w:space="0" w:color="auto"/>
        <w:right w:val="none" w:sz="0" w:space="0" w:color="auto"/>
      </w:divBdr>
    </w:div>
    <w:div w:id="371421804">
      <w:bodyDiv w:val="1"/>
      <w:marLeft w:val="0"/>
      <w:marRight w:val="0"/>
      <w:marTop w:val="0"/>
      <w:marBottom w:val="0"/>
      <w:divBdr>
        <w:top w:val="none" w:sz="0" w:space="0" w:color="auto"/>
        <w:left w:val="none" w:sz="0" w:space="0" w:color="auto"/>
        <w:bottom w:val="none" w:sz="0" w:space="0" w:color="auto"/>
        <w:right w:val="none" w:sz="0" w:space="0" w:color="auto"/>
      </w:divBdr>
    </w:div>
    <w:div w:id="371541215">
      <w:bodyDiv w:val="1"/>
      <w:marLeft w:val="0"/>
      <w:marRight w:val="0"/>
      <w:marTop w:val="0"/>
      <w:marBottom w:val="0"/>
      <w:divBdr>
        <w:top w:val="none" w:sz="0" w:space="0" w:color="auto"/>
        <w:left w:val="none" w:sz="0" w:space="0" w:color="auto"/>
        <w:bottom w:val="none" w:sz="0" w:space="0" w:color="auto"/>
        <w:right w:val="none" w:sz="0" w:space="0" w:color="auto"/>
      </w:divBdr>
    </w:div>
    <w:div w:id="372847381">
      <w:bodyDiv w:val="1"/>
      <w:marLeft w:val="0"/>
      <w:marRight w:val="0"/>
      <w:marTop w:val="0"/>
      <w:marBottom w:val="0"/>
      <w:divBdr>
        <w:top w:val="none" w:sz="0" w:space="0" w:color="auto"/>
        <w:left w:val="none" w:sz="0" w:space="0" w:color="auto"/>
        <w:bottom w:val="none" w:sz="0" w:space="0" w:color="auto"/>
        <w:right w:val="none" w:sz="0" w:space="0" w:color="auto"/>
      </w:divBdr>
    </w:div>
    <w:div w:id="373506687">
      <w:bodyDiv w:val="1"/>
      <w:marLeft w:val="0"/>
      <w:marRight w:val="0"/>
      <w:marTop w:val="0"/>
      <w:marBottom w:val="0"/>
      <w:divBdr>
        <w:top w:val="none" w:sz="0" w:space="0" w:color="auto"/>
        <w:left w:val="none" w:sz="0" w:space="0" w:color="auto"/>
        <w:bottom w:val="none" w:sz="0" w:space="0" w:color="auto"/>
        <w:right w:val="none" w:sz="0" w:space="0" w:color="auto"/>
      </w:divBdr>
    </w:div>
    <w:div w:id="374085183">
      <w:bodyDiv w:val="1"/>
      <w:marLeft w:val="0"/>
      <w:marRight w:val="0"/>
      <w:marTop w:val="0"/>
      <w:marBottom w:val="0"/>
      <w:divBdr>
        <w:top w:val="none" w:sz="0" w:space="0" w:color="auto"/>
        <w:left w:val="none" w:sz="0" w:space="0" w:color="auto"/>
        <w:bottom w:val="none" w:sz="0" w:space="0" w:color="auto"/>
        <w:right w:val="none" w:sz="0" w:space="0" w:color="auto"/>
      </w:divBdr>
    </w:div>
    <w:div w:id="376976134">
      <w:bodyDiv w:val="1"/>
      <w:marLeft w:val="0"/>
      <w:marRight w:val="0"/>
      <w:marTop w:val="0"/>
      <w:marBottom w:val="0"/>
      <w:divBdr>
        <w:top w:val="none" w:sz="0" w:space="0" w:color="auto"/>
        <w:left w:val="none" w:sz="0" w:space="0" w:color="auto"/>
        <w:bottom w:val="none" w:sz="0" w:space="0" w:color="auto"/>
        <w:right w:val="none" w:sz="0" w:space="0" w:color="auto"/>
      </w:divBdr>
    </w:div>
    <w:div w:id="380903179">
      <w:bodyDiv w:val="1"/>
      <w:marLeft w:val="0"/>
      <w:marRight w:val="0"/>
      <w:marTop w:val="0"/>
      <w:marBottom w:val="0"/>
      <w:divBdr>
        <w:top w:val="none" w:sz="0" w:space="0" w:color="auto"/>
        <w:left w:val="none" w:sz="0" w:space="0" w:color="auto"/>
        <w:bottom w:val="none" w:sz="0" w:space="0" w:color="auto"/>
        <w:right w:val="none" w:sz="0" w:space="0" w:color="auto"/>
      </w:divBdr>
    </w:div>
    <w:div w:id="383601798">
      <w:bodyDiv w:val="1"/>
      <w:marLeft w:val="0"/>
      <w:marRight w:val="0"/>
      <w:marTop w:val="0"/>
      <w:marBottom w:val="0"/>
      <w:divBdr>
        <w:top w:val="none" w:sz="0" w:space="0" w:color="auto"/>
        <w:left w:val="none" w:sz="0" w:space="0" w:color="auto"/>
        <w:bottom w:val="none" w:sz="0" w:space="0" w:color="auto"/>
        <w:right w:val="none" w:sz="0" w:space="0" w:color="auto"/>
      </w:divBdr>
    </w:div>
    <w:div w:id="384717018">
      <w:bodyDiv w:val="1"/>
      <w:marLeft w:val="0"/>
      <w:marRight w:val="0"/>
      <w:marTop w:val="0"/>
      <w:marBottom w:val="0"/>
      <w:divBdr>
        <w:top w:val="none" w:sz="0" w:space="0" w:color="auto"/>
        <w:left w:val="none" w:sz="0" w:space="0" w:color="auto"/>
        <w:bottom w:val="none" w:sz="0" w:space="0" w:color="auto"/>
        <w:right w:val="none" w:sz="0" w:space="0" w:color="auto"/>
      </w:divBdr>
    </w:div>
    <w:div w:id="389113109">
      <w:bodyDiv w:val="1"/>
      <w:marLeft w:val="0"/>
      <w:marRight w:val="0"/>
      <w:marTop w:val="0"/>
      <w:marBottom w:val="0"/>
      <w:divBdr>
        <w:top w:val="none" w:sz="0" w:space="0" w:color="auto"/>
        <w:left w:val="none" w:sz="0" w:space="0" w:color="auto"/>
        <w:bottom w:val="none" w:sz="0" w:space="0" w:color="auto"/>
        <w:right w:val="none" w:sz="0" w:space="0" w:color="auto"/>
      </w:divBdr>
    </w:div>
    <w:div w:id="389884612">
      <w:bodyDiv w:val="1"/>
      <w:marLeft w:val="0"/>
      <w:marRight w:val="0"/>
      <w:marTop w:val="0"/>
      <w:marBottom w:val="0"/>
      <w:divBdr>
        <w:top w:val="none" w:sz="0" w:space="0" w:color="auto"/>
        <w:left w:val="none" w:sz="0" w:space="0" w:color="auto"/>
        <w:bottom w:val="none" w:sz="0" w:space="0" w:color="auto"/>
        <w:right w:val="none" w:sz="0" w:space="0" w:color="auto"/>
      </w:divBdr>
    </w:div>
    <w:div w:id="390078580">
      <w:bodyDiv w:val="1"/>
      <w:marLeft w:val="0"/>
      <w:marRight w:val="0"/>
      <w:marTop w:val="0"/>
      <w:marBottom w:val="0"/>
      <w:divBdr>
        <w:top w:val="none" w:sz="0" w:space="0" w:color="auto"/>
        <w:left w:val="none" w:sz="0" w:space="0" w:color="auto"/>
        <w:bottom w:val="none" w:sz="0" w:space="0" w:color="auto"/>
        <w:right w:val="none" w:sz="0" w:space="0" w:color="auto"/>
      </w:divBdr>
    </w:div>
    <w:div w:id="393896090">
      <w:bodyDiv w:val="1"/>
      <w:marLeft w:val="0"/>
      <w:marRight w:val="0"/>
      <w:marTop w:val="0"/>
      <w:marBottom w:val="0"/>
      <w:divBdr>
        <w:top w:val="none" w:sz="0" w:space="0" w:color="auto"/>
        <w:left w:val="none" w:sz="0" w:space="0" w:color="auto"/>
        <w:bottom w:val="none" w:sz="0" w:space="0" w:color="auto"/>
        <w:right w:val="none" w:sz="0" w:space="0" w:color="auto"/>
      </w:divBdr>
    </w:div>
    <w:div w:id="395513932">
      <w:bodyDiv w:val="1"/>
      <w:marLeft w:val="0"/>
      <w:marRight w:val="0"/>
      <w:marTop w:val="0"/>
      <w:marBottom w:val="0"/>
      <w:divBdr>
        <w:top w:val="none" w:sz="0" w:space="0" w:color="auto"/>
        <w:left w:val="none" w:sz="0" w:space="0" w:color="auto"/>
        <w:bottom w:val="none" w:sz="0" w:space="0" w:color="auto"/>
        <w:right w:val="none" w:sz="0" w:space="0" w:color="auto"/>
      </w:divBdr>
    </w:div>
    <w:div w:id="397021633">
      <w:bodyDiv w:val="1"/>
      <w:marLeft w:val="0"/>
      <w:marRight w:val="0"/>
      <w:marTop w:val="0"/>
      <w:marBottom w:val="0"/>
      <w:divBdr>
        <w:top w:val="none" w:sz="0" w:space="0" w:color="auto"/>
        <w:left w:val="none" w:sz="0" w:space="0" w:color="auto"/>
        <w:bottom w:val="none" w:sz="0" w:space="0" w:color="auto"/>
        <w:right w:val="none" w:sz="0" w:space="0" w:color="auto"/>
      </w:divBdr>
    </w:div>
    <w:div w:id="398096411">
      <w:bodyDiv w:val="1"/>
      <w:marLeft w:val="0"/>
      <w:marRight w:val="0"/>
      <w:marTop w:val="0"/>
      <w:marBottom w:val="0"/>
      <w:divBdr>
        <w:top w:val="none" w:sz="0" w:space="0" w:color="auto"/>
        <w:left w:val="none" w:sz="0" w:space="0" w:color="auto"/>
        <w:bottom w:val="none" w:sz="0" w:space="0" w:color="auto"/>
        <w:right w:val="none" w:sz="0" w:space="0" w:color="auto"/>
      </w:divBdr>
    </w:div>
    <w:div w:id="399911973">
      <w:bodyDiv w:val="1"/>
      <w:marLeft w:val="0"/>
      <w:marRight w:val="0"/>
      <w:marTop w:val="0"/>
      <w:marBottom w:val="0"/>
      <w:divBdr>
        <w:top w:val="none" w:sz="0" w:space="0" w:color="auto"/>
        <w:left w:val="none" w:sz="0" w:space="0" w:color="auto"/>
        <w:bottom w:val="none" w:sz="0" w:space="0" w:color="auto"/>
        <w:right w:val="none" w:sz="0" w:space="0" w:color="auto"/>
      </w:divBdr>
    </w:div>
    <w:div w:id="401372489">
      <w:bodyDiv w:val="1"/>
      <w:marLeft w:val="0"/>
      <w:marRight w:val="0"/>
      <w:marTop w:val="0"/>
      <w:marBottom w:val="0"/>
      <w:divBdr>
        <w:top w:val="none" w:sz="0" w:space="0" w:color="auto"/>
        <w:left w:val="none" w:sz="0" w:space="0" w:color="auto"/>
        <w:bottom w:val="none" w:sz="0" w:space="0" w:color="auto"/>
        <w:right w:val="none" w:sz="0" w:space="0" w:color="auto"/>
      </w:divBdr>
    </w:div>
    <w:div w:id="402412498">
      <w:bodyDiv w:val="1"/>
      <w:marLeft w:val="0"/>
      <w:marRight w:val="0"/>
      <w:marTop w:val="0"/>
      <w:marBottom w:val="0"/>
      <w:divBdr>
        <w:top w:val="none" w:sz="0" w:space="0" w:color="auto"/>
        <w:left w:val="none" w:sz="0" w:space="0" w:color="auto"/>
        <w:bottom w:val="none" w:sz="0" w:space="0" w:color="auto"/>
        <w:right w:val="none" w:sz="0" w:space="0" w:color="auto"/>
      </w:divBdr>
    </w:div>
    <w:div w:id="402484297">
      <w:bodyDiv w:val="1"/>
      <w:marLeft w:val="0"/>
      <w:marRight w:val="0"/>
      <w:marTop w:val="0"/>
      <w:marBottom w:val="0"/>
      <w:divBdr>
        <w:top w:val="none" w:sz="0" w:space="0" w:color="auto"/>
        <w:left w:val="none" w:sz="0" w:space="0" w:color="auto"/>
        <w:bottom w:val="none" w:sz="0" w:space="0" w:color="auto"/>
        <w:right w:val="none" w:sz="0" w:space="0" w:color="auto"/>
      </w:divBdr>
    </w:div>
    <w:div w:id="404424688">
      <w:bodyDiv w:val="1"/>
      <w:marLeft w:val="0"/>
      <w:marRight w:val="0"/>
      <w:marTop w:val="0"/>
      <w:marBottom w:val="0"/>
      <w:divBdr>
        <w:top w:val="none" w:sz="0" w:space="0" w:color="auto"/>
        <w:left w:val="none" w:sz="0" w:space="0" w:color="auto"/>
        <w:bottom w:val="none" w:sz="0" w:space="0" w:color="auto"/>
        <w:right w:val="none" w:sz="0" w:space="0" w:color="auto"/>
      </w:divBdr>
    </w:div>
    <w:div w:id="404642922">
      <w:bodyDiv w:val="1"/>
      <w:marLeft w:val="0"/>
      <w:marRight w:val="0"/>
      <w:marTop w:val="0"/>
      <w:marBottom w:val="0"/>
      <w:divBdr>
        <w:top w:val="none" w:sz="0" w:space="0" w:color="auto"/>
        <w:left w:val="none" w:sz="0" w:space="0" w:color="auto"/>
        <w:bottom w:val="none" w:sz="0" w:space="0" w:color="auto"/>
        <w:right w:val="none" w:sz="0" w:space="0" w:color="auto"/>
      </w:divBdr>
    </w:div>
    <w:div w:id="404913577">
      <w:bodyDiv w:val="1"/>
      <w:marLeft w:val="0"/>
      <w:marRight w:val="0"/>
      <w:marTop w:val="0"/>
      <w:marBottom w:val="0"/>
      <w:divBdr>
        <w:top w:val="none" w:sz="0" w:space="0" w:color="auto"/>
        <w:left w:val="none" w:sz="0" w:space="0" w:color="auto"/>
        <w:bottom w:val="none" w:sz="0" w:space="0" w:color="auto"/>
        <w:right w:val="none" w:sz="0" w:space="0" w:color="auto"/>
      </w:divBdr>
    </w:div>
    <w:div w:id="407920651">
      <w:bodyDiv w:val="1"/>
      <w:marLeft w:val="0"/>
      <w:marRight w:val="0"/>
      <w:marTop w:val="0"/>
      <w:marBottom w:val="0"/>
      <w:divBdr>
        <w:top w:val="none" w:sz="0" w:space="0" w:color="auto"/>
        <w:left w:val="none" w:sz="0" w:space="0" w:color="auto"/>
        <w:bottom w:val="none" w:sz="0" w:space="0" w:color="auto"/>
        <w:right w:val="none" w:sz="0" w:space="0" w:color="auto"/>
      </w:divBdr>
    </w:div>
    <w:div w:id="407966044">
      <w:bodyDiv w:val="1"/>
      <w:marLeft w:val="0"/>
      <w:marRight w:val="0"/>
      <w:marTop w:val="0"/>
      <w:marBottom w:val="0"/>
      <w:divBdr>
        <w:top w:val="none" w:sz="0" w:space="0" w:color="auto"/>
        <w:left w:val="none" w:sz="0" w:space="0" w:color="auto"/>
        <w:bottom w:val="none" w:sz="0" w:space="0" w:color="auto"/>
        <w:right w:val="none" w:sz="0" w:space="0" w:color="auto"/>
      </w:divBdr>
    </w:div>
    <w:div w:id="408038753">
      <w:bodyDiv w:val="1"/>
      <w:marLeft w:val="0"/>
      <w:marRight w:val="0"/>
      <w:marTop w:val="0"/>
      <w:marBottom w:val="0"/>
      <w:divBdr>
        <w:top w:val="none" w:sz="0" w:space="0" w:color="auto"/>
        <w:left w:val="none" w:sz="0" w:space="0" w:color="auto"/>
        <w:bottom w:val="none" w:sz="0" w:space="0" w:color="auto"/>
        <w:right w:val="none" w:sz="0" w:space="0" w:color="auto"/>
      </w:divBdr>
    </w:div>
    <w:div w:id="408239299">
      <w:bodyDiv w:val="1"/>
      <w:marLeft w:val="0"/>
      <w:marRight w:val="0"/>
      <w:marTop w:val="0"/>
      <w:marBottom w:val="0"/>
      <w:divBdr>
        <w:top w:val="none" w:sz="0" w:space="0" w:color="auto"/>
        <w:left w:val="none" w:sz="0" w:space="0" w:color="auto"/>
        <w:bottom w:val="none" w:sz="0" w:space="0" w:color="auto"/>
        <w:right w:val="none" w:sz="0" w:space="0" w:color="auto"/>
      </w:divBdr>
    </w:div>
    <w:div w:id="411126866">
      <w:bodyDiv w:val="1"/>
      <w:marLeft w:val="0"/>
      <w:marRight w:val="0"/>
      <w:marTop w:val="0"/>
      <w:marBottom w:val="0"/>
      <w:divBdr>
        <w:top w:val="none" w:sz="0" w:space="0" w:color="auto"/>
        <w:left w:val="none" w:sz="0" w:space="0" w:color="auto"/>
        <w:bottom w:val="none" w:sz="0" w:space="0" w:color="auto"/>
        <w:right w:val="none" w:sz="0" w:space="0" w:color="auto"/>
      </w:divBdr>
    </w:div>
    <w:div w:id="413354199">
      <w:bodyDiv w:val="1"/>
      <w:marLeft w:val="0"/>
      <w:marRight w:val="0"/>
      <w:marTop w:val="0"/>
      <w:marBottom w:val="0"/>
      <w:divBdr>
        <w:top w:val="none" w:sz="0" w:space="0" w:color="auto"/>
        <w:left w:val="none" w:sz="0" w:space="0" w:color="auto"/>
        <w:bottom w:val="none" w:sz="0" w:space="0" w:color="auto"/>
        <w:right w:val="none" w:sz="0" w:space="0" w:color="auto"/>
      </w:divBdr>
    </w:div>
    <w:div w:id="419178408">
      <w:bodyDiv w:val="1"/>
      <w:marLeft w:val="0"/>
      <w:marRight w:val="0"/>
      <w:marTop w:val="0"/>
      <w:marBottom w:val="0"/>
      <w:divBdr>
        <w:top w:val="none" w:sz="0" w:space="0" w:color="auto"/>
        <w:left w:val="none" w:sz="0" w:space="0" w:color="auto"/>
        <w:bottom w:val="none" w:sz="0" w:space="0" w:color="auto"/>
        <w:right w:val="none" w:sz="0" w:space="0" w:color="auto"/>
      </w:divBdr>
    </w:div>
    <w:div w:id="421998842">
      <w:bodyDiv w:val="1"/>
      <w:marLeft w:val="0"/>
      <w:marRight w:val="0"/>
      <w:marTop w:val="0"/>
      <w:marBottom w:val="0"/>
      <w:divBdr>
        <w:top w:val="none" w:sz="0" w:space="0" w:color="auto"/>
        <w:left w:val="none" w:sz="0" w:space="0" w:color="auto"/>
        <w:bottom w:val="none" w:sz="0" w:space="0" w:color="auto"/>
        <w:right w:val="none" w:sz="0" w:space="0" w:color="auto"/>
      </w:divBdr>
    </w:div>
    <w:div w:id="424038147">
      <w:bodyDiv w:val="1"/>
      <w:marLeft w:val="0"/>
      <w:marRight w:val="0"/>
      <w:marTop w:val="0"/>
      <w:marBottom w:val="0"/>
      <w:divBdr>
        <w:top w:val="none" w:sz="0" w:space="0" w:color="auto"/>
        <w:left w:val="none" w:sz="0" w:space="0" w:color="auto"/>
        <w:bottom w:val="none" w:sz="0" w:space="0" w:color="auto"/>
        <w:right w:val="none" w:sz="0" w:space="0" w:color="auto"/>
      </w:divBdr>
    </w:div>
    <w:div w:id="425730009">
      <w:bodyDiv w:val="1"/>
      <w:marLeft w:val="0"/>
      <w:marRight w:val="0"/>
      <w:marTop w:val="0"/>
      <w:marBottom w:val="0"/>
      <w:divBdr>
        <w:top w:val="none" w:sz="0" w:space="0" w:color="auto"/>
        <w:left w:val="none" w:sz="0" w:space="0" w:color="auto"/>
        <w:bottom w:val="none" w:sz="0" w:space="0" w:color="auto"/>
        <w:right w:val="none" w:sz="0" w:space="0" w:color="auto"/>
      </w:divBdr>
    </w:div>
    <w:div w:id="426121590">
      <w:bodyDiv w:val="1"/>
      <w:marLeft w:val="0"/>
      <w:marRight w:val="0"/>
      <w:marTop w:val="0"/>
      <w:marBottom w:val="0"/>
      <w:divBdr>
        <w:top w:val="none" w:sz="0" w:space="0" w:color="auto"/>
        <w:left w:val="none" w:sz="0" w:space="0" w:color="auto"/>
        <w:bottom w:val="none" w:sz="0" w:space="0" w:color="auto"/>
        <w:right w:val="none" w:sz="0" w:space="0" w:color="auto"/>
      </w:divBdr>
    </w:div>
    <w:div w:id="428046508">
      <w:bodyDiv w:val="1"/>
      <w:marLeft w:val="0"/>
      <w:marRight w:val="0"/>
      <w:marTop w:val="0"/>
      <w:marBottom w:val="0"/>
      <w:divBdr>
        <w:top w:val="none" w:sz="0" w:space="0" w:color="auto"/>
        <w:left w:val="none" w:sz="0" w:space="0" w:color="auto"/>
        <w:bottom w:val="none" w:sz="0" w:space="0" w:color="auto"/>
        <w:right w:val="none" w:sz="0" w:space="0" w:color="auto"/>
      </w:divBdr>
    </w:div>
    <w:div w:id="429400510">
      <w:bodyDiv w:val="1"/>
      <w:marLeft w:val="0"/>
      <w:marRight w:val="0"/>
      <w:marTop w:val="0"/>
      <w:marBottom w:val="0"/>
      <w:divBdr>
        <w:top w:val="none" w:sz="0" w:space="0" w:color="auto"/>
        <w:left w:val="none" w:sz="0" w:space="0" w:color="auto"/>
        <w:bottom w:val="none" w:sz="0" w:space="0" w:color="auto"/>
        <w:right w:val="none" w:sz="0" w:space="0" w:color="auto"/>
      </w:divBdr>
    </w:div>
    <w:div w:id="429468737">
      <w:bodyDiv w:val="1"/>
      <w:marLeft w:val="0"/>
      <w:marRight w:val="0"/>
      <w:marTop w:val="0"/>
      <w:marBottom w:val="0"/>
      <w:divBdr>
        <w:top w:val="none" w:sz="0" w:space="0" w:color="auto"/>
        <w:left w:val="none" w:sz="0" w:space="0" w:color="auto"/>
        <w:bottom w:val="none" w:sz="0" w:space="0" w:color="auto"/>
        <w:right w:val="none" w:sz="0" w:space="0" w:color="auto"/>
      </w:divBdr>
    </w:div>
    <w:div w:id="431241147">
      <w:bodyDiv w:val="1"/>
      <w:marLeft w:val="0"/>
      <w:marRight w:val="0"/>
      <w:marTop w:val="0"/>
      <w:marBottom w:val="0"/>
      <w:divBdr>
        <w:top w:val="none" w:sz="0" w:space="0" w:color="auto"/>
        <w:left w:val="none" w:sz="0" w:space="0" w:color="auto"/>
        <w:bottom w:val="none" w:sz="0" w:space="0" w:color="auto"/>
        <w:right w:val="none" w:sz="0" w:space="0" w:color="auto"/>
      </w:divBdr>
    </w:div>
    <w:div w:id="433669413">
      <w:bodyDiv w:val="1"/>
      <w:marLeft w:val="0"/>
      <w:marRight w:val="0"/>
      <w:marTop w:val="0"/>
      <w:marBottom w:val="0"/>
      <w:divBdr>
        <w:top w:val="none" w:sz="0" w:space="0" w:color="auto"/>
        <w:left w:val="none" w:sz="0" w:space="0" w:color="auto"/>
        <w:bottom w:val="none" w:sz="0" w:space="0" w:color="auto"/>
        <w:right w:val="none" w:sz="0" w:space="0" w:color="auto"/>
      </w:divBdr>
    </w:div>
    <w:div w:id="433749001">
      <w:bodyDiv w:val="1"/>
      <w:marLeft w:val="0"/>
      <w:marRight w:val="0"/>
      <w:marTop w:val="0"/>
      <w:marBottom w:val="0"/>
      <w:divBdr>
        <w:top w:val="none" w:sz="0" w:space="0" w:color="auto"/>
        <w:left w:val="none" w:sz="0" w:space="0" w:color="auto"/>
        <w:bottom w:val="none" w:sz="0" w:space="0" w:color="auto"/>
        <w:right w:val="none" w:sz="0" w:space="0" w:color="auto"/>
      </w:divBdr>
    </w:div>
    <w:div w:id="437066654">
      <w:bodyDiv w:val="1"/>
      <w:marLeft w:val="0"/>
      <w:marRight w:val="0"/>
      <w:marTop w:val="0"/>
      <w:marBottom w:val="0"/>
      <w:divBdr>
        <w:top w:val="none" w:sz="0" w:space="0" w:color="auto"/>
        <w:left w:val="none" w:sz="0" w:space="0" w:color="auto"/>
        <w:bottom w:val="none" w:sz="0" w:space="0" w:color="auto"/>
        <w:right w:val="none" w:sz="0" w:space="0" w:color="auto"/>
      </w:divBdr>
    </w:div>
    <w:div w:id="438796098">
      <w:bodyDiv w:val="1"/>
      <w:marLeft w:val="0"/>
      <w:marRight w:val="0"/>
      <w:marTop w:val="0"/>
      <w:marBottom w:val="0"/>
      <w:divBdr>
        <w:top w:val="none" w:sz="0" w:space="0" w:color="auto"/>
        <w:left w:val="none" w:sz="0" w:space="0" w:color="auto"/>
        <w:bottom w:val="none" w:sz="0" w:space="0" w:color="auto"/>
        <w:right w:val="none" w:sz="0" w:space="0" w:color="auto"/>
      </w:divBdr>
    </w:div>
    <w:div w:id="441652098">
      <w:bodyDiv w:val="1"/>
      <w:marLeft w:val="0"/>
      <w:marRight w:val="0"/>
      <w:marTop w:val="0"/>
      <w:marBottom w:val="0"/>
      <w:divBdr>
        <w:top w:val="none" w:sz="0" w:space="0" w:color="auto"/>
        <w:left w:val="none" w:sz="0" w:space="0" w:color="auto"/>
        <w:bottom w:val="none" w:sz="0" w:space="0" w:color="auto"/>
        <w:right w:val="none" w:sz="0" w:space="0" w:color="auto"/>
      </w:divBdr>
    </w:div>
    <w:div w:id="443304577">
      <w:bodyDiv w:val="1"/>
      <w:marLeft w:val="0"/>
      <w:marRight w:val="0"/>
      <w:marTop w:val="0"/>
      <w:marBottom w:val="0"/>
      <w:divBdr>
        <w:top w:val="none" w:sz="0" w:space="0" w:color="auto"/>
        <w:left w:val="none" w:sz="0" w:space="0" w:color="auto"/>
        <w:bottom w:val="none" w:sz="0" w:space="0" w:color="auto"/>
        <w:right w:val="none" w:sz="0" w:space="0" w:color="auto"/>
      </w:divBdr>
    </w:div>
    <w:div w:id="453599551">
      <w:bodyDiv w:val="1"/>
      <w:marLeft w:val="0"/>
      <w:marRight w:val="0"/>
      <w:marTop w:val="0"/>
      <w:marBottom w:val="0"/>
      <w:divBdr>
        <w:top w:val="none" w:sz="0" w:space="0" w:color="auto"/>
        <w:left w:val="none" w:sz="0" w:space="0" w:color="auto"/>
        <w:bottom w:val="none" w:sz="0" w:space="0" w:color="auto"/>
        <w:right w:val="none" w:sz="0" w:space="0" w:color="auto"/>
      </w:divBdr>
    </w:div>
    <w:div w:id="453720421">
      <w:bodyDiv w:val="1"/>
      <w:marLeft w:val="0"/>
      <w:marRight w:val="0"/>
      <w:marTop w:val="0"/>
      <w:marBottom w:val="0"/>
      <w:divBdr>
        <w:top w:val="none" w:sz="0" w:space="0" w:color="auto"/>
        <w:left w:val="none" w:sz="0" w:space="0" w:color="auto"/>
        <w:bottom w:val="none" w:sz="0" w:space="0" w:color="auto"/>
        <w:right w:val="none" w:sz="0" w:space="0" w:color="auto"/>
      </w:divBdr>
    </w:div>
    <w:div w:id="454637674">
      <w:bodyDiv w:val="1"/>
      <w:marLeft w:val="0"/>
      <w:marRight w:val="0"/>
      <w:marTop w:val="0"/>
      <w:marBottom w:val="0"/>
      <w:divBdr>
        <w:top w:val="none" w:sz="0" w:space="0" w:color="auto"/>
        <w:left w:val="none" w:sz="0" w:space="0" w:color="auto"/>
        <w:bottom w:val="none" w:sz="0" w:space="0" w:color="auto"/>
        <w:right w:val="none" w:sz="0" w:space="0" w:color="auto"/>
      </w:divBdr>
    </w:div>
    <w:div w:id="456219300">
      <w:bodyDiv w:val="1"/>
      <w:marLeft w:val="0"/>
      <w:marRight w:val="0"/>
      <w:marTop w:val="0"/>
      <w:marBottom w:val="0"/>
      <w:divBdr>
        <w:top w:val="none" w:sz="0" w:space="0" w:color="auto"/>
        <w:left w:val="none" w:sz="0" w:space="0" w:color="auto"/>
        <w:bottom w:val="none" w:sz="0" w:space="0" w:color="auto"/>
        <w:right w:val="none" w:sz="0" w:space="0" w:color="auto"/>
      </w:divBdr>
    </w:div>
    <w:div w:id="456725735">
      <w:bodyDiv w:val="1"/>
      <w:marLeft w:val="0"/>
      <w:marRight w:val="0"/>
      <w:marTop w:val="0"/>
      <w:marBottom w:val="0"/>
      <w:divBdr>
        <w:top w:val="none" w:sz="0" w:space="0" w:color="auto"/>
        <w:left w:val="none" w:sz="0" w:space="0" w:color="auto"/>
        <w:bottom w:val="none" w:sz="0" w:space="0" w:color="auto"/>
        <w:right w:val="none" w:sz="0" w:space="0" w:color="auto"/>
      </w:divBdr>
    </w:div>
    <w:div w:id="460154440">
      <w:bodyDiv w:val="1"/>
      <w:marLeft w:val="0"/>
      <w:marRight w:val="0"/>
      <w:marTop w:val="0"/>
      <w:marBottom w:val="0"/>
      <w:divBdr>
        <w:top w:val="none" w:sz="0" w:space="0" w:color="auto"/>
        <w:left w:val="none" w:sz="0" w:space="0" w:color="auto"/>
        <w:bottom w:val="none" w:sz="0" w:space="0" w:color="auto"/>
        <w:right w:val="none" w:sz="0" w:space="0" w:color="auto"/>
      </w:divBdr>
    </w:div>
    <w:div w:id="460347953">
      <w:bodyDiv w:val="1"/>
      <w:marLeft w:val="0"/>
      <w:marRight w:val="0"/>
      <w:marTop w:val="0"/>
      <w:marBottom w:val="0"/>
      <w:divBdr>
        <w:top w:val="none" w:sz="0" w:space="0" w:color="auto"/>
        <w:left w:val="none" w:sz="0" w:space="0" w:color="auto"/>
        <w:bottom w:val="none" w:sz="0" w:space="0" w:color="auto"/>
        <w:right w:val="none" w:sz="0" w:space="0" w:color="auto"/>
      </w:divBdr>
    </w:div>
    <w:div w:id="460998741">
      <w:bodyDiv w:val="1"/>
      <w:marLeft w:val="0"/>
      <w:marRight w:val="0"/>
      <w:marTop w:val="0"/>
      <w:marBottom w:val="0"/>
      <w:divBdr>
        <w:top w:val="none" w:sz="0" w:space="0" w:color="auto"/>
        <w:left w:val="none" w:sz="0" w:space="0" w:color="auto"/>
        <w:bottom w:val="none" w:sz="0" w:space="0" w:color="auto"/>
        <w:right w:val="none" w:sz="0" w:space="0" w:color="auto"/>
      </w:divBdr>
    </w:div>
    <w:div w:id="461924509">
      <w:bodyDiv w:val="1"/>
      <w:marLeft w:val="0"/>
      <w:marRight w:val="0"/>
      <w:marTop w:val="0"/>
      <w:marBottom w:val="0"/>
      <w:divBdr>
        <w:top w:val="none" w:sz="0" w:space="0" w:color="auto"/>
        <w:left w:val="none" w:sz="0" w:space="0" w:color="auto"/>
        <w:bottom w:val="none" w:sz="0" w:space="0" w:color="auto"/>
        <w:right w:val="none" w:sz="0" w:space="0" w:color="auto"/>
      </w:divBdr>
    </w:div>
    <w:div w:id="466440093">
      <w:bodyDiv w:val="1"/>
      <w:marLeft w:val="0"/>
      <w:marRight w:val="0"/>
      <w:marTop w:val="0"/>
      <w:marBottom w:val="0"/>
      <w:divBdr>
        <w:top w:val="none" w:sz="0" w:space="0" w:color="auto"/>
        <w:left w:val="none" w:sz="0" w:space="0" w:color="auto"/>
        <w:bottom w:val="none" w:sz="0" w:space="0" w:color="auto"/>
        <w:right w:val="none" w:sz="0" w:space="0" w:color="auto"/>
      </w:divBdr>
    </w:div>
    <w:div w:id="471558592">
      <w:bodyDiv w:val="1"/>
      <w:marLeft w:val="0"/>
      <w:marRight w:val="0"/>
      <w:marTop w:val="0"/>
      <w:marBottom w:val="0"/>
      <w:divBdr>
        <w:top w:val="none" w:sz="0" w:space="0" w:color="auto"/>
        <w:left w:val="none" w:sz="0" w:space="0" w:color="auto"/>
        <w:bottom w:val="none" w:sz="0" w:space="0" w:color="auto"/>
        <w:right w:val="none" w:sz="0" w:space="0" w:color="auto"/>
      </w:divBdr>
    </w:div>
    <w:div w:id="471799297">
      <w:bodyDiv w:val="1"/>
      <w:marLeft w:val="0"/>
      <w:marRight w:val="0"/>
      <w:marTop w:val="0"/>
      <w:marBottom w:val="0"/>
      <w:divBdr>
        <w:top w:val="none" w:sz="0" w:space="0" w:color="auto"/>
        <w:left w:val="none" w:sz="0" w:space="0" w:color="auto"/>
        <w:bottom w:val="none" w:sz="0" w:space="0" w:color="auto"/>
        <w:right w:val="none" w:sz="0" w:space="0" w:color="auto"/>
      </w:divBdr>
    </w:div>
    <w:div w:id="472256730">
      <w:bodyDiv w:val="1"/>
      <w:marLeft w:val="0"/>
      <w:marRight w:val="0"/>
      <w:marTop w:val="0"/>
      <w:marBottom w:val="0"/>
      <w:divBdr>
        <w:top w:val="none" w:sz="0" w:space="0" w:color="auto"/>
        <w:left w:val="none" w:sz="0" w:space="0" w:color="auto"/>
        <w:bottom w:val="none" w:sz="0" w:space="0" w:color="auto"/>
        <w:right w:val="none" w:sz="0" w:space="0" w:color="auto"/>
      </w:divBdr>
    </w:div>
    <w:div w:id="473259039">
      <w:bodyDiv w:val="1"/>
      <w:marLeft w:val="0"/>
      <w:marRight w:val="0"/>
      <w:marTop w:val="0"/>
      <w:marBottom w:val="0"/>
      <w:divBdr>
        <w:top w:val="none" w:sz="0" w:space="0" w:color="auto"/>
        <w:left w:val="none" w:sz="0" w:space="0" w:color="auto"/>
        <w:bottom w:val="none" w:sz="0" w:space="0" w:color="auto"/>
        <w:right w:val="none" w:sz="0" w:space="0" w:color="auto"/>
      </w:divBdr>
    </w:div>
    <w:div w:id="474103741">
      <w:bodyDiv w:val="1"/>
      <w:marLeft w:val="0"/>
      <w:marRight w:val="0"/>
      <w:marTop w:val="0"/>
      <w:marBottom w:val="0"/>
      <w:divBdr>
        <w:top w:val="none" w:sz="0" w:space="0" w:color="auto"/>
        <w:left w:val="none" w:sz="0" w:space="0" w:color="auto"/>
        <w:bottom w:val="none" w:sz="0" w:space="0" w:color="auto"/>
        <w:right w:val="none" w:sz="0" w:space="0" w:color="auto"/>
      </w:divBdr>
    </w:div>
    <w:div w:id="476187625">
      <w:bodyDiv w:val="1"/>
      <w:marLeft w:val="0"/>
      <w:marRight w:val="0"/>
      <w:marTop w:val="0"/>
      <w:marBottom w:val="0"/>
      <w:divBdr>
        <w:top w:val="none" w:sz="0" w:space="0" w:color="auto"/>
        <w:left w:val="none" w:sz="0" w:space="0" w:color="auto"/>
        <w:bottom w:val="none" w:sz="0" w:space="0" w:color="auto"/>
        <w:right w:val="none" w:sz="0" w:space="0" w:color="auto"/>
      </w:divBdr>
    </w:div>
    <w:div w:id="476536222">
      <w:bodyDiv w:val="1"/>
      <w:marLeft w:val="0"/>
      <w:marRight w:val="0"/>
      <w:marTop w:val="0"/>
      <w:marBottom w:val="0"/>
      <w:divBdr>
        <w:top w:val="none" w:sz="0" w:space="0" w:color="auto"/>
        <w:left w:val="none" w:sz="0" w:space="0" w:color="auto"/>
        <w:bottom w:val="none" w:sz="0" w:space="0" w:color="auto"/>
        <w:right w:val="none" w:sz="0" w:space="0" w:color="auto"/>
      </w:divBdr>
    </w:div>
    <w:div w:id="476725258">
      <w:bodyDiv w:val="1"/>
      <w:marLeft w:val="0"/>
      <w:marRight w:val="0"/>
      <w:marTop w:val="0"/>
      <w:marBottom w:val="0"/>
      <w:divBdr>
        <w:top w:val="none" w:sz="0" w:space="0" w:color="auto"/>
        <w:left w:val="none" w:sz="0" w:space="0" w:color="auto"/>
        <w:bottom w:val="none" w:sz="0" w:space="0" w:color="auto"/>
        <w:right w:val="none" w:sz="0" w:space="0" w:color="auto"/>
      </w:divBdr>
    </w:div>
    <w:div w:id="477773111">
      <w:bodyDiv w:val="1"/>
      <w:marLeft w:val="0"/>
      <w:marRight w:val="0"/>
      <w:marTop w:val="0"/>
      <w:marBottom w:val="0"/>
      <w:divBdr>
        <w:top w:val="none" w:sz="0" w:space="0" w:color="auto"/>
        <w:left w:val="none" w:sz="0" w:space="0" w:color="auto"/>
        <w:bottom w:val="none" w:sz="0" w:space="0" w:color="auto"/>
        <w:right w:val="none" w:sz="0" w:space="0" w:color="auto"/>
      </w:divBdr>
    </w:div>
    <w:div w:id="479929026">
      <w:bodyDiv w:val="1"/>
      <w:marLeft w:val="0"/>
      <w:marRight w:val="0"/>
      <w:marTop w:val="0"/>
      <w:marBottom w:val="0"/>
      <w:divBdr>
        <w:top w:val="none" w:sz="0" w:space="0" w:color="auto"/>
        <w:left w:val="none" w:sz="0" w:space="0" w:color="auto"/>
        <w:bottom w:val="none" w:sz="0" w:space="0" w:color="auto"/>
        <w:right w:val="none" w:sz="0" w:space="0" w:color="auto"/>
      </w:divBdr>
    </w:div>
    <w:div w:id="480073796">
      <w:bodyDiv w:val="1"/>
      <w:marLeft w:val="0"/>
      <w:marRight w:val="0"/>
      <w:marTop w:val="0"/>
      <w:marBottom w:val="0"/>
      <w:divBdr>
        <w:top w:val="none" w:sz="0" w:space="0" w:color="auto"/>
        <w:left w:val="none" w:sz="0" w:space="0" w:color="auto"/>
        <w:bottom w:val="none" w:sz="0" w:space="0" w:color="auto"/>
        <w:right w:val="none" w:sz="0" w:space="0" w:color="auto"/>
      </w:divBdr>
    </w:div>
    <w:div w:id="485129404">
      <w:bodyDiv w:val="1"/>
      <w:marLeft w:val="0"/>
      <w:marRight w:val="0"/>
      <w:marTop w:val="0"/>
      <w:marBottom w:val="0"/>
      <w:divBdr>
        <w:top w:val="none" w:sz="0" w:space="0" w:color="auto"/>
        <w:left w:val="none" w:sz="0" w:space="0" w:color="auto"/>
        <w:bottom w:val="none" w:sz="0" w:space="0" w:color="auto"/>
        <w:right w:val="none" w:sz="0" w:space="0" w:color="auto"/>
      </w:divBdr>
    </w:div>
    <w:div w:id="486482704">
      <w:bodyDiv w:val="1"/>
      <w:marLeft w:val="0"/>
      <w:marRight w:val="0"/>
      <w:marTop w:val="0"/>
      <w:marBottom w:val="0"/>
      <w:divBdr>
        <w:top w:val="none" w:sz="0" w:space="0" w:color="auto"/>
        <w:left w:val="none" w:sz="0" w:space="0" w:color="auto"/>
        <w:bottom w:val="none" w:sz="0" w:space="0" w:color="auto"/>
        <w:right w:val="none" w:sz="0" w:space="0" w:color="auto"/>
      </w:divBdr>
    </w:div>
    <w:div w:id="487480386">
      <w:bodyDiv w:val="1"/>
      <w:marLeft w:val="0"/>
      <w:marRight w:val="0"/>
      <w:marTop w:val="0"/>
      <w:marBottom w:val="0"/>
      <w:divBdr>
        <w:top w:val="none" w:sz="0" w:space="0" w:color="auto"/>
        <w:left w:val="none" w:sz="0" w:space="0" w:color="auto"/>
        <w:bottom w:val="none" w:sz="0" w:space="0" w:color="auto"/>
        <w:right w:val="none" w:sz="0" w:space="0" w:color="auto"/>
      </w:divBdr>
    </w:div>
    <w:div w:id="487983101">
      <w:bodyDiv w:val="1"/>
      <w:marLeft w:val="0"/>
      <w:marRight w:val="0"/>
      <w:marTop w:val="0"/>
      <w:marBottom w:val="0"/>
      <w:divBdr>
        <w:top w:val="none" w:sz="0" w:space="0" w:color="auto"/>
        <w:left w:val="none" w:sz="0" w:space="0" w:color="auto"/>
        <w:bottom w:val="none" w:sz="0" w:space="0" w:color="auto"/>
        <w:right w:val="none" w:sz="0" w:space="0" w:color="auto"/>
      </w:divBdr>
    </w:div>
    <w:div w:id="488331872">
      <w:bodyDiv w:val="1"/>
      <w:marLeft w:val="0"/>
      <w:marRight w:val="0"/>
      <w:marTop w:val="0"/>
      <w:marBottom w:val="0"/>
      <w:divBdr>
        <w:top w:val="none" w:sz="0" w:space="0" w:color="auto"/>
        <w:left w:val="none" w:sz="0" w:space="0" w:color="auto"/>
        <w:bottom w:val="none" w:sz="0" w:space="0" w:color="auto"/>
        <w:right w:val="none" w:sz="0" w:space="0" w:color="auto"/>
      </w:divBdr>
    </w:div>
    <w:div w:id="489058397">
      <w:bodyDiv w:val="1"/>
      <w:marLeft w:val="0"/>
      <w:marRight w:val="0"/>
      <w:marTop w:val="0"/>
      <w:marBottom w:val="0"/>
      <w:divBdr>
        <w:top w:val="none" w:sz="0" w:space="0" w:color="auto"/>
        <w:left w:val="none" w:sz="0" w:space="0" w:color="auto"/>
        <w:bottom w:val="none" w:sz="0" w:space="0" w:color="auto"/>
        <w:right w:val="none" w:sz="0" w:space="0" w:color="auto"/>
      </w:divBdr>
    </w:div>
    <w:div w:id="490028614">
      <w:bodyDiv w:val="1"/>
      <w:marLeft w:val="0"/>
      <w:marRight w:val="0"/>
      <w:marTop w:val="0"/>
      <w:marBottom w:val="0"/>
      <w:divBdr>
        <w:top w:val="none" w:sz="0" w:space="0" w:color="auto"/>
        <w:left w:val="none" w:sz="0" w:space="0" w:color="auto"/>
        <w:bottom w:val="none" w:sz="0" w:space="0" w:color="auto"/>
        <w:right w:val="none" w:sz="0" w:space="0" w:color="auto"/>
      </w:divBdr>
    </w:div>
    <w:div w:id="490171623">
      <w:bodyDiv w:val="1"/>
      <w:marLeft w:val="0"/>
      <w:marRight w:val="0"/>
      <w:marTop w:val="0"/>
      <w:marBottom w:val="0"/>
      <w:divBdr>
        <w:top w:val="none" w:sz="0" w:space="0" w:color="auto"/>
        <w:left w:val="none" w:sz="0" w:space="0" w:color="auto"/>
        <w:bottom w:val="none" w:sz="0" w:space="0" w:color="auto"/>
        <w:right w:val="none" w:sz="0" w:space="0" w:color="auto"/>
      </w:divBdr>
    </w:div>
    <w:div w:id="493684316">
      <w:bodyDiv w:val="1"/>
      <w:marLeft w:val="0"/>
      <w:marRight w:val="0"/>
      <w:marTop w:val="0"/>
      <w:marBottom w:val="0"/>
      <w:divBdr>
        <w:top w:val="none" w:sz="0" w:space="0" w:color="auto"/>
        <w:left w:val="none" w:sz="0" w:space="0" w:color="auto"/>
        <w:bottom w:val="none" w:sz="0" w:space="0" w:color="auto"/>
        <w:right w:val="none" w:sz="0" w:space="0" w:color="auto"/>
      </w:divBdr>
    </w:div>
    <w:div w:id="496306152">
      <w:bodyDiv w:val="1"/>
      <w:marLeft w:val="0"/>
      <w:marRight w:val="0"/>
      <w:marTop w:val="0"/>
      <w:marBottom w:val="0"/>
      <w:divBdr>
        <w:top w:val="none" w:sz="0" w:space="0" w:color="auto"/>
        <w:left w:val="none" w:sz="0" w:space="0" w:color="auto"/>
        <w:bottom w:val="none" w:sz="0" w:space="0" w:color="auto"/>
        <w:right w:val="none" w:sz="0" w:space="0" w:color="auto"/>
      </w:divBdr>
    </w:div>
    <w:div w:id="496728521">
      <w:bodyDiv w:val="1"/>
      <w:marLeft w:val="0"/>
      <w:marRight w:val="0"/>
      <w:marTop w:val="0"/>
      <w:marBottom w:val="0"/>
      <w:divBdr>
        <w:top w:val="none" w:sz="0" w:space="0" w:color="auto"/>
        <w:left w:val="none" w:sz="0" w:space="0" w:color="auto"/>
        <w:bottom w:val="none" w:sz="0" w:space="0" w:color="auto"/>
        <w:right w:val="none" w:sz="0" w:space="0" w:color="auto"/>
      </w:divBdr>
    </w:div>
    <w:div w:id="501315384">
      <w:bodyDiv w:val="1"/>
      <w:marLeft w:val="0"/>
      <w:marRight w:val="0"/>
      <w:marTop w:val="0"/>
      <w:marBottom w:val="0"/>
      <w:divBdr>
        <w:top w:val="none" w:sz="0" w:space="0" w:color="auto"/>
        <w:left w:val="none" w:sz="0" w:space="0" w:color="auto"/>
        <w:bottom w:val="none" w:sz="0" w:space="0" w:color="auto"/>
        <w:right w:val="none" w:sz="0" w:space="0" w:color="auto"/>
      </w:divBdr>
    </w:div>
    <w:div w:id="501511095">
      <w:bodyDiv w:val="1"/>
      <w:marLeft w:val="0"/>
      <w:marRight w:val="0"/>
      <w:marTop w:val="0"/>
      <w:marBottom w:val="0"/>
      <w:divBdr>
        <w:top w:val="none" w:sz="0" w:space="0" w:color="auto"/>
        <w:left w:val="none" w:sz="0" w:space="0" w:color="auto"/>
        <w:bottom w:val="none" w:sz="0" w:space="0" w:color="auto"/>
        <w:right w:val="none" w:sz="0" w:space="0" w:color="auto"/>
      </w:divBdr>
    </w:div>
    <w:div w:id="504054123">
      <w:bodyDiv w:val="1"/>
      <w:marLeft w:val="0"/>
      <w:marRight w:val="0"/>
      <w:marTop w:val="0"/>
      <w:marBottom w:val="0"/>
      <w:divBdr>
        <w:top w:val="none" w:sz="0" w:space="0" w:color="auto"/>
        <w:left w:val="none" w:sz="0" w:space="0" w:color="auto"/>
        <w:bottom w:val="none" w:sz="0" w:space="0" w:color="auto"/>
        <w:right w:val="none" w:sz="0" w:space="0" w:color="auto"/>
      </w:divBdr>
    </w:div>
    <w:div w:id="504517073">
      <w:bodyDiv w:val="1"/>
      <w:marLeft w:val="0"/>
      <w:marRight w:val="0"/>
      <w:marTop w:val="0"/>
      <w:marBottom w:val="0"/>
      <w:divBdr>
        <w:top w:val="none" w:sz="0" w:space="0" w:color="auto"/>
        <w:left w:val="none" w:sz="0" w:space="0" w:color="auto"/>
        <w:bottom w:val="none" w:sz="0" w:space="0" w:color="auto"/>
        <w:right w:val="none" w:sz="0" w:space="0" w:color="auto"/>
      </w:divBdr>
    </w:div>
    <w:div w:id="507446820">
      <w:bodyDiv w:val="1"/>
      <w:marLeft w:val="0"/>
      <w:marRight w:val="0"/>
      <w:marTop w:val="0"/>
      <w:marBottom w:val="0"/>
      <w:divBdr>
        <w:top w:val="none" w:sz="0" w:space="0" w:color="auto"/>
        <w:left w:val="none" w:sz="0" w:space="0" w:color="auto"/>
        <w:bottom w:val="none" w:sz="0" w:space="0" w:color="auto"/>
        <w:right w:val="none" w:sz="0" w:space="0" w:color="auto"/>
      </w:divBdr>
    </w:div>
    <w:div w:id="507642953">
      <w:bodyDiv w:val="1"/>
      <w:marLeft w:val="0"/>
      <w:marRight w:val="0"/>
      <w:marTop w:val="0"/>
      <w:marBottom w:val="0"/>
      <w:divBdr>
        <w:top w:val="none" w:sz="0" w:space="0" w:color="auto"/>
        <w:left w:val="none" w:sz="0" w:space="0" w:color="auto"/>
        <w:bottom w:val="none" w:sz="0" w:space="0" w:color="auto"/>
        <w:right w:val="none" w:sz="0" w:space="0" w:color="auto"/>
      </w:divBdr>
    </w:div>
    <w:div w:id="510411824">
      <w:bodyDiv w:val="1"/>
      <w:marLeft w:val="0"/>
      <w:marRight w:val="0"/>
      <w:marTop w:val="0"/>
      <w:marBottom w:val="0"/>
      <w:divBdr>
        <w:top w:val="none" w:sz="0" w:space="0" w:color="auto"/>
        <w:left w:val="none" w:sz="0" w:space="0" w:color="auto"/>
        <w:bottom w:val="none" w:sz="0" w:space="0" w:color="auto"/>
        <w:right w:val="none" w:sz="0" w:space="0" w:color="auto"/>
      </w:divBdr>
    </w:div>
    <w:div w:id="515073331">
      <w:bodyDiv w:val="1"/>
      <w:marLeft w:val="0"/>
      <w:marRight w:val="0"/>
      <w:marTop w:val="0"/>
      <w:marBottom w:val="0"/>
      <w:divBdr>
        <w:top w:val="none" w:sz="0" w:space="0" w:color="auto"/>
        <w:left w:val="none" w:sz="0" w:space="0" w:color="auto"/>
        <w:bottom w:val="none" w:sz="0" w:space="0" w:color="auto"/>
        <w:right w:val="none" w:sz="0" w:space="0" w:color="auto"/>
      </w:divBdr>
    </w:div>
    <w:div w:id="515074388">
      <w:bodyDiv w:val="1"/>
      <w:marLeft w:val="0"/>
      <w:marRight w:val="0"/>
      <w:marTop w:val="0"/>
      <w:marBottom w:val="0"/>
      <w:divBdr>
        <w:top w:val="none" w:sz="0" w:space="0" w:color="auto"/>
        <w:left w:val="none" w:sz="0" w:space="0" w:color="auto"/>
        <w:bottom w:val="none" w:sz="0" w:space="0" w:color="auto"/>
        <w:right w:val="none" w:sz="0" w:space="0" w:color="auto"/>
      </w:divBdr>
    </w:div>
    <w:div w:id="515536808">
      <w:bodyDiv w:val="1"/>
      <w:marLeft w:val="0"/>
      <w:marRight w:val="0"/>
      <w:marTop w:val="0"/>
      <w:marBottom w:val="0"/>
      <w:divBdr>
        <w:top w:val="none" w:sz="0" w:space="0" w:color="auto"/>
        <w:left w:val="none" w:sz="0" w:space="0" w:color="auto"/>
        <w:bottom w:val="none" w:sz="0" w:space="0" w:color="auto"/>
        <w:right w:val="none" w:sz="0" w:space="0" w:color="auto"/>
      </w:divBdr>
    </w:div>
    <w:div w:id="522015120">
      <w:bodyDiv w:val="1"/>
      <w:marLeft w:val="0"/>
      <w:marRight w:val="0"/>
      <w:marTop w:val="0"/>
      <w:marBottom w:val="0"/>
      <w:divBdr>
        <w:top w:val="none" w:sz="0" w:space="0" w:color="auto"/>
        <w:left w:val="none" w:sz="0" w:space="0" w:color="auto"/>
        <w:bottom w:val="none" w:sz="0" w:space="0" w:color="auto"/>
        <w:right w:val="none" w:sz="0" w:space="0" w:color="auto"/>
      </w:divBdr>
    </w:div>
    <w:div w:id="526456365">
      <w:bodyDiv w:val="1"/>
      <w:marLeft w:val="0"/>
      <w:marRight w:val="0"/>
      <w:marTop w:val="0"/>
      <w:marBottom w:val="0"/>
      <w:divBdr>
        <w:top w:val="none" w:sz="0" w:space="0" w:color="auto"/>
        <w:left w:val="none" w:sz="0" w:space="0" w:color="auto"/>
        <w:bottom w:val="none" w:sz="0" w:space="0" w:color="auto"/>
        <w:right w:val="none" w:sz="0" w:space="0" w:color="auto"/>
      </w:divBdr>
    </w:div>
    <w:div w:id="526988652">
      <w:bodyDiv w:val="1"/>
      <w:marLeft w:val="0"/>
      <w:marRight w:val="0"/>
      <w:marTop w:val="0"/>
      <w:marBottom w:val="0"/>
      <w:divBdr>
        <w:top w:val="none" w:sz="0" w:space="0" w:color="auto"/>
        <w:left w:val="none" w:sz="0" w:space="0" w:color="auto"/>
        <w:bottom w:val="none" w:sz="0" w:space="0" w:color="auto"/>
        <w:right w:val="none" w:sz="0" w:space="0" w:color="auto"/>
      </w:divBdr>
    </w:div>
    <w:div w:id="529801565">
      <w:bodyDiv w:val="1"/>
      <w:marLeft w:val="0"/>
      <w:marRight w:val="0"/>
      <w:marTop w:val="0"/>
      <w:marBottom w:val="0"/>
      <w:divBdr>
        <w:top w:val="none" w:sz="0" w:space="0" w:color="auto"/>
        <w:left w:val="none" w:sz="0" w:space="0" w:color="auto"/>
        <w:bottom w:val="none" w:sz="0" w:space="0" w:color="auto"/>
        <w:right w:val="none" w:sz="0" w:space="0" w:color="auto"/>
      </w:divBdr>
    </w:div>
    <w:div w:id="530188855">
      <w:bodyDiv w:val="1"/>
      <w:marLeft w:val="0"/>
      <w:marRight w:val="0"/>
      <w:marTop w:val="0"/>
      <w:marBottom w:val="0"/>
      <w:divBdr>
        <w:top w:val="none" w:sz="0" w:space="0" w:color="auto"/>
        <w:left w:val="none" w:sz="0" w:space="0" w:color="auto"/>
        <w:bottom w:val="none" w:sz="0" w:space="0" w:color="auto"/>
        <w:right w:val="none" w:sz="0" w:space="0" w:color="auto"/>
      </w:divBdr>
    </w:div>
    <w:div w:id="532688211">
      <w:bodyDiv w:val="1"/>
      <w:marLeft w:val="0"/>
      <w:marRight w:val="0"/>
      <w:marTop w:val="0"/>
      <w:marBottom w:val="0"/>
      <w:divBdr>
        <w:top w:val="none" w:sz="0" w:space="0" w:color="auto"/>
        <w:left w:val="none" w:sz="0" w:space="0" w:color="auto"/>
        <w:bottom w:val="none" w:sz="0" w:space="0" w:color="auto"/>
        <w:right w:val="none" w:sz="0" w:space="0" w:color="auto"/>
      </w:divBdr>
    </w:div>
    <w:div w:id="533034882">
      <w:bodyDiv w:val="1"/>
      <w:marLeft w:val="0"/>
      <w:marRight w:val="0"/>
      <w:marTop w:val="0"/>
      <w:marBottom w:val="0"/>
      <w:divBdr>
        <w:top w:val="none" w:sz="0" w:space="0" w:color="auto"/>
        <w:left w:val="none" w:sz="0" w:space="0" w:color="auto"/>
        <w:bottom w:val="none" w:sz="0" w:space="0" w:color="auto"/>
        <w:right w:val="none" w:sz="0" w:space="0" w:color="auto"/>
      </w:divBdr>
    </w:div>
    <w:div w:id="534007261">
      <w:bodyDiv w:val="1"/>
      <w:marLeft w:val="0"/>
      <w:marRight w:val="0"/>
      <w:marTop w:val="0"/>
      <w:marBottom w:val="0"/>
      <w:divBdr>
        <w:top w:val="none" w:sz="0" w:space="0" w:color="auto"/>
        <w:left w:val="none" w:sz="0" w:space="0" w:color="auto"/>
        <w:bottom w:val="none" w:sz="0" w:space="0" w:color="auto"/>
        <w:right w:val="none" w:sz="0" w:space="0" w:color="auto"/>
      </w:divBdr>
    </w:div>
    <w:div w:id="534778139">
      <w:bodyDiv w:val="1"/>
      <w:marLeft w:val="0"/>
      <w:marRight w:val="0"/>
      <w:marTop w:val="0"/>
      <w:marBottom w:val="0"/>
      <w:divBdr>
        <w:top w:val="none" w:sz="0" w:space="0" w:color="auto"/>
        <w:left w:val="none" w:sz="0" w:space="0" w:color="auto"/>
        <w:bottom w:val="none" w:sz="0" w:space="0" w:color="auto"/>
        <w:right w:val="none" w:sz="0" w:space="0" w:color="auto"/>
      </w:divBdr>
    </w:div>
    <w:div w:id="535317402">
      <w:bodyDiv w:val="1"/>
      <w:marLeft w:val="0"/>
      <w:marRight w:val="0"/>
      <w:marTop w:val="0"/>
      <w:marBottom w:val="0"/>
      <w:divBdr>
        <w:top w:val="none" w:sz="0" w:space="0" w:color="auto"/>
        <w:left w:val="none" w:sz="0" w:space="0" w:color="auto"/>
        <w:bottom w:val="none" w:sz="0" w:space="0" w:color="auto"/>
        <w:right w:val="none" w:sz="0" w:space="0" w:color="auto"/>
      </w:divBdr>
    </w:div>
    <w:div w:id="535972818">
      <w:bodyDiv w:val="1"/>
      <w:marLeft w:val="0"/>
      <w:marRight w:val="0"/>
      <w:marTop w:val="0"/>
      <w:marBottom w:val="0"/>
      <w:divBdr>
        <w:top w:val="none" w:sz="0" w:space="0" w:color="auto"/>
        <w:left w:val="none" w:sz="0" w:space="0" w:color="auto"/>
        <w:bottom w:val="none" w:sz="0" w:space="0" w:color="auto"/>
        <w:right w:val="none" w:sz="0" w:space="0" w:color="auto"/>
      </w:divBdr>
    </w:div>
    <w:div w:id="536283146">
      <w:bodyDiv w:val="1"/>
      <w:marLeft w:val="0"/>
      <w:marRight w:val="0"/>
      <w:marTop w:val="0"/>
      <w:marBottom w:val="0"/>
      <w:divBdr>
        <w:top w:val="none" w:sz="0" w:space="0" w:color="auto"/>
        <w:left w:val="none" w:sz="0" w:space="0" w:color="auto"/>
        <w:bottom w:val="none" w:sz="0" w:space="0" w:color="auto"/>
        <w:right w:val="none" w:sz="0" w:space="0" w:color="auto"/>
      </w:divBdr>
    </w:div>
    <w:div w:id="538205119">
      <w:bodyDiv w:val="1"/>
      <w:marLeft w:val="0"/>
      <w:marRight w:val="0"/>
      <w:marTop w:val="0"/>
      <w:marBottom w:val="0"/>
      <w:divBdr>
        <w:top w:val="none" w:sz="0" w:space="0" w:color="auto"/>
        <w:left w:val="none" w:sz="0" w:space="0" w:color="auto"/>
        <w:bottom w:val="none" w:sz="0" w:space="0" w:color="auto"/>
        <w:right w:val="none" w:sz="0" w:space="0" w:color="auto"/>
      </w:divBdr>
    </w:div>
    <w:div w:id="538400737">
      <w:bodyDiv w:val="1"/>
      <w:marLeft w:val="0"/>
      <w:marRight w:val="0"/>
      <w:marTop w:val="0"/>
      <w:marBottom w:val="0"/>
      <w:divBdr>
        <w:top w:val="none" w:sz="0" w:space="0" w:color="auto"/>
        <w:left w:val="none" w:sz="0" w:space="0" w:color="auto"/>
        <w:bottom w:val="none" w:sz="0" w:space="0" w:color="auto"/>
        <w:right w:val="none" w:sz="0" w:space="0" w:color="auto"/>
      </w:divBdr>
    </w:div>
    <w:div w:id="539436036">
      <w:bodyDiv w:val="1"/>
      <w:marLeft w:val="0"/>
      <w:marRight w:val="0"/>
      <w:marTop w:val="0"/>
      <w:marBottom w:val="0"/>
      <w:divBdr>
        <w:top w:val="none" w:sz="0" w:space="0" w:color="auto"/>
        <w:left w:val="none" w:sz="0" w:space="0" w:color="auto"/>
        <w:bottom w:val="none" w:sz="0" w:space="0" w:color="auto"/>
        <w:right w:val="none" w:sz="0" w:space="0" w:color="auto"/>
      </w:divBdr>
    </w:div>
    <w:div w:id="543759915">
      <w:bodyDiv w:val="1"/>
      <w:marLeft w:val="0"/>
      <w:marRight w:val="0"/>
      <w:marTop w:val="0"/>
      <w:marBottom w:val="0"/>
      <w:divBdr>
        <w:top w:val="none" w:sz="0" w:space="0" w:color="auto"/>
        <w:left w:val="none" w:sz="0" w:space="0" w:color="auto"/>
        <w:bottom w:val="none" w:sz="0" w:space="0" w:color="auto"/>
        <w:right w:val="none" w:sz="0" w:space="0" w:color="auto"/>
      </w:divBdr>
    </w:div>
    <w:div w:id="544105307">
      <w:bodyDiv w:val="1"/>
      <w:marLeft w:val="0"/>
      <w:marRight w:val="0"/>
      <w:marTop w:val="0"/>
      <w:marBottom w:val="0"/>
      <w:divBdr>
        <w:top w:val="none" w:sz="0" w:space="0" w:color="auto"/>
        <w:left w:val="none" w:sz="0" w:space="0" w:color="auto"/>
        <w:bottom w:val="none" w:sz="0" w:space="0" w:color="auto"/>
        <w:right w:val="none" w:sz="0" w:space="0" w:color="auto"/>
      </w:divBdr>
    </w:div>
    <w:div w:id="545217002">
      <w:bodyDiv w:val="1"/>
      <w:marLeft w:val="0"/>
      <w:marRight w:val="0"/>
      <w:marTop w:val="0"/>
      <w:marBottom w:val="0"/>
      <w:divBdr>
        <w:top w:val="none" w:sz="0" w:space="0" w:color="auto"/>
        <w:left w:val="none" w:sz="0" w:space="0" w:color="auto"/>
        <w:bottom w:val="none" w:sz="0" w:space="0" w:color="auto"/>
        <w:right w:val="none" w:sz="0" w:space="0" w:color="auto"/>
      </w:divBdr>
    </w:div>
    <w:div w:id="547380461">
      <w:bodyDiv w:val="1"/>
      <w:marLeft w:val="0"/>
      <w:marRight w:val="0"/>
      <w:marTop w:val="0"/>
      <w:marBottom w:val="0"/>
      <w:divBdr>
        <w:top w:val="none" w:sz="0" w:space="0" w:color="auto"/>
        <w:left w:val="none" w:sz="0" w:space="0" w:color="auto"/>
        <w:bottom w:val="none" w:sz="0" w:space="0" w:color="auto"/>
        <w:right w:val="none" w:sz="0" w:space="0" w:color="auto"/>
      </w:divBdr>
    </w:div>
    <w:div w:id="547954385">
      <w:bodyDiv w:val="1"/>
      <w:marLeft w:val="0"/>
      <w:marRight w:val="0"/>
      <w:marTop w:val="0"/>
      <w:marBottom w:val="0"/>
      <w:divBdr>
        <w:top w:val="none" w:sz="0" w:space="0" w:color="auto"/>
        <w:left w:val="none" w:sz="0" w:space="0" w:color="auto"/>
        <w:bottom w:val="none" w:sz="0" w:space="0" w:color="auto"/>
        <w:right w:val="none" w:sz="0" w:space="0" w:color="auto"/>
      </w:divBdr>
    </w:div>
    <w:div w:id="549653364">
      <w:bodyDiv w:val="1"/>
      <w:marLeft w:val="0"/>
      <w:marRight w:val="0"/>
      <w:marTop w:val="0"/>
      <w:marBottom w:val="0"/>
      <w:divBdr>
        <w:top w:val="none" w:sz="0" w:space="0" w:color="auto"/>
        <w:left w:val="none" w:sz="0" w:space="0" w:color="auto"/>
        <w:bottom w:val="none" w:sz="0" w:space="0" w:color="auto"/>
        <w:right w:val="none" w:sz="0" w:space="0" w:color="auto"/>
      </w:divBdr>
    </w:div>
    <w:div w:id="549734029">
      <w:bodyDiv w:val="1"/>
      <w:marLeft w:val="0"/>
      <w:marRight w:val="0"/>
      <w:marTop w:val="0"/>
      <w:marBottom w:val="0"/>
      <w:divBdr>
        <w:top w:val="none" w:sz="0" w:space="0" w:color="auto"/>
        <w:left w:val="none" w:sz="0" w:space="0" w:color="auto"/>
        <w:bottom w:val="none" w:sz="0" w:space="0" w:color="auto"/>
        <w:right w:val="none" w:sz="0" w:space="0" w:color="auto"/>
      </w:divBdr>
    </w:div>
    <w:div w:id="549809681">
      <w:bodyDiv w:val="1"/>
      <w:marLeft w:val="0"/>
      <w:marRight w:val="0"/>
      <w:marTop w:val="0"/>
      <w:marBottom w:val="0"/>
      <w:divBdr>
        <w:top w:val="none" w:sz="0" w:space="0" w:color="auto"/>
        <w:left w:val="none" w:sz="0" w:space="0" w:color="auto"/>
        <w:bottom w:val="none" w:sz="0" w:space="0" w:color="auto"/>
        <w:right w:val="none" w:sz="0" w:space="0" w:color="auto"/>
      </w:divBdr>
    </w:div>
    <w:div w:id="550269359">
      <w:bodyDiv w:val="1"/>
      <w:marLeft w:val="0"/>
      <w:marRight w:val="0"/>
      <w:marTop w:val="0"/>
      <w:marBottom w:val="0"/>
      <w:divBdr>
        <w:top w:val="none" w:sz="0" w:space="0" w:color="auto"/>
        <w:left w:val="none" w:sz="0" w:space="0" w:color="auto"/>
        <w:bottom w:val="none" w:sz="0" w:space="0" w:color="auto"/>
        <w:right w:val="none" w:sz="0" w:space="0" w:color="auto"/>
      </w:divBdr>
    </w:div>
    <w:div w:id="553393995">
      <w:bodyDiv w:val="1"/>
      <w:marLeft w:val="0"/>
      <w:marRight w:val="0"/>
      <w:marTop w:val="0"/>
      <w:marBottom w:val="0"/>
      <w:divBdr>
        <w:top w:val="none" w:sz="0" w:space="0" w:color="auto"/>
        <w:left w:val="none" w:sz="0" w:space="0" w:color="auto"/>
        <w:bottom w:val="none" w:sz="0" w:space="0" w:color="auto"/>
        <w:right w:val="none" w:sz="0" w:space="0" w:color="auto"/>
      </w:divBdr>
    </w:div>
    <w:div w:id="554269515">
      <w:bodyDiv w:val="1"/>
      <w:marLeft w:val="0"/>
      <w:marRight w:val="0"/>
      <w:marTop w:val="0"/>
      <w:marBottom w:val="0"/>
      <w:divBdr>
        <w:top w:val="none" w:sz="0" w:space="0" w:color="auto"/>
        <w:left w:val="none" w:sz="0" w:space="0" w:color="auto"/>
        <w:bottom w:val="none" w:sz="0" w:space="0" w:color="auto"/>
        <w:right w:val="none" w:sz="0" w:space="0" w:color="auto"/>
      </w:divBdr>
    </w:div>
    <w:div w:id="554700571">
      <w:bodyDiv w:val="1"/>
      <w:marLeft w:val="0"/>
      <w:marRight w:val="0"/>
      <w:marTop w:val="0"/>
      <w:marBottom w:val="0"/>
      <w:divBdr>
        <w:top w:val="none" w:sz="0" w:space="0" w:color="auto"/>
        <w:left w:val="none" w:sz="0" w:space="0" w:color="auto"/>
        <w:bottom w:val="none" w:sz="0" w:space="0" w:color="auto"/>
        <w:right w:val="none" w:sz="0" w:space="0" w:color="auto"/>
      </w:divBdr>
    </w:div>
    <w:div w:id="557016687">
      <w:bodyDiv w:val="1"/>
      <w:marLeft w:val="0"/>
      <w:marRight w:val="0"/>
      <w:marTop w:val="0"/>
      <w:marBottom w:val="0"/>
      <w:divBdr>
        <w:top w:val="none" w:sz="0" w:space="0" w:color="auto"/>
        <w:left w:val="none" w:sz="0" w:space="0" w:color="auto"/>
        <w:bottom w:val="none" w:sz="0" w:space="0" w:color="auto"/>
        <w:right w:val="none" w:sz="0" w:space="0" w:color="auto"/>
      </w:divBdr>
    </w:div>
    <w:div w:id="557591030">
      <w:bodyDiv w:val="1"/>
      <w:marLeft w:val="0"/>
      <w:marRight w:val="0"/>
      <w:marTop w:val="0"/>
      <w:marBottom w:val="0"/>
      <w:divBdr>
        <w:top w:val="none" w:sz="0" w:space="0" w:color="auto"/>
        <w:left w:val="none" w:sz="0" w:space="0" w:color="auto"/>
        <w:bottom w:val="none" w:sz="0" w:space="0" w:color="auto"/>
        <w:right w:val="none" w:sz="0" w:space="0" w:color="auto"/>
      </w:divBdr>
    </w:div>
    <w:div w:id="557857697">
      <w:bodyDiv w:val="1"/>
      <w:marLeft w:val="0"/>
      <w:marRight w:val="0"/>
      <w:marTop w:val="0"/>
      <w:marBottom w:val="0"/>
      <w:divBdr>
        <w:top w:val="none" w:sz="0" w:space="0" w:color="auto"/>
        <w:left w:val="none" w:sz="0" w:space="0" w:color="auto"/>
        <w:bottom w:val="none" w:sz="0" w:space="0" w:color="auto"/>
        <w:right w:val="none" w:sz="0" w:space="0" w:color="auto"/>
      </w:divBdr>
    </w:div>
    <w:div w:id="558327487">
      <w:bodyDiv w:val="1"/>
      <w:marLeft w:val="0"/>
      <w:marRight w:val="0"/>
      <w:marTop w:val="0"/>
      <w:marBottom w:val="0"/>
      <w:divBdr>
        <w:top w:val="none" w:sz="0" w:space="0" w:color="auto"/>
        <w:left w:val="none" w:sz="0" w:space="0" w:color="auto"/>
        <w:bottom w:val="none" w:sz="0" w:space="0" w:color="auto"/>
        <w:right w:val="none" w:sz="0" w:space="0" w:color="auto"/>
      </w:divBdr>
    </w:div>
    <w:div w:id="558638774">
      <w:bodyDiv w:val="1"/>
      <w:marLeft w:val="0"/>
      <w:marRight w:val="0"/>
      <w:marTop w:val="0"/>
      <w:marBottom w:val="0"/>
      <w:divBdr>
        <w:top w:val="none" w:sz="0" w:space="0" w:color="auto"/>
        <w:left w:val="none" w:sz="0" w:space="0" w:color="auto"/>
        <w:bottom w:val="none" w:sz="0" w:space="0" w:color="auto"/>
        <w:right w:val="none" w:sz="0" w:space="0" w:color="auto"/>
      </w:divBdr>
    </w:div>
    <w:div w:id="559250353">
      <w:bodyDiv w:val="1"/>
      <w:marLeft w:val="0"/>
      <w:marRight w:val="0"/>
      <w:marTop w:val="0"/>
      <w:marBottom w:val="0"/>
      <w:divBdr>
        <w:top w:val="none" w:sz="0" w:space="0" w:color="auto"/>
        <w:left w:val="none" w:sz="0" w:space="0" w:color="auto"/>
        <w:bottom w:val="none" w:sz="0" w:space="0" w:color="auto"/>
        <w:right w:val="none" w:sz="0" w:space="0" w:color="auto"/>
      </w:divBdr>
    </w:div>
    <w:div w:id="560335127">
      <w:bodyDiv w:val="1"/>
      <w:marLeft w:val="0"/>
      <w:marRight w:val="0"/>
      <w:marTop w:val="0"/>
      <w:marBottom w:val="0"/>
      <w:divBdr>
        <w:top w:val="none" w:sz="0" w:space="0" w:color="auto"/>
        <w:left w:val="none" w:sz="0" w:space="0" w:color="auto"/>
        <w:bottom w:val="none" w:sz="0" w:space="0" w:color="auto"/>
        <w:right w:val="none" w:sz="0" w:space="0" w:color="auto"/>
      </w:divBdr>
    </w:div>
    <w:div w:id="560992466">
      <w:bodyDiv w:val="1"/>
      <w:marLeft w:val="0"/>
      <w:marRight w:val="0"/>
      <w:marTop w:val="0"/>
      <w:marBottom w:val="0"/>
      <w:divBdr>
        <w:top w:val="none" w:sz="0" w:space="0" w:color="auto"/>
        <w:left w:val="none" w:sz="0" w:space="0" w:color="auto"/>
        <w:bottom w:val="none" w:sz="0" w:space="0" w:color="auto"/>
        <w:right w:val="none" w:sz="0" w:space="0" w:color="auto"/>
      </w:divBdr>
    </w:div>
    <w:div w:id="561019542">
      <w:bodyDiv w:val="1"/>
      <w:marLeft w:val="0"/>
      <w:marRight w:val="0"/>
      <w:marTop w:val="0"/>
      <w:marBottom w:val="0"/>
      <w:divBdr>
        <w:top w:val="none" w:sz="0" w:space="0" w:color="auto"/>
        <w:left w:val="none" w:sz="0" w:space="0" w:color="auto"/>
        <w:bottom w:val="none" w:sz="0" w:space="0" w:color="auto"/>
        <w:right w:val="none" w:sz="0" w:space="0" w:color="auto"/>
      </w:divBdr>
    </w:div>
    <w:div w:id="561717116">
      <w:bodyDiv w:val="1"/>
      <w:marLeft w:val="0"/>
      <w:marRight w:val="0"/>
      <w:marTop w:val="0"/>
      <w:marBottom w:val="0"/>
      <w:divBdr>
        <w:top w:val="none" w:sz="0" w:space="0" w:color="auto"/>
        <w:left w:val="none" w:sz="0" w:space="0" w:color="auto"/>
        <w:bottom w:val="none" w:sz="0" w:space="0" w:color="auto"/>
        <w:right w:val="none" w:sz="0" w:space="0" w:color="auto"/>
      </w:divBdr>
    </w:div>
    <w:div w:id="564413220">
      <w:bodyDiv w:val="1"/>
      <w:marLeft w:val="0"/>
      <w:marRight w:val="0"/>
      <w:marTop w:val="0"/>
      <w:marBottom w:val="0"/>
      <w:divBdr>
        <w:top w:val="none" w:sz="0" w:space="0" w:color="auto"/>
        <w:left w:val="none" w:sz="0" w:space="0" w:color="auto"/>
        <w:bottom w:val="none" w:sz="0" w:space="0" w:color="auto"/>
        <w:right w:val="none" w:sz="0" w:space="0" w:color="auto"/>
      </w:divBdr>
    </w:div>
    <w:div w:id="571277816">
      <w:bodyDiv w:val="1"/>
      <w:marLeft w:val="0"/>
      <w:marRight w:val="0"/>
      <w:marTop w:val="0"/>
      <w:marBottom w:val="0"/>
      <w:divBdr>
        <w:top w:val="none" w:sz="0" w:space="0" w:color="auto"/>
        <w:left w:val="none" w:sz="0" w:space="0" w:color="auto"/>
        <w:bottom w:val="none" w:sz="0" w:space="0" w:color="auto"/>
        <w:right w:val="none" w:sz="0" w:space="0" w:color="auto"/>
      </w:divBdr>
    </w:div>
    <w:div w:id="575018407">
      <w:bodyDiv w:val="1"/>
      <w:marLeft w:val="0"/>
      <w:marRight w:val="0"/>
      <w:marTop w:val="0"/>
      <w:marBottom w:val="0"/>
      <w:divBdr>
        <w:top w:val="none" w:sz="0" w:space="0" w:color="auto"/>
        <w:left w:val="none" w:sz="0" w:space="0" w:color="auto"/>
        <w:bottom w:val="none" w:sz="0" w:space="0" w:color="auto"/>
        <w:right w:val="none" w:sz="0" w:space="0" w:color="auto"/>
      </w:divBdr>
    </w:div>
    <w:div w:id="578177188">
      <w:bodyDiv w:val="1"/>
      <w:marLeft w:val="0"/>
      <w:marRight w:val="0"/>
      <w:marTop w:val="0"/>
      <w:marBottom w:val="0"/>
      <w:divBdr>
        <w:top w:val="none" w:sz="0" w:space="0" w:color="auto"/>
        <w:left w:val="none" w:sz="0" w:space="0" w:color="auto"/>
        <w:bottom w:val="none" w:sz="0" w:space="0" w:color="auto"/>
        <w:right w:val="none" w:sz="0" w:space="0" w:color="auto"/>
      </w:divBdr>
    </w:div>
    <w:div w:id="580532204">
      <w:bodyDiv w:val="1"/>
      <w:marLeft w:val="0"/>
      <w:marRight w:val="0"/>
      <w:marTop w:val="0"/>
      <w:marBottom w:val="0"/>
      <w:divBdr>
        <w:top w:val="none" w:sz="0" w:space="0" w:color="auto"/>
        <w:left w:val="none" w:sz="0" w:space="0" w:color="auto"/>
        <w:bottom w:val="none" w:sz="0" w:space="0" w:color="auto"/>
        <w:right w:val="none" w:sz="0" w:space="0" w:color="auto"/>
      </w:divBdr>
    </w:div>
    <w:div w:id="583340589">
      <w:bodyDiv w:val="1"/>
      <w:marLeft w:val="0"/>
      <w:marRight w:val="0"/>
      <w:marTop w:val="0"/>
      <w:marBottom w:val="0"/>
      <w:divBdr>
        <w:top w:val="none" w:sz="0" w:space="0" w:color="auto"/>
        <w:left w:val="none" w:sz="0" w:space="0" w:color="auto"/>
        <w:bottom w:val="none" w:sz="0" w:space="0" w:color="auto"/>
        <w:right w:val="none" w:sz="0" w:space="0" w:color="auto"/>
      </w:divBdr>
    </w:div>
    <w:div w:id="586889084">
      <w:bodyDiv w:val="1"/>
      <w:marLeft w:val="0"/>
      <w:marRight w:val="0"/>
      <w:marTop w:val="0"/>
      <w:marBottom w:val="0"/>
      <w:divBdr>
        <w:top w:val="none" w:sz="0" w:space="0" w:color="auto"/>
        <w:left w:val="none" w:sz="0" w:space="0" w:color="auto"/>
        <w:bottom w:val="none" w:sz="0" w:space="0" w:color="auto"/>
        <w:right w:val="none" w:sz="0" w:space="0" w:color="auto"/>
      </w:divBdr>
    </w:div>
    <w:div w:id="588268807">
      <w:bodyDiv w:val="1"/>
      <w:marLeft w:val="0"/>
      <w:marRight w:val="0"/>
      <w:marTop w:val="0"/>
      <w:marBottom w:val="0"/>
      <w:divBdr>
        <w:top w:val="none" w:sz="0" w:space="0" w:color="auto"/>
        <w:left w:val="none" w:sz="0" w:space="0" w:color="auto"/>
        <w:bottom w:val="none" w:sz="0" w:space="0" w:color="auto"/>
        <w:right w:val="none" w:sz="0" w:space="0" w:color="auto"/>
      </w:divBdr>
    </w:div>
    <w:div w:id="589043696">
      <w:bodyDiv w:val="1"/>
      <w:marLeft w:val="0"/>
      <w:marRight w:val="0"/>
      <w:marTop w:val="0"/>
      <w:marBottom w:val="0"/>
      <w:divBdr>
        <w:top w:val="none" w:sz="0" w:space="0" w:color="auto"/>
        <w:left w:val="none" w:sz="0" w:space="0" w:color="auto"/>
        <w:bottom w:val="none" w:sz="0" w:space="0" w:color="auto"/>
        <w:right w:val="none" w:sz="0" w:space="0" w:color="auto"/>
      </w:divBdr>
    </w:div>
    <w:div w:id="589194647">
      <w:bodyDiv w:val="1"/>
      <w:marLeft w:val="0"/>
      <w:marRight w:val="0"/>
      <w:marTop w:val="0"/>
      <w:marBottom w:val="0"/>
      <w:divBdr>
        <w:top w:val="none" w:sz="0" w:space="0" w:color="auto"/>
        <w:left w:val="none" w:sz="0" w:space="0" w:color="auto"/>
        <w:bottom w:val="none" w:sz="0" w:space="0" w:color="auto"/>
        <w:right w:val="none" w:sz="0" w:space="0" w:color="auto"/>
      </w:divBdr>
    </w:div>
    <w:div w:id="589512405">
      <w:bodyDiv w:val="1"/>
      <w:marLeft w:val="0"/>
      <w:marRight w:val="0"/>
      <w:marTop w:val="0"/>
      <w:marBottom w:val="0"/>
      <w:divBdr>
        <w:top w:val="none" w:sz="0" w:space="0" w:color="auto"/>
        <w:left w:val="none" w:sz="0" w:space="0" w:color="auto"/>
        <w:bottom w:val="none" w:sz="0" w:space="0" w:color="auto"/>
        <w:right w:val="none" w:sz="0" w:space="0" w:color="auto"/>
      </w:divBdr>
    </w:div>
    <w:div w:id="591278102">
      <w:bodyDiv w:val="1"/>
      <w:marLeft w:val="0"/>
      <w:marRight w:val="0"/>
      <w:marTop w:val="0"/>
      <w:marBottom w:val="0"/>
      <w:divBdr>
        <w:top w:val="none" w:sz="0" w:space="0" w:color="auto"/>
        <w:left w:val="none" w:sz="0" w:space="0" w:color="auto"/>
        <w:bottom w:val="none" w:sz="0" w:space="0" w:color="auto"/>
        <w:right w:val="none" w:sz="0" w:space="0" w:color="auto"/>
      </w:divBdr>
    </w:div>
    <w:div w:id="593516818">
      <w:bodyDiv w:val="1"/>
      <w:marLeft w:val="0"/>
      <w:marRight w:val="0"/>
      <w:marTop w:val="0"/>
      <w:marBottom w:val="0"/>
      <w:divBdr>
        <w:top w:val="none" w:sz="0" w:space="0" w:color="auto"/>
        <w:left w:val="none" w:sz="0" w:space="0" w:color="auto"/>
        <w:bottom w:val="none" w:sz="0" w:space="0" w:color="auto"/>
        <w:right w:val="none" w:sz="0" w:space="0" w:color="auto"/>
      </w:divBdr>
    </w:div>
    <w:div w:id="596402658">
      <w:bodyDiv w:val="1"/>
      <w:marLeft w:val="0"/>
      <w:marRight w:val="0"/>
      <w:marTop w:val="0"/>
      <w:marBottom w:val="0"/>
      <w:divBdr>
        <w:top w:val="none" w:sz="0" w:space="0" w:color="auto"/>
        <w:left w:val="none" w:sz="0" w:space="0" w:color="auto"/>
        <w:bottom w:val="none" w:sz="0" w:space="0" w:color="auto"/>
        <w:right w:val="none" w:sz="0" w:space="0" w:color="auto"/>
      </w:divBdr>
    </w:div>
    <w:div w:id="597493726">
      <w:bodyDiv w:val="1"/>
      <w:marLeft w:val="0"/>
      <w:marRight w:val="0"/>
      <w:marTop w:val="0"/>
      <w:marBottom w:val="0"/>
      <w:divBdr>
        <w:top w:val="none" w:sz="0" w:space="0" w:color="auto"/>
        <w:left w:val="none" w:sz="0" w:space="0" w:color="auto"/>
        <w:bottom w:val="none" w:sz="0" w:space="0" w:color="auto"/>
        <w:right w:val="none" w:sz="0" w:space="0" w:color="auto"/>
      </w:divBdr>
    </w:div>
    <w:div w:id="598831279">
      <w:bodyDiv w:val="1"/>
      <w:marLeft w:val="0"/>
      <w:marRight w:val="0"/>
      <w:marTop w:val="0"/>
      <w:marBottom w:val="0"/>
      <w:divBdr>
        <w:top w:val="none" w:sz="0" w:space="0" w:color="auto"/>
        <w:left w:val="none" w:sz="0" w:space="0" w:color="auto"/>
        <w:bottom w:val="none" w:sz="0" w:space="0" w:color="auto"/>
        <w:right w:val="none" w:sz="0" w:space="0" w:color="auto"/>
      </w:divBdr>
    </w:div>
    <w:div w:id="600643697">
      <w:bodyDiv w:val="1"/>
      <w:marLeft w:val="0"/>
      <w:marRight w:val="0"/>
      <w:marTop w:val="0"/>
      <w:marBottom w:val="0"/>
      <w:divBdr>
        <w:top w:val="none" w:sz="0" w:space="0" w:color="auto"/>
        <w:left w:val="none" w:sz="0" w:space="0" w:color="auto"/>
        <w:bottom w:val="none" w:sz="0" w:space="0" w:color="auto"/>
        <w:right w:val="none" w:sz="0" w:space="0" w:color="auto"/>
      </w:divBdr>
    </w:div>
    <w:div w:id="607468314">
      <w:bodyDiv w:val="1"/>
      <w:marLeft w:val="0"/>
      <w:marRight w:val="0"/>
      <w:marTop w:val="0"/>
      <w:marBottom w:val="0"/>
      <w:divBdr>
        <w:top w:val="none" w:sz="0" w:space="0" w:color="auto"/>
        <w:left w:val="none" w:sz="0" w:space="0" w:color="auto"/>
        <w:bottom w:val="none" w:sz="0" w:space="0" w:color="auto"/>
        <w:right w:val="none" w:sz="0" w:space="0" w:color="auto"/>
      </w:divBdr>
    </w:div>
    <w:div w:id="609703738">
      <w:bodyDiv w:val="1"/>
      <w:marLeft w:val="0"/>
      <w:marRight w:val="0"/>
      <w:marTop w:val="0"/>
      <w:marBottom w:val="0"/>
      <w:divBdr>
        <w:top w:val="none" w:sz="0" w:space="0" w:color="auto"/>
        <w:left w:val="none" w:sz="0" w:space="0" w:color="auto"/>
        <w:bottom w:val="none" w:sz="0" w:space="0" w:color="auto"/>
        <w:right w:val="none" w:sz="0" w:space="0" w:color="auto"/>
      </w:divBdr>
    </w:div>
    <w:div w:id="610206363">
      <w:bodyDiv w:val="1"/>
      <w:marLeft w:val="0"/>
      <w:marRight w:val="0"/>
      <w:marTop w:val="0"/>
      <w:marBottom w:val="0"/>
      <w:divBdr>
        <w:top w:val="none" w:sz="0" w:space="0" w:color="auto"/>
        <w:left w:val="none" w:sz="0" w:space="0" w:color="auto"/>
        <w:bottom w:val="none" w:sz="0" w:space="0" w:color="auto"/>
        <w:right w:val="none" w:sz="0" w:space="0" w:color="auto"/>
      </w:divBdr>
    </w:div>
    <w:div w:id="610405509">
      <w:bodyDiv w:val="1"/>
      <w:marLeft w:val="0"/>
      <w:marRight w:val="0"/>
      <w:marTop w:val="0"/>
      <w:marBottom w:val="0"/>
      <w:divBdr>
        <w:top w:val="none" w:sz="0" w:space="0" w:color="auto"/>
        <w:left w:val="none" w:sz="0" w:space="0" w:color="auto"/>
        <w:bottom w:val="none" w:sz="0" w:space="0" w:color="auto"/>
        <w:right w:val="none" w:sz="0" w:space="0" w:color="auto"/>
      </w:divBdr>
    </w:div>
    <w:div w:id="611397718">
      <w:bodyDiv w:val="1"/>
      <w:marLeft w:val="0"/>
      <w:marRight w:val="0"/>
      <w:marTop w:val="0"/>
      <w:marBottom w:val="0"/>
      <w:divBdr>
        <w:top w:val="none" w:sz="0" w:space="0" w:color="auto"/>
        <w:left w:val="none" w:sz="0" w:space="0" w:color="auto"/>
        <w:bottom w:val="none" w:sz="0" w:space="0" w:color="auto"/>
        <w:right w:val="none" w:sz="0" w:space="0" w:color="auto"/>
      </w:divBdr>
    </w:div>
    <w:div w:id="611863728">
      <w:bodyDiv w:val="1"/>
      <w:marLeft w:val="0"/>
      <w:marRight w:val="0"/>
      <w:marTop w:val="0"/>
      <w:marBottom w:val="0"/>
      <w:divBdr>
        <w:top w:val="none" w:sz="0" w:space="0" w:color="auto"/>
        <w:left w:val="none" w:sz="0" w:space="0" w:color="auto"/>
        <w:bottom w:val="none" w:sz="0" w:space="0" w:color="auto"/>
        <w:right w:val="none" w:sz="0" w:space="0" w:color="auto"/>
      </w:divBdr>
    </w:div>
    <w:div w:id="612440956">
      <w:bodyDiv w:val="1"/>
      <w:marLeft w:val="0"/>
      <w:marRight w:val="0"/>
      <w:marTop w:val="0"/>
      <w:marBottom w:val="0"/>
      <w:divBdr>
        <w:top w:val="none" w:sz="0" w:space="0" w:color="auto"/>
        <w:left w:val="none" w:sz="0" w:space="0" w:color="auto"/>
        <w:bottom w:val="none" w:sz="0" w:space="0" w:color="auto"/>
        <w:right w:val="none" w:sz="0" w:space="0" w:color="auto"/>
      </w:divBdr>
    </w:div>
    <w:div w:id="614674182">
      <w:bodyDiv w:val="1"/>
      <w:marLeft w:val="0"/>
      <w:marRight w:val="0"/>
      <w:marTop w:val="0"/>
      <w:marBottom w:val="0"/>
      <w:divBdr>
        <w:top w:val="none" w:sz="0" w:space="0" w:color="auto"/>
        <w:left w:val="none" w:sz="0" w:space="0" w:color="auto"/>
        <w:bottom w:val="none" w:sz="0" w:space="0" w:color="auto"/>
        <w:right w:val="none" w:sz="0" w:space="0" w:color="auto"/>
      </w:divBdr>
    </w:div>
    <w:div w:id="615407459">
      <w:bodyDiv w:val="1"/>
      <w:marLeft w:val="0"/>
      <w:marRight w:val="0"/>
      <w:marTop w:val="0"/>
      <w:marBottom w:val="0"/>
      <w:divBdr>
        <w:top w:val="none" w:sz="0" w:space="0" w:color="auto"/>
        <w:left w:val="none" w:sz="0" w:space="0" w:color="auto"/>
        <w:bottom w:val="none" w:sz="0" w:space="0" w:color="auto"/>
        <w:right w:val="none" w:sz="0" w:space="0" w:color="auto"/>
      </w:divBdr>
    </w:div>
    <w:div w:id="619649494">
      <w:bodyDiv w:val="1"/>
      <w:marLeft w:val="0"/>
      <w:marRight w:val="0"/>
      <w:marTop w:val="0"/>
      <w:marBottom w:val="0"/>
      <w:divBdr>
        <w:top w:val="none" w:sz="0" w:space="0" w:color="auto"/>
        <w:left w:val="none" w:sz="0" w:space="0" w:color="auto"/>
        <w:bottom w:val="none" w:sz="0" w:space="0" w:color="auto"/>
        <w:right w:val="none" w:sz="0" w:space="0" w:color="auto"/>
      </w:divBdr>
    </w:div>
    <w:div w:id="621499761">
      <w:bodyDiv w:val="1"/>
      <w:marLeft w:val="0"/>
      <w:marRight w:val="0"/>
      <w:marTop w:val="0"/>
      <w:marBottom w:val="0"/>
      <w:divBdr>
        <w:top w:val="none" w:sz="0" w:space="0" w:color="auto"/>
        <w:left w:val="none" w:sz="0" w:space="0" w:color="auto"/>
        <w:bottom w:val="none" w:sz="0" w:space="0" w:color="auto"/>
        <w:right w:val="none" w:sz="0" w:space="0" w:color="auto"/>
      </w:divBdr>
    </w:div>
    <w:div w:id="622199766">
      <w:bodyDiv w:val="1"/>
      <w:marLeft w:val="0"/>
      <w:marRight w:val="0"/>
      <w:marTop w:val="0"/>
      <w:marBottom w:val="0"/>
      <w:divBdr>
        <w:top w:val="none" w:sz="0" w:space="0" w:color="auto"/>
        <w:left w:val="none" w:sz="0" w:space="0" w:color="auto"/>
        <w:bottom w:val="none" w:sz="0" w:space="0" w:color="auto"/>
        <w:right w:val="none" w:sz="0" w:space="0" w:color="auto"/>
      </w:divBdr>
    </w:div>
    <w:div w:id="624509026">
      <w:bodyDiv w:val="1"/>
      <w:marLeft w:val="0"/>
      <w:marRight w:val="0"/>
      <w:marTop w:val="0"/>
      <w:marBottom w:val="0"/>
      <w:divBdr>
        <w:top w:val="none" w:sz="0" w:space="0" w:color="auto"/>
        <w:left w:val="none" w:sz="0" w:space="0" w:color="auto"/>
        <w:bottom w:val="none" w:sz="0" w:space="0" w:color="auto"/>
        <w:right w:val="none" w:sz="0" w:space="0" w:color="auto"/>
      </w:divBdr>
    </w:div>
    <w:div w:id="625309250">
      <w:bodyDiv w:val="1"/>
      <w:marLeft w:val="0"/>
      <w:marRight w:val="0"/>
      <w:marTop w:val="0"/>
      <w:marBottom w:val="0"/>
      <w:divBdr>
        <w:top w:val="none" w:sz="0" w:space="0" w:color="auto"/>
        <w:left w:val="none" w:sz="0" w:space="0" w:color="auto"/>
        <w:bottom w:val="none" w:sz="0" w:space="0" w:color="auto"/>
        <w:right w:val="none" w:sz="0" w:space="0" w:color="auto"/>
      </w:divBdr>
    </w:div>
    <w:div w:id="628512091">
      <w:bodyDiv w:val="1"/>
      <w:marLeft w:val="0"/>
      <w:marRight w:val="0"/>
      <w:marTop w:val="0"/>
      <w:marBottom w:val="0"/>
      <w:divBdr>
        <w:top w:val="none" w:sz="0" w:space="0" w:color="auto"/>
        <w:left w:val="none" w:sz="0" w:space="0" w:color="auto"/>
        <w:bottom w:val="none" w:sz="0" w:space="0" w:color="auto"/>
        <w:right w:val="none" w:sz="0" w:space="0" w:color="auto"/>
      </w:divBdr>
    </w:div>
    <w:div w:id="630092147">
      <w:bodyDiv w:val="1"/>
      <w:marLeft w:val="0"/>
      <w:marRight w:val="0"/>
      <w:marTop w:val="0"/>
      <w:marBottom w:val="0"/>
      <w:divBdr>
        <w:top w:val="none" w:sz="0" w:space="0" w:color="auto"/>
        <w:left w:val="none" w:sz="0" w:space="0" w:color="auto"/>
        <w:bottom w:val="none" w:sz="0" w:space="0" w:color="auto"/>
        <w:right w:val="none" w:sz="0" w:space="0" w:color="auto"/>
      </w:divBdr>
    </w:div>
    <w:div w:id="632828494">
      <w:bodyDiv w:val="1"/>
      <w:marLeft w:val="0"/>
      <w:marRight w:val="0"/>
      <w:marTop w:val="0"/>
      <w:marBottom w:val="0"/>
      <w:divBdr>
        <w:top w:val="none" w:sz="0" w:space="0" w:color="auto"/>
        <w:left w:val="none" w:sz="0" w:space="0" w:color="auto"/>
        <w:bottom w:val="none" w:sz="0" w:space="0" w:color="auto"/>
        <w:right w:val="none" w:sz="0" w:space="0" w:color="auto"/>
      </w:divBdr>
    </w:div>
    <w:div w:id="633218737">
      <w:bodyDiv w:val="1"/>
      <w:marLeft w:val="0"/>
      <w:marRight w:val="0"/>
      <w:marTop w:val="0"/>
      <w:marBottom w:val="0"/>
      <w:divBdr>
        <w:top w:val="none" w:sz="0" w:space="0" w:color="auto"/>
        <w:left w:val="none" w:sz="0" w:space="0" w:color="auto"/>
        <w:bottom w:val="none" w:sz="0" w:space="0" w:color="auto"/>
        <w:right w:val="none" w:sz="0" w:space="0" w:color="auto"/>
      </w:divBdr>
    </w:div>
    <w:div w:id="633488284">
      <w:bodyDiv w:val="1"/>
      <w:marLeft w:val="0"/>
      <w:marRight w:val="0"/>
      <w:marTop w:val="0"/>
      <w:marBottom w:val="0"/>
      <w:divBdr>
        <w:top w:val="none" w:sz="0" w:space="0" w:color="auto"/>
        <w:left w:val="none" w:sz="0" w:space="0" w:color="auto"/>
        <w:bottom w:val="none" w:sz="0" w:space="0" w:color="auto"/>
        <w:right w:val="none" w:sz="0" w:space="0" w:color="auto"/>
      </w:divBdr>
    </w:div>
    <w:div w:id="634912963">
      <w:bodyDiv w:val="1"/>
      <w:marLeft w:val="0"/>
      <w:marRight w:val="0"/>
      <w:marTop w:val="0"/>
      <w:marBottom w:val="0"/>
      <w:divBdr>
        <w:top w:val="none" w:sz="0" w:space="0" w:color="auto"/>
        <w:left w:val="none" w:sz="0" w:space="0" w:color="auto"/>
        <w:bottom w:val="none" w:sz="0" w:space="0" w:color="auto"/>
        <w:right w:val="none" w:sz="0" w:space="0" w:color="auto"/>
      </w:divBdr>
    </w:div>
    <w:div w:id="637148924">
      <w:bodyDiv w:val="1"/>
      <w:marLeft w:val="0"/>
      <w:marRight w:val="0"/>
      <w:marTop w:val="0"/>
      <w:marBottom w:val="0"/>
      <w:divBdr>
        <w:top w:val="none" w:sz="0" w:space="0" w:color="auto"/>
        <w:left w:val="none" w:sz="0" w:space="0" w:color="auto"/>
        <w:bottom w:val="none" w:sz="0" w:space="0" w:color="auto"/>
        <w:right w:val="none" w:sz="0" w:space="0" w:color="auto"/>
      </w:divBdr>
    </w:div>
    <w:div w:id="637489528">
      <w:bodyDiv w:val="1"/>
      <w:marLeft w:val="0"/>
      <w:marRight w:val="0"/>
      <w:marTop w:val="0"/>
      <w:marBottom w:val="0"/>
      <w:divBdr>
        <w:top w:val="none" w:sz="0" w:space="0" w:color="auto"/>
        <w:left w:val="none" w:sz="0" w:space="0" w:color="auto"/>
        <w:bottom w:val="none" w:sz="0" w:space="0" w:color="auto"/>
        <w:right w:val="none" w:sz="0" w:space="0" w:color="auto"/>
      </w:divBdr>
    </w:div>
    <w:div w:id="638457789">
      <w:bodyDiv w:val="1"/>
      <w:marLeft w:val="0"/>
      <w:marRight w:val="0"/>
      <w:marTop w:val="0"/>
      <w:marBottom w:val="0"/>
      <w:divBdr>
        <w:top w:val="none" w:sz="0" w:space="0" w:color="auto"/>
        <w:left w:val="none" w:sz="0" w:space="0" w:color="auto"/>
        <w:bottom w:val="none" w:sz="0" w:space="0" w:color="auto"/>
        <w:right w:val="none" w:sz="0" w:space="0" w:color="auto"/>
      </w:divBdr>
    </w:div>
    <w:div w:id="640696314">
      <w:bodyDiv w:val="1"/>
      <w:marLeft w:val="0"/>
      <w:marRight w:val="0"/>
      <w:marTop w:val="0"/>
      <w:marBottom w:val="0"/>
      <w:divBdr>
        <w:top w:val="none" w:sz="0" w:space="0" w:color="auto"/>
        <w:left w:val="none" w:sz="0" w:space="0" w:color="auto"/>
        <w:bottom w:val="none" w:sz="0" w:space="0" w:color="auto"/>
        <w:right w:val="none" w:sz="0" w:space="0" w:color="auto"/>
      </w:divBdr>
    </w:div>
    <w:div w:id="641040305">
      <w:bodyDiv w:val="1"/>
      <w:marLeft w:val="0"/>
      <w:marRight w:val="0"/>
      <w:marTop w:val="0"/>
      <w:marBottom w:val="0"/>
      <w:divBdr>
        <w:top w:val="none" w:sz="0" w:space="0" w:color="auto"/>
        <w:left w:val="none" w:sz="0" w:space="0" w:color="auto"/>
        <w:bottom w:val="none" w:sz="0" w:space="0" w:color="auto"/>
        <w:right w:val="none" w:sz="0" w:space="0" w:color="auto"/>
      </w:divBdr>
    </w:div>
    <w:div w:id="641732398">
      <w:bodyDiv w:val="1"/>
      <w:marLeft w:val="0"/>
      <w:marRight w:val="0"/>
      <w:marTop w:val="0"/>
      <w:marBottom w:val="0"/>
      <w:divBdr>
        <w:top w:val="none" w:sz="0" w:space="0" w:color="auto"/>
        <w:left w:val="none" w:sz="0" w:space="0" w:color="auto"/>
        <w:bottom w:val="none" w:sz="0" w:space="0" w:color="auto"/>
        <w:right w:val="none" w:sz="0" w:space="0" w:color="auto"/>
      </w:divBdr>
    </w:div>
    <w:div w:id="641807622">
      <w:bodyDiv w:val="1"/>
      <w:marLeft w:val="0"/>
      <w:marRight w:val="0"/>
      <w:marTop w:val="0"/>
      <w:marBottom w:val="0"/>
      <w:divBdr>
        <w:top w:val="none" w:sz="0" w:space="0" w:color="auto"/>
        <w:left w:val="none" w:sz="0" w:space="0" w:color="auto"/>
        <w:bottom w:val="none" w:sz="0" w:space="0" w:color="auto"/>
        <w:right w:val="none" w:sz="0" w:space="0" w:color="auto"/>
      </w:divBdr>
    </w:div>
    <w:div w:id="645234349">
      <w:bodyDiv w:val="1"/>
      <w:marLeft w:val="0"/>
      <w:marRight w:val="0"/>
      <w:marTop w:val="0"/>
      <w:marBottom w:val="0"/>
      <w:divBdr>
        <w:top w:val="none" w:sz="0" w:space="0" w:color="auto"/>
        <w:left w:val="none" w:sz="0" w:space="0" w:color="auto"/>
        <w:bottom w:val="none" w:sz="0" w:space="0" w:color="auto"/>
        <w:right w:val="none" w:sz="0" w:space="0" w:color="auto"/>
      </w:divBdr>
    </w:div>
    <w:div w:id="646664227">
      <w:bodyDiv w:val="1"/>
      <w:marLeft w:val="0"/>
      <w:marRight w:val="0"/>
      <w:marTop w:val="0"/>
      <w:marBottom w:val="0"/>
      <w:divBdr>
        <w:top w:val="none" w:sz="0" w:space="0" w:color="auto"/>
        <w:left w:val="none" w:sz="0" w:space="0" w:color="auto"/>
        <w:bottom w:val="none" w:sz="0" w:space="0" w:color="auto"/>
        <w:right w:val="none" w:sz="0" w:space="0" w:color="auto"/>
      </w:divBdr>
    </w:div>
    <w:div w:id="646934465">
      <w:bodyDiv w:val="1"/>
      <w:marLeft w:val="0"/>
      <w:marRight w:val="0"/>
      <w:marTop w:val="0"/>
      <w:marBottom w:val="0"/>
      <w:divBdr>
        <w:top w:val="none" w:sz="0" w:space="0" w:color="auto"/>
        <w:left w:val="none" w:sz="0" w:space="0" w:color="auto"/>
        <w:bottom w:val="none" w:sz="0" w:space="0" w:color="auto"/>
        <w:right w:val="none" w:sz="0" w:space="0" w:color="auto"/>
      </w:divBdr>
    </w:div>
    <w:div w:id="653529880">
      <w:bodyDiv w:val="1"/>
      <w:marLeft w:val="0"/>
      <w:marRight w:val="0"/>
      <w:marTop w:val="0"/>
      <w:marBottom w:val="0"/>
      <w:divBdr>
        <w:top w:val="none" w:sz="0" w:space="0" w:color="auto"/>
        <w:left w:val="none" w:sz="0" w:space="0" w:color="auto"/>
        <w:bottom w:val="none" w:sz="0" w:space="0" w:color="auto"/>
        <w:right w:val="none" w:sz="0" w:space="0" w:color="auto"/>
      </w:divBdr>
    </w:div>
    <w:div w:id="653877740">
      <w:bodyDiv w:val="1"/>
      <w:marLeft w:val="0"/>
      <w:marRight w:val="0"/>
      <w:marTop w:val="0"/>
      <w:marBottom w:val="0"/>
      <w:divBdr>
        <w:top w:val="none" w:sz="0" w:space="0" w:color="auto"/>
        <w:left w:val="none" w:sz="0" w:space="0" w:color="auto"/>
        <w:bottom w:val="none" w:sz="0" w:space="0" w:color="auto"/>
        <w:right w:val="none" w:sz="0" w:space="0" w:color="auto"/>
      </w:divBdr>
    </w:div>
    <w:div w:id="656998695">
      <w:bodyDiv w:val="1"/>
      <w:marLeft w:val="0"/>
      <w:marRight w:val="0"/>
      <w:marTop w:val="0"/>
      <w:marBottom w:val="0"/>
      <w:divBdr>
        <w:top w:val="none" w:sz="0" w:space="0" w:color="auto"/>
        <w:left w:val="none" w:sz="0" w:space="0" w:color="auto"/>
        <w:bottom w:val="none" w:sz="0" w:space="0" w:color="auto"/>
        <w:right w:val="none" w:sz="0" w:space="0" w:color="auto"/>
      </w:divBdr>
    </w:div>
    <w:div w:id="657226803">
      <w:bodyDiv w:val="1"/>
      <w:marLeft w:val="0"/>
      <w:marRight w:val="0"/>
      <w:marTop w:val="0"/>
      <w:marBottom w:val="0"/>
      <w:divBdr>
        <w:top w:val="none" w:sz="0" w:space="0" w:color="auto"/>
        <w:left w:val="none" w:sz="0" w:space="0" w:color="auto"/>
        <w:bottom w:val="none" w:sz="0" w:space="0" w:color="auto"/>
        <w:right w:val="none" w:sz="0" w:space="0" w:color="auto"/>
      </w:divBdr>
    </w:div>
    <w:div w:id="659235475">
      <w:bodyDiv w:val="1"/>
      <w:marLeft w:val="0"/>
      <w:marRight w:val="0"/>
      <w:marTop w:val="0"/>
      <w:marBottom w:val="0"/>
      <w:divBdr>
        <w:top w:val="none" w:sz="0" w:space="0" w:color="auto"/>
        <w:left w:val="none" w:sz="0" w:space="0" w:color="auto"/>
        <w:bottom w:val="none" w:sz="0" w:space="0" w:color="auto"/>
        <w:right w:val="none" w:sz="0" w:space="0" w:color="auto"/>
      </w:divBdr>
    </w:div>
    <w:div w:id="660885615">
      <w:bodyDiv w:val="1"/>
      <w:marLeft w:val="0"/>
      <w:marRight w:val="0"/>
      <w:marTop w:val="0"/>
      <w:marBottom w:val="0"/>
      <w:divBdr>
        <w:top w:val="none" w:sz="0" w:space="0" w:color="auto"/>
        <w:left w:val="none" w:sz="0" w:space="0" w:color="auto"/>
        <w:bottom w:val="none" w:sz="0" w:space="0" w:color="auto"/>
        <w:right w:val="none" w:sz="0" w:space="0" w:color="auto"/>
      </w:divBdr>
    </w:div>
    <w:div w:id="662663018">
      <w:bodyDiv w:val="1"/>
      <w:marLeft w:val="0"/>
      <w:marRight w:val="0"/>
      <w:marTop w:val="0"/>
      <w:marBottom w:val="0"/>
      <w:divBdr>
        <w:top w:val="none" w:sz="0" w:space="0" w:color="auto"/>
        <w:left w:val="none" w:sz="0" w:space="0" w:color="auto"/>
        <w:bottom w:val="none" w:sz="0" w:space="0" w:color="auto"/>
        <w:right w:val="none" w:sz="0" w:space="0" w:color="auto"/>
      </w:divBdr>
    </w:div>
    <w:div w:id="664482297">
      <w:bodyDiv w:val="1"/>
      <w:marLeft w:val="0"/>
      <w:marRight w:val="0"/>
      <w:marTop w:val="0"/>
      <w:marBottom w:val="0"/>
      <w:divBdr>
        <w:top w:val="none" w:sz="0" w:space="0" w:color="auto"/>
        <w:left w:val="none" w:sz="0" w:space="0" w:color="auto"/>
        <w:bottom w:val="none" w:sz="0" w:space="0" w:color="auto"/>
        <w:right w:val="none" w:sz="0" w:space="0" w:color="auto"/>
      </w:divBdr>
    </w:div>
    <w:div w:id="667054803">
      <w:bodyDiv w:val="1"/>
      <w:marLeft w:val="0"/>
      <w:marRight w:val="0"/>
      <w:marTop w:val="0"/>
      <w:marBottom w:val="0"/>
      <w:divBdr>
        <w:top w:val="none" w:sz="0" w:space="0" w:color="auto"/>
        <w:left w:val="none" w:sz="0" w:space="0" w:color="auto"/>
        <w:bottom w:val="none" w:sz="0" w:space="0" w:color="auto"/>
        <w:right w:val="none" w:sz="0" w:space="0" w:color="auto"/>
      </w:divBdr>
    </w:div>
    <w:div w:id="672728703">
      <w:bodyDiv w:val="1"/>
      <w:marLeft w:val="0"/>
      <w:marRight w:val="0"/>
      <w:marTop w:val="0"/>
      <w:marBottom w:val="0"/>
      <w:divBdr>
        <w:top w:val="none" w:sz="0" w:space="0" w:color="auto"/>
        <w:left w:val="none" w:sz="0" w:space="0" w:color="auto"/>
        <w:bottom w:val="none" w:sz="0" w:space="0" w:color="auto"/>
        <w:right w:val="none" w:sz="0" w:space="0" w:color="auto"/>
      </w:divBdr>
    </w:div>
    <w:div w:id="673847861">
      <w:bodyDiv w:val="1"/>
      <w:marLeft w:val="0"/>
      <w:marRight w:val="0"/>
      <w:marTop w:val="0"/>
      <w:marBottom w:val="0"/>
      <w:divBdr>
        <w:top w:val="none" w:sz="0" w:space="0" w:color="auto"/>
        <w:left w:val="none" w:sz="0" w:space="0" w:color="auto"/>
        <w:bottom w:val="none" w:sz="0" w:space="0" w:color="auto"/>
        <w:right w:val="none" w:sz="0" w:space="0" w:color="auto"/>
      </w:divBdr>
    </w:div>
    <w:div w:id="673918806">
      <w:bodyDiv w:val="1"/>
      <w:marLeft w:val="0"/>
      <w:marRight w:val="0"/>
      <w:marTop w:val="0"/>
      <w:marBottom w:val="0"/>
      <w:divBdr>
        <w:top w:val="none" w:sz="0" w:space="0" w:color="auto"/>
        <w:left w:val="none" w:sz="0" w:space="0" w:color="auto"/>
        <w:bottom w:val="none" w:sz="0" w:space="0" w:color="auto"/>
        <w:right w:val="none" w:sz="0" w:space="0" w:color="auto"/>
      </w:divBdr>
    </w:div>
    <w:div w:id="677003462">
      <w:bodyDiv w:val="1"/>
      <w:marLeft w:val="0"/>
      <w:marRight w:val="0"/>
      <w:marTop w:val="0"/>
      <w:marBottom w:val="0"/>
      <w:divBdr>
        <w:top w:val="none" w:sz="0" w:space="0" w:color="auto"/>
        <w:left w:val="none" w:sz="0" w:space="0" w:color="auto"/>
        <w:bottom w:val="none" w:sz="0" w:space="0" w:color="auto"/>
        <w:right w:val="none" w:sz="0" w:space="0" w:color="auto"/>
      </w:divBdr>
    </w:div>
    <w:div w:id="677847845">
      <w:bodyDiv w:val="1"/>
      <w:marLeft w:val="0"/>
      <w:marRight w:val="0"/>
      <w:marTop w:val="0"/>
      <w:marBottom w:val="0"/>
      <w:divBdr>
        <w:top w:val="none" w:sz="0" w:space="0" w:color="auto"/>
        <w:left w:val="none" w:sz="0" w:space="0" w:color="auto"/>
        <w:bottom w:val="none" w:sz="0" w:space="0" w:color="auto"/>
        <w:right w:val="none" w:sz="0" w:space="0" w:color="auto"/>
      </w:divBdr>
    </w:div>
    <w:div w:id="678192380">
      <w:bodyDiv w:val="1"/>
      <w:marLeft w:val="0"/>
      <w:marRight w:val="0"/>
      <w:marTop w:val="0"/>
      <w:marBottom w:val="0"/>
      <w:divBdr>
        <w:top w:val="none" w:sz="0" w:space="0" w:color="auto"/>
        <w:left w:val="none" w:sz="0" w:space="0" w:color="auto"/>
        <w:bottom w:val="none" w:sz="0" w:space="0" w:color="auto"/>
        <w:right w:val="none" w:sz="0" w:space="0" w:color="auto"/>
      </w:divBdr>
    </w:div>
    <w:div w:id="680279377">
      <w:bodyDiv w:val="1"/>
      <w:marLeft w:val="0"/>
      <w:marRight w:val="0"/>
      <w:marTop w:val="0"/>
      <w:marBottom w:val="0"/>
      <w:divBdr>
        <w:top w:val="none" w:sz="0" w:space="0" w:color="auto"/>
        <w:left w:val="none" w:sz="0" w:space="0" w:color="auto"/>
        <w:bottom w:val="none" w:sz="0" w:space="0" w:color="auto"/>
        <w:right w:val="none" w:sz="0" w:space="0" w:color="auto"/>
      </w:divBdr>
    </w:div>
    <w:div w:id="680397174">
      <w:bodyDiv w:val="1"/>
      <w:marLeft w:val="0"/>
      <w:marRight w:val="0"/>
      <w:marTop w:val="0"/>
      <w:marBottom w:val="0"/>
      <w:divBdr>
        <w:top w:val="none" w:sz="0" w:space="0" w:color="auto"/>
        <w:left w:val="none" w:sz="0" w:space="0" w:color="auto"/>
        <w:bottom w:val="none" w:sz="0" w:space="0" w:color="auto"/>
        <w:right w:val="none" w:sz="0" w:space="0" w:color="auto"/>
      </w:divBdr>
    </w:div>
    <w:div w:id="680398989">
      <w:bodyDiv w:val="1"/>
      <w:marLeft w:val="0"/>
      <w:marRight w:val="0"/>
      <w:marTop w:val="0"/>
      <w:marBottom w:val="0"/>
      <w:divBdr>
        <w:top w:val="none" w:sz="0" w:space="0" w:color="auto"/>
        <w:left w:val="none" w:sz="0" w:space="0" w:color="auto"/>
        <w:bottom w:val="none" w:sz="0" w:space="0" w:color="auto"/>
        <w:right w:val="none" w:sz="0" w:space="0" w:color="auto"/>
      </w:divBdr>
    </w:div>
    <w:div w:id="681082316">
      <w:bodyDiv w:val="1"/>
      <w:marLeft w:val="0"/>
      <w:marRight w:val="0"/>
      <w:marTop w:val="0"/>
      <w:marBottom w:val="0"/>
      <w:divBdr>
        <w:top w:val="none" w:sz="0" w:space="0" w:color="auto"/>
        <w:left w:val="none" w:sz="0" w:space="0" w:color="auto"/>
        <w:bottom w:val="none" w:sz="0" w:space="0" w:color="auto"/>
        <w:right w:val="none" w:sz="0" w:space="0" w:color="auto"/>
      </w:divBdr>
    </w:div>
    <w:div w:id="683676034">
      <w:bodyDiv w:val="1"/>
      <w:marLeft w:val="0"/>
      <w:marRight w:val="0"/>
      <w:marTop w:val="0"/>
      <w:marBottom w:val="0"/>
      <w:divBdr>
        <w:top w:val="none" w:sz="0" w:space="0" w:color="auto"/>
        <w:left w:val="none" w:sz="0" w:space="0" w:color="auto"/>
        <w:bottom w:val="none" w:sz="0" w:space="0" w:color="auto"/>
        <w:right w:val="none" w:sz="0" w:space="0" w:color="auto"/>
      </w:divBdr>
    </w:div>
    <w:div w:id="687221155">
      <w:bodyDiv w:val="1"/>
      <w:marLeft w:val="0"/>
      <w:marRight w:val="0"/>
      <w:marTop w:val="0"/>
      <w:marBottom w:val="0"/>
      <w:divBdr>
        <w:top w:val="none" w:sz="0" w:space="0" w:color="auto"/>
        <w:left w:val="none" w:sz="0" w:space="0" w:color="auto"/>
        <w:bottom w:val="none" w:sz="0" w:space="0" w:color="auto"/>
        <w:right w:val="none" w:sz="0" w:space="0" w:color="auto"/>
      </w:divBdr>
    </w:div>
    <w:div w:id="687412152">
      <w:bodyDiv w:val="1"/>
      <w:marLeft w:val="0"/>
      <w:marRight w:val="0"/>
      <w:marTop w:val="0"/>
      <w:marBottom w:val="0"/>
      <w:divBdr>
        <w:top w:val="none" w:sz="0" w:space="0" w:color="auto"/>
        <w:left w:val="none" w:sz="0" w:space="0" w:color="auto"/>
        <w:bottom w:val="none" w:sz="0" w:space="0" w:color="auto"/>
        <w:right w:val="none" w:sz="0" w:space="0" w:color="auto"/>
      </w:divBdr>
    </w:div>
    <w:div w:id="695616688">
      <w:bodyDiv w:val="1"/>
      <w:marLeft w:val="0"/>
      <w:marRight w:val="0"/>
      <w:marTop w:val="0"/>
      <w:marBottom w:val="0"/>
      <w:divBdr>
        <w:top w:val="none" w:sz="0" w:space="0" w:color="auto"/>
        <w:left w:val="none" w:sz="0" w:space="0" w:color="auto"/>
        <w:bottom w:val="none" w:sz="0" w:space="0" w:color="auto"/>
        <w:right w:val="none" w:sz="0" w:space="0" w:color="auto"/>
      </w:divBdr>
    </w:div>
    <w:div w:id="696320525">
      <w:bodyDiv w:val="1"/>
      <w:marLeft w:val="0"/>
      <w:marRight w:val="0"/>
      <w:marTop w:val="0"/>
      <w:marBottom w:val="0"/>
      <w:divBdr>
        <w:top w:val="none" w:sz="0" w:space="0" w:color="auto"/>
        <w:left w:val="none" w:sz="0" w:space="0" w:color="auto"/>
        <w:bottom w:val="none" w:sz="0" w:space="0" w:color="auto"/>
        <w:right w:val="none" w:sz="0" w:space="0" w:color="auto"/>
      </w:divBdr>
    </w:div>
    <w:div w:id="698706941">
      <w:bodyDiv w:val="1"/>
      <w:marLeft w:val="0"/>
      <w:marRight w:val="0"/>
      <w:marTop w:val="0"/>
      <w:marBottom w:val="0"/>
      <w:divBdr>
        <w:top w:val="none" w:sz="0" w:space="0" w:color="auto"/>
        <w:left w:val="none" w:sz="0" w:space="0" w:color="auto"/>
        <w:bottom w:val="none" w:sz="0" w:space="0" w:color="auto"/>
        <w:right w:val="none" w:sz="0" w:space="0" w:color="auto"/>
      </w:divBdr>
    </w:div>
    <w:div w:id="701319975">
      <w:bodyDiv w:val="1"/>
      <w:marLeft w:val="0"/>
      <w:marRight w:val="0"/>
      <w:marTop w:val="0"/>
      <w:marBottom w:val="0"/>
      <w:divBdr>
        <w:top w:val="none" w:sz="0" w:space="0" w:color="auto"/>
        <w:left w:val="none" w:sz="0" w:space="0" w:color="auto"/>
        <w:bottom w:val="none" w:sz="0" w:space="0" w:color="auto"/>
        <w:right w:val="none" w:sz="0" w:space="0" w:color="auto"/>
      </w:divBdr>
    </w:div>
    <w:div w:id="702363050">
      <w:bodyDiv w:val="1"/>
      <w:marLeft w:val="0"/>
      <w:marRight w:val="0"/>
      <w:marTop w:val="0"/>
      <w:marBottom w:val="0"/>
      <w:divBdr>
        <w:top w:val="none" w:sz="0" w:space="0" w:color="auto"/>
        <w:left w:val="none" w:sz="0" w:space="0" w:color="auto"/>
        <w:bottom w:val="none" w:sz="0" w:space="0" w:color="auto"/>
        <w:right w:val="none" w:sz="0" w:space="0" w:color="auto"/>
      </w:divBdr>
    </w:div>
    <w:div w:id="703023485">
      <w:bodyDiv w:val="1"/>
      <w:marLeft w:val="0"/>
      <w:marRight w:val="0"/>
      <w:marTop w:val="0"/>
      <w:marBottom w:val="0"/>
      <w:divBdr>
        <w:top w:val="none" w:sz="0" w:space="0" w:color="auto"/>
        <w:left w:val="none" w:sz="0" w:space="0" w:color="auto"/>
        <w:bottom w:val="none" w:sz="0" w:space="0" w:color="auto"/>
        <w:right w:val="none" w:sz="0" w:space="0" w:color="auto"/>
      </w:divBdr>
    </w:div>
    <w:div w:id="705833941">
      <w:bodyDiv w:val="1"/>
      <w:marLeft w:val="0"/>
      <w:marRight w:val="0"/>
      <w:marTop w:val="0"/>
      <w:marBottom w:val="0"/>
      <w:divBdr>
        <w:top w:val="none" w:sz="0" w:space="0" w:color="auto"/>
        <w:left w:val="none" w:sz="0" w:space="0" w:color="auto"/>
        <w:bottom w:val="none" w:sz="0" w:space="0" w:color="auto"/>
        <w:right w:val="none" w:sz="0" w:space="0" w:color="auto"/>
      </w:divBdr>
    </w:div>
    <w:div w:id="707418054">
      <w:bodyDiv w:val="1"/>
      <w:marLeft w:val="0"/>
      <w:marRight w:val="0"/>
      <w:marTop w:val="0"/>
      <w:marBottom w:val="0"/>
      <w:divBdr>
        <w:top w:val="none" w:sz="0" w:space="0" w:color="auto"/>
        <w:left w:val="none" w:sz="0" w:space="0" w:color="auto"/>
        <w:bottom w:val="none" w:sz="0" w:space="0" w:color="auto"/>
        <w:right w:val="none" w:sz="0" w:space="0" w:color="auto"/>
      </w:divBdr>
    </w:div>
    <w:div w:id="707726177">
      <w:bodyDiv w:val="1"/>
      <w:marLeft w:val="0"/>
      <w:marRight w:val="0"/>
      <w:marTop w:val="0"/>
      <w:marBottom w:val="0"/>
      <w:divBdr>
        <w:top w:val="none" w:sz="0" w:space="0" w:color="auto"/>
        <w:left w:val="none" w:sz="0" w:space="0" w:color="auto"/>
        <w:bottom w:val="none" w:sz="0" w:space="0" w:color="auto"/>
        <w:right w:val="none" w:sz="0" w:space="0" w:color="auto"/>
      </w:divBdr>
    </w:div>
    <w:div w:id="707873788">
      <w:bodyDiv w:val="1"/>
      <w:marLeft w:val="0"/>
      <w:marRight w:val="0"/>
      <w:marTop w:val="0"/>
      <w:marBottom w:val="0"/>
      <w:divBdr>
        <w:top w:val="none" w:sz="0" w:space="0" w:color="auto"/>
        <w:left w:val="none" w:sz="0" w:space="0" w:color="auto"/>
        <w:bottom w:val="none" w:sz="0" w:space="0" w:color="auto"/>
        <w:right w:val="none" w:sz="0" w:space="0" w:color="auto"/>
      </w:divBdr>
    </w:div>
    <w:div w:id="710105641">
      <w:bodyDiv w:val="1"/>
      <w:marLeft w:val="0"/>
      <w:marRight w:val="0"/>
      <w:marTop w:val="0"/>
      <w:marBottom w:val="0"/>
      <w:divBdr>
        <w:top w:val="none" w:sz="0" w:space="0" w:color="auto"/>
        <w:left w:val="none" w:sz="0" w:space="0" w:color="auto"/>
        <w:bottom w:val="none" w:sz="0" w:space="0" w:color="auto"/>
        <w:right w:val="none" w:sz="0" w:space="0" w:color="auto"/>
      </w:divBdr>
    </w:div>
    <w:div w:id="710571289">
      <w:bodyDiv w:val="1"/>
      <w:marLeft w:val="0"/>
      <w:marRight w:val="0"/>
      <w:marTop w:val="0"/>
      <w:marBottom w:val="0"/>
      <w:divBdr>
        <w:top w:val="none" w:sz="0" w:space="0" w:color="auto"/>
        <w:left w:val="none" w:sz="0" w:space="0" w:color="auto"/>
        <w:bottom w:val="none" w:sz="0" w:space="0" w:color="auto"/>
        <w:right w:val="none" w:sz="0" w:space="0" w:color="auto"/>
      </w:divBdr>
    </w:div>
    <w:div w:id="712926882">
      <w:bodyDiv w:val="1"/>
      <w:marLeft w:val="0"/>
      <w:marRight w:val="0"/>
      <w:marTop w:val="0"/>
      <w:marBottom w:val="0"/>
      <w:divBdr>
        <w:top w:val="none" w:sz="0" w:space="0" w:color="auto"/>
        <w:left w:val="none" w:sz="0" w:space="0" w:color="auto"/>
        <w:bottom w:val="none" w:sz="0" w:space="0" w:color="auto"/>
        <w:right w:val="none" w:sz="0" w:space="0" w:color="auto"/>
      </w:divBdr>
    </w:div>
    <w:div w:id="713122359">
      <w:bodyDiv w:val="1"/>
      <w:marLeft w:val="0"/>
      <w:marRight w:val="0"/>
      <w:marTop w:val="0"/>
      <w:marBottom w:val="0"/>
      <w:divBdr>
        <w:top w:val="none" w:sz="0" w:space="0" w:color="auto"/>
        <w:left w:val="none" w:sz="0" w:space="0" w:color="auto"/>
        <w:bottom w:val="none" w:sz="0" w:space="0" w:color="auto"/>
        <w:right w:val="none" w:sz="0" w:space="0" w:color="auto"/>
      </w:divBdr>
    </w:div>
    <w:div w:id="714350669">
      <w:bodyDiv w:val="1"/>
      <w:marLeft w:val="0"/>
      <w:marRight w:val="0"/>
      <w:marTop w:val="0"/>
      <w:marBottom w:val="0"/>
      <w:divBdr>
        <w:top w:val="none" w:sz="0" w:space="0" w:color="auto"/>
        <w:left w:val="none" w:sz="0" w:space="0" w:color="auto"/>
        <w:bottom w:val="none" w:sz="0" w:space="0" w:color="auto"/>
        <w:right w:val="none" w:sz="0" w:space="0" w:color="auto"/>
      </w:divBdr>
    </w:div>
    <w:div w:id="714891650">
      <w:bodyDiv w:val="1"/>
      <w:marLeft w:val="0"/>
      <w:marRight w:val="0"/>
      <w:marTop w:val="0"/>
      <w:marBottom w:val="0"/>
      <w:divBdr>
        <w:top w:val="none" w:sz="0" w:space="0" w:color="auto"/>
        <w:left w:val="none" w:sz="0" w:space="0" w:color="auto"/>
        <w:bottom w:val="none" w:sz="0" w:space="0" w:color="auto"/>
        <w:right w:val="none" w:sz="0" w:space="0" w:color="auto"/>
      </w:divBdr>
    </w:div>
    <w:div w:id="716198921">
      <w:bodyDiv w:val="1"/>
      <w:marLeft w:val="0"/>
      <w:marRight w:val="0"/>
      <w:marTop w:val="0"/>
      <w:marBottom w:val="0"/>
      <w:divBdr>
        <w:top w:val="none" w:sz="0" w:space="0" w:color="auto"/>
        <w:left w:val="none" w:sz="0" w:space="0" w:color="auto"/>
        <w:bottom w:val="none" w:sz="0" w:space="0" w:color="auto"/>
        <w:right w:val="none" w:sz="0" w:space="0" w:color="auto"/>
      </w:divBdr>
    </w:div>
    <w:div w:id="717780054">
      <w:bodyDiv w:val="1"/>
      <w:marLeft w:val="0"/>
      <w:marRight w:val="0"/>
      <w:marTop w:val="0"/>
      <w:marBottom w:val="0"/>
      <w:divBdr>
        <w:top w:val="none" w:sz="0" w:space="0" w:color="auto"/>
        <w:left w:val="none" w:sz="0" w:space="0" w:color="auto"/>
        <w:bottom w:val="none" w:sz="0" w:space="0" w:color="auto"/>
        <w:right w:val="none" w:sz="0" w:space="0" w:color="auto"/>
      </w:divBdr>
    </w:div>
    <w:div w:id="719595389">
      <w:bodyDiv w:val="1"/>
      <w:marLeft w:val="0"/>
      <w:marRight w:val="0"/>
      <w:marTop w:val="0"/>
      <w:marBottom w:val="0"/>
      <w:divBdr>
        <w:top w:val="none" w:sz="0" w:space="0" w:color="auto"/>
        <w:left w:val="none" w:sz="0" w:space="0" w:color="auto"/>
        <w:bottom w:val="none" w:sz="0" w:space="0" w:color="auto"/>
        <w:right w:val="none" w:sz="0" w:space="0" w:color="auto"/>
      </w:divBdr>
    </w:div>
    <w:div w:id="720328876">
      <w:bodyDiv w:val="1"/>
      <w:marLeft w:val="0"/>
      <w:marRight w:val="0"/>
      <w:marTop w:val="0"/>
      <w:marBottom w:val="0"/>
      <w:divBdr>
        <w:top w:val="none" w:sz="0" w:space="0" w:color="auto"/>
        <w:left w:val="none" w:sz="0" w:space="0" w:color="auto"/>
        <w:bottom w:val="none" w:sz="0" w:space="0" w:color="auto"/>
        <w:right w:val="none" w:sz="0" w:space="0" w:color="auto"/>
      </w:divBdr>
    </w:div>
    <w:div w:id="720593291">
      <w:bodyDiv w:val="1"/>
      <w:marLeft w:val="0"/>
      <w:marRight w:val="0"/>
      <w:marTop w:val="0"/>
      <w:marBottom w:val="0"/>
      <w:divBdr>
        <w:top w:val="none" w:sz="0" w:space="0" w:color="auto"/>
        <w:left w:val="none" w:sz="0" w:space="0" w:color="auto"/>
        <w:bottom w:val="none" w:sz="0" w:space="0" w:color="auto"/>
        <w:right w:val="none" w:sz="0" w:space="0" w:color="auto"/>
      </w:divBdr>
    </w:div>
    <w:div w:id="721826078">
      <w:bodyDiv w:val="1"/>
      <w:marLeft w:val="0"/>
      <w:marRight w:val="0"/>
      <w:marTop w:val="0"/>
      <w:marBottom w:val="0"/>
      <w:divBdr>
        <w:top w:val="none" w:sz="0" w:space="0" w:color="auto"/>
        <w:left w:val="none" w:sz="0" w:space="0" w:color="auto"/>
        <w:bottom w:val="none" w:sz="0" w:space="0" w:color="auto"/>
        <w:right w:val="none" w:sz="0" w:space="0" w:color="auto"/>
      </w:divBdr>
    </w:div>
    <w:div w:id="726300550">
      <w:bodyDiv w:val="1"/>
      <w:marLeft w:val="0"/>
      <w:marRight w:val="0"/>
      <w:marTop w:val="0"/>
      <w:marBottom w:val="0"/>
      <w:divBdr>
        <w:top w:val="none" w:sz="0" w:space="0" w:color="auto"/>
        <w:left w:val="none" w:sz="0" w:space="0" w:color="auto"/>
        <w:bottom w:val="none" w:sz="0" w:space="0" w:color="auto"/>
        <w:right w:val="none" w:sz="0" w:space="0" w:color="auto"/>
      </w:divBdr>
    </w:div>
    <w:div w:id="727146566">
      <w:bodyDiv w:val="1"/>
      <w:marLeft w:val="0"/>
      <w:marRight w:val="0"/>
      <w:marTop w:val="0"/>
      <w:marBottom w:val="0"/>
      <w:divBdr>
        <w:top w:val="none" w:sz="0" w:space="0" w:color="auto"/>
        <w:left w:val="none" w:sz="0" w:space="0" w:color="auto"/>
        <w:bottom w:val="none" w:sz="0" w:space="0" w:color="auto"/>
        <w:right w:val="none" w:sz="0" w:space="0" w:color="auto"/>
      </w:divBdr>
    </w:div>
    <w:div w:id="727343157">
      <w:bodyDiv w:val="1"/>
      <w:marLeft w:val="0"/>
      <w:marRight w:val="0"/>
      <w:marTop w:val="0"/>
      <w:marBottom w:val="0"/>
      <w:divBdr>
        <w:top w:val="none" w:sz="0" w:space="0" w:color="auto"/>
        <w:left w:val="none" w:sz="0" w:space="0" w:color="auto"/>
        <w:bottom w:val="none" w:sz="0" w:space="0" w:color="auto"/>
        <w:right w:val="none" w:sz="0" w:space="0" w:color="auto"/>
      </w:divBdr>
    </w:div>
    <w:div w:id="729234622">
      <w:bodyDiv w:val="1"/>
      <w:marLeft w:val="0"/>
      <w:marRight w:val="0"/>
      <w:marTop w:val="0"/>
      <w:marBottom w:val="0"/>
      <w:divBdr>
        <w:top w:val="none" w:sz="0" w:space="0" w:color="auto"/>
        <w:left w:val="none" w:sz="0" w:space="0" w:color="auto"/>
        <w:bottom w:val="none" w:sz="0" w:space="0" w:color="auto"/>
        <w:right w:val="none" w:sz="0" w:space="0" w:color="auto"/>
      </w:divBdr>
    </w:div>
    <w:div w:id="731002916">
      <w:bodyDiv w:val="1"/>
      <w:marLeft w:val="0"/>
      <w:marRight w:val="0"/>
      <w:marTop w:val="0"/>
      <w:marBottom w:val="0"/>
      <w:divBdr>
        <w:top w:val="none" w:sz="0" w:space="0" w:color="auto"/>
        <w:left w:val="none" w:sz="0" w:space="0" w:color="auto"/>
        <w:bottom w:val="none" w:sz="0" w:space="0" w:color="auto"/>
        <w:right w:val="none" w:sz="0" w:space="0" w:color="auto"/>
      </w:divBdr>
    </w:div>
    <w:div w:id="732044570">
      <w:bodyDiv w:val="1"/>
      <w:marLeft w:val="0"/>
      <w:marRight w:val="0"/>
      <w:marTop w:val="0"/>
      <w:marBottom w:val="0"/>
      <w:divBdr>
        <w:top w:val="none" w:sz="0" w:space="0" w:color="auto"/>
        <w:left w:val="none" w:sz="0" w:space="0" w:color="auto"/>
        <w:bottom w:val="none" w:sz="0" w:space="0" w:color="auto"/>
        <w:right w:val="none" w:sz="0" w:space="0" w:color="auto"/>
      </w:divBdr>
    </w:div>
    <w:div w:id="732697009">
      <w:bodyDiv w:val="1"/>
      <w:marLeft w:val="0"/>
      <w:marRight w:val="0"/>
      <w:marTop w:val="0"/>
      <w:marBottom w:val="0"/>
      <w:divBdr>
        <w:top w:val="none" w:sz="0" w:space="0" w:color="auto"/>
        <w:left w:val="none" w:sz="0" w:space="0" w:color="auto"/>
        <w:bottom w:val="none" w:sz="0" w:space="0" w:color="auto"/>
        <w:right w:val="none" w:sz="0" w:space="0" w:color="auto"/>
      </w:divBdr>
    </w:div>
    <w:div w:id="732897455">
      <w:bodyDiv w:val="1"/>
      <w:marLeft w:val="0"/>
      <w:marRight w:val="0"/>
      <w:marTop w:val="0"/>
      <w:marBottom w:val="0"/>
      <w:divBdr>
        <w:top w:val="none" w:sz="0" w:space="0" w:color="auto"/>
        <w:left w:val="none" w:sz="0" w:space="0" w:color="auto"/>
        <w:bottom w:val="none" w:sz="0" w:space="0" w:color="auto"/>
        <w:right w:val="none" w:sz="0" w:space="0" w:color="auto"/>
      </w:divBdr>
    </w:div>
    <w:div w:id="733744030">
      <w:bodyDiv w:val="1"/>
      <w:marLeft w:val="0"/>
      <w:marRight w:val="0"/>
      <w:marTop w:val="0"/>
      <w:marBottom w:val="0"/>
      <w:divBdr>
        <w:top w:val="none" w:sz="0" w:space="0" w:color="auto"/>
        <w:left w:val="none" w:sz="0" w:space="0" w:color="auto"/>
        <w:bottom w:val="none" w:sz="0" w:space="0" w:color="auto"/>
        <w:right w:val="none" w:sz="0" w:space="0" w:color="auto"/>
      </w:divBdr>
    </w:div>
    <w:div w:id="735932129">
      <w:bodyDiv w:val="1"/>
      <w:marLeft w:val="0"/>
      <w:marRight w:val="0"/>
      <w:marTop w:val="0"/>
      <w:marBottom w:val="0"/>
      <w:divBdr>
        <w:top w:val="none" w:sz="0" w:space="0" w:color="auto"/>
        <w:left w:val="none" w:sz="0" w:space="0" w:color="auto"/>
        <w:bottom w:val="none" w:sz="0" w:space="0" w:color="auto"/>
        <w:right w:val="none" w:sz="0" w:space="0" w:color="auto"/>
      </w:divBdr>
    </w:div>
    <w:div w:id="736823015">
      <w:bodyDiv w:val="1"/>
      <w:marLeft w:val="0"/>
      <w:marRight w:val="0"/>
      <w:marTop w:val="0"/>
      <w:marBottom w:val="0"/>
      <w:divBdr>
        <w:top w:val="none" w:sz="0" w:space="0" w:color="auto"/>
        <w:left w:val="none" w:sz="0" w:space="0" w:color="auto"/>
        <w:bottom w:val="none" w:sz="0" w:space="0" w:color="auto"/>
        <w:right w:val="none" w:sz="0" w:space="0" w:color="auto"/>
      </w:divBdr>
    </w:div>
    <w:div w:id="739014828">
      <w:bodyDiv w:val="1"/>
      <w:marLeft w:val="0"/>
      <w:marRight w:val="0"/>
      <w:marTop w:val="0"/>
      <w:marBottom w:val="0"/>
      <w:divBdr>
        <w:top w:val="none" w:sz="0" w:space="0" w:color="auto"/>
        <w:left w:val="none" w:sz="0" w:space="0" w:color="auto"/>
        <w:bottom w:val="none" w:sz="0" w:space="0" w:color="auto"/>
        <w:right w:val="none" w:sz="0" w:space="0" w:color="auto"/>
      </w:divBdr>
    </w:div>
    <w:div w:id="739710840">
      <w:bodyDiv w:val="1"/>
      <w:marLeft w:val="0"/>
      <w:marRight w:val="0"/>
      <w:marTop w:val="0"/>
      <w:marBottom w:val="0"/>
      <w:divBdr>
        <w:top w:val="none" w:sz="0" w:space="0" w:color="auto"/>
        <w:left w:val="none" w:sz="0" w:space="0" w:color="auto"/>
        <w:bottom w:val="none" w:sz="0" w:space="0" w:color="auto"/>
        <w:right w:val="none" w:sz="0" w:space="0" w:color="auto"/>
      </w:divBdr>
    </w:div>
    <w:div w:id="740099841">
      <w:bodyDiv w:val="1"/>
      <w:marLeft w:val="0"/>
      <w:marRight w:val="0"/>
      <w:marTop w:val="0"/>
      <w:marBottom w:val="0"/>
      <w:divBdr>
        <w:top w:val="none" w:sz="0" w:space="0" w:color="auto"/>
        <w:left w:val="none" w:sz="0" w:space="0" w:color="auto"/>
        <w:bottom w:val="none" w:sz="0" w:space="0" w:color="auto"/>
        <w:right w:val="none" w:sz="0" w:space="0" w:color="auto"/>
      </w:divBdr>
    </w:div>
    <w:div w:id="752899666">
      <w:bodyDiv w:val="1"/>
      <w:marLeft w:val="0"/>
      <w:marRight w:val="0"/>
      <w:marTop w:val="0"/>
      <w:marBottom w:val="0"/>
      <w:divBdr>
        <w:top w:val="none" w:sz="0" w:space="0" w:color="auto"/>
        <w:left w:val="none" w:sz="0" w:space="0" w:color="auto"/>
        <w:bottom w:val="none" w:sz="0" w:space="0" w:color="auto"/>
        <w:right w:val="none" w:sz="0" w:space="0" w:color="auto"/>
      </w:divBdr>
    </w:div>
    <w:div w:id="754479116">
      <w:bodyDiv w:val="1"/>
      <w:marLeft w:val="0"/>
      <w:marRight w:val="0"/>
      <w:marTop w:val="0"/>
      <w:marBottom w:val="0"/>
      <w:divBdr>
        <w:top w:val="none" w:sz="0" w:space="0" w:color="auto"/>
        <w:left w:val="none" w:sz="0" w:space="0" w:color="auto"/>
        <w:bottom w:val="none" w:sz="0" w:space="0" w:color="auto"/>
        <w:right w:val="none" w:sz="0" w:space="0" w:color="auto"/>
      </w:divBdr>
    </w:div>
    <w:div w:id="756285965">
      <w:bodyDiv w:val="1"/>
      <w:marLeft w:val="0"/>
      <w:marRight w:val="0"/>
      <w:marTop w:val="0"/>
      <w:marBottom w:val="0"/>
      <w:divBdr>
        <w:top w:val="none" w:sz="0" w:space="0" w:color="auto"/>
        <w:left w:val="none" w:sz="0" w:space="0" w:color="auto"/>
        <w:bottom w:val="none" w:sz="0" w:space="0" w:color="auto"/>
        <w:right w:val="none" w:sz="0" w:space="0" w:color="auto"/>
      </w:divBdr>
    </w:div>
    <w:div w:id="762799938">
      <w:bodyDiv w:val="1"/>
      <w:marLeft w:val="0"/>
      <w:marRight w:val="0"/>
      <w:marTop w:val="0"/>
      <w:marBottom w:val="0"/>
      <w:divBdr>
        <w:top w:val="none" w:sz="0" w:space="0" w:color="auto"/>
        <w:left w:val="none" w:sz="0" w:space="0" w:color="auto"/>
        <w:bottom w:val="none" w:sz="0" w:space="0" w:color="auto"/>
        <w:right w:val="none" w:sz="0" w:space="0" w:color="auto"/>
      </w:divBdr>
    </w:div>
    <w:div w:id="763575682">
      <w:bodyDiv w:val="1"/>
      <w:marLeft w:val="0"/>
      <w:marRight w:val="0"/>
      <w:marTop w:val="0"/>
      <w:marBottom w:val="0"/>
      <w:divBdr>
        <w:top w:val="none" w:sz="0" w:space="0" w:color="auto"/>
        <w:left w:val="none" w:sz="0" w:space="0" w:color="auto"/>
        <w:bottom w:val="none" w:sz="0" w:space="0" w:color="auto"/>
        <w:right w:val="none" w:sz="0" w:space="0" w:color="auto"/>
      </w:divBdr>
    </w:div>
    <w:div w:id="765466382">
      <w:bodyDiv w:val="1"/>
      <w:marLeft w:val="0"/>
      <w:marRight w:val="0"/>
      <w:marTop w:val="0"/>
      <w:marBottom w:val="0"/>
      <w:divBdr>
        <w:top w:val="none" w:sz="0" w:space="0" w:color="auto"/>
        <w:left w:val="none" w:sz="0" w:space="0" w:color="auto"/>
        <w:bottom w:val="none" w:sz="0" w:space="0" w:color="auto"/>
        <w:right w:val="none" w:sz="0" w:space="0" w:color="auto"/>
      </w:divBdr>
    </w:div>
    <w:div w:id="765735018">
      <w:bodyDiv w:val="1"/>
      <w:marLeft w:val="0"/>
      <w:marRight w:val="0"/>
      <w:marTop w:val="0"/>
      <w:marBottom w:val="0"/>
      <w:divBdr>
        <w:top w:val="none" w:sz="0" w:space="0" w:color="auto"/>
        <w:left w:val="none" w:sz="0" w:space="0" w:color="auto"/>
        <w:bottom w:val="none" w:sz="0" w:space="0" w:color="auto"/>
        <w:right w:val="none" w:sz="0" w:space="0" w:color="auto"/>
      </w:divBdr>
    </w:div>
    <w:div w:id="766002470">
      <w:bodyDiv w:val="1"/>
      <w:marLeft w:val="0"/>
      <w:marRight w:val="0"/>
      <w:marTop w:val="0"/>
      <w:marBottom w:val="0"/>
      <w:divBdr>
        <w:top w:val="none" w:sz="0" w:space="0" w:color="auto"/>
        <w:left w:val="none" w:sz="0" w:space="0" w:color="auto"/>
        <w:bottom w:val="none" w:sz="0" w:space="0" w:color="auto"/>
        <w:right w:val="none" w:sz="0" w:space="0" w:color="auto"/>
      </w:divBdr>
    </w:div>
    <w:div w:id="766386350">
      <w:bodyDiv w:val="1"/>
      <w:marLeft w:val="0"/>
      <w:marRight w:val="0"/>
      <w:marTop w:val="0"/>
      <w:marBottom w:val="0"/>
      <w:divBdr>
        <w:top w:val="none" w:sz="0" w:space="0" w:color="auto"/>
        <w:left w:val="none" w:sz="0" w:space="0" w:color="auto"/>
        <w:bottom w:val="none" w:sz="0" w:space="0" w:color="auto"/>
        <w:right w:val="none" w:sz="0" w:space="0" w:color="auto"/>
      </w:divBdr>
    </w:div>
    <w:div w:id="767386467">
      <w:bodyDiv w:val="1"/>
      <w:marLeft w:val="0"/>
      <w:marRight w:val="0"/>
      <w:marTop w:val="0"/>
      <w:marBottom w:val="0"/>
      <w:divBdr>
        <w:top w:val="none" w:sz="0" w:space="0" w:color="auto"/>
        <w:left w:val="none" w:sz="0" w:space="0" w:color="auto"/>
        <w:bottom w:val="none" w:sz="0" w:space="0" w:color="auto"/>
        <w:right w:val="none" w:sz="0" w:space="0" w:color="auto"/>
      </w:divBdr>
    </w:div>
    <w:div w:id="768934059">
      <w:bodyDiv w:val="1"/>
      <w:marLeft w:val="0"/>
      <w:marRight w:val="0"/>
      <w:marTop w:val="0"/>
      <w:marBottom w:val="0"/>
      <w:divBdr>
        <w:top w:val="none" w:sz="0" w:space="0" w:color="auto"/>
        <w:left w:val="none" w:sz="0" w:space="0" w:color="auto"/>
        <w:bottom w:val="none" w:sz="0" w:space="0" w:color="auto"/>
        <w:right w:val="none" w:sz="0" w:space="0" w:color="auto"/>
      </w:divBdr>
    </w:div>
    <w:div w:id="774327515">
      <w:bodyDiv w:val="1"/>
      <w:marLeft w:val="0"/>
      <w:marRight w:val="0"/>
      <w:marTop w:val="0"/>
      <w:marBottom w:val="0"/>
      <w:divBdr>
        <w:top w:val="none" w:sz="0" w:space="0" w:color="auto"/>
        <w:left w:val="none" w:sz="0" w:space="0" w:color="auto"/>
        <w:bottom w:val="none" w:sz="0" w:space="0" w:color="auto"/>
        <w:right w:val="none" w:sz="0" w:space="0" w:color="auto"/>
      </w:divBdr>
    </w:div>
    <w:div w:id="775372137">
      <w:bodyDiv w:val="1"/>
      <w:marLeft w:val="0"/>
      <w:marRight w:val="0"/>
      <w:marTop w:val="0"/>
      <w:marBottom w:val="0"/>
      <w:divBdr>
        <w:top w:val="none" w:sz="0" w:space="0" w:color="auto"/>
        <w:left w:val="none" w:sz="0" w:space="0" w:color="auto"/>
        <w:bottom w:val="none" w:sz="0" w:space="0" w:color="auto"/>
        <w:right w:val="none" w:sz="0" w:space="0" w:color="auto"/>
      </w:divBdr>
    </w:div>
    <w:div w:id="776019336">
      <w:bodyDiv w:val="1"/>
      <w:marLeft w:val="0"/>
      <w:marRight w:val="0"/>
      <w:marTop w:val="0"/>
      <w:marBottom w:val="0"/>
      <w:divBdr>
        <w:top w:val="none" w:sz="0" w:space="0" w:color="auto"/>
        <w:left w:val="none" w:sz="0" w:space="0" w:color="auto"/>
        <w:bottom w:val="none" w:sz="0" w:space="0" w:color="auto"/>
        <w:right w:val="none" w:sz="0" w:space="0" w:color="auto"/>
      </w:divBdr>
    </w:div>
    <w:div w:id="776558056">
      <w:bodyDiv w:val="1"/>
      <w:marLeft w:val="0"/>
      <w:marRight w:val="0"/>
      <w:marTop w:val="0"/>
      <w:marBottom w:val="0"/>
      <w:divBdr>
        <w:top w:val="none" w:sz="0" w:space="0" w:color="auto"/>
        <w:left w:val="none" w:sz="0" w:space="0" w:color="auto"/>
        <w:bottom w:val="none" w:sz="0" w:space="0" w:color="auto"/>
        <w:right w:val="none" w:sz="0" w:space="0" w:color="auto"/>
      </w:divBdr>
    </w:div>
    <w:div w:id="778258245">
      <w:bodyDiv w:val="1"/>
      <w:marLeft w:val="0"/>
      <w:marRight w:val="0"/>
      <w:marTop w:val="0"/>
      <w:marBottom w:val="0"/>
      <w:divBdr>
        <w:top w:val="none" w:sz="0" w:space="0" w:color="auto"/>
        <w:left w:val="none" w:sz="0" w:space="0" w:color="auto"/>
        <w:bottom w:val="none" w:sz="0" w:space="0" w:color="auto"/>
        <w:right w:val="none" w:sz="0" w:space="0" w:color="auto"/>
      </w:divBdr>
    </w:div>
    <w:div w:id="779639640">
      <w:bodyDiv w:val="1"/>
      <w:marLeft w:val="0"/>
      <w:marRight w:val="0"/>
      <w:marTop w:val="0"/>
      <w:marBottom w:val="0"/>
      <w:divBdr>
        <w:top w:val="none" w:sz="0" w:space="0" w:color="auto"/>
        <w:left w:val="none" w:sz="0" w:space="0" w:color="auto"/>
        <w:bottom w:val="none" w:sz="0" w:space="0" w:color="auto"/>
        <w:right w:val="none" w:sz="0" w:space="0" w:color="auto"/>
      </w:divBdr>
    </w:div>
    <w:div w:id="779641816">
      <w:bodyDiv w:val="1"/>
      <w:marLeft w:val="0"/>
      <w:marRight w:val="0"/>
      <w:marTop w:val="0"/>
      <w:marBottom w:val="0"/>
      <w:divBdr>
        <w:top w:val="none" w:sz="0" w:space="0" w:color="auto"/>
        <w:left w:val="none" w:sz="0" w:space="0" w:color="auto"/>
        <w:bottom w:val="none" w:sz="0" w:space="0" w:color="auto"/>
        <w:right w:val="none" w:sz="0" w:space="0" w:color="auto"/>
      </w:divBdr>
    </w:div>
    <w:div w:id="781455112">
      <w:bodyDiv w:val="1"/>
      <w:marLeft w:val="0"/>
      <w:marRight w:val="0"/>
      <w:marTop w:val="0"/>
      <w:marBottom w:val="0"/>
      <w:divBdr>
        <w:top w:val="none" w:sz="0" w:space="0" w:color="auto"/>
        <w:left w:val="none" w:sz="0" w:space="0" w:color="auto"/>
        <w:bottom w:val="none" w:sz="0" w:space="0" w:color="auto"/>
        <w:right w:val="none" w:sz="0" w:space="0" w:color="auto"/>
      </w:divBdr>
    </w:div>
    <w:div w:id="782112581">
      <w:bodyDiv w:val="1"/>
      <w:marLeft w:val="0"/>
      <w:marRight w:val="0"/>
      <w:marTop w:val="0"/>
      <w:marBottom w:val="0"/>
      <w:divBdr>
        <w:top w:val="none" w:sz="0" w:space="0" w:color="auto"/>
        <w:left w:val="none" w:sz="0" w:space="0" w:color="auto"/>
        <w:bottom w:val="none" w:sz="0" w:space="0" w:color="auto"/>
        <w:right w:val="none" w:sz="0" w:space="0" w:color="auto"/>
      </w:divBdr>
    </w:div>
    <w:div w:id="782186770">
      <w:bodyDiv w:val="1"/>
      <w:marLeft w:val="0"/>
      <w:marRight w:val="0"/>
      <w:marTop w:val="0"/>
      <w:marBottom w:val="0"/>
      <w:divBdr>
        <w:top w:val="none" w:sz="0" w:space="0" w:color="auto"/>
        <w:left w:val="none" w:sz="0" w:space="0" w:color="auto"/>
        <w:bottom w:val="none" w:sz="0" w:space="0" w:color="auto"/>
        <w:right w:val="none" w:sz="0" w:space="0" w:color="auto"/>
      </w:divBdr>
    </w:div>
    <w:div w:id="784885521">
      <w:bodyDiv w:val="1"/>
      <w:marLeft w:val="0"/>
      <w:marRight w:val="0"/>
      <w:marTop w:val="0"/>
      <w:marBottom w:val="0"/>
      <w:divBdr>
        <w:top w:val="none" w:sz="0" w:space="0" w:color="auto"/>
        <w:left w:val="none" w:sz="0" w:space="0" w:color="auto"/>
        <w:bottom w:val="none" w:sz="0" w:space="0" w:color="auto"/>
        <w:right w:val="none" w:sz="0" w:space="0" w:color="auto"/>
      </w:divBdr>
    </w:div>
    <w:div w:id="784929937">
      <w:bodyDiv w:val="1"/>
      <w:marLeft w:val="0"/>
      <w:marRight w:val="0"/>
      <w:marTop w:val="0"/>
      <w:marBottom w:val="0"/>
      <w:divBdr>
        <w:top w:val="none" w:sz="0" w:space="0" w:color="auto"/>
        <w:left w:val="none" w:sz="0" w:space="0" w:color="auto"/>
        <w:bottom w:val="none" w:sz="0" w:space="0" w:color="auto"/>
        <w:right w:val="none" w:sz="0" w:space="0" w:color="auto"/>
      </w:divBdr>
    </w:div>
    <w:div w:id="785540648">
      <w:bodyDiv w:val="1"/>
      <w:marLeft w:val="0"/>
      <w:marRight w:val="0"/>
      <w:marTop w:val="0"/>
      <w:marBottom w:val="0"/>
      <w:divBdr>
        <w:top w:val="none" w:sz="0" w:space="0" w:color="auto"/>
        <w:left w:val="none" w:sz="0" w:space="0" w:color="auto"/>
        <w:bottom w:val="none" w:sz="0" w:space="0" w:color="auto"/>
        <w:right w:val="none" w:sz="0" w:space="0" w:color="auto"/>
      </w:divBdr>
    </w:div>
    <w:div w:id="787701311">
      <w:bodyDiv w:val="1"/>
      <w:marLeft w:val="0"/>
      <w:marRight w:val="0"/>
      <w:marTop w:val="0"/>
      <w:marBottom w:val="0"/>
      <w:divBdr>
        <w:top w:val="none" w:sz="0" w:space="0" w:color="auto"/>
        <w:left w:val="none" w:sz="0" w:space="0" w:color="auto"/>
        <w:bottom w:val="none" w:sz="0" w:space="0" w:color="auto"/>
        <w:right w:val="none" w:sz="0" w:space="0" w:color="auto"/>
      </w:divBdr>
    </w:div>
    <w:div w:id="792485326">
      <w:bodyDiv w:val="1"/>
      <w:marLeft w:val="0"/>
      <w:marRight w:val="0"/>
      <w:marTop w:val="0"/>
      <w:marBottom w:val="0"/>
      <w:divBdr>
        <w:top w:val="none" w:sz="0" w:space="0" w:color="auto"/>
        <w:left w:val="none" w:sz="0" w:space="0" w:color="auto"/>
        <w:bottom w:val="none" w:sz="0" w:space="0" w:color="auto"/>
        <w:right w:val="none" w:sz="0" w:space="0" w:color="auto"/>
      </w:divBdr>
    </w:div>
    <w:div w:id="793255095">
      <w:bodyDiv w:val="1"/>
      <w:marLeft w:val="0"/>
      <w:marRight w:val="0"/>
      <w:marTop w:val="0"/>
      <w:marBottom w:val="0"/>
      <w:divBdr>
        <w:top w:val="none" w:sz="0" w:space="0" w:color="auto"/>
        <w:left w:val="none" w:sz="0" w:space="0" w:color="auto"/>
        <w:bottom w:val="none" w:sz="0" w:space="0" w:color="auto"/>
        <w:right w:val="none" w:sz="0" w:space="0" w:color="auto"/>
      </w:divBdr>
    </w:div>
    <w:div w:id="793476329">
      <w:bodyDiv w:val="1"/>
      <w:marLeft w:val="0"/>
      <w:marRight w:val="0"/>
      <w:marTop w:val="0"/>
      <w:marBottom w:val="0"/>
      <w:divBdr>
        <w:top w:val="none" w:sz="0" w:space="0" w:color="auto"/>
        <w:left w:val="none" w:sz="0" w:space="0" w:color="auto"/>
        <w:bottom w:val="none" w:sz="0" w:space="0" w:color="auto"/>
        <w:right w:val="none" w:sz="0" w:space="0" w:color="auto"/>
      </w:divBdr>
    </w:div>
    <w:div w:id="793838877">
      <w:bodyDiv w:val="1"/>
      <w:marLeft w:val="0"/>
      <w:marRight w:val="0"/>
      <w:marTop w:val="0"/>
      <w:marBottom w:val="0"/>
      <w:divBdr>
        <w:top w:val="none" w:sz="0" w:space="0" w:color="auto"/>
        <w:left w:val="none" w:sz="0" w:space="0" w:color="auto"/>
        <w:bottom w:val="none" w:sz="0" w:space="0" w:color="auto"/>
        <w:right w:val="none" w:sz="0" w:space="0" w:color="auto"/>
      </w:divBdr>
    </w:div>
    <w:div w:id="794252418">
      <w:bodyDiv w:val="1"/>
      <w:marLeft w:val="0"/>
      <w:marRight w:val="0"/>
      <w:marTop w:val="0"/>
      <w:marBottom w:val="0"/>
      <w:divBdr>
        <w:top w:val="none" w:sz="0" w:space="0" w:color="auto"/>
        <w:left w:val="none" w:sz="0" w:space="0" w:color="auto"/>
        <w:bottom w:val="none" w:sz="0" w:space="0" w:color="auto"/>
        <w:right w:val="none" w:sz="0" w:space="0" w:color="auto"/>
      </w:divBdr>
    </w:div>
    <w:div w:id="797532840">
      <w:bodyDiv w:val="1"/>
      <w:marLeft w:val="0"/>
      <w:marRight w:val="0"/>
      <w:marTop w:val="0"/>
      <w:marBottom w:val="0"/>
      <w:divBdr>
        <w:top w:val="none" w:sz="0" w:space="0" w:color="auto"/>
        <w:left w:val="none" w:sz="0" w:space="0" w:color="auto"/>
        <w:bottom w:val="none" w:sz="0" w:space="0" w:color="auto"/>
        <w:right w:val="none" w:sz="0" w:space="0" w:color="auto"/>
      </w:divBdr>
    </w:div>
    <w:div w:id="801458561">
      <w:bodyDiv w:val="1"/>
      <w:marLeft w:val="0"/>
      <w:marRight w:val="0"/>
      <w:marTop w:val="0"/>
      <w:marBottom w:val="0"/>
      <w:divBdr>
        <w:top w:val="none" w:sz="0" w:space="0" w:color="auto"/>
        <w:left w:val="none" w:sz="0" w:space="0" w:color="auto"/>
        <w:bottom w:val="none" w:sz="0" w:space="0" w:color="auto"/>
        <w:right w:val="none" w:sz="0" w:space="0" w:color="auto"/>
      </w:divBdr>
    </w:div>
    <w:div w:id="801923051">
      <w:bodyDiv w:val="1"/>
      <w:marLeft w:val="0"/>
      <w:marRight w:val="0"/>
      <w:marTop w:val="0"/>
      <w:marBottom w:val="0"/>
      <w:divBdr>
        <w:top w:val="none" w:sz="0" w:space="0" w:color="auto"/>
        <w:left w:val="none" w:sz="0" w:space="0" w:color="auto"/>
        <w:bottom w:val="none" w:sz="0" w:space="0" w:color="auto"/>
        <w:right w:val="none" w:sz="0" w:space="0" w:color="auto"/>
      </w:divBdr>
    </w:div>
    <w:div w:id="802308344">
      <w:bodyDiv w:val="1"/>
      <w:marLeft w:val="0"/>
      <w:marRight w:val="0"/>
      <w:marTop w:val="0"/>
      <w:marBottom w:val="0"/>
      <w:divBdr>
        <w:top w:val="none" w:sz="0" w:space="0" w:color="auto"/>
        <w:left w:val="none" w:sz="0" w:space="0" w:color="auto"/>
        <w:bottom w:val="none" w:sz="0" w:space="0" w:color="auto"/>
        <w:right w:val="none" w:sz="0" w:space="0" w:color="auto"/>
      </w:divBdr>
    </w:div>
    <w:div w:id="802574128">
      <w:bodyDiv w:val="1"/>
      <w:marLeft w:val="0"/>
      <w:marRight w:val="0"/>
      <w:marTop w:val="0"/>
      <w:marBottom w:val="0"/>
      <w:divBdr>
        <w:top w:val="none" w:sz="0" w:space="0" w:color="auto"/>
        <w:left w:val="none" w:sz="0" w:space="0" w:color="auto"/>
        <w:bottom w:val="none" w:sz="0" w:space="0" w:color="auto"/>
        <w:right w:val="none" w:sz="0" w:space="0" w:color="auto"/>
      </w:divBdr>
    </w:div>
    <w:div w:id="802963363">
      <w:bodyDiv w:val="1"/>
      <w:marLeft w:val="0"/>
      <w:marRight w:val="0"/>
      <w:marTop w:val="0"/>
      <w:marBottom w:val="0"/>
      <w:divBdr>
        <w:top w:val="none" w:sz="0" w:space="0" w:color="auto"/>
        <w:left w:val="none" w:sz="0" w:space="0" w:color="auto"/>
        <w:bottom w:val="none" w:sz="0" w:space="0" w:color="auto"/>
        <w:right w:val="none" w:sz="0" w:space="0" w:color="auto"/>
      </w:divBdr>
    </w:div>
    <w:div w:id="803159164">
      <w:bodyDiv w:val="1"/>
      <w:marLeft w:val="0"/>
      <w:marRight w:val="0"/>
      <w:marTop w:val="0"/>
      <w:marBottom w:val="0"/>
      <w:divBdr>
        <w:top w:val="none" w:sz="0" w:space="0" w:color="auto"/>
        <w:left w:val="none" w:sz="0" w:space="0" w:color="auto"/>
        <w:bottom w:val="none" w:sz="0" w:space="0" w:color="auto"/>
        <w:right w:val="none" w:sz="0" w:space="0" w:color="auto"/>
      </w:divBdr>
    </w:div>
    <w:div w:id="803812717">
      <w:bodyDiv w:val="1"/>
      <w:marLeft w:val="0"/>
      <w:marRight w:val="0"/>
      <w:marTop w:val="0"/>
      <w:marBottom w:val="0"/>
      <w:divBdr>
        <w:top w:val="none" w:sz="0" w:space="0" w:color="auto"/>
        <w:left w:val="none" w:sz="0" w:space="0" w:color="auto"/>
        <w:bottom w:val="none" w:sz="0" w:space="0" w:color="auto"/>
        <w:right w:val="none" w:sz="0" w:space="0" w:color="auto"/>
      </w:divBdr>
    </w:div>
    <w:div w:id="805971538">
      <w:bodyDiv w:val="1"/>
      <w:marLeft w:val="0"/>
      <w:marRight w:val="0"/>
      <w:marTop w:val="0"/>
      <w:marBottom w:val="0"/>
      <w:divBdr>
        <w:top w:val="none" w:sz="0" w:space="0" w:color="auto"/>
        <w:left w:val="none" w:sz="0" w:space="0" w:color="auto"/>
        <w:bottom w:val="none" w:sz="0" w:space="0" w:color="auto"/>
        <w:right w:val="none" w:sz="0" w:space="0" w:color="auto"/>
      </w:divBdr>
    </w:div>
    <w:div w:id="808013649">
      <w:bodyDiv w:val="1"/>
      <w:marLeft w:val="0"/>
      <w:marRight w:val="0"/>
      <w:marTop w:val="0"/>
      <w:marBottom w:val="0"/>
      <w:divBdr>
        <w:top w:val="none" w:sz="0" w:space="0" w:color="auto"/>
        <w:left w:val="none" w:sz="0" w:space="0" w:color="auto"/>
        <w:bottom w:val="none" w:sz="0" w:space="0" w:color="auto"/>
        <w:right w:val="none" w:sz="0" w:space="0" w:color="auto"/>
      </w:divBdr>
    </w:div>
    <w:div w:id="809320077">
      <w:bodyDiv w:val="1"/>
      <w:marLeft w:val="0"/>
      <w:marRight w:val="0"/>
      <w:marTop w:val="0"/>
      <w:marBottom w:val="0"/>
      <w:divBdr>
        <w:top w:val="none" w:sz="0" w:space="0" w:color="auto"/>
        <w:left w:val="none" w:sz="0" w:space="0" w:color="auto"/>
        <w:bottom w:val="none" w:sz="0" w:space="0" w:color="auto"/>
        <w:right w:val="none" w:sz="0" w:space="0" w:color="auto"/>
      </w:divBdr>
    </w:div>
    <w:div w:id="809398674">
      <w:bodyDiv w:val="1"/>
      <w:marLeft w:val="0"/>
      <w:marRight w:val="0"/>
      <w:marTop w:val="0"/>
      <w:marBottom w:val="0"/>
      <w:divBdr>
        <w:top w:val="none" w:sz="0" w:space="0" w:color="auto"/>
        <w:left w:val="none" w:sz="0" w:space="0" w:color="auto"/>
        <w:bottom w:val="none" w:sz="0" w:space="0" w:color="auto"/>
        <w:right w:val="none" w:sz="0" w:space="0" w:color="auto"/>
      </w:divBdr>
    </w:div>
    <w:div w:id="811293695">
      <w:bodyDiv w:val="1"/>
      <w:marLeft w:val="0"/>
      <w:marRight w:val="0"/>
      <w:marTop w:val="0"/>
      <w:marBottom w:val="0"/>
      <w:divBdr>
        <w:top w:val="none" w:sz="0" w:space="0" w:color="auto"/>
        <w:left w:val="none" w:sz="0" w:space="0" w:color="auto"/>
        <w:bottom w:val="none" w:sz="0" w:space="0" w:color="auto"/>
        <w:right w:val="none" w:sz="0" w:space="0" w:color="auto"/>
      </w:divBdr>
    </w:div>
    <w:div w:id="811559317">
      <w:bodyDiv w:val="1"/>
      <w:marLeft w:val="0"/>
      <w:marRight w:val="0"/>
      <w:marTop w:val="0"/>
      <w:marBottom w:val="0"/>
      <w:divBdr>
        <w:top w:val="none" w:sz="0" w:space="0" w:color="auto"/>
        <w:left w:val="none" w:sz="0" w:space="0" w:color="auto"/>
        <w:bottom w:val="none" w:sz="0" w:space="0" w:color="auto"/>
        <w:right w:val="none" w:sz="0" w:space="0" w:color="auto"/>
      </w:divBdr>
    </w:div>
    <w:div w:id="811941974">
      <w:bodyDiv w:val="1"/>
      <w:marLeft w:val="0"/>
      <w:marRight w:val="0"/>
      <w:marTop w:val="0"/>
      <w:marBottom w:val="0"/>
      <w:divBdr>
        <w:top w:val="none" w:sz="0" w:space="0" w:color="auto"/>
        <w:left w:val="none" w:sz="0" w:space="0" w:color="auto"/>
        <w:bottom w:val="none" w:sz="0" w:space="0" w:color="auto"/>
        <w:right w:val="none" w:sz="0" w:space="0" w:color="auto"/>
      </w:divBdr>
    </w:div>
    <w:div w:id="814033382">
      <w:bodyDiv w:val="1"/>
      <w:marLeft w:val="0"/>
      <w:marRight w:val="0"/>
      <w:marTop w:val="0"/>
      <w:marBottom w:val="0"/>
      <w:divBdr>
        <w:top w:val="none" w:sz="0" w:space="0" w:color="auto"/>
        <w:left w:val="none" w:sz="0" w:space="0" w:color="auto"/>
        <w:bottom w:val="none" w:sz="0" w:space="0" w:color="auto"/>
        <w:right w:val="none" w:sz="0" w:space="0" w:color="auto"/>
      </w:divBdr>
    </w:div>
    <w:div w:id="815147178">
      <w:bodyDiv w:val="1"/>
      <w:marLeft w:val="0"/>
      <w:marRight w:val="0"/>
      <w:marTop w:val="0"/>
      <w:marBottom w:val="0"/>
      <w:divBdr>
        <w:top w:val="none" w:sz="0" w:space="0" w:color="auto"/>
        <w:left w:val="none" w:sz="0" w:space="0" w:color="auto"/>
        <w:bottom w:val="none" w:sz="0" w:space="0" w:color="auto"/>
        <w:right w:val="none" w:sz="0" w:space="0" w:color="auto"/>
      </w:divBdr>
    </w:div>
    <w:div w:id="815950558">
      <w:bodyDiv w:val="1"/>
      <w:marLeft w:val="0"/>
      <w:marRight w:val="0"/>
      <w:marTop w:val="0"/>
      <w:marBottom w:val="0"/>
      <w:divBdr>
        <w:top w:val="none" w:sz="0" w:space="0" w:color="auto"/>
        <w:left w:val="none" w:sz="0" w:space="0" w:color="auto"/>
        <w:bottom w:val="none" w:sz="0" w:space="0" w:color="auto"/>
        <w:right w:val="none" w:sz="0" w:space="0" w:color="auto"/>
      </w:divBdr>
    </w:div>
    <w:div w:id="817376692">
      <w:bodyDiv w:val="1"/>
      <w:marLeft w:val="0"/>
      <w:marRight w:val="0"/>
      <w:marTop w:val="0"/>
      <w:marBottom w:val="0"/>
      <w:divBdr>
        <w:top w:val="none" w:sz="0" w:space="0" w:color="auto"/>
        <w:left w:val="none" w:sz="0" w:space="0" w:color="auto"/>
        <w:bottom w:val="none" w:sz="0" w:space="0" w:color="auto"/>
        <w:right w:val="none" w:sz="0" w:space="0" w:color="auto"/>
      </w:divBdr>
    </w:div>
    <w:div w:id="817578357">
      <w:bodyDiv w:val="1"/>
      <w:marLeft w:val="0"/>
      <w:marRight w:val="0"/>
      <w:marTop w:val="0"/>
      <w:marBottom w:val="0"/>
      <w:divBdr>
        <w:top w:val="none" w:sz="0" w:space="0" w:color="auto"/>
        <w:left w:val="none" w:sz="0" w:space="0" w:color="auto"/>
        <w:bottom w:val="none" w:sz="0" w:space="0" w:color="auto"/>
        <w:right w:val="none" w:sz="0" w:space="0" w:color="auto"/>
      </w:divBdr>
    </w:div>
    <w:div w:id="818033502">
      <w:bodyDiv w:val="1"/>
      <w:marLeft w:val="0"/>
      <w:marRight w:val="0"/>
      <w:marTop w:val="0"/>
      <w:marBottom w:val="0"/>
      <w:divBdr>
        <w:top w:val="none" w:sz="0" w:space="0" w:color="auto"/>
        <w:left w:val="none" w:sz="0" w:space="0" w:color="auto"/>
        <w:bottom w:val="none" w:sz="0" w:space="0" w:color="auto"/>
        <w:right w:val="none" w:sz="0" w:space="0" w:color="auto"/>
      </w:divBdr>
    </w:div>
    <w:div w:id="821434415">
      <w:bodyDiv w:val="1"/>
      <w:marLeft w:val="0"/>
      <w:marRight w:val="0"/>
      <w:marTop w:val="0"/>
      <w:marBottom w:val="0"/>
      <w:divBdr>
        <w:top w:val="none" w:sz="0" w:space="0" w:color="auto"/>
        <w:left w:val="none" w:sz="0" w:space="0" w:color="auto"/>
        <w:bottom w:val="none" w:sz="0" w:space="0" w:color="auto"/>
        <w:right w:val="none" w:sz="0" w:space="0" w:color="auto"/>
      </w:divBdr>
    </w:div>
    <w:div w:id="822161721">
      <w:bodyDiv w:val="1"/>
      <w:marLeft w:val="0"/>
      <w:marRight w:val="0"/>
      <w:marTop w:val="0"/>
      <w:marBottom w:val="0"/>
      <w:divBdr>
        <w:top w:val="none" w:sz="0" w:space="0" w:color="auto"/>
        <w:left w:val="none" w:sz="0" w:space="0" w:color="auto"/>
        <w:bottom w:val="none" w:sz="0" w:space="0" w:color="auto"/>
        <w:right w:val="none" w:sz="0" w:space="0" w:color="auto"/>
      </w:divBdr>
    </w:div>
    <w:div w:id="822694665">
      <w:bodyDiv w:val="1"/>
      <w:marLeft w:val="0"/>
      <w:marRight w:val="0"/>
      <w:marTop w:val="0"/>
      <w:marBottom w:val="0"/>
      <w:divBdr>
        <w:top w:val="none" w:sz="0" w:space="0" w:color="auto"/>
        <w:left w:val="none" w:sz="0" w:space="0" w:color="auto"/>
        <w:bottom w:val="none" w:sz="0" w:space="0" w:color="auto"/>
        <w:right w:val="none" w:sz="0" w:space="0" w:color="auto"/>
      </w:divBdr>
    </w:div>
    <w:div w:id="822890839">
      <w:bodyDiv w:val="1"/>
      <w:marLeft w:val="0"/>
      <w:marRight w:val="0"/>
      <w:marTop w:val="0"/>
      <w:marBottom w:val="0"/>
      <w:divBdr>
        <w:top w:val="none" w:sz="0" w:space="0" w:color="auto"/>
        <w:left w:val="none" w:sz="0" w:space="0" w:color="auto"/>
        <w:bottom w:val="none" w:sz="0" w:space="0" w:color="auto"/>
        <w:right w:val="none" w:sz="0" w:space="0" w:color="auto"/>
      </w:divBdr>
    </w:div>
    <w:div w:id="824391427">
      <w:bodyDiv w:val="1"/>
      <w:marLeft w:val="0"/>
      <w:marRight w:val="0"/>
      <w:marTop w:val="0"/>
      <w:marBottom w:val="0"/>
      <w:divBdr>
        <w:top w:val="none" w:sz="0" w:space="0" w:color="auto"/>
        <w:left w:val="none" w:sz="0" w:space="0" w:color="auto"/>
        <w:bottom w:val="none" w:sz="0" w:space="0" w:color="auto"/>
        <w:right w:val="none" w:sz="0" w:space="0" w:color="auto"/>
      </w:divBdr>
    </w:div>
    <w:div w:id="827207545">
      <w:bodyDiv w:val="1"/>
      <w:marLeft w:val="0"/>
      <w:marRight w:val="0"/>
      <w:marTop w:val="0"/>
      <w:marBottom w:val="0"/>
      <w:divBdr>
        <w:top w:val="none" w:sz="0" w:space="0" w:color="auto"/>
        <w:left w:val="none" w:sz="0" w:space="0" w:color="auto"/>
        <w:bottom w:val="none" w:sz="0" w:space="0" w:color="auto"/>
        <w:right w:val="none" w:sz="0" w:space="0" w:color="auto"/>
      </w:divBdr>
    </w:div>
    <w:div w:id="827553918">
      <w:bodyDiv w:val="1"/>
      <w:marLeft w:val="0"/>
      <w:marRight w:val="0"/>
      <w:marTop w:val="0"/>
      <w:marBottom w:val="0"/>
      <w:divBdr>
        <w:top w:val="none" w:sz="0" w:space="0" w:color="auto"/>
        <w:left w:val="none" w:sz="0" w:space="0" w:color="auto"/>
        <w:bottom w:val="none" w:sz="0" w:space="0" w:color="auto"/>
        <w:right w:val="none" w:sz="0" w:space="0" w:color="auto"/>
      </w:divBdr>
    </w:div>
    <w:div w:id="828987716">
      <w:bodyDiv w:val="1"/>
      <w:marLeft w:val="0"/>
      <w:marRight w:val="0"/>
      <w:marTop w:val="0"/>
      <w:marBottom w:val="0"/>
      <w:divBdr>
        <w:top w:val="none" w:sz="0" w:space="0" w:color="auto"/>
        <w:left w:val="none" w:sz="0" w:space="0" w:color="auto"/>
        <w:bottom w:val="none" w:sz="0" w:space="0" w:color="auto"/>
        <w:right w:val="none" w:sz="0" w:space="0" w:color="auto"/>
      </w:divBdr>
    </w:div>
    <w:div w:id="829448939">
      <w:bodyDiv w:val="1"/>
      <w:marLeft w:val="0"/>
      <w:marRight w:val="0"/>
      <w:marTop w:val="0"/>
      <w:marBottom w:val="0"/>
      <w:divBdr>
        <w:top w:val="none" w:sz="0" w:space="0" w:color="auto"/>
        <w:left w:val="none" w:sz="0" w:space="0" w:color="auto"/>
        <w:bottom w:val="none" w:sz="0" w:space="0" w:color="auto"/>
        <w:right w:val="none" w:sz="0" w:space="0" w:color="auto"/>
      </w:divBdr>
    </w:div>
    <w:div w:id="831217181">
      <w:bodyDiv w:val="1"/>
      <w:marLeft w:val="0"/>
      <w:marRight w:val="0"/>
      <w:marTop w:val="0"/>
      <w:marBottom w:val="0"/>
      <w:divBdr>
        <w:top w:val="none" w:sz="0" w:space="0" w:color="auto"/>
        <w:left w:val="none" w:sz="0" w:space="0" w:color="auto"/>
        <w:bottom w:val="none" w:sz="0" w:space="0" w:color="auto"/>
        <w:right w:val="none" w:sz="0" w:space="0" w:color="auto"/>
      </w:divBdr>
    </w:div>
    <w:div w:id="841050333">
      <w:bodyDiv w:val="1"/>
      <w:marLeft w:val="0"/>
      <w:marRight w:val="0"/>
      <w:marTop w:val="0"/>
      <w:marBottom w:val="0"/>
      <w:divBdr>
        <w:top w:val="none" w:sz="0" w:space="0" w:color="auto"/>
        <w:left w:val="none" w:sz="0" w:space="0" w:color="auto"/>
        <w:bottom w:val="none" w:sz="0" w:space="0" w:color="auto"/>
        <w:right w:val="none" w:sz="0" w:space="0" w:color="auto"/>
      </w:divBdr>
    </w:div>
    <w:div w:id="841163820">
      <w:bodyDiv w:val="1"/>
      <w:marLeft w:val="0"/>
      <w:marRight w:val="0"/>
      <w:marTop w:val="0"/>
      <w:marBottom w:val="0"/>
      <w:divBdr>
        <w:top w:val="none" w:sz="0" w:space="0" w:color="auto"/>
        <w:left w:val="none" w:sz="0" w:space="0" w:color="auto"/>
        <w:bottom w:val="none" w:sz="0" w:space="0" w:color="auto"/>
        <w:right w:val="none" w:sz="0" w:space="0" w:color="auto"/>
      </w:divBdr>
    </w:div>
    <w:div w:id="844321563">
      <w:bodyDiv w:val="1"/>
      <w:marLeft w:val="0"/>
      <w:marRight w:val="0"/>
      <w:marTop w:val="0"/>
      <w:marBottom w:val="0"/>
      <w:divBdr>
        <w:top w:val="none" w:sz="0" w:space="0" w:color="auto"/>
        <w:left w:val="none" w:sz="0" w:space="0" w:color="auto"/>
        <w:bottom w:val="none" w:sz="0" w:space="0" w:color="auto"/>
        <w:right w:val="none" w:sz="0" w:space="0" w:color="auto"/>
      </w:divBdr>
    </w:div>
    <w:div w:id="844901726">
      <w:bodyDiv w:val="1"/>
      <w:marLeft w:val="0"/>
      <w:marRight w:val="0"/>
      <w:marTop w:val="0"/>
      <w:marBottom w:val="0"/>
      <w:divBdr>
        <w:top w:val="none" w:sz="0" w:space="0" w:color="auto"/>
        <w:left w:val="none" w:sz="0" w:space="0" w:color="auto"/>
        <w:bottom w:val="none" w:sz="0" w:space="0" w:color="auto"/>
        <w:right w:val="none" w:sz="0" w:space="0" w:color="auto"/>
      </w:divBdr>
    </w:div>
    <w:div w:id="847719355">
      <w:bodyDiv w:val="1"/>
      <w:marLeft w:val="0"/>
      <w:marRight w:val="0"/>
      <w:marTop w:val="0"/>
      <w:marBottom w:val="0"/>
      <w:divBdr>
        <w:top w:val="none" w:sz="0" w:space="0" w:color="auto"/>
        <w:left w:val="none" w:sz="0" w:space="0" w:color="auto"/>
        <w:bottom w:val="none" w:sz="0" w:space="0" w:color="auto"/>
        <w:right w:val="none" w:sz="0" w:space="0" w:color="auto"/>
      </w:divBdr>
    </w:div>
    <w:div w:id="849609430">
      <w:bodyDiv w:val="1"/>
      <w:marLeft w:val="0"/>
      <w:marRight w:val="0"/>
      <w:marTop w:val="0"/>
      <w:marBottom w:val="0"/>
      <w:divBdr>
        <w:top w:val="none" w:sz="0" w:space="0" w:color="auto"/>
        <w:left w:val="none" w:sz="0" w:space="0" w:color="auto"/>
        <w:bottom w:val="none" w:sz="0" w:space="0" w:color="auto"/>
        <w:right w:val="none" w:sz="0" w:space="0" w:color="auto"/>
      </w:divBdr>
    </w:div>
    <w:div w:id="853418159">
      <w:bodyDiv w:val="1"/>
      <w:marLeft w:val="0"/>
      <w:marRight w:val="0"/>
      <w:marTop w:val="0"/>
      <w:marBottom w:val="0"/>
      <w:divBdr>
        <w:top w:val="none" w:sz="0" w:space="0" w:color="auto"/>
        <w:left w:val="none" w:sz="0" w:space="0" w:color="auto"/>
        <w:bottom w:val="none" w:sz="0" w:space="0" w:color="auto"/>
        <w:right w:val="none" w:sz="0" w:space="0" w:color="auto"/>
      </w:divBdr>
    </w:div>
    <w:div w:id="855268798">
      <w:bodyDiv w:val="1"/>
      <w:marLeft w:val="0"/>
      <w:marRight w:val="0"/>
      <w:marTop w:val="0"/>
      <w:marBottom w:val="0"/>
      <w:divBdr>
        <w:top w:val="none" w:sz="0" w:space="0" w:color="auto"/>
        <w:left w:val="none" w:sz="0" w:space="0" w:color="auto"/>
        <w:bottom w:val="none" w:sz="0" w:space="0" w:color="auto"/>
        <w:right w:val="none" w:sz="0" w:space="0" w:color="auto"/>
      </w:divBdr>
    </w:div>
    <w:div w:id="857619028">
      <w:bodyDiv w:val="1"/>
      <w:marLeft w:val="0"/>
      <w:marRight w:val="0"/>
      <w:marTop w:val="0"/>
      <w:marBottom w:val="0"/>
      <w:divBdr>
        <w:top w:val="none" w:sz="0" w:space="0" w:color="auto"/>
        <w:left w:val="none" w:sz="0" w:space="0" w:color="auto"/>
        <w:bottom w:val="none" w:sz="0" w:space="0" w:color="auto"/>
        <w:right w:val="none" w:sz="0" w:space="0" w:color="auto"/>
      </w:divBdr>
    </w:div>
    <w:div w:id="858086856">
      <w:bodyDiv w:val="1"/>
      <w:marLeft w:val="0"/>
      <w:marRight w:val="0"/>
      <w:marTop w:val="0"/>
      <w:marBottom w:val="0"/>
      <w:divBdr>
        <w:top w:val="none" w:sz="0" w:space="0" w:color="auto"/>
        <w:left w:val="none" w:sz="0" w:space="0" w:color="auto"/>
        <w:bottom w:val="none" w:sz="0" w:space="0" w:color="auto"/>
        <w:right w:val="none" w:sz="0" w:space="0" w:color="auto"/>
      </w:divBdr>
    </w:div>
    <w:div w:id="863178334">
      <w:bodyDiv w:val="1"/>
      <w:marLeft w:val="0"/>
      <w:marRight w:val="0"/>
      <w:marTop w:val="0"/>
      <w:marBottom w:val="0"/>
      <w:divBdr>
        <w:top w:val="none" w:sz="0" w:space="0" w:color="auto"/>
        <w:left w:val="none" w:sz="0" w:space="0" w:color="auto"/>
        <w:bottom w:val="none" w:sz="0" w:space="0" w:color="auto"/>
        <w:right w:val="none" w:sz="0" w:space="0" w:color="auto"/>
      </w:divBdr>
    </w:div>
    <w:div w:id="865825509">
      <w:bodyDiv w:val="1"/>
      <w:marLeft w:val="0"/>
      <w:marRight w:val="0"/>
      <w:marTop w:val="0"/>
      <w:marBottom w:val="0"/>
      <w:divBdr>
        <w:top w:val="none" w:sz="0" w:space="0" w:color="auto"/>
        <w:left w:val="none" w:sz="0" w:space="0" w:color="auto"/>
        <w:bottom w:val="none" w:sz="0" w:space="0" w:color="auto"/>
        <w:right w:val="none" w:sz="0" w:space="0" w:color="auto"/>
      </w:divBdr>
    </w:div>
    <w:div w:id="867137835">
      <w:bodyDiv w:val="1"/>
      <w:marLeft w:val="0"/>
      <w:marRight w:val="0"/>
      <w:marTop w:val="0"/>
      <w:marBottom w:val="0"/>
      <w:divBdr>
        <w:top w:val="none" w:sz="0" w:space="0" w:color="auto"/>
        <w:left w:val="none" w:sz="0" w:space="0" w:color="auto"/>
        <w:bottom w:val="none" w:sz="0" w:space="0" w:color="auto"/>
        <w:right w:val="none" w:sz="0" w:space="0" w:color="auto"/>
      </w:divBdr>
    </w:div>
    <w:div w:id="870654054">
      <w:bodyDiv w:val="1"/>
      <w:marLeft w:val="0"/>
      <w:marRight w:val="0"/>
      <w:marTop w:val="0"/>
      <w:marBottom w:val="0"/>
      <w:divBdr>
        <w:top w:val="none" w:sz="0" w:space="0" w:color="auto"/>
        <w:left w:val="none" w:sz="0" w:space="0" w:color="auto"/>
        <w:bottom w:val="none" w:sz="0" w:space="0" w:color="auto"/>
        <w:right w:val="none" w:sz="0" w:space="0" w:color="auto"/>
      </w:divBdr>
    </w:div>
    <w:div w:id="872032683">
      <w:bodyDiv w:val="1"/>
      <w:marLeft w:val="0"/>
      <w:marRight w:val="0"/>
      <w:marTop w:val="0"/>
      <w:marBottom w:val="0"/>
      <w:divBdr>
        <w:top w:val="none" w:sz="0" w:space="0" w:color="auto"/>
        <w:left w:val="none" w:sz="0" w:space="0" w:color="auto"/>
        <w:bottom w:val="none" w:sz="0" w:space="0" w:color="auto"/>
        <w:right w:val="none" w:sz="0" w:space="0" w:color="auto"/>
      </w:divBdr>
    </w:div>
    <w:div w:id="872041960">
      <w:bodyDiv w:val="1"/>
      <w:marLeft w:val="0"/>
      <w:marRight w:val="0"/>
      <w:marTop w:val="0"/>
      <w:marBottom w:val="0"/>
      <w:divBdr>
        <w:top w:val="none" w:sz="0" w:space="0" w:color="auto"/>
        <w:left w:val="none" w:sz="0" w:space="0" w:color="auto"/>
        <w:bottom w:val="none" w:sz="0" w:space="0" w:color="auto"/>
        <w:right w:val="none" w:sz="0" w:space="0" w:color="auto"/>
      </w:divBdr>
    </w:div>
    <w:div w:id="872230009">
      <w:bodyDiv w:val="1"/>
      <w:marLeft w:val="0"/>
      <w:marRight w:val="0"/>
      <w:marTop w:val="0"/>
      <w:marBottom w:val="0"/>
      <w:divBdr>
        <w:top w:val="none" w:sz="0" w:space="0" w:color="auto"/>
        <w:left w:val="none" w:sz="0" w:space="0" w:color="auto"/>
        <w:bottom w:val="none" w:sz="0" w:space="0" w:color="auto"/>
        <w:right w:val="none" w:sz="0" w:space="0" w:color="auto"/>
      </w:divBdr>
    </w:div>
    <w:div w:id="872693963">
      <w:bodyDiv w:val="1"/>
      <w:marLeft w:val="0"/>
      <w:marRight w:val="0"/>
      <w:marTop w:val="0"/>
      <w:marBottom w:val="0"/>
      <w:divBdr>
        <w:top w:val="none" w:sz="0" w:space="0" w:color="auto"/>
        <w:left w:val="none" w:sz="0" w:space="0" w:color="auto"/>
        <w:bottom w:val="none" w:sz="0" w:space="0" w:color="auto"/>
        <w:right w:val="none" w:sz="0" w:space="0" w:color="auto"/>
      </w:divBdr>
    </w:div>
    <w:div w:id="873617177">
      <w:bodyDiv w:val="1"/>
      <w:marLeft w:val="0"/>
      <w:marRight w:val="0"/>
      <w:marTop w:val="0"/>
      <w:marBottom w:val="0"/>
      <w:divBdr>
        <w:top w:val="none" w:sz="0" w:space="0" w:color="auto"/>
        <w:left w:val="none" w:sz="0" w:space="0" w:color="auto"/>
        <w:bottom w:val="none" w:sz="0" w:space="0" w:color="auto"/>
        <w:right w:val="none" w:sz="0" w:space="0" w:color="auto"/>
      </w:divBdr>
    </w:div>
    <w:div w:id="874200735">
      <w:bodyDiv w:val="1"/>
      <w:marLeft w:val="0"/>
      <w:marRight w:val="0"/>
      <w:marTop w:val="0"/>
      <w:marBottom w:val="0"/>
      <w:divBdr>
        <w:top w:val="none" w:sz="0" w:space="0" w:color="auto"/>
        <w:left w:val="none" w:sz="0" w:space="0" w:color="auto"/>
        <w:bottom w:val="none" w:sz="0" w:space="0" w:color="auto"/>
        <w:right w:val="none" w:sz="0" w:space="0" w:color="auto"/>
      </w:divBdr>
    </w:div>
    <w:div w:id="874584226">
      <w:bodyDiv w:val="1"/>
      <w:marLeft w:val="0"/>
      <w:marRight w:val="0"/>
      <w:marTop w:val="0"/>
      <w:marBottom w:val="0"/>
      <w:divBdr>
        <w:top w:val="none" w:sz="0" w:space="0" w:color="auto"/>
        <w:left w:val="none" w:sz="0" w:space="0" w:color="auto"/>
        <w:bottom w:val="none" w:sz="0" w:space="0" w:color="auto"/>
        <w:right w:val="none" w:sz="0" w:space="0" w:color="auto"/>
      </w:divBdr>
    </w:div>
    <w:div w:id="876313631">
      <w:bodyDiv w:val="1"/>
      <w:marLeft w:val="0"/>
      <w:marRight w:val="0"/>
      <w:marTop w:val="0"/>
      <w:marBottom w:val="0"/>
      <w:divBdr>
        <w:top w:val="none" w:sz="0" w:space="0" w:color="auto"/>
        <w:left w:val="none" w:sz="0" w:space="0" w:color="auto"/>
        <w:bottom w:val="none" w:sz="0" w:space="0" w:color="auto"/>
        <w:right w:val="none" w:sz="0" w:space="0" w:color="auto"/>
      </w:divBdr>
    </w:div>
    <w:div w:id="876359096">
      <w:bodyDiv w:val="1"/>
      <w:marLeft w:val="0"/>
      <w:marRight w:val="0"/>
      <w:marTop w:val="0"/>
      <w:marBottom w:val="0"/>
      <w:divBdr>
        <w:top w:val="none" w:sz="0" w:space="0" w:color="auto"/>
        <w:left w:val="none" w:sz="0" w:space="0" w:color="auto"/>
        <w:bottom w:val="none" w:sz="0" w:space="0" w:color="auto"/>
        <w:right w:val="none" w:sz="0" w:space="0" w:color="auto"/>
      </w:divBdr>
    </w:div>
    <w:div w:id="882642220">
      <w:bodyDiv w:val="1"/>
      <w:marLeft w:val="0"/>
      <w:marRight w:val="0"/>
      <w:marTop w:val="0"/>
      <w:marBottom w:val="0"/>
      <w:divBdr>
        <w:top w:val="none" w:sz="0" w:space="0" w:color="auto"/>
        <w:left w:val="none" w:sz="0" w:space="0" w:color="auto"/>
        <w:bottom w:val="none" w:sz="0" w:space="0" w:color="auto"/>
        <w:right w:val="none" w:sz="0" w:space="0" w:color="auto"/>
      </w:divBdr>
    </w:div>
    <w:div w:id="883297603">
      <w:bodyDiv w:val="1"/>
      <w:marLeft w:val="0"/>
      <w:marRight w:val="0"/>
      <w:marTop w:val="0"/>
      <w:marBottom w:val="0"/>
      <w:divBdr>
        <w:top w:val="none" w:sz="0" w:space="0" w:color="auto"/>
        <w:left w:val="none" w:sz="0" w:space="0" w:color="auto"/>
        <w:bottom w:val="none" w:sz="0" w:space="0" w:color="auto"/>
        <w:right w:val="none" w:sz="0" w:space="0" w:color="auto"/>
      </w:divBdr>
    </w:div>
    <w:div w:id="884026811">
      <w:bodyDiv w:val="1"/>
      <w:marLeft w:val="0"/>
      <w:marRight w:val="0"/>
      <w:marTop w:val="0"/>
      <w:marBottom w:val="0"/>
      <w:divBdr>
        <w:top w:val="none" w:sz="0" w:space="0" w:color="auto"/>
        <w:left w:val="none" w:sz="0" w:space="0" w:color="auto"/>
        <w:bottom w:val="none" w:sz="0" w:space="0" w:color="auto"/>
        <w:right w:val="none" w:sz="0" w:space="0" w:color="auto"/>
      </w:divBdr>
    </w:div>
    <w:div w:id="884484317">
      <w:bodyDiv w:val="1"/>
      <w:marLeft w:val="0"/>
      <w:marRight w:val="0"/>
      <w:marTop w:val="0"/>
      <w:marBottom w:val="0"/>
      <w:divBdr>
        <w:top w:val="none" w:sz="0" w:space="0" w:color="auto"/>
        <w:left w:val="none" w:sz="0" w:space="0" w:color="auto"/>
        <w:bottom w:val="none" w:sz="0" w:space="0" w:color="auto"/>
        <w:right w:val="none" w:sz="0" w:space="0" w:color="auto"/>
      </w:divBdr>
    </w:div>
    <w:div w:id="885067352">
      <w:bodyDiv w:val="1"/>
      <w:marLeft w:val="0"/>
      <w:marRight w:val="0"/>
      <w:marTop w:val="0"/>
      <w:marBottom w:val="0"/>
      <w:divBdr>
        <w:top w:val="none" w:sz="0" w:space="0" w:color="auto"/>
        <w:left w:val="none" w:sz="0" w:space="0" w:color="auto"/>
        <w:bottom w:val="none" w:sz="0" w:space="0" w:color="auto"/>
        <w:right w:val="none" w:sz="0" w:space="0" w:color="auto"/>
      </w:divBdr>
    </w:div>
    <w:div w:id="885219635">
      <w:bodyDiv w:val="1"/>
      <w:marLeft w:val="0"/>
      <w:marRight w:val="0"/>
      <w:marTop w:val="0"/>
      <w:marBottom w:val="0"/>
      <w:divBdr>
        <w:top w:val="none" w:sz="0" w:space="0" w:color="auto"/>
        <w:left w:val="none" w:sz="0" w:space="0" w:color="auto"/>
        <w:bottom w:val="none" w:sz="0" w:space="0" w:color="auto"/>
        <w:right w:val="none" w:sz="0" w:space="0" w:color="auto"/>
      </w:divBdr>
    </w:div>
    <w:div w:id="887188240">
      <w:bodyDiv w:val="1"/>
      <w:marLeft w:val="0"/>
      <w:marRight w:val="0"/>
      <w:marTop w:val="0"/>
      <w:marBottom w:val="0"/>
      <w:divBdr>
        <w:top w:val="none" w:sz="0" w:space="0" w:color="auto"/>
        <w:left w:val="none" w:sz="0" w:space="0" w:color="auto"/>
        <w:bottom w:val="none" w:sz="0" w:space="0" w:color="auto"/>
        <w:right w:val="none" w:sz="0" w:space="0" w:color="auto"/>
      </w:divBdr>
    </w:div>
    <w:div w:id="887226888">
      <w:bodyDiv w:val="1"/>
      <w:marLeft w:val="0"/>
      <w:marRight w:val="0"/>
      <w:marTop w:val="0"/>
      <w:marBottom w:val="0"/>
      <w:divBdr>
        <w:top w:val="none" w:sz="0" w:space="0" w:color="auto"/>
        <w:left w:val="none" w:sz="0" w:space="0" w:color="auto"/>
        <w:bottom w:val="none" w:sz="0" w:space="0" w:color="auto"/>
        <w:right w:val="none" w:sz="0" w:space="0" w:color="auto"/>
      </w:divBdr>
    </w:div>
    <w:div w:id="892934138">
      <w:bodyDiv w:val="1"/>
      <w:marLeft w:val="0"/>
      <w:marRight w:val="0"/>
      <w:marTop w:val="0"/>
      <w:marBottom w:val="0"/>
      <w:divBdr>
        <w:top w:val="none" w:sz="0" w:space="0" w:color="auto"/>
        <w:left w:val="none" w:sz="0" w:space="0" w:color="auto"/>
        <w:bottom w:val="none" w:sz="0" w:space="0" w:color="auto"/>
        <w:right w:val="none" w:sz="0" w:space="0" w:color="auto"/>
      </w:divBdr>
    </w:div>
    <w:div w:id="892960191">
      <w:bodyDiv w:val="1"/>
      <w:marLeft w:val="0"/>
      <w:marRight w:val="0"/>
      <w:marTop w:val="0"/>
      <w:marBottom w:val="0"/>
      <w:divBdr>
        <w:top w:val="none" w:sz="0" w:space="0" w:color="auto"/>
        <w:left w:val="none" w:sz="0" w:space="0" w:color="auto"/>
        <w:bottom w:val="none" w:sz="0" w:space="0" w:color="auto"/>
        <w:right w:val="none" w:sz="0" w:space="0" w:color="auto"/>
      </w:divBdr>
    </w:div>
    <w:div w:id="898785513">
      <w:bodyDiv w:val="1"/>
      <w:marLeft w:val="0"/>
      <w:marRight w:val="0"/>
      <w:marTop w:val="0"/>
      <w:marBottom w:val="0"/>
      <w:divBdr>
        <w:top w:val="none" w:sz="0" w:space="0" w:color="auto"/>
        <w:left w:val="none" w:sz="0" w:space="0" w:color="auto"/>
        <w:bottom w:val="none" w:sz="0" w:space="0" w:color="auto"/>
        <w:right w:val="none" w:sz="0" w:space="0" w:color="auto"/>
      </w:divBdr>
    </w:div>
    <w:div w:id="899435865">
      <w:bodyDiv w:val="1"/>
      <w:marLeft w:val="0"/>
      <w:marRight w:val="0"/>
      <w:marTop w:val="0"/>
      <w:marBottom w:val="0"/>
      <w:divBdr>
        <w:top w:val="none" w:sz="0" w:space="0" w:color="auto"/>
        <w:left w:val="none" w:sz="0" w:space="0" w:color="auto"/>
        <w:bottom w:val="none" w:sz="0" w:space="0" w:color="auto"/>
        <w:right w:val="none" w:sz="0" w:space="0" w:color="auto"/>
      </w:divBdr>
    </w:div>
    <w:div w:id="901715803">
      <w:bodyDiv w:val="1"/>
      <w:marLeft w:val="0"/>
      <w:marRight w:val="0"/>
      <w:marTop w:val="0"/>
      <w:marBottom w:val="0"/>
      <w:divBdr>
        <w:top w:val="none" w:sz="0" w:space="0" w:color="auto"/>
        <w:left w:val="none" w:sz="0" w:space="0" w:color="auto"/>
        <w:bottom w:val="none" w:sz="0" w:space="0" w:color="auto"/>
        <w:right w:val="none" w:sz="0" w:space="0" w:color="auto"/>
      </w:divBdr>
    </w:div>
    <w:div w:id="901983145">
      <w:bodyDiv w:val="1"/>
      <w:marLeft w:val="0"/>
      <w:marRight w:val="0"/>
      <w:marTop w:val="0"/>
      <w:marBottom w:val="0"/>
      <w:divBdr>
        <w:top w:val="none" w:sz="0" w:space="0" w:color="auto"/>
        <w:left w:val="none" w:sz="0" w:space="0" w:color="auto"/>
        <w:bottom w:val="none" w:sz="0" w:space="0" w:color="auto"/>
        <w:right w:val="none" w:sz="0" w:space="0" w:color="auto"/>
      </w:divBdr>
    </w:div>
    <w:div w:id="902713055">
      <w:bodyDiv w:val="1"/>
      <w:marLeft w:val="0"/>
      <w:marRight w:val="0"/>
      <w:marTop w:val="0"/>
      <w:marBottom w:val="0"/>
      <w:divBdr>
        <w:top w:val="none" w:sz="0" w:space="0" w:color="auto"/>
        <w:left w:val="none" w:sz="0" w:space="0" w:color="auto"/>
        <w:bottom w:val="none" w:sz="0" w:space="0" w:color="auto"/>
        <w:right w:val="none" w:sz="0" w:space="0" w:color="auto"/>
      </w:divBdr>
    </w:div>
    <w:div w:id="903486201">
      <w:bodyDiv w:val="1"/>
      <w:marLeft w:val="0"/>
      <w:marRight w:val="0"/>
      <w:marTop w:val="0"/>
      <w:marBottom w:val="0"/>
      <w:divBdr>
        <w:top w:val="none" w:sz="0" w:space="0" w:color="auto"/>
        <w:left w:val="none" w:sz="0" w:space="0" w:color="auto"/>
        <w:bottom w:val="none" w:sz="0" w:space="0" w:color="auto"/>
        <w:right w:val="none" w:sz="0" w:space="0" w:color="auto"/>
      </w:divBdr>
    </w:div>
    <w:div w:id="904728188">
      <w:bodyDiv w:val="1"/>
      <w:marLeft w:val="0"/>
      <w:marRight w:val="0"/>
      <w:marTop w:val="0"/>
      <w:marBottom w:val="0"/>
      <w:divBdr>
        <w:top w:val="none" w:sz="0" w:space="0" w:color="auto"/>
        <w:left w:val="none" w:sz="0" w:space="0" w:color="auto"/>
        <w:bottom w:val="none" w:sz="0" w:space="0" w:color="auto"/>
        <w:right w:val="none" w:sz="0" w:space="0" w:color="auto"/>
      </w:divBdr>
    </w:div>
    <w:div w:id="906232296">
      <w:bodyDiv w:val="1"/>
      <w:marLeft w:val="0"/>
      <w:marRight w:val="0"/>
      <w:marTop w:val="0"/>
      <w:marBottom w:val="0"/>
      <w:divBdr>
        <w:top w:val="none" w:sz="0" w:space="0" w:color="auto"/>
        <w:left w:val="none" w:sz="0" w:space="0" w:color="auto"/>
        <w:bottom w:val="none" w:sz="0" w:space="0" w:color="auto"/>
        <w:right w:val="none" w:sz="0" w:space="0" w:color="auto"/>
      </w:divBdr>
    </w:div>
    <w:div w:id="907156841">
      <w:bodyDiv w:val="1"/>
      <w:marLeft w:val="0"/>
      <w:marRight w:val="0"/>
      <w:marTop w:val="0"/>
      <w:marBottom w:val="0"/>
      <w:divBdr>
        <w:top w:val="none" w:sz="0" w:space="0" w:color="auto"/>
        <w:left w:val="none" w:sz="0" w:space="0" w:color="auto"/>
        <w:bottom w:val="none" w:sz="0" w:space="0" w:color="auto"/>
        <w:right w:val="none" w:sz="0" w:space="0" w:color="auto"/>
      </w:divBdr>
    </w:div>
    <w:div w:id="908425962">
      <w:bodyDiv w:val="1"/>
      <w:marLeft w:val="0"/>
      <w:marRight w:val="0"/>
      <w:marTop w:val="0"/>
      <w:marBottom w:val="0"/>
      <w:divBdr>
        <w:top w:val="none" w:sz="0" w:space="0" w:color="auto"/>
        <w:left w:val="none" w:sz="0" w:space="0" w:color="auto"/>
        <w:bottom w:val="none" w:sz="0" w:space="0" w:color="auto"/>
        <w:right w:val="none" w:sz="0" w:space="0" w:color="auto"/>
      </w:divBdr>
    </w:div>
    <w:div w:id="908729326">
      <w:bodyDiv w:val="1"/>
      <w:marLeft w:val="0"/>
      <w:marRight w:val="0"/>
      <w:marTop w:val="0"/>
      <w:marBottom w:val="0"/>
      <w:divBdr>
        <w:top w:val="none" w:sz="0" w:space="0" w:color="auto"/>
        <w:left w:val="none" w:sz="0" w:space="0" w:color="auto"/>
        <w:bottom w:val="none" w:sz="0" w:space="0" w:color="auto"/>
        <w:right w:val="none" w:sz="0" w:space="0" w:color="auto"/>
      </w:divBdr>
    </w:div>
    <w:div w:id="911431350">
      <w:bodyDiv w:val="1"/>
      <w:marLeft w:val="0"/>
      <w:marRight w:val="0"/>
      <w:marTop w:val="0"/>
      <w:marBottom w:val="0"/>
      <w:divBdr>
        <w:top w:val="none" w:sz="0" w:space="0" w:color="auto"/>
        <w:left w:val="none" w:sz="0" w:space="0" w:color="auto"/>
        <w:bottom w:val="none" w:sz="0" w:space="0" w:color="auto"/>
        <w:right w:val="none" w:sz="0" w:space="0" w:color="auto"/>
      </w:divBdr>
    </w:div>
    <w:div w:id="911547300">
      <w:bodyDiv w:val="1"/>
      <w:marLeft w:val="0"/>
      <w:marRight w:val="0"/>
      <w:marTop w:val="0"/>
      <w:marBottom w:val="0"/>
      <w:divBdr>
        <w:top w:val="none" w:sz="0" w:space="0" w:color="auto"/>
        <w:left w:val="none" w:sz="0" w:space="0" w:color="auto"/>
        <w:bottom w:val="none" w:sz="0" w:space="0" w:color="auto"/>
        <w:right w:val="none" w:sz="0" w:space="0" w:color="auto"/>
      </w:divBdr>
    </w:div>
    <w:div w:id="914362619">
      <w:bodyDiv w:val="1"/>
      <w:marLeft w:val="0"/>
      <w:marRight w:val="0"/>
      <w:marTop w:val="0"/>
      <w:marBottom w:val="0"/>
      <w:divBdr>
        <w:top w:val="none" w:sz="0" w:space="0" w:color="auto"/>
        <w:left w:val="none" w:sz="0" w:space="0" w:color="auto"/>
        <w:bottom w:val="none" w:sz="0" w:space="0" w:color="auto"/>
        <w:right w:val="none" w:sz="0" w:space="0" w:color="auto"/>
      </w:divBdr>
    </w:div>
    <w:div w:id="914583031">
      <w:bodyDiv w:val="1"/>
      <w:marLeft w:val="0"/>
      <w:marRight w:val="0"/>
      <w:marTop w:val="0"/>
      <w:marBottom w:val="0"/>
      <w:divBdr>
        <w:top w:val="none" w:sz="0" w:space="0" w:color="auto"/>
        <w:left w:val="none" w:sz="0" w:space="0" w:color="auto"/>
        <w:bottom w:val="none" w:sz="0" w:space="0" w:color="auto"/>
        <w:right w:val="none" w:sz="0" w:space="0" w:color="auto"/>
      </w:divBdr>
    </w:div>
    <w:div w:id="915437414">
      <w:bodyDiv w:val="1"/>
      <w:marLeft w:val="0"/>
      <w:marRight w:val="0"/>
      <w:marTop w:val="0"/>
      <w:marBottom w:val="0"/>
      <w:divBdr>
        <w:top w:val="none" w:sz="0" w:space="0" w:color="auto"/>
        <w:left w:val="none" w:sz="0" w:space="0" w:color="auto"/>
        <w:bottom w:val="none" w:sz="0" w:space="0" w:color="auto"/>
        <w:right w:val="none" w:sz="0" w:space="0" w:color="auto"/>
      </w:divBdr>
    </w:div>
    <w:div w:id="920145140">
      <w:bodyDiv w:val="1"/>
      <w:marLeft w:val="0"/>
      <w:marRight w:val="0"/>
      <w:marTop w:val="0"/>
      <w:marBottom w:val="0"/>
      <w:divBdr>
        <w:top w:val="none" w:sz="0" w:space="0" w:color="auto"/>
        <w:left w:val="none" w:sz="0" w:space="0" w:color="auto"/>
        <w:bottom w:val="none" w:sz="0" w:space="0" w:color="auto"/>
        <w:right w:val="none" w:sz="0" w:space="0" w:color="auto"/>
      </w:divBdr>
    </w:div>
    <w:div w:id="920453312">
      <w:bodyDiv w:val="1"/>
      <w:marLeft w:val="0"/>
      <w:marRight w:val="0"/>
      <w:marTop w:val="0"/>
      <w:marBottom w:val="0"/>
      <w:divBdr>
        <w:top w:val="none" w:sz="0" w:space="0" w:color="auto"/>
        <w:left w:val="none" w:sz="0" w:space="0" w:color="auto"/>
        <w:bottom w:val="none" w:sz="0" w:space="0" w:color="auto"/>
        <w:right w:val="none" w:sz="0" w:space="0" w:color="auto"/>
      </w:divBdr>
    </w:div>
    <w:div w:id="920791698">
      <w:bodyDiv w:val="1"/>
      <w:marLeft w:val="0"/>
      <w:marRight w:val="0"/>
      <w:marTop w:val="0"/>
      <w:marBottom w:val="0"/>
      <w:divBdr>
        <w:top w:val="none" w:sz="0" w:space="0" w:color="auto"/>
        <w:left w:val="none" w:sz="0" w:space="0" w:color="auto"/>
        <w:bottom w:val="none" w:sz="0" w:space="0" w:color="auto"/>
        <w:right w:val="none" w:sz="0" w:space="0" w:color="auto"/>
      </w:divBdr>
    </w:div>
    <w:div w:id="920917761">
      <w:bodyDiv w:val="1"/>
      <w:marLeft w:val="0"/>
      <w:marRight w:val="0"/>
      <w:marTop w:val="0"/>
      <w:marBottom w:val="0"/>
      <w:divBdr>
        <w:top w:val="none" w:sz="0" w:space="0" w:color="auto"/>
        <w:left w:val="none" w:sz="0" w:space="0" w:color="auto"/>
        <w:bottom w:val="none" w:sz="0" w:space="0" w:color="auto"/>
        <w:right w:val="none" w:sz="0" w:space="0" w:color="auto"/>
      </w:divBdr>
    </w:div>
    <w:div w:id="921453759">
      <w:bodyDiv w:val="1"/>
      <w:marLeft w:val="0"/>
      <w:marRight w:val="0"/>
      <w:marTop w:val="0"/>
      <w:marBottom w:val="0"/>
      <w:divBdr>
        <w:top w:val="none" w:sz="0" w:space="0" w:color="auto"/>
        <w:left w:val="none" w:sz="0" w:space="0" w:color="auto"/>
        <w:bottom w:val="none" w:sz="0" w:space="0" w:color="auto"/>
        <w:right w:val="none" w:sz="0" w:space="0" w:color="auto"/>
      </w:divBdr>
    </w:div>
    <w:div w:id="929118848">
      <w:bodyDiv w:val="1"/>
      <w:marLeft w:val="0"/>
      <w:marRight w:val="0"/>
      <w:marTop w:val="0"/>
      <w:marBottom w:val="0"/>
      <w:divBdr>
        <w:top w:val="none" w:sz="0" w:space="0" w:color="auto"/>
        <w:left w:val="none" w:sz="0" w:space="0" w:color="auto"/>
        <w:bottom w:val="none" w:sz="0" w:space="0" w:color="auto"/>
        <w:right w:val="none" w:sz="0" w:space="0" w:color="auto"/>
      </w:divBdr>
    </w:div>
    <w:div w:id="930049302">
      <w:bodyDiv w:val="1"/>
      <w:marLeft w:val="0"/>
      <w:marRight w:val="0"/>
      <w:marTop w:val="0"/>
      <w:marBottom w:val="0"/>
      <w:divBdr>
        <w:top w:val="none" w:sz="0" w:space="0" w:color="auto"/>
        <w:left w:val="none" w:sz="0" w:space="0" w:color="auto"/>
        <w:bottom w:val="none" w:sz="0" w:space="0" w:color="auto"/>
        <w:right w:val="none" w:sz="0" w:space="0" w:color="auto"/>
      </w:divBdr>
    </w:div>
    <w:div w:id="930818220">
      <w:bodyDiv w:val="1"/>
      <w:marLeft w:val="0"/>
      <w:marRight w:val="0"/>
      <w:marTop w:val="0"/>
      <w:marBottom w:val="0"/>
      <w:divBdr>
        <w:top w:val="none" w:sz="0" w:space="0" w:color="auto"/>
        <w:left w:val="none" w:sz="0" w:space="0" w:color="auto"/>
        <w:bottom w:val="none" w:sz="0" w:space="0" w:color="auto"/>
        <w:right w:val="none" w:sz="0" w:space="0" w:color="auto"/>
      </w:divBdr>
    </w:div>
    <w:div w:id="933050485">
      <w:bodyDiv w:val="1"/>
      <w:marLeft w:val="0"/>
      <w:marRight w:val="0"/>
      <w:marTop w:val="0"/>
      <w:marBottom w:val="0"/>
      <w:divBdr>
        <w:top w:val="none" w:sz="0" w:space="0" w:color="auto"/>
        <w:left w:val="none" w:sz="0" w:space="0" w:color="auto"/>
        <w:bottom w:val="none" w:sz="0" w:space="0" w:color="auto"/>
        <w:right w:val="none" w:sz="0" w:space="0" w:color="auto"/>
      </w:divBdr>
    </w:div>
    <w:div w:id="934941832">
      <w:bodyDiv w:val="1"/>
      <w:marLeft w:val="0"/>
      <w:marRight w:val="0"/>
      <w:marTop w:val="0"/>
      <w:marBottom w:val="0"/>
      <w:divBdr>
        <w:top w:val="none" w:sz="0" w:space="0" w:color="auto"/>
        <w:left w:val="none" w:sz="0" w:space="0" w:color="auto"/>
        <w:bottom w:val="none" w:sz="0" w:space="0" w:color="auto"/>
        <w:right w:val="none" w:sz="0" w:space="0" w:color="auto"/>
      </w:divBdr>
    </w:div>
    <w:div w:id="935986985">
      <w:bodyDiv w:val="1"/>
      <w:marLeft w:val="0"/>
      <w:marRight w:val="0"/>
      <w:marTop w:val="0"/>
      <w:marBottom w:val="0"/>
      <w:divBdr>
        <w:top w:val="none" w:sz="0" w:space="0" w:color="auto"/>
        <w:left w:val="none" w:sz="0" w:space="0" w:color="auto"/>
        <w:bottom w:val="none" w:sz="0" w:space="0" w:color="auto"/>
        <w:right w:val="none" w:sz="0" w:space="0" w:color="auto"/>
      </w:divBdr>
    </w:div>
    <w:div w:id="938636408">
      <w:bodyDiv w:val="1"/>
      <w:marLeft w:val="0"/>
      <w:marRight w:val="0"/>
      <w:marTop w:val="0"/>
      <w:marBottom w:val="0"/>
      <w:divBdr>
        <w:top w:val="none" w:sz="0" w:space="0" w:color="auto"/>
        <w:left w:val="none" w:sz="0" w:space="0" w:color="auto"/>
        <w:bottom w:val="none" w:sz="0" w:space="0" w:color="auto"/>
        <w:right w:val="none" w:sz="0" w:space="0" w:color="auto"/>
      </w:divBdr>
    </w:div>
    <w:div w:id="940575984">
      <w:bodyDiv w:val="1"/>
      <w:marLeft w:val="0"/>
      <w:marRight w:val="0"/>
      <w:marTop w:val="0"/>
      <w:marBottom w:val="0"/>
      <w:divBdr>
        <w:top w:val="none" w:sz="0" w:space="0" w:color="auto"/>
        <w:left w:val="none" w:sz="0" w:space="0" w:color="auto"/>
        <w:bottom w:val="none" w:sz="0" w:space="0" w:color="auto"/>
        <w:right w:val="none" w:sz="0" w:space="0" w:color="auto"/>
      </w:divBdr>
    </w:div>
    <w:div w:id="942809870">
      <w:bodyDiv w:val="1"/>
      <w:marLeft w:val="0"/>
      <w:marRight w:val="0"/>
      <w:marTop w:val="0"/>
      <w:marBottom w:val="0"/>
      <w:divBdr>
        <w:top w:val="none" w:sz="0" w:space="0" w:color="auto"/>
        <w:left w:val="none" w:sz="0" w:space="0" w:color="auto"/>
        <w:bottom w:val="none" w:sz="0" w:space="0" w:color="auto"/>
        <w:right w:val="none" w:sz="0" w:space="0" w:color="auto"/>
      </w:divBdr>
    </w:div>
    <w:div w:id="943224855">
      <w:bodyDiv w:val="1"/>
      <w:marLeft w:val="0"/>
      <w:marRight w:val="0"/>
      <w:marTop w:val="0"/>
      <w:marBottom w:val="0"/>
      <w:divBdr>
        <w:top w:val="none" w:sz="0" w:space="0" w:color="auto"/>
        <w:left w:val="none" w:sz="0" w:space="0" w:color="auto"/>
        <w:bottom w:val="none" w:sz="0" w:space="0" w:color="auto"/>
        <w:right w:val="none" w:sz="0" w:space="0" w:color="auto"/>
      </w:divBdr>
    </w:div>
    <w:div w:id="943810278">
      <w:bodyDiv w:val="1"/>
      <w:marLeft w:val="0"/>
      <w:marRight w:val="0"/>
      <w:marTop w:val="0"/>
      <w:marBottom w:val="0"/>
      <w:divBdr>
        <w:top w:val="none" w:sz="0" w:space="0" w:color="auto"/>
        <w:left w:val="none" w:sz="0" w:space="0" w:color="auto"/>
        <w:bottom w:val="none" w:sz="0" w:space="0" w:color="auto"/>
        <w:right w:val="none" w:sz="0" w:space="0" w:color="auto"/>
      </w:divBdr>
    </w:div>
    <w:div w:id="945237883">
      <w:bodyDiv w:val="1"/>
      <w:marLeft w:val="0"/>
      <w:marRight w:val="0"/>
      <w:marTop w:val="0"/>
      <w:marBottom w:val="0"/>
      <w:divBdr>
        <w:top w:val="none" w:sz="0" w:space="0" w:color="auto"/>
        <w:left w:val="none" w:sz="0" w:space="0" w:color="auto"/>
        <w:bottom w:val="none" w:sz="0" w:space="0" w:color="auto"/>
        <w:right w:val="none" w:sz="0" w:space="0" w:color="auto"/>
      </w:divBdr>
    </w:div>
    <w:div w:id="947544428">
      <w:bodyDiv w:val="1"/>
      <w:marLeft w:val="0"/>
      <w:marRight w:val="0"/>
      <w:marTop w:val="0"/>
      <w:marBottom w:val="0"/>
      <w:divBdr>
        <w:top w:val="none" w:sz="0" w:space="0" w:color="auto"/>
        <w:left w:val="none" w:sz="0" w:space="0" w:color="auto"/>
        <w:bottom w:val="none" w:sz="0" w:space="0" w:color="auto"/>
        <w:right w:val="none" w:sz="0" w:space="0" w:color="auto"/>
      </w:divBdr>
    </w:div>
    <w:div w:id="947808581">
      <w:bodyDiv w:val="1"/>
      <w:marLeft w:val="0"/>
      <w:marRight w:val="0"/>
      <w:marTop w:val="0"/>
      <w:marBottom w:val="0"/>
      <w:divBdr>
        <w:top w:val="none" w:sz="0" w:space="0" w:color="auto"/>
        <w:left w:val="none" w:sz="0" w:space="0" w:color="auto"/>
        <w:bottom w:val="none" w:sz="0" w:space="0" w:color="auto"/>
        <w:right w:val="none" w:sz="0" w:space="0" w:color="auto"/>
      </w:divBdr>
    </w:div>
    <w:div w:id="948508482">
      <w:bodyDiv w:val="1"/>
      <w:marLeft w:val="0"/>
      <w:marRight w:val="0"/>
      <w:marTop w:val="0"/>
      <w:marBottom w:val="0"/>
      <w:divBdr>
        <w:top w:val="none" w:sz="0" w:space="0" w:color="auto"/>
        <w:left w:val="none" w:sz="0" w:space="0" w:color="auto"/>
        <w:bottom w:val="none" w:sz="0" w:space="0" w:color="auto"/>
        <w:right w:val="none" w:sz="0" w:space="0" w:color="auto"/>
      </w:divBdr>
    </w:div>
    <w:div w:id="948699315">
      <w:bodyDiv w:val="1"/>
      <w:marLeft w:val="0"/>
      <w:marRight w:val="0"/>
      <w:marTop w:val="0"/>
      <w:marBottom w:val="0"/>
      <w:divBdr>
        <w:top w:val="none" w:sz="0" w:space="0" w:color="auto"/>
        <w:left w:val="none" w:sz="0" w:space="0" w:color="auto"/>
        <w:bottom w:val="none" w:sz="0" w:space="0" w:color="auto"/>
        <w:right w:val="none" w:sz="0" w:space="0" w:color="auto"/>
      </w:divBdr>
    </w:div>
    <w:div w:id="949506302">
      <w:bodyDiv w:val="1"/>
      <w:marLeft w:val="0"/>
      <w:marRight w:val="0"/>
      <w:marTop w:val="0"/>
      <w:marBottom w:val="0"/>
      <w:divBdr>
        <w:top w:val="none" w:sz="0" w:space="0" w:color="auto"/>
        <w:left w:val="none" w:sz="0" w:space="0" w:color="auto"/>
        <w:bottom w:val="none" w:sz="0" w:space="0" w:color="auto"/>
        <w:right w:val="none" w:sz="0" w:space="0" w:color="auto"/>
      </w:divBdr>
    </w:div>
    <w:div w:id="950629083">
      <w:bodyDiv w:val="1"/>
      <w:marLeft w:val="0"/>
      <w:marRight w:val="0"/>
      <w:marTop w:val="0"/>
      <w:marBottom w:val="0"/>
      <w:divBdr>
        <w:top w:val="none" w:sz="0" w:space="0" w:color="auto"/>
        <w:left w:val="none" w:sz="0" w:space="0" w:color="auto"/>
        <w:bottom w:val="none" w:sz="0" w:space="0" w:color="auto"/>
        <w:right w:val="none" w:sz="0" w:space="0" w:color="auto"/>
      </w:divBdr>
    </w:div>
    <w:div w:id="951085325">
      <w:bodyDiv w:val="1"/>
      <w:marLeft w:val="0"/>
      <w:marRight w:val="0"/>
      <w:marTop w:val="0"/>
      <w:marBottom w:val="0"/>
      <w:divBdr>
        <w:top w:val="none" w:sz="0" w:space="0" w:color="auto"/>
        <w:left w:val="none" w:sz="0" w:space="0" w:color="auto"/>
        <w:bottom w:val="none" w:sz="0" w:space="0" w:color="auto"/>
        <w:right w:val="none" w:sz="0" w:space="0" w:color="auto"/>
      </w:divBdr>
    </w:div>
    <w:div w:id="953438006">
      <w:bodyDiv w:val="1"/>
      <w:marLeft w:val="0"/>
      <w:marRight w:val="0"/>
      <w:marTop w:val="0"/>
      <w:marBottom w:val="0"/>
      <w:divBdr>
        <w:top w:val="none" w:sz="0" w:space="0" w:color="auto"/>
        <w:left w:val="none" w:sz="0" w:space="0" w:color="auto"/>
        <w:bottom w:val="none" w:sz="0" w:space="0" w:color="auto"/>
        <w:right w:val="none" w:sz="0" w:space="0" w:color="auto"/>
      </w:divBdr>
    </w:div>
    <w:div w:id="957177952">
      <w:bodyDiv w:val="1"/>
      <w:marLeft w:val="0"/>
      <w:marRight w:val="0"/>
      <w:marTop w:val="0"/>
      <w:marBottom w:val="0"/>
      <w:divBdr>
        <w:top w:val="none" w:sz="0" w:space="0" w:color="auto"/>
        <w:left w:val="none" w:sz="0" w:space="0" w:color="auto"/>
        <w:bottom w:val="none" w:sz="0" w:space="0" w:color="auto"/>
        <w:right w:val="none" w:sz="0" w:space="0" w:color="auto"/>
      </w:divBdr>
    </w:div>
    <w:div w:id="957222882">
      <w:bodyDiv w:val="1"/>
      <w:marLeft w:val="0"/>
      <w:marRight w:val="0"/>
      <w:marTop w:val="0"/>
      <w:marBottom w:val="0"/>
      <w:divBdr>
        <w:top w:val="none" w:sz="0" w:space="0" w:color="auto"/>
        <w:left w:val="none" w:sz="0" w:space="0" w:color="auto"/>
        <w:bottom w:val="none" w:sz="0" w:space="0" w:color="auto"/>
        <w:right w:val="none" w:sz="0" w:space="0" w:color="auto"/>
      </w:divBdr>
    </w:div>
    <w:div w:id="959190453">
      <w:bodyDiv w:val="1"/>
      <w:marLeft w:val="0"/>
      <w:marRight w:val="0"/>
      <w:marTop w:val="0"/>
      <w:marBottom w:val="0"/>
      <w:divBdr>
        <w:top w:val="none" w:sz="0" w:space="0" w:color="auto"/>
        <w:left w:val="none" w:sz="0" w:space="0" w:color="auto"/>
        <w:bottom w:val="none" w:sz="0" w:space="0" w:color="auto"/>
        <w:right w:val="none" w:sz="0" w:space="0" w:color="auto"/>
      </w:divBdr>
    </w:div>
    <w:div w:id="960769543">
      <w:bodyDiv w:val="1"/>
      <w:marLeft w:val="0"/>
      <w:marRight w:val="0"/>
      <w:marTop w:val="0"/>
      <w:marBottom w:val="0"/>
      <w:divBdr>
        <w:top w:val="none" w:sz="0" w:space="0" w:color="auto"/>
        <w:left w:val="none" w:sz="0" w:space="0" w:color="auto"/>
        <w:bottom w:val="none" w:sz="0" w:space="0" w:color="auto"/>
        <w:right w:val="none" w:sz="0" w:space="0" w:color="auto"/>
      </w:divBdr>
    </w:div>
    <w:div w:id="962925673">
      <w:bodyDiv w:val="1"/>
      <w:marLeft w:val="0"/>
      <w:marRight w:val="0"/>
      <w:marTop w:val="0"/>
      <w:marBottom w:val="0"/>
      <w:divBdr>
        <w:top w:val="none" w:sz="0" w:space="0" w:color="auto"/>
        <w:left w:val="none" w:sz="0" w:space="0" w:color="auto"/>
        <w:bottom w:val="none" w:sz="0" w:space="0" w:color="auto"/>
        <w:right w:val="none" w:sz="0" w:space="0" w:color="auto"/>
      </w:divBdr>
    </w:div>
    <w:div w:id="966424768">
      <w:bodyDiv w:val="1"/>
      <w:marLeft w:val="0"/>
      <w:marRight w:val="0"/>
      <w:marTop w:val="0"/>
      <w:marBottom w:val="0"/>
      <w:divBdr>
        <w:top w:val="none" w:sz="0" w:space="0" w:color="auto"/>
        <w:left w:val="none" w:sz="0" w:space="0" w:color="auto"/>
        <w:bottom w:val="none" w:sz="0" w:space="0" w:color="auto"/>
        <w:right w:val="none" w:sz="0" w:space="0" w:color="auto"/>
      </w:divBdr>
    </w:div>
    <w:div w:id="970599353">
      <w:bodyDiv w:val="1"/>
      <w:marLeft w:val="0"/>
      <w:marRight w:val="0"/>
      <w:marTop w:val="0"/>
      <w:marBottom w:val="0"/>
      <w:divBdr>
        <w:top w:val="none" w:sz="0" w:space="0" w:color="auto"/>
        <w:left w:val="none" w:sz="0" w:space="0" w:color="auto"/>
        <w:bottom w:val="none" w:sz="0" w:space="0" w:color="auto"/>
        <w:right w:val="none" w:sz="0" w:space="0" w:color="auto"/>
      </w:divBdr>
    </w:div>
    <w:div w:id="973558858">
      <w:bodyDiv w:val="1"/>
      <w:marLeft w:val="0"/>
      <w:marRight w:val="0"/>
      <w:marTop w:val="0"/>
      <w:marBottom w:val="0"/>
      <w:divBdr>
        <w:top w:val="none" w:sz="0" w:space="0" w:color="auto"/>
        <w:left w:val="none" w:sz="0" w:space="0" w:color="auto"/>
        <w:bottom w:val="none" w:sz="0" w:space="0" w:color="auto"/>
        <w:right w:val="none" w:sz="0" w:space="0" w:color="auto"/>
      </w:divBdr>
    </w:div>
    <w:div w:id="973757129">
      <w:bodyDiv w:val="1"/>
      <w:marLeft w:val="0"/>
      <w:marRight w:val="0"/>
      <w:marTop w:val="0"/>
      <w:marBottom w:val="0"/>
      <w:divBdr>
        <w:top w:val="none" w:sz="0" w:space="0" w:color="auto"/>
        <w:left w:val="none" w:sz="0" w:space="0" w:color="auto"/>
        <w:bottom w:val="none" w:sz="0" w:space="0" w:color="auto"/>
        <w:right w:val="none" w:sz="0" w:space="0" w:color="auto"/>
      </w:divBdr>
    </w:div>
    <w:div w:id="974219522">
      <w:bodyDiv w:val="1"/>
      <w:marLeft w:val="0"/>
      <w:marRight w:val="0"/>
      <w:marTop w:val="0"/>
      <w:marBottom w:val="0"/>
      <w:divBdr>
        <w:top w:val="none" w:sz="0" w:space="0" w:color="auto"/>
        <w:left w:val="none" w:sz="0" w:space="0" w:color="auto"/>
        <w:bottom w:val="none" w:sz="0" w:space="0" w:color="auto"/>
        <w:right w:val="none" w:sz="0" w:space="0" w:color="auto"/>
      </w:divBdr>
    </w:div>
    <w:div w:id="974261574">
      <w:bodyDiv w:val="1"/>
      <w:marLeft w:val="0"/>
      <w:marRight w:val="0"/>
      <w:marTop w:val="0"/>
      <w:marBottom w:val="0"/>
      <w:divBdr>
        <w:top w:val="none" w:sz="0" w:space="0" w:color="auto"/>
        <w:left w:val="none" w:sz="0" w:space="0" w:color="auto"/>
        <w:bottom w:val="none" w:sz="0" w:space="0" w:color="auto"/>
        <w:right w:val="none" w:sz="0" w:space="0" w:color="auto"/>
      </w:divBdr>
    </w:div>
    <w:div w:id="975337412">
      <w:bodyDiv w:val="1"/>
      <w:marLeft w:val="0"/>
      <w:marRight w:val="0"/>
      <w:marTop w:val="0"/>
      <w:marBottom w:val="0"/>
      <w:divBdr>
        <w:top w:val="none" w:sz="0" w:space="0" w:color="auto"/>
        <w:left w:val="none" w:sz="0" w:space="0" w:color="auto"/>
        <w:bottom w:val="none" w:sz="0" w:space="0" w:color="auto"/>
        <w:right w:val="none" w:sz="0" w:space="0" w:color="auto"/>
      </w:divBdr>
    </w:div>
    <w:div w:id="976226156">
      <w:bodyDiv w:val="1"/>
      <w:marLeft w:val="0"/>
      <w:marRight w:val="0"/>
      <w:marTop w:val="0"/>
      <w:marBottom w:val="0"/>
      <w:divBdr>
        <w:top w:val="none" w:sz="0" w:space="0" w:color="auto"/>
        <w:left w:val="none" w:sz="0" w:space="0" w:color="auto"/>
        <w:bottom w:val="none" w:sz="0" w:space="0" w:color="auto"/>
        <w:right w:val="none" w:sz="0" w:space="0" w:color="auto"/>
      </w:divBdr>
    </w:div>
    <w:div w:id="978071557">
      <w:bodyDiv w:val="1"/>
      <w:marLeft w:val="0"/>
      <w:marRight w:val="0"/>
      <w:marTop w:val="0"/>
      <w:marBottom w:val="0"/>
      <w:divBdr>
        <w:top w:val="none" w:sz="0" w:space="0" w:color="auto"/>
        <w:left w:val="none" w:sz="0" w:space="0" w:color="auto"/>
        <w:bottom w:val="none" w:sz="0" w:space="0" w:color="auto"/>
        <w:right w:val="none" w:sz="0" w:space="0" w:color="auto"/>
      </w:divBdr>
    </w:div>
    <w:div w:id="980503182">
      <w:bodyDiv w:val="1"/>
      <w:marLeft w:val="0"/>
      <w:marRight w:val="0"/>
      <w:marTop w:val="0"/>
      <w:marBottom w:val="0"/>
      <w:divBdr>
        <w:top w:val="none" w:sz="0" w:space="0" w:color="auto"/>
        <w:left w:val="none" w:sz="0" w:space="0" w:color="auto"/>
        <w:bottom w:val="none" w:sz="0" w:space="0" w:color="auto"/>
        <w:right w:val="none" w:sz="0" w:space="0" w:color="auto"/>
      </w:divBdr>
    </w:div>
    <w:div w:id="980691801">
      <w:bodyDiv w:val="1"/>
      <w:marLeft w:val="0"/>
      <w:marRight w:val="0"/>
      <w:marTop w:val="0"/>
      <w:marBottom w:val="0"/>
      <w:divBdr>
        <w:top w:val="none" w:sz="0" w:space="0" w:color="auto"/>
        <w:left w:val="none" w:sz="0" w:space="0" w:color="auto"/>
        <w:bottom w:val="none" w:sz="0" w:space="0" w:color="auto"/>
        <w:right w:val="none" w:sz="0" w:space="0" w:color="auto"/>
      </w:divBdr>
    </w:div>
    <w:div w:id="981077835">
      <w:bodyDiv w:val="1"/>
      <w:marLeft w:val="0"/>
      <w:marRight w:val="0"/>
      <w:marTop w:val="0"/>
      <w:marBottom w:val="0"/>
      <w:divBdr>
        <w:top w:val="none" w:sz="0" w:space="0" w:color="auto"/>
        <w:left w:val="none" w:sz="0" w:space="0" w:color="auto"/>
        <w:bottom w:val="none" w:sz="0" w:space="0" w:color="auto"/>
        <w:right w:val="none" w:sz="0" w:space="0" w:color="auto"/>
      </w:divBdr>
    </w:div>
    <w:div w:id="981690409">
      <w:bodyDiv w:val="1"/>
      <w:marLeft w:val="0"/>
      <w:marRight w:val="0"/>
      <w:marTop w:val="0"/>
      <w:marBottom w:val="0"/>
      <w:divBdr>
        <w:top w:val="none" w:sz="0" w:space="0" w:color="auto"/>
        <w:left w:val="none" w:sz="0" w:space="0" w:color="auto"/>
        <w:bottom w:val="none" w:sz="0" w:space="0" w:color="auto"/>
        <w:right w:val="none" w:sz="0" w:space="0" w:color="auto"/>
      </w:divBdr>
    </w:div>
    <w:div w:id="982122945">
      <w:bodyDiv w:val="1"/>
      <w:marLeft w:val="0"/>
      <w:marRight w:val="0"/>
      <w:marTop w:val="0"/>
      <w:marBottom w:val="0"/>
      <w:divBdr>
        <w:top w:val="none" w:sz="0" w:space="0" w:color="auto"/>
        <w:left w:val="none" w:sz="0" w:space="0" w:color="auto"/>
        <w:bottom w:val="none" w:sz="0" w:space="0" w:color="auto"/>
        <w:right w:val="none" w:sz="0" w:space="0" w:color="auto"/>
      </w:divBdr>
    </w:div>
    <w:div w:id="985279437">
      <w:bodyDiv w:val="1"/>
      <w:marLeft w:val="0"/>
      <w:marRight w:val="0"/>
      <w:marTop w:val="0"/>
      <w:marBottom w:val="0"/>
      <w:divBdr>
        <w:top w:val="none" w:sz="0" w:space="0" w:color="auto"/>
        <w:left w:val="none" w:sz="0" w:space="0" w:color="auto"/>
        <w:bottom w:val="none" w:sz="0" w:space="0" w:color="auto"/>
        <w:right w:val="none" w:sz="0" w:space="0" w:color="auto"/>
      </w:divBdr>
    </w:div>
    <w:div w:id="985890478">
      <w:bodyDiv w:val="1"/>
      <w:marLeft w:val="0"/>
      <w:marRight w:val="0"/>
      <w:marTop w:val="0"/>
      <w:marBottom w:val="0"/>
      <w:divBdr>
        <w:top w:val="none" w:sz="0" w:space="0" w:color="auto"/>
        <w:left w:val="none" w:sz="0" w:space="0" w:color="auto"/>
        <w:bottom w:val="none" w:sz="0" w:space="0" w:color="auto"/>
        <w:right w:val="none" w:sz="0" w:space="0" w:color="auto"/>
      </w:divBdr>
    </w:div>
    <w:div w:id="985932477">
      <w:bodyDiv w:val="1"/>
      <w:marLeft w:val="0"/>
      <w:marRight w:val="0"/>
      <w:marTop w:val="0"/>
      <w:marBottom w:val="0"/>
      <w:divBdr>
        <w:top w:val="none" w:sz="0" w:space="0" w:color="auto"/>
        <w:left w:val="none" w:sz="0" w:space="0" w:color="auto"/>
        <w:bottom w:val="none" w:sz="0" w:space="0" w:color="auto"/>
        <w:right w:val="none" w:sz="0" w:space="0" w:color="auto"/>
      </w:divBdr>
    </w:div>
    <w:div w:id="986975285">
      <w:bodyDiv w:val="1"/>
      <w:marLeft w:val="0"/>
      <w:marRight w:val="0"/>
      <w:marTop w:val="0"/>
      <w:marBottom w:val="0"/>
      <w:divBdr>
        <w:top w:val="none" w:sz="0" w:space="0" w:color="auto"/>
        <w:left w:val="none" w:sz="0" w:space="0" w:color="auto"/>
        <w:bottom w:val="none" w:sz="0" w:space="0" w:color="auto"/>
        <w:right w:val="none" w:sz="0" w:space="0" w:color="auto"/>
      </w:divBdr>
    </w:div>
    <w:div w:id="993870396">
      <w:bodyDiv w:val="1"/>
      <w:marLeft w:val="0"/>
      <w:marRight w:val="0"/>
      <w:marTop w:val="0"/>
      <w:marBottom w:val="0"/>
      <w:divBdr>
        <w:top w:val="none" w:sz="0" w:space="0" w:color="auto"/>
        <w:left w:val="none" w:sz="0" w:space="0" w:color="auto"/>
        <w:bottom w:val="none" w:sz="0" w:space="0" w:color="auto"/>
        <w:right w:val="none" w:sz="0" w:space="0" w:color="auto"/>
      </w:divBdr>
    </w:div>
    <w:div w:id="998386484">
      <w:bodyDiv w:val="1"/>
      <w:marLeft w:val="0"/>
      <w:marRight w:val="0"/>
      <w:marTop w:val="0"/>
      <w:marBottom w:val="0"/>
      <w:divBdr>
        <w:top w:val="none" w:sz="0" w:space="0" w:color="auto"/>
        <w:left w:val="none" w:sz="0" w:space="0" w:color="auto"/>
        <w:bottom w:val="none" w:sz="0" w:space="0" w:color="auto"/>
        <w:right w:val="none" w:sz="0" w:space="0" w:color="auto"/>
      </w:divBdr>
    </w:div>
    <w:div w:id="1000501988">
      <w:bodyDiv w:val="1"/>
      <w:marLeft w:val="0"/>
      <w:marRight w:val="0"/>
      <w:marTop w:val="0"/>
      <w:marBottom w:val="0"/>
      <w:divBdr>
        <w:top w:val="none" w:sz="0" w:space="0" w:color="auto"/>
        <w:left w:val="none" w:sz="0" w:space="0" w:color="auto"/>
        <w:bottom w:val="none" w:sz="0" w:space="0" w:color="auto"/>
        <w:right w:val="none" w:sz="0" w:space="0" w:color="auto"/>
      </w:divBdr>
    </w:div>
    <w:div w:id="1001735314">
      <w:bodyDiv w:val="1"/>
      <w:marLeft w:val="0"/>
      <w:marRight w:val="0"/>
      <w:marTop w:val="0"/>
      <w:marBottom w:val="0"/>
      <w:divBdr>
        <w:top w:val="none" w:sz="0" w:space="0" w:color="auto"/>
        <w:left w:val="none" w:sz="0" w:space="0" w:color="auto"/>
        <w:bottom w:val="none" w:sz="0" w:space="0" w:color="auto"/>
        <w:right w:val="none" w:sz="0" w:space="0" w:color="auto"/>
      </w:divBdr>
    </w:div>
    <w:div w:id="1004012697">
      <w:bodyDiv w:val="1"/>
      <w:marLeft w:val="0"/>
      <w:marRight w:val="0"/>
      <w:marTop w:val="0"/>
      <w:marBottom w:val="0"/>
      <w:divBdr>
        <w:top w:val="none" w:sz="0" w:space="0" w:color="auto"/>
        <w:left w:val="none" w:sz="0" w:space="0" w:color="auto"/>
        <w:bottom w:val="none" w:sz="0" w:space="0" w:color="auto"/>
        <w:right w:val="none" w:sz="0" w:space="0" w:color="auto"/>
      </w:divBdr>
    </w:div>
    <w:div w:id="1010181982">
      <w:bodyDiv w:val="1"/>
      <w:marLeft w:val="0"/>
      <w:marRight w:val="0"/>
      <w:marTop w:val="0"/>
      <w:marBottom w:val="0"/>
      <w:divBdr>
        <w:top w:val="none" w:sz="0" w:space="0" w:color="auto"/>
        <w:left w:val="none" w:sz="0" w:space="0" w:color="auto"/>
        <w:bottom w:val="none" w:sz="0" w:space="0" w:color="auto"/>
        <w:right w:val="none" w:sz="0" w:space="0" w:color="auto"/>
      </w:divBdr>
    </w:div>
    <w:div w:id="1010252858">
      <w:bodyDiv w:val="1"/>
      <w:marLeft w:val="0"/>
      <w:marRight w:val="0"/>
      <w:marTop w:val="0"/>
      <w:marBottom w:val="0"/>
      <w:divBdr>
        <w:top w:val="none" w:sz="0" w:space="0" w:color="auto"/>
        <w:left w:val="none" w:sz="0" w:space="0" w:color="auto"/>
        <w:bottom w:val="none" w:sz="0" w:space="0" w:color="auto"/>
        <w:right w:val="none" w:sz="0" w:space="0" w:color="auto"/>
      </w:divBdr>
    </w:div>
    <w:div w:id="1011563834">
      <w:bodyDiv w:val="1"/>
      <w:marLeft w:val="0"/>
      <w:marRight w:val="0"/>
      <w:marTop w:val="0"/>
      <w:marBottom w:val="0"/>
      <w:divBdr>
        <w:top w:val="none" w:sz="0" w:space="0" w:color="auto"/>
        <w:left w:val="none" w:sz="0" w:space="0" w:color="auto"/>
        <w:bottom w:val="none" w:sz="0" w:space="0" w:color="auto"/>
        <w:right w:val="none" w:sz="0" w:space="0" w:color="auto"/>
      </w:divBdr>
    </w:div>
    <w:div w:id="1012805291">
      <w:bodyDiv w:val="1"/>
      <w:marLeft w:val="0"/>
      <w:marRight w:val="0"/>
      <w:marTop w:val="0"/>
      <w:marBottom w:val="0"/>
      <w:divBdr>
        <w:top w:val="none" w:sz="0" w:space="0" w:color="auto"/>
        <w:left w:val="none" w:sz="0" w:space="0" w:color="auto"/>
        <w:bottom w:val="none" w:sz="0" w:space="0" w:color="auto"/>
        <w:right w:val="none" w:sz="0" w:space="0" w:color="auto"/>
      </w:divBdr>
    </w:div>
    <w:div w:id="1013455383">
      <w:bodyDiv w:val="1"/>
      <w:marLeft w:val="0"/>
      <w:marRight w:val="0"/>
      <w:marTop w:val="0"/>
      <w:marBottom w:val="0"/>
      <w:divBdr>
        <w:top w:val="none" w:sz="0" w:space="0" w:color="auto"/>
        <w:left w:val="none" w:sz="0" w:space="0" w:color="auto"/>
        <w:bottom w:val="none" w:sz="0" w:space="0" w:color="auto"/>
        <w:right w:val="none" w:sz="0" w:space="0" w:color="auto"/>
      </w:divBdr>
    </w:div>
    <w:div w:id="1015032585">
      <w:bodyDiv w:val="1"/>
      <w:marLeft w:val="0"/>
      <w:marRight w:val="0"/>
      <w:marTop w:val="0"/>
      <w:marBottom w:val="0"/>
      <w:divBdr>
        <w:top w:val="none" w:sz="0" w:space="0" w:color="auto"/>
        <w:left w:val="none" w:sz="0" w:space="0" w:color="auto"/>
        <w:bottom w:val="none" w:sz="0" w:space="0" w:color="auto"/>
        <w:right w:val="none" w:sz="0" w:space="0" w:color="auto"/>
      </w:divBdr>
    </w:div>
    <w:div w:id="1015351629">
      <w:bodyDiv w:val="1"/>
      <w:marLeft w:val="0"/>
      <w:marRight w:val="0"/>
      <w:marTop w:val="0"/>
      <w:marBottom w:val="0"/>
      <w:divBdr>
        <w:top w:val="none" w:sz="0" w:space="0" w:color="auto"/>
        <w:left w:val="none" w:sz="0" w:space="0" w:color="auto"/>
        <w:bottom w:val="none" w:sz="0" w:space="0" w:color="auto"/>
        <w:right w:val="none" w:sz="0" w:space="0" w:color="auto"/>
      </w:divBdr>
    </w:div>
    <w:div w:id="1016346942">
      <w:bodyDiv w:val="1"/>
      <w:marLeft w:val="0"/>
      <w:marRight w:val="0"/>
      <w:marTop w:val="0"/>
      <w:marBottom w:val="0"/>
      <w:divBdr>
        <w:top w:val="none" w:sz="0" w:space="0" w:color="auto"/>
        <w:left w:val="none" w:sz="0" w:space="0" w:color="auto"/>
        <w:bottom w:val="none" w:sz="0" w:space="0" w:color="auto"/>
        <w:right w:val="none" w:sz="0" w:space="0" w:color="auto"/>
      </w:divBdr>
    </w:div>
    <w:div w:id="1016612720">
      <w:bodyDiv w:val="1"/>
      <w:marLeft w:val="0"/>
      <w:marRight w:val="0"/>
      <w:marTop w:val="0"/>
      <w:marBottom w:val="0"/>
      <w:divBdr>
        <w:top w:val="none" w:sz="0" w:space="0" w:color="auto"/>
        <w:left w:val="none" w:sz="0" w:space="0" w:color="auto"/>
        <w:bottom w:val="none" w:sz="0" w:space="0" w:color="auto"/>
        <w:right w:val="none" w:sz="0" w:space="0" w:color="auto"/>
      </w:divBdr>
    </w:div>
    <w:div w:id="1018855007">
      <w:bodyDiv w:val="1"/>
      <w:marLeft w:val="0"/>
      <w:marRight w:val="0"/>
      <w:marTop w:val="0"/>
      <w:marBottom w:val="0"/>
      <w:divBdr>
        <w:top w:val="none" w:sz="0" w:space="0" w:color="auto"/>
        <w:left w:val="none" w:sz="0" w:space="0" w:color="auto"/>
        <w:bottom w:val="none" w:sz="0" w:space="0" w:color="auto"/>
        <w:right w:val="none" w:sz="0" w:space="0" w:color="auto"/>
      </w:divBdr>
    </w:div>
    <w:div w:id="1020547811">
      <w:bodyDiv w:val="1"/>
      <w:marLeft w:val="0"/>
      <w:marRight w:val="0"/>
      <w:marTop w:val="0"/>
      <w:marBottom w:val="0"/>
      <w:divBdr>
        <w:top w:val="none" w:sz="0" w:space="0" w:color="auto"/>
        <w:left w:val="none" w:sz="0" w:space="0" w:color="auto"/>
        <w:bottom w:val="none" w:sz="0" w:space="0" w:color="auto"/>
        <w:right w:val="none" w:sz="0" w:space="0" w:color="auto"/>
      </w:divBdr>
    </w:div>
    <w:div w:id="1021006382">
      <w:bodyDiv w:val="1"/>
      <w:marLeft w:val="0"/>
      <w:marRight w:val="0"/>
      <w:marTop w:val="0"/>
      <w:marBottom w:val="0"/>
      <w:divBdr>
        <w:top w:val="none" w:sz="0" w:space="0" w:color="auto"/>
        <w:left w:val="none" w:sz="0" w:space="0" w:color="auto"/>
        <w:bottom w:val="none" w:sz="0" w:space="0" w:color="auto"/>
        <w:right w:val="none" w:sz="0" w:space="0" w:color="auto"/>
      </w:divBdr>
    </w:div>
    <w:div w:id="1021276159">
      <w:bodyDiv w:val="1"/>
      <w:marLeft w:val="0"/>
      <w:marRight w:val="0"/>
      <w:marTop w:val="0"/>
      <w:marBottom w:val="0"/>
      <w:divBdr>
        <w:top w:val="none" w:sz="0" w:space="0" w:color="auto"/>
        <w:left w:val="none" w:sz="0" w:space="0" w:color="auto"/>
        <w:bottom w:val="none" w:sz="0" w:space="0" w:color="auto"/>
        <w:right w:val="none" w:sz="0" w:space="0" w:color="auto"/>
      </w:divBdr>
    </w:div>
    <w:div w:id="1022124348">
      <w:bodyDiv w:val="1"/>
      <w:marLeft w:val="0"/>
      <w:marRight w:val="0"/>
      <w:marTop w:val="0"/>
      <w:marBottom w:val="0"/>
      <w:divBdr>
        <w:top w:val="none" w:sz="0" w:space="0" w:color="auto"/>
        <w:left w:val="none" w:sz="0" w:space="0" w:color="auto"/>
        <w:bottom w:val="none" w:sz="0" w:space="0" w:color="auto"/>
        <w:right w:val="none" w:sz="0" w:space="0" w:color="auto"/>
      </w:divBdr>
    </w:div>
    <w:div w:id="1023243347">
      <w:bodyDiv w:val="1"/>
      <w:marLeft w:val="0"/>
      <w:marRight w:val="0"/>
      <w:marTop w:val="0"/>
      <w:marBottom w:val="0"/>
      <w:divBdr>
        <w:top w:val="none" w:sz="0" w:space="0" w:color="auto"/>
        <w:left w:val="none" w:sz="0" w:space="0" w:color="auto"/>
        <w:bottom w:val="none" w:sz="0" w:space="0" w:color="auto"/>
        <w:right w:val="none" w:sz="0" w:space="0" w:color="auto"/>
      </w:divBdr>
    </w:div>
    <w:div w:id="1023628775">
      <w:bodyDiv w:val="1"/>
      <w:marLeft w:val="0"/>
      <w:marRight w:val="0"/>
      <w:marTop w:val="0"/>
      <w:marBottom w:val="0"/>
      <w:divBdr>
        <w:top w:val="none" w:sz="0" w:space="0" w:color="auto"/>
        <w:left w:val="none" w:sz="0" w:space="0" w:color="auto"/>
        <w:bottom w:val="none" w:sz="0" w:space="0" w:color="auto"/>
        <w:right w:val="none" w:sz="0" w:space="0" w:color="auto"/>
      </w:divBdr>
    </w:div>
    <w:div w:id="1024945104">
      <w:bodyDiv w:val="1"/>
      <w:marLeft w:val="0"/>
      <w:marRight w:val="0"/>
      <w:marTop w:val="0"/>
      <w:marBottom w:val="0"/>
      <w:divBdr>
        <w:top w:val="none" w:sz="0" w:space="0" w:color="auto"/>
        <w:left w:val="none" w:sz="0" w:space="0" w:color="auto"/>
        <w:bottom w:val="none" w:sz="0" w:space="0" w:color="auto"/>
        <w:right w:val="none" w:sz="0" w:space="0" w:color="auto"/>
      </w:divBdr>
    </w:div>
    <w:div w:id="1025207711">
      <w:bodyDiv w:val="1"/>
      <w:marLeft w:val="0"/>
      <w:marRight w:val="0"/>
      <w:marTop w:val="0"/>
      <w:marBottom w:val="0"/>
      <w:divBdr>
        <w:top w:val="none" w:sz="0" w:space="0" w:color="auto"/>
        <w:left w:val="none" w:sz="0" w:space="0" w:color="auto"/>
        <w:bottom w:val="none" w:sz="0" w:space="0" w:color="auto"/>
        <w:right w:val="none" w:sz="0" w:space="0" w:color="auto"/>
      </w:divBdr>
    </w:div>
    <w:div w:id="1027220142">
      <w:bodyDiv w:val="1"/>
      <w:marLeft w:val="0"/>
      <w:marRight w:val="0"/>
      <w:marTop w:val="0"/>
      <w:marBottom w:val="0"/>
      <w:divBdr>
        <w:top w:val="none" w:sz="0" w:space="0" w:color="auto"/>
        <w:left w:val="none" w:sz="0" w:space="0" w:color="auto"/>
        <w:bottom w:val="none" w:sz="0" w:space="0" w:color="auto"/>
        <w:right w:val="none" w:sz="0" w:space="0" w:color="auto"/>
      </w:divBdr>
    </w:div>
    <w:div w:id="1028726406">
      <w:bodyDiv w:val="1"/>
      <w:marLeft w:val="0"/>
      <w:marRight w:val="0"/>
      <w:marTop w:val="0"/>
      <w:marBottom w:val="0"/>
      <w:divBdr>
        <w:top w:val="none" w:sz="0" w:space="0" w:color="auto"/>
        <w:left w:val="none" w:sz="0" w:space="0" w:color="auto"/>
        <w:bottom w:val="none" w:sz="0" w:space="0" w:color="auto"/>
        <w:right w:val="none" w:sz="0" w:space="0" w:color="auto"/>
      </w:divBdr>
    </w:div>
    <w:div w:id="1031035430">
      <w:bodyDiv w:val="1"/>
      <w:marLeft w:val="0"/>
      <w:marRight w:val="0"/>
      <w:marTop w:val="0"/>
      <w:marBottom w:val="0"/>
      <w:divBdr>
        <w:top w:val="none" w:sz="0" w:space="0" w:color="auto"/>
        <w:left w:val="none" w:sz="0" w:space="0" w:color="auto"/>
        <w:bottom w:val="none" w:sz="0" w:space="0" w:color="auto"/>
        <w:right w:val="none" w:sz="0" w:space="0" w:color="auto"/>
      </w:divBdr>
    </w:div>
    <w:div w:id="1031688025">
      <w:bodyDiv w:val="1"/>
      <w:marLeft w:val="0"/>
      <w:marRight w:val="0"/>
      <w:marTop w:val="0"/>
      <w:marBottom w:val="0"/>
      <w:divBdr>
        <w:top w:val="none" w:sz="0" w:space="0" w:color="auto"/>
        <w:left w:val="none" w:sz="0" w:space="0" w:color="auto"/>
        <w:bottom w:val="none" w:sz="0" w:space="0" w:color="auto"/>
        <w:right w:val="none" w:sz="0" w:space="0" w:color="auto"/>
      </w:divBdr>
    </w:div>
    <w:div w:id="1035352450">
      <w:bodyDiv w:val="1"/>
      <w:marLeft w:val="0"/>
      <w:marRight w:val="0"/>
      <w:marTop w:val="0"/>
      <w:marBottom w:val="0"/>
      <w:divBdr>
        <w:top w:val="none" w:sz="0" w:space="0" w:color="auto"/>
        <w:left w:val="none" w:sz="0" w:space="0" w:color="auto"/>
        <w:bottom w:val="none" w:sz="0" w:space="0" w:color="auto"/>
        <w:right w:val="none" w:sz="0" w:space="0" w:color="auto"/>
      </w:divBdr>
    </w:div>
    <w:div w:id="1036740320">
      <w:bodyDiv w:val="1"/>
      <w:marLeft w:val="0"/>
      <w:marRight w:val="0"/>
      <w:marTop w:val="0"/>
      <w:marBottom w:val="0"/>
      <w:divBdr>
        <w:top w:val="none" w:sz="0" w:space="0" w:color="auto"/>
        <w:left w:val="none" w:sz="0" w:space="0" w:color="auto"/>
        <w:bottom w:val="none" w:sz="0" w:space="0" w:color="auto"/>
        <w:right w:val="none" w:sz="0" w:space="0" w:color="auto"/>
      </w:divBdr>
    </w:div>
    <w:div w:id="1036929061">
      <w:bodyDiv w:val="1"/>
      <w:marLeft w:val="0"/>
      <w:marRight w:val="0"/>
      <w:marTop w:val="0"/>
      <w:marBottom w:val="0"/>
      <w:divBdr>
        <w:top w:val="none" w:sz="0" w:space="0" w:color="auto"/>
        <w:left w:val="none" w:sz="0" w:space="0" w:color="auto"/>
        <w:bottom w:val="none" w:sz="0" w:space="0" w:color="auto"/>
        <w:right w:val="none" w:sz="0" w:space="0" w:color="auto"/>
      </w:divBdr>
    </w:div>
    <w:div w:id="1037050522">
      <w:bodyDiv w:val="1"/>
      <w:marLeft w:val="0"/>
      <w:marRight w:val="0"/>
      <w:marTop w:val="0"/>
      <w:marBottom w:val="0"/>
      <w:divBdr>
        <w:top w:val="none" w:sz="0" w:space="0" w:color="auto"/>
        <w:left w:val="none" w:sz="0" w:space="0" w:color="auto"/>
        <w:bottom w:val="none" w:sz="0" w:space="0" w:color="auto"/>
        <w:right w:val="none" w:sz="0" w:space="0" w:color="auto"/>
      </w:divBdr>
    </w:div>
    <w:div w:id="1037051566">
      <w:bodyDiv w:val="1"/>
      <w:marLeft w:val="0"/>
      <w:marRight w:val="0"/>
      <w:marTop w:val="0"/>
      <w:marBottom w:val="0"/>
      <w:divBdr>
        <w:top w:val="none" w:sz="0" w:space="0" w:color="auto"/>
        <w:left w:val="none" w:sz="0" w:space="0" w:color="auto"/>
        <w:bottom w:val="none" w:sz="0" w:space="0" w:color="auto"/>
        <w:right w:val="none" w:sz="0" w:space="0" w:color="auto"/>
      </w:divBdr>
    </w:div>
    <w:div w:id="1037702619">
      <w:bodyDiv w:val="1"/>
      <w:marLeft w:val="0"/>
      <w:marRight w:val="0"/>
      <w:marTop w:val="0"/>
      <w:marBottom w:val="0"/>
      <w:divBdr>
        <w:top w:val="none" w:sz="0" w:space="0" w:color="auto"/>
        <w:left w:val="none" w:sz="0" w:space="0" w:color="auto"/>
        <w:bottom w:val="none" w:sz="0" w:space="0" w:color="auto"/>
        <w:right w:val="none" w:sz="0" w:space="0" w:color="auto"/>
      </w:divBdr>
    </w:div>
    <w:div w:id="1038117097">
      <w:bodyDiv w:val="1"/>
      <w:marLeft w:val="0"/>
      <w:marRight w:val="0"/>
      <w:marTop w:val="0"/>
      <w:marBottom w:val="0"/>
      <w:divBdr>
        <w:top w:val="none" w:sz="0" w:space="0" w:color="auto"/>
        <w:left w:val="none" w:sz="0" w:space="0" w:color="auto"/>
        <w:bottom w:val="none" w:sz="0" w:space="0" w:color="auto"/>
        <w:right w:val="none" w:sz="0" w:space="0" w:color="auto"/>
      </w:divBdr>
    </w:div>
    <w:div w:id="1038702334">
      <w:bodyDiv w:val="1"/>
      <w:marLeft w:val="0"/>
      <w:marRight w:val="0"/>
      <w:marTop w:val="0"/>
      <w:marBottom w:val="0"/>
      <w:divBdr>
        <w:top w:val="none" w:sz="0" w:space="0" w:color="auto"/>
        <w:left w:val="none" w:sz="0" w:space="0" w:color="auto"/>
        <w:bottom w:val="none" w:sz="0" w:space="0" w:color="auto"/>
        <w:right w:val="none" w:sz="0" w:space="0" w:color="auto"/>
      </w:divBdr>
    </w:div>
    <w:div w:id="1040282773">
      <w:bodyDiv w:val="1"/>
      <w:marLeft w:val="0"/>
      <w:marRight w:val="0"/>
      <w:marTop w:val="0"/>
      <w:marBottom w:val="0"/>
      <w:divBdr>
        <w:top w:val="none" w:sz="0" w:space="0" w:color="auto"/>
        <w:left w:val="none" w:sz="0" w:space="0" w:color="auto"/>
        <w:bottom w:val="none" w:sz="0" w:space="0" w:color="auto"/>
        <w:right w:val="none" w:sz="0" w:space="0" w:color="auto"/>
      </w:divBdr>
    </w:div>
    <w:div w:id="1042753754">
      <w:bodyDiv w:val="1"/>
      <w:marLeft w:val="0"/>
      <w:marRight w:val="0"/>
      <w:marTop w:val="0"/>
      <w:marBottom w:val="0"/>
      <w:divBdr>
        <w:top w:val="none" w:sz="0" w:space="0" w:color="auto"/>
        <w:left w:val="none" w:sz="0" w:space="0" w:color="auto"/>
        <w:bottom w:val="none" w:sz="0" w:space="0" w:color="auto"/>
        <w:right w:val="none" w:sz="0" w:space="0" w:color="auto"/>
      </w:divBdr>
    </w:div>
    <w:div w:id="1049887141">
      <w:bodyDiv w:val="1"/>
      <w:marLeft w:val="0"/>
      <w:marRight w:val="0"/>
      <w:marTop w:val="0"/>
      <w:marBottom w:val="0"/>
      <w:divBdr>
        <w:top w:val="none" w:sz="0" w:space="0" w:color="auto"/>
        <w:left w:val="none" w:sz="0" w:space="0" w:color="auto"/>
        <w:bottom w:val="none" w:sz="0" w:space="0" w:color="auto"/>
        <w:right w:val="none" w:sz="0" w:space="0" w:color="auto"/>
      </w:divBdr>
    </w:div>
    <w:div w:id="1050301428">
      <w:bodyDiv w:val="1"/>
      <w:marLeft w:val="0"/>
      <w:marRight w:val="0"/>
      <w:marTop w:val="0"/>
      <w:marBottom w:val="0"/>
      <w:divBdr>
        <w:top w:val="none" w:sz="0" w:space="0" w:color="auto"/>
        <w:left w:val="none" w:sz="0" w:space="0" w:color="auto"/>
        <w:bottom w:val="none" w:sz="0" w:space="0" w:color="auto"/>
        <w:right w:val="none" w:sz="0" w:space="0" w:color="auto"/>
      </w:divBdr>
    </w:div>
    <w:div w:id="1052539154">
      <w:bodyDiv w:val="1"/>
      <w:marLeft w:val="0"/>
      <w:marRight w:val="0"/>
      <w:marTop w:val="0"/>
      <w:marBottom w:val="0"/>
      <w:divBdr>
        <w:top w:val="none" w:sz="0" w:space="0" w:color="auto"/>
        <w:left w:val="none" w:sz="0" w:space="0" w:color="auto"/>
        <w:bottom w:val="none" w:sz="0" w:space="0" w:color="auto"/>
        <w:right w:val="none" w:sz="0" w:space="0" w:color="auto"/>
      </w:divBdr>
    </w:div>
    <w:div w:id="1055154842">
      <w:bodyDiv w:val="1"/>
      <w:marLeft w:val="0"/>
      <w:marRight w:val="0"/>
      <w:marTop w:val="0"/>
      <w:marBottom w:val="0"/>
      <w:divBdr>
        <w:top w:val="none" w:sz="0" w:space="0" w:color="auto"/>
        <w:left w:val="none" w:sz="0" w:space="0" w:color="auto"/>
        <w:bottom w:val="none" w:sz="0" w:space="0" w:color="auto"/>
        <w:right w:val="none" w:sz="0" w:space="0" w:color="auto"/>
      </w:divBdr>
    </w:div>
    <w:div w:id="1055275778">
      <w:bodyDiv w:val="1"/>
      <w:marLeft w:val="0"/>
      <w:marRight w:val="0"/>
      <w:marTop w:val="0"/>
      <w:marBottom w:val="0"/>
      <w:divBdr>
        <w:top w:val="none" w:sz="0" w:space="0" w:color="auto"/>
        <w:left w:val="none" w:sz="0" w:space="0" w:color="auto"/>
        <w:bottom w:val="none" w:sz="0" w:space="0" w:color="auto"/>
        <w:right w:val="none" w:sz="0" w:space="0" w:color="auto"/>
      </w:divBdr>
    </w:div>
    <w:div w:id="1056122985">
      <w:bodyDiv w:val="1"/>
      <w:marLeft w:val="0"/>
      <w:marRight w:val="0"/>
      <w:marTop w:val="0"/>
      <w:marBottom w:val="0"/>
      <w:divBdr>
        <w:top w:val="none" w:sz="0" w:space="0" w:color="auto"/>
        <w:left w:val="none" w:sz="0" w:space="0" w:color="auto"/>
        <w:bottom w:val="none" w:sz="0" w:space="0" w:color="auto"/>
        <w:right w:val="none" w:sz="0" w:space="0" w:color="auto"/>
      </w:divBdr>
    </w:div>
    <w:div w:id="1058479694">
      <w:bodyDiv w:val="1"/>
      <w:marLeft w:val="0"/>
      <w:marRight w:val="0"/>
      <w:marTop w:val="0"/>
      <w:marBottom w:val="0"/>
      <w:divBdr>
        <w:top w:val="none" w:sz="0" w:space="0" w:color="auto"/>
        <w:left w:val="none" w:sz="0" w:space="0" w:color="auto"/>
        <w:bottom w:val="none" w:sz="0" w:space="0" w:color="auto"/>
        <w:right w:val="none" w:sz="0" w:space="0" w:color="auto"/>
      </w:divBdr>
    </w:div>
    <w:div w:id="1064067935">
      <w:bodyDiv w:val="1"/>
      <w:marLeft w:val="0"/>
      <w:marRight w:val="0"/>
      <w:marTop w:val="0"/>
      <w:marBottom w:val="0"/>
      <w:divBdr>
        <w:top w:val="none" w:sz="0" w:space="0" w:color="auto"/>
        <w:left w:val="none" w:sz="0" w:space="0" w:color="auto"/>
        <w:bottom w:val="none" w:sz="0" w:space="0" w:color="auto"/>
        <w:right w:val="none" w:sz="0" w:space="0" w:color="auto"/>
      </w:divBdr>
    </w:div>
    <w:div w:id="1064568457">
      <w:bodyDiv w:val="1"/>
      <w:marLeft w:val="0"/>
      <w:marRight w:val="0"/>
      <w:marTop w:val="0"/>
      <w:marBottom w:val="0"/>
      <w:divBdr>
        <w:top w:val="none" w:sz="0" w:space="0" w:color="auto"/>
        <w:left w:val="none" w:sz="0" w:space="0" w:color="auto"/>
        <w:bottom w:val="none" w:sz="0" w:space="0" w:color="auto"/>
        <w:right w:val="none" w:sz="0" w:space="0" w:color="auto"/>
      </w:divBdr>
    </w:div>
    <w:div w:id="1064915026">
      <w:bodyDiv w:val="1"/>
      <w:marLeft w:val="0"/>
      <w:marRight w:val="0"/>
      <w:marTop w:val="0"/>
      <w:marBottom w:val="0"/>
      <w:divBdr>
        <w:top w:val="none" w:sz="0" w:space="0" w:color="auto"/>
        <w:left w:val="none" w:sz="0" w:space="0" w:color="auto"/>
        <w:bottom w:val="none" w:sz="0" w:space="0" w:color="auto"/>
        <w:right w:val="none" w:sz="0" w:space="0" w:color="auto"/>
      </w:divBdr>
    </w:div>
    <w:div w:id="1065107624">
      <w:bodyDiv w:val="1"/>
      <w:marLeft w:val="0"/>
      <w:marRight w:val="0"/>
      <w:marTop w:val="0"/>
      <w:marBottom w:val="0"/>
      <w:divBdr>
        <w:top w:val="none" w:sz="0" w:space="0" w:color="auto"/>
        <w:left w:val="none" w:sz="0" w:space="0" w:color="auto"/>
        <w:bottom w:val="none" w:sz="0" w:space="0" w:color="auto"/>
        <w:right w:val="none" w:sz="0" w:space="0" w:color="auto"/>
      </w:divBdr>
    </w:div>
    <w:div w:id="1067075610">
      <w:bodyDiv w:val="1"/>
      <w:marLeft w:val="0"/>
      <w:marRight w:val="0"/>
      <w:marTop w:val="0"/>
      <w:marBottom w:val="0"/>
      <w:divBdr>
        <w:top w:val="none" w:sz="0" w:space="0" w:color="auto"/>
        <w:left w:val="none" w:sz="0" w:space="0" w:color="auto"/>
        <w:bottom w:val="none" w:sz="0" w:space="0" w:color="auto"/>
        <w:right w:val="none" w:sz="0" w:space="0" w:color="auto"/>
      </w:divBdr>
    </w:div>
    <w:div w:id="1067998018">
      <w:bodyDiv w:val="1"/>
      <w:marLeft w:val="0"/>
      <w:marRight w:val="0"/>
      <w:marTop w:val="0"/>
      <w:marBottom w:val="0"/>
      <w:divBdr>
        <w:top w:val="none" w:sz="0" w:space="0" w:color="auto"/>
        <w:left w:val="none" w:sz="0" w:space="0" w:color="auto"/>
        <w:bottom w:val="none" w:sz="0" w:space="0" w:color="auto"/>
        <w:right w:val="none" w:sz="0" w:space="0" w:color="auto"/>
      </w:divBdr>
    </w:div>
    <w:div w:id="1068311126">
      <w:bodyDiv w:val="1"/>
      <w:marLeft w:val="0"/>
      <w:marRight w:val="0"/>
      <w:marTop w:val="0"/>
      <w:marBottom w:val="0"/>
      <w:divBdr>
        <w:top w:val="none" w:sz="0" w:space="0" w:color="auto"/>
        <w:left w:val="none" w:sz="0" w:space="0" w:color="auto"/>
        <w:bottom w:val="none" w:sz="0" w:space="0" w:color="auto"/>
        <w:right w:val="none" w:sz="0" w:space="0" w:color="auto"/>
      </w:divBdr>
    </w:div>
    <w:div w:id="1068382878">
      <w:bodyDiv w:val="1"/>
      <w:marLeft w:val="0"/>
      <w:marRight w:val="0"/>
      <w:marTop w:val="0"/>
      <w:marBottom w:val="0"/>
      <w:divBdr>
        <w:top w:val="none" w:sz="0" w:space="0" w:color="auto"/>
        <w:left w:val="none" w:sz="0" w:space="0" w:color="auto"/>
        <w:bottom w:val="none" w:sz="0" w:space="0" w:color="auto"/>
        <w:right w:val="none" w:sz="0" w:space="0" w:color="auto"/>
      </w:divBdr>
    </w:div>
    <w:div w:id="1068572621">
      <w:bodyDiv w:val="1"/>
      <w:marLeft w:val="0"/>
      <w:marRight w:val="0"/>
      <w:marTop w:val="0"/>
      <w:marBottom w:val="0"/>
      <w:divBdr>
        <w:top w:val="none" w:sz="0" w:space="0" w:color="auto"/>
        <w:left w:val="none" w:sz="0" w:space="0" w:color="auto"/>
        <w:bottom w:val="none" w:sz="0" w:space="0" w:color="auto"/>
        <w:right w:val="none" w:sz="0" w:space="0" w:color="auto"/>
      </w:divBdr>
    </w:div>
    <w:div w:id="1070541021">
      <w:bodyDiv w:val="1"/>
      <w:marLeft w:val="0"/>
      <w:marRight w:val="0"/>
      <w:marTop w:val="0"/>
      <w:marBottom w:val="0"/>
      <w:divBdr>
        <w:top w:val="none" w:sz="0" w:space="0" w:color="auto"/>
        <w:left w:val="none" w:sz="0" w:space="0" w:color="auto"/>
        <w:bottom w:val="none" w:sz="0" w:space="0" w:color="auto"/>
        <w:right w:val="none" w:sz="0" w:space="0" w:color="auto"/>
      </w:divBdr>
    </w:div>
    <w:div w:id="1071587011">
      <w:bodyDiv w:val="1"/>
      <w:marLeft w:val="0"/>
      <w:marRight w:val="0"/>
      <w:marTop w:val="0"/>
      <w:marBottom w:val="0"/>
      <w:divBdr>
        <w:top w:val="none" w:sz="0" w:space="0" w:color="auto"/>
        <w:left w:val="none" w:sz="0" w:space="0" w:color="auto"/>
        <w:bottom w:val="none" w:sz="0" w:space="0" w:color="auto"/>
        <w:right w:val="none" w:sz="0" w:space="0" w:color="auto"/>
      </w:divBdr>
    </w:div>
    <w:div w:id="1073160436">
      <w:bodyDiv w:val="1"/>
      <w:marLeft w:val="0"/>
      <w:marRight w:val="0"/>
      <w:marTop w:val="0"/>
      <w:marBottom w:val="0"/>
      <w:divBdr>
        <w:top w:val="none" w:sz="0" w:space="0" w:color="auto"/>
        <w:left w:val="none" w:sz="0" w:space="0" w:color="auto"/>
        <w:bottom w:val="none" w:sz="0" w:space="0" w:color="auto"/>
        <w:right w:val="none" w:sz="0" w:space="0" w:color="auto"/>
      </w:divBdr>
    </w:div>
    <w:div w:id="1074201038">
      <w:bodyDiv w:val="1"/>
      <w:marLeft w:val="0"/>
      <w:marRight w:val="0"/>
      <w:marTop w:val="0"/>
      <w:marBottom w:val="0"/>
      <w:divBdr>
        <w:top w:val="none" w:sz="0" w:space="0" w:color="auto"/>
        <w:left w:val="none" w:sz="0" w:space="0" w:color="auto"/>
        <w:bottom w:val="none" w:sz="0" w:space="0" w:color="auto"/>
        <w:right w:val="none" w:sz="0" w:space="0" w:color="auto"/>
      </w:divBdr>
    </w:div>
    <w:div w:id="1074359389">
      <w:bodyDiv w:val="1"/>
      <w:marLeft w:val="0"/>
      <w:marRight w:val="0"/>
      <w:marTop w:val="0"/>
      <w:marBottom w:val="0"/>
      <w:divBdr>
        <w:top w:val="none" w:sz="0" w:space="0" w:color="auto"/>
        <w:left w:val="none" w:sz="0" w:space="0" w:color="auto"/>
        <w:bottom w:val="none" w:sz="0" w:space="0" w:color="auto"/>
        <w:right w:val="none" w:sz="0" w:space="0" w:color="auto"/>
      </w:divBdr>
    </w:div>
    <w:div w:id="1075203427">
      <w:bodyDiv w:val="1"/>
      <w:marLeft w:val="0"/>
      <w:marRight w:val="0"/>
      <w:marTop w:val="0"/>
      <w:marBottom w:val="0"/>
      <w:divBdr>
        <w:top w:val="none" w:sz="0" w:space="0" w:color="auto"/>
        <w:left w:val="none" w:sz="0" w:space="0" w:color="auto"/>
        <w:bottom w:val="none" w:sz="0" w:space="0" w:color="auto"/>
        <w:right w:val="none" w:sz="0" w:space="0" w:color="auto"/>
      </w:divBdr>
    </w:div>
    <w:div w:id="1076980711">
      <w:bodyDiv w:val="1"/>
      <w:marLeft w:val="0"/>
      <w:marRight w:val="0"/>
      <w:marTop w:val="0"/>
      <w:marBottom w:val="0"/>
      <w:divBdr>
        <w:top w:val="none" w:sz="0" w:space="0" w:color="auto"/>
        <w:left w:val="none" w:sz="0" w:space="0" w:color="auto"/>
        <w:bottom w:val="none" w:sz="0" w:space="0" w:color="auto"/>
        <w:right w:val="none" w:sz="0" w:space="0" w:color="auto"/>
      </w:divBdr>
    </w:div>
    <w:div w:id="1077751852">
      <w:bodyDiv w:val="1"/>
      <w:marLeft w:val="0"/>
      <w:marRight w:val="0"/>
      <w:marTop w:val="0"/>
      <w:marBottom w:val="0"/>
      <w:divBdr>
        <w:top w:val="none" w:sz="0" w:space="0" w:color="auto"/>
        <w:left w:val="none" w:sz="0" w:space="0" w:color="auto"/>
        <w:bottom w:val="none" w:sz="0" w:space="0" w:color="auto"/>
        <w:right w:val="none" w:sz="0" w:space="0" w:color="auto"/>
      </w:divBdr>
    </w:div>
    <w:div w:id="1078022563">
      <w:bodyDiv w:val="1"/>
      <w:marLeft w:val="0"/>
      <w:marRight w:val="0"/>
      <w:marTop w:val="0"/>
      <w:marBottom w:val="0"/>
      <w:divBdr>
        <w:top w:val="none" w:sz="0" w:space="0" w:color="auto"/>
        <w:left w:val="none" w:sz="0" w:space="0" w:color="auto"/>
        <w:bottom w:val="none" w:sz="0" w:space="0" w:color="auto"/>
        <w:right w:val="none" w:sz="0" w:space="0" w:color="auto"/>
      </w:divBdr>
    </w:div>
    <w:div w:id="1078554956">
      <w:bodyDiv w:val="1"/>
      <w:marLeft w:val="0"/>
      <w:marRight w:val="0"/>
      <w:marTop w:val="0"/>
      <w:marBottom w:val="0"/>
      <w:divBdr>
        <w:top w:val="none" w:sz="0" w:space="0" w:color="auto"/>
        <w:left w:val="none" w:sz="0" w:space="0" w:color="auto"/>
        <w:bottom w:val="none" w:sz="0" w:space="0" w:color="auto"/>
        <w:right w:val="none" w:sz="0" w:space="0" w:color="auto"/>
      </w:divBdr>
    </w:div>
    <w:div w:id="1079641643">
      <w:bodyDiv w:val="1"/>
      <w:marLeft w:val="0"/>
      <w:marRight w:val="0"/>
      <w:marTop w:val="0"/>
      <w:marBottom w:val="0"/>
      <w:divBdr>
        <w:top w:val="none" w:sz="0" w:space="0" w:color="auto"/>
        <w:left w:val="none" w:sz="0" w:space="0" w:color="auto"/>
        <w:bottom w:val="none" w:sz="0" w:space="0" w:color="auto"/>
        <w:right w:val="none" w:sz="0" w:space="0" w:color="auto"/>
      </w:divBdr>
    </w:div>
    <w:div w:id="1079866470">
      <w:bodyDiv w:val="1"/>
      <w:marLeft w:val="0"/>
      <w:marRight w:val="0"/>
      <w:marTop w:val="0"/>
      <w:marBottom w:val="0"/>
      <w:divBdr>
        <w:top w:val="none" w:sz="0" w:space="0" w:color="auto"/>
        <w:left w:val="none" w:sz="0" w:space="0" w:color="auto"/>
        <w:bottom w:val="none" w:sz="0" w:space="0" w:color="auto"/>
        <w:right w:val="none" w:sz="0" w:space="0" w:color="auto"/>
      </w:divBdr>
    </w:div>
    <w:div w:id="1082141696">
      <w:bodyDiv w:val="1"/>
      <w:marLeft w:val="0"/>
      <w:marRight w:val="0"/>
      <w:marTop w:val="0"/>
      <w:marBottom w:val="0"/>
      <w:divBdr>
        <w:top w:val="none" w:sz="0" w:space="0" w:color="auto"/>
        <w:left w:val="none" w:sz="0" w:space="0" w:color="auto"/>
        <w:bottom w:val="none" w:sz="0" w:space="0" w:color="auto"/>
        <w:right w:val="none" w:sz="0" w:space="0" w:color="auto"/>
      </w:divBdr>
    </w:div>
    <w:div w:id="1082725783">
      <w:bodyDiv w:val="1"/>
      <w:marLeft w:val="0"/>
      <w:marRight w:val="0"/>
      <w:marTop w:val="0"/>
      <w:marBottom w:val="0"/>
      <w:divBdr>
        <w:top w:val="none" w:sz="0" w:space="0" w:color="auto"/>
        <w:left w:val="none" w:sz="0" w:space="0" w:color="auto"/>
        <w:bottom w:val="none" w:sz="0" w:space="0" w:color="auto"/>
        <w:right w:val="none" w:sz="0" w:space="0" w:color="auto"/>
      </w:divBdr>
    </w:div>
    <w:div w:id="1083262111">
      <w:bodyDiv w:val="1"/>
      <w:marLeft w:val="0"/>
      <w:marRight w:val="0"/>
      <w:marTop w:val="0"/>
      <w:marBottom w:val="0"/>
      <w:divBdr>
        <w:top w:val="none" w:sz="0" w:space="0" w:color="auto"/>
        <w:left w:val="none" w:sz="0" w:space="0" w:color="auto"/>
        <w:bottom w:val="none" w:sz="0" w:space="0" w:color="auto"/>
        <w:right w:val="none" w:sz="0" w:space="0" w:color="auto"/>
      </w:divBdr>
    </w:div>
    <w:div w:id="1085036548">
      <w:bodyDiv w:val="1"/>
      <w:marLeft w:val="0"/>
      <w:marRight w:val="0"/>
      <w:marTop w:val="0"/>
      <w:marBottom w:val="0"/>
      <w:divBdr>
        <w:top w:val="none" w:sz="0" w:space="0" w:color="auto"/>
        <w:left w:val="none" w:sz="0" w:space="0" w:color="auto"/>
        <w:bottom w:val="none" w:sz="0" w:space="0" w:color="auto"/>
        <w:right w:val="none" w:sz="0" w:space="0" w:color="auto"/>
      </w:divBdr>
    </w:div>
    <w:div w:id="1086728647">
      <w:bodyDiv w:val="1"/>
      <w:marLeft w:val="0"/>
      <w:marRight w:val="0"/>
      <w:marTop w:val="0"/>
      <w:marBottom w:val="0"/>
      <w:divBdr>
        <w:top w:val="none" w:sz="0" w:space="0" w:color="auto"/>
        <w:left w:val="none" w:sz="0" w:space="0" w:color="auto"/>
        <w:bottom w:val="none" w:sz="0" w:space="0" w:color="auto"/>
        <w:right w:val="none" w:sz="0" w:space="0" w:color="auto"/>
      </w:divBdr>
    </w:div>
    <w:div w:id="1087112336">
      <w:bodyDiv w:val="1"/>
      <w:marLeft w:val="0"/>
      <w:marRight w:val="0"/>
      <w:marTop w:val="0"/>
      <w:marBottom w:val="0"/>
      <w:divBdr>
        <w:top w:val="none" w:sz="0" w:space="0" w:color="auto"/>
        <w:left w:val="none" w:sz="0" w:space="0" w:color="auto"/>
        <w:bottom w:val="none" w:sz="0" w:space="0" w:color="auto"/>
        <w:right w:val="none" w:sz="0" w:space="0" w:color="auto"/>
      </w:divBdr>
    </w:div>
    <w:div w:id="1089541781">
      <w:bodyDiv w:val="1"/>
      <w:marLeft w:val="0"/>
      <w:marRight w:val="0"/>
      <w:marTop w:val="0"/>
      <w:marBottom w:val="0"/>
      <w:divBdr>
        <w:top w:val="none" w:sz="0" w:space="0" w:color="auto"/>
        <w:left w:val="none" w:sz="0" w:space="0" w:color="auto"/>
        <w:bottom w:val="none" w:sz="0" w:space="0" w:color="auto"/>
        <w:right w:val="none" w:sz="0" w:space="0" w:color="auto"/>
      </w:divBdr>
    </w:div>
    <w:div w:id="1091468710">
      <w:bodyDiv w:val="1"/>
      <w:marLeft w:val="0"/>
      <w:marRight w:val="0"/>
      <w:marTop w:val="0"/>
      <w:marBottom w:val="0"/>
      <w:divBdr>
        <w:top w:val="none" w:sz="0" w:space="0" w:color="auto"/>
        <w:left w:val="none" w:sz="0" w:space="0" w:color="auto"/>
        <w:bottom w:val="none" w:sz="0" w:space="0" w:color="auto"/>
        <w:right w:val="none" w:sz="0" w:space="0" w:color="auto"/>
      </w:divBdr>
    </w:div>
    <w:div w:id="1096705041">
      <w:bodyDiv w:val="1"/>
      <w:marLeft w:val="0"/>
      <w:marRight w:val="0"/>
      <w:marTop w:val="0"/>
      <w:marBottom w:val="0"/>
      <w:divBdr>
        <w:top w:val="none" w:sz="0" w:space="0" w:color="auto"/>
        <w:left w:val="none" w:sz="0" w:space="0" w:color="auto"/>
        <w:bottom w:val="none" w:sz="0" w:space="0" w:color="auto"/>
        <w:right w:val="none" w:sz="0" w:space="0" w:color="auto"/>
      </w:divBdr>
    </w:div>
    <w:div w:id="1097016330">
      <w:bodyDiv w:val="1"/>
      <w:marLeft w:val="0"/>
      <w:marRight w:val="0"/>
      <w:marTop w:val="0"/>
      <w:marBottom w:val="0"/>
      <w:divBdr>
        <w:top w:val="none" w:sz="0" w:space="0" w:color="auto"/>
        <w:left w:val="none" w:sz="0" w:space="0" w:color="auto"/>
        <w:bottom w:val="none" w:sz="0" w:space="0" w:color="auto"/>
        <w:right w:val="none" w:sz="0" w:space="0" w:color="auto"/>
      </w:divBdr>
    </w:div>
    <w:div w:id="1098331609">
      <w:bodyDiv w:val="1"/>
      <w:marLeft w:val="0"/>
      <w:marRight w:val="0"/>
      <w:marTop w:val="0"/>
      <w:marBottom w:val="0"/>
      <w:divBdr>
        <w:top w:val="none" w:sz="0" w:space="0" w:color="auto"/>
        <w:left w:val="none" w:sz="0" w:space="0" w:color="auto"/>
        <w:bottom w:val="none" w:sz="0" w:space="0" w:color="auto"/>
        <w:right w:val="none" w:sz="0" w:space="0" w:color="auto"/>
      </w:divBdr>
    </w:div>
    <w:div w:id="1098717767">
      <w:bodyDiv w:val="1"/>
      <w:marLeft w:val="0"/>
      <w:marRight w:val="0"/>
      <w:marTop w:val="0"/>
      <w:marBottom w:val="0"/>
      <w:divBdr>
        <w:top w:val="none" w:sz="0" w:space="0" w:color="auto"/>
        <w:left w:val="none" w:sz="0" w:space="0" w:color="auto"/>
        <w:bottom w:val="none" w:sz="0" w:space="0" w:color="auto"/>
        <w:right w:val="none" w:sz="0" w:space="0" w:color="auto"/>
      </w:divBdr>
    </w:div>
    <w:div w:id="1099838824">
      <w:bodyDiv w:val="1"/>
      <w:marLeft w:val="0"/>
      <w:marRight w:val="0"/>
      <w:marTop w:val="0"/>
      <w:marBottom w:val="0"/>
      <w:divBdr>
        <w:top w:val="none" w:sz="0" w:space="0" w:color="auto"/>
        <w:left w:val="none" w:sz="0" w:space="0" w:color="auto"/>
        <w:bottom w:val="none" w:sz="0" w:space="0" w:color="auto"/>
        <w:right w:val="none" w:sz="0" w:space="0" w:color="auto"/>
      </w:divBdr>
    </w:div>
    <w:div w:id="1100250148">
      <w:bodyDiv w:val="1"/>
      <w:marLeft w:val="0"/>
      <w:marRight w:val="0"/>
      <w:marTop w:val="0"/>
      <w:marBottom w:val="0"/>
      <w:divBdr>
        <w:top w:val="none" w:sz="0" w:space="0" w:color="auto"/>
        <w:left w:val="none" w:sz="0" w:space="0" w:color="auto"/>
        <w:bottom w:val="none" w:sz="0" w:space="0" w:color="auto"/>
        <w:right w:val="none" w:sz="0" w:space="0" w:color="auto"/>
      </w:divBdr>
    </w:div>
    <w:div w:id="1101298337">
      <w:bodyDiv w:val="1"/>
      <w:marLeft w:val="0"/>
      <w:marRight w:val="0"/>
      <w:marTop w:val="0"/>
      <w:marBottom w:val="0"/>
      <w:divBdr>
        <w:top w:val="none" w:sz="0" w:space="0" w:color="auto"/>
        <w:left w:val="none" w:sz="0" w:space="0" w:color="auto"/>
        <w:bottom w:val="none" w:sz="0" w:space="0" w:color="auto"/>
        <w:right w:val="none" w:sz="0" w:space="0" w:color="auto"/>
      </w:divBdr>
    </w:div>
    <w:div w:id="1102530766">
      <w:bodyDiv w:val="1"/>
      <w:marLeft w:val="0"/>
      <w:marRight w:val="0"/>
      <w:marTop w:val="0"/>
      <w:marBottom w:val="0"/>
      <w:divBdr>
        <w:top w:val="none" w:sz="0" w:space="0" w:color="auto"/>
        <w:left w:val="none" w:sz="0" w:space="0" w:color="auto"/>
        <w:bottom w:val="none" w:sz="0" w:space="0" w:color="auto"/>
        <w:right w:val="none" w:sz="0" w:space="0" w:color="auto"/>
      </w:divBdr>
    </w:div>
    <w:div w:id="1102914543">
      <w:bodyDiv w:val="1"/>
      <w:marLeft w:val="0"/>
      <w:marRight w:val="0"/>
      <w:marTop w:val="0"/>
      <w:marBottom w:val="0"/>
      <w:divBdr>
        <w:top w:val="none" w:sz="0" w:space="0" w:color="auto"/>
        <w:left w:val="none" w:sz="0" w:space="0" w:color="auto"/>
        <w:bottom w:val="none" w:sz="0" w:space="0" w:color="auto"/>
        <w:right w:val="none" w:sz="0" w:space="0" w:color="auto"/>
      </w:divBdr>
    </w:div>
    <w:div w:id="1104492362">
      <w:bodyDiv w:val="1"/>
      <w:marLeft w:val="0"/>
      <w:marRight w:val="0"/>
      <w:marTop w:val="0"/>
      <w:marBottom w:val="0"/>
      <w:divBdr>
        <w:top w:val="none" w:sz="0" w:space="0" w:color="auto"/>
        <w:left w:val="none" w:sz="0" w:space="0" w:color="auto"/>
        <w:bottom w:val="none" w:sz="0" w:space="0" w:color="auto"/>
        <w:right w:val="none" w:sz="0" w:space="0" w:color="auto"/>
      </w:divBdr>
    </w:div>
    <w:div w:id="1104543745">
      <w:bodyDiv w:val="1"/>
      <w:marLeft w:val="0"/>
      <w:marRight w:val="0"/>
      <w:marTop w:val="0"/>
      <w:marBottom w:val="0"/>
      <w:divBdr>
        <w:top w:val="none" w:sz="0" w:space="0" w:color="auto"/>
        <w:left w:val="none" w:sz="0" w:space="0" w:color="auto"/>
        <w:bottom w:val="none" w:sz="0" w:space="0" w:color="auto"/>
        <w:right w:val="none" w:sz="0" w:space="0" w:color="auto"/>
      </w:divBdr>
    </w:div>
    <w:div w:id="1105879833">
      <w:bodyDiv w:val="1"/>
      <w:marLeft w:val="0"/>
      <w:marRight w:val="0"/>
      <w:marTop w:val="0"/>
      <w:marBottom w:val="0"/>
      <w:divBdr>
        <w:top w:val="none" w:sz="0" w:space="0" w:color="auto"/>
        <w:left w:val="none" w:sz="0" w:space="0" w:color="auto"/>
        <w:bottom w:val="none" w:sz="0" w:space="0" w:color="auto"/>
        <w:right w:val="none" w:sz="0" w:space="0" w:color="auto"/>
      </w:divBdr>
    </w:div>
    <w:div w:id="1107626095">
      <w:bodyDiv w:val="1"/>
      <w:marLeft w:val="0"/>
      <w:marRight w:val="0"/>
      <w:marTop w:val="0"/>
      <w:marBottom w:val="0"/>
      <w:divBdr>
        <w:top w:val="none" w:sz="0" w:space="0" w:color="auto"/>
        <w:left w:val="none" w:sz="0" w:space="0" w:color="auto"/>
        <w:bottom w:val="none" w:sz="0" w:space="0" w:color="auto"/>
        <w:right w:val="none" w:sz="0" w:space="0" w:color="auto"/>
      </w:divBdr>
    </w:div>
    <w:div w:id="1107652323">
      <w:bodyDiv w:val="1"/>
      <w:marLeft w:val="0"/>
      <w:marRight w:val="0"/>
      <w:marTop w:val="0"/>
      <w:marBottom w:val="0"/>
      <w:divBdr>
        <w:top w:val="none" w:sz="0" w:space="0" w:color="auto"/>
        <w:left w:val="none" w:sz="0" w:space="0" w:color="auto"/>
        <w:bottom w:val="none" w:sz="0" w:space="0" w:color="auto"/>
        <w:right w:val="none" w:sz="0" w:space="0" w:color="auto"/>
      </w:divBdr>
    </w:div>
    <w:div w:id="1108695139">
      <w:bodyDiv w:val="1"/>
      <w:marLeft w:val="0"/>
      <w:marRight w:val="0"/>
      <w:marTop w:val="0"/>
      <w:marBottom w:val="0"/>
      <w:divBdr>
        <w:top w:val="none" w:sz="0" w:space="0" w:color="auto"/>
        <w:left w:val="none" w:sz="0" w:space="0" w:color="auto"/>
        <w:bottom w:val="none" w:sz="0" w:space="0" w:color="auto"/>
        <w:right w:val="none" w:sz="0" w:space="0" w:color="auto"/>
      </w:divBdr>
    </w:div>
    <w:div w:id="1109277617">
      <w:bodyDiv w:val="1"/>
      <w:marLeft w:val="0"/>
      <w:marRight w:val="0"/>
      <w:marTop w:val="0"/>
      <w:marBottom w:val="0"/>
      <w:divBdr>
        <w:top w:val="none" w:sz="0" w:space="0" w:color="auto"/>
        <w:left w:val="none" w:sz="0" w:space="0" w:color="auto"/>
        <w:bottom w:val="none" w:sz="0" w:space="0" w:color="auto"/>
        <w:right w:val="none" w:sz="0" w:space="0" w:color="auto"/>
      </w:divBdr>
    </w:div>
    <w:div w:id="1110003287">
      <w:bodyDiv w:val="1"/>
      <w:marLeft w:val="0"/>
      <w:marRight w:val="0"/>
      <w:marTop w:val="0"/>
      <w:marBottom w:val="0"/>
      <w:divBdr>
        <w:top w:val="none" w:sz="0" w:space="0" w:color="auto"/>
        <w:left w:val="none" w:sz="0" w:space="0" w:color="auto"/>
        <w:bottom w:val="none" w:sz="0" w:space="0" w:color="auto"/>
        <w:right w:val="none" w:sz="0" w:space="0" w:color="auto"/>
      </w:divBdr>
    </w:div>
    <w:div w:id="1110970218">
      <w:bodyDiv w:val="1"/>
      <w:marLeft w:val="0"/>
      <w:marRight w:val="0"/>
      <w:marTop w:val="0"/>
      <w:marBottom w:val="0"/>
      <w:divBdr>
        <w:top w:val="none" w:sz="0" w:space="0" w:color="auto"/>
        <w:left w:val="none" w:sz="0" w:space="0" w:color="auto"/>
        <w:bottom w:val="none" w:sz="0" w:space="0" w:color="auto"/>
        <w:right w:val="none" w:sz="0" w:space="0" w:color="auto"/>
      </w:divBdr>
    </w:div>
    <w:div w:id="1113748331">
      <w:bodyDiv w:val="1"/>
      <w:marLeft w:val="0"/>
      <w:marRight w:val="0"/>
      <w:marTop w:val="0"/>
      <w:marBottom w:val="0"/>
      <w:divBdr>
        <w:top w:val="none" w:sz="0" w:space="0" w:color="auto"/>
        <w:left w:val="none" w:sz="0" w:space="0" w:color="auto"/>
        <w:bottom w:val="none" w:sz="0" w:space="0" w:color="auto"/>
        <w:right w:val="none" w:sz="0" w:space="0" w:color="auto"/>
      </w:divBdr>
    </w:div>
    <w:div w:id="1115947877">
      <w:bodyDiv w:val="1"/>
      <w:marLeft w:val="0"/>
      <w:marRight w:val="0"/>
      <w:marTop w:val="0"/>
      <w:marBottom w:val="0"/>
      <w:divBdr>
        <w:top w:val="none" w:sz="0" w:space="0" w:color="auto"/>
        <w:left w:val="none" w:sz="0" w:space="0" w:color="auto"/>
        <w:bottom w:val="none" w:sz="0" w:space="0" w:color="auto"/>
        <w:right w:val="none" w:sz="0" w:space="0" w:color="auto"/>
      </w:divBdr>
    </w:div>
    <w:div w:id="1118328393">
      <w:bodyDiv w:val="1"/>
      <w:marLeft w:val="0"/>
      <w:marRight w:val="0"/>
      <w:marTop w:val="0"/>
      <w:marBottom w:val="0"/>
      <w:divBdr>
        <w:top w:val="none" w:sz="0" w:space="0" w:color="auto"/>
        <w:left w:val="none" w:sz="0" w:space="0" w:color="auto"/>
        <w:bottom w:val="none" w:sz="0" w:space="0" w:color="auto"/>
        <w:right w:val="none" w:sz="0" w:space="0" w:color="auto"/>
      </w:divBdr>
    </w:div>
    <w:div w:id="1122769784">
      <w:bodyDiv w:val="1"/>
      <w:marLeft w:val="0"/>
      <w:marRight w:val="0"/>
      <w:marTop w:val="0"/>
      <w:marBottom w:val="0"/>
      <w:divBdr>
        <w:top w:val="none" w:sz="0" w:space="0" w:color="auto"/>
        <w:left w:val="none" w:sz="0" w:space="0" w:color="auto"/>
        <w:bottom w:val="none" w:sz="0" w:space="0" w:color="auto"/>
        <w:right w:val="none" w:sz="0" w:space="0" w:color="auto"/>
      </w:divBdr>
    </w:div>
    <w:div w:id="1125738038">
      <w:bodyDiv w:val="1"/>
      <w:marLeft w:val="0"/>
      <w:marRight w:val="0"/>
      <w:marTop w:val="0"/>
      <w:marBottom w:val="0"/>
      <w:divBdr>
        <w:top w:val="none" w:sz="0" w:space="0" w:color="auto"/>
        <w:left w:val="none" w:sz="0" w:space="0" w:color="auto"/>
        <w:bottom w:val="none" w:sz="0" w:space="0" w:color="auto"/>
        <w:right w:val="none" w:sz="0" w:space="0" w:color="auto"/>
      </w:divBdr>
    </w:div>
    <w:div w:id="1127433902">
      <w:bodyDiv w:val="1"/>
      <w:marLeft w:val="0"/>
      <w:marRight w:val="0"/>
      <w:marTop w:val="0"/>
      <w:marBottom w:val="0"/>
      <w:divBdr>
        <w:top w:val="none" w:sz="0" w:space="0" w:color="auto"/>
        <w:left w:val="none" w:sz="0" w:space="0" w:color="auto"/>
        <w:bottom w:val="none" w:sz="0" w:space="0" w:color="auto"/>
        <w:right w:val="none" w:sz="0" w:space="0" w:color="auto"/>
      </w:divBdr>
    </w:div>
    <w:div w:id="1127578695">
      <w:bodyDiv w:val="1"/>
      <w:marLeft w:val="0"/>
      <w:marRight w:val="0"/>
      <w:marTop w:val="0"/>
      <w:marBottom w:val="0"/>
      <w:divBdr>
        <w:top w:val="none" w:sz="0" w:space="0" w:color="auto"/>
        <w:left w:val="none" w:sz="0" w:space="0" w:color="auto"/>
        <w:bottom w:val="none" w:sz="0" w:space="0" w:color="auto"/>
        <w:right w:val="none" w:sz="0" w:space="0" w:color="auto"/>
      </w:divBdr>
    </w:div>
    <w:div w:id="1128206997">
      <w:bodyDiv w:val="1"/>
      <w:marLeft w:val="0"/>
      <w:marRight w:val="0"/>
      <w:marTop w:val="0"/>
      <w:marBottom w:val="0"/>
      <w:divBdr>
        <w:top w:val="none" w:sz="0" w:space="0" w:color="auto"/>
        <w:left w:val="none" w:sz="0" w:space="0" w:color="auto"/>
        <w:bottom w:val="none" w:sz="0" w:space="0" w:color="auto"/>
        <w:right w:val="none" w:sz="0" w:space="0" w:color="auto"/>
      </w:divBdr>
    </w:div>
    <w:div w:id="1128889348">
      <w:bodyDiv w:val="1"/>
      <w:marLeft w:val="0"/>
      <w:marRight w:val="0"/>
      <w:marTop w:val="0"/>
      <w:marBottom w:val="0"/>
      <w:divBdr>
        <w:top w:val="none" w:sz="0" w:space="0" w:color="auto"/>
        <w:left w:val="none" w:sz="0" w:space="0" w:color="auto"/>
        <w:bottom w:val="none" w:sz="0" w:space="0" w:color="auto"/>
        <w:right w:val="none" w:sz="0" w:space="0" w:color="auto"/>
      </w:divBdr>
    </w:div>
    <w:div w:id="1129125582">
      <w:bodyDiv w:val="1"/>
      <w:marLeft w:val="0"/>
      <w:marRight w:val="0"/>
      <w:marTop w:val="0"/>
      <w:marBottom w:val="0"/>
      <w:divBdr>
        <w:top w:val="none" w:sz="0" w:space="0" w:color="auto"/>
        <w:left w:val="none" w:sz="0" w:space="0" w:color="auto"/>
        <w:bottom w:val="none" w:sz="0" w:space="0" w:color="auto"/>
        <w:right w:val="none" w:sz="0" w:space="0" w:color="auto"/>
      </w:divBdr>
    </w:div>
    <w:div w:id="1135291456">
      <w:bodyDiv w:val="1"/>
      <w:marLeft w:val="0"/>
      <w:marRight w:val="0"/>
      <w:marTop w:val="0"/>
      <w:marBottom w:val="0"/>
      <w:divBdr>
        <w:top w:val="none" w:sz="0" w:space="0" w:color="auto"/>
        <w:left w:val="none" w:sz="0" w:space="0" w:color="auto"/>
        <w:bottom w:val="none" w:sz="0" w:space="0" w:color="auto"/>
        <w:right w:val="none" w:sz="0" w:space="0" w:color="auto"/>
      </w:divBdr>
    </w:div>
    <w:div w:id="1138495316">
      <w:bodyDiv w:val="1"/>
      <w:marLeft w:val="0"/>
      <w:marRight w:val="0"/>
      <w:marTop w:val="0"/>
      <w:marBottom w:val="0"/>
      <w:divBdr>
        <w:top w:val="none" w:sz="0" w:space="0" w:color="auto"/>
        <w:left w:val="none" w:sz="0" w:space="0" w:color="auto"/>
        <w:bottom w:val="none" w:sz="0" w:space="0" w:color="auto"/>
        <w:right w:val="none" w:sz="0" w:space="0" w:color="auto"/>
      </w:divBdr>
    </w:div>
    <w:div w:id="1138719217">
      <w:bodyDiv w:val="1"/>
      <w:marLeft w:val="0"/>
      <w:marRight w:val="0"/>
      <w:marTop w:val="0"/>
      <w:marBottom w:val="0"/>
      <w:divBdr>
        <w:top w:val="none" w:sz="0" w:space="0" w:color="auto"/>
        <w:left w:val="none" w:sz="0" w:space="0" w:color="auto"/>
        <w:bottom w:val="none" w:sz="0" w:space="0" w:color="auto"/>
        <w:right w:val="none" w:sz="0" w:space="0" w:color="auto"/>
      </w:divBdr>
    </w:div>
    <w:div w:id="1140000822">
      <w:bodyDiv w:val="1"/>
      <w:marLeft w:val="0"/>
      <w:marRight w:val="0"/>
      <w:marTop w:val="0"/>
      <w:marBottom w:val="0"/>
      <w:divBdr>
        <w:top w:val="none" w:sz="0" w:space="0" w:color="auto"/>
        <w:left w:val="none" w:sz="0" w:space="0" w:color="auto"/>
        <w:bottom w:val="none" w:sz="0" w:space="0" w:color="auto"/>
        <w:right w:val="none" w:sz="0" w:space="0" w:color="auto"/>
      </w:divBdr>
    </w:div>
    <w:div w:id="1142580018">
      <w:bodyDiv w:val="1"/>
      <w:marLeft w:val="0"/>
      <w:marRight w:val="0"/>
      <w:marTop w:val="0"/>
      <w:marBottom w:val="0"/>
      <w:divBdr>
        <w:top w:val="none" w:sz="0" w:space="0" w:color="auto"/>
        <w:left w:val="none" w:sz="0" w:space="0" w:color="auto"/>
        <w:bottom w:val="none" w:sz="0" w:space="0" w:color="auto"/>
        <w:right w:val="none" w:sz="0" w:space="0" w:color="auto"/>
      </w:divBdr>
    </w:div>
    <w:div w:id="1143038232">
      <w:bodyDiv w:val="1"/>
      <w:marLeft w:val="0"/>
      <w:marRight w:val="0"/>
      <w:marTop w:val="0"/>
      <w:marBottom w:val="0"/>
      <w:divBdr>
        <w:top w:val="none" w:sz="0" w:space="0" w:color="auto"/>
        <w:left w:val="none" w:sz="0" w:space="0" w:color="auto"/>
        <w:bottom w:val="none" w:sz="0" w:space="0" w:color="auto"/>
        <w:right w:val="none" w:sz="0" w:space="0" w:color="auto"/>
      </w:divBdr>
    </w:div>
    <w:div w:id="1145969182">
      <w:bodyDiv w:val="1"/>
      <w:marLeft w:val="0"/>
      <w:marRight w:val="0"/>
      <w:marTop w:val="0"/>
      <w:marBottom w:val="0"/>
      <w:divBdr>
        <w:top w:val="none" w:sz="0" w:space="0" w:color="auto"/>
        <w:left w:val="none" w:sz="0" w:space="0" w:color="auto"/>
        <w:bottom w:val="none" w:sz="0" w:space="0" w:color="auto"/>
        <w:right w:val="none" w:sz="0" w:space="0" w:color="auto"/>
      </w:divBdr>
    </w:div>
    <w:div w:id="1146893796">
      <w:bodyDiv w:val="1"/>
      <w:marLeft w:val="0"/>
      <w:marRight w:val="0"/>
      <w:marTop w:val="0"/>
      <w:marBottom w:val="0"/>
      <w:divBdr>
        <w:top w:val="none" w:sz="0" w:space="0" w:color="auto"/>
        <w:left w:val="none" w:sz="0" w:space="0" w:color="auto"/>
        <w:bottom w:val="none" w:sz="0" w:space="0" w:color="auto"/>
        <w:right w:val="none" w:sz="0" w:space="0" w:color="auto"/>
      </w:divBdr>
    </w:div>
    <w:div w:id="1148549592">
      <w:bodyDiv w:val="1"/>
      <w:marLeft w:val="0"/>
      <w:marRight w:val="0"/>
      <w:marTop w:val="0"/>
      <w:marBottom w:val="0"/>
      <w:divBdr>
        <w:top w:val="none" w:sz="0" w:space="0" w:color="auto"/>
        <w:left w:val="none" w:sz="0" w:space="0" w:color="auto"/>
        <w:bottom w:val="none" w:sz="0" w:space="0" w:color="auto"/>
        <w:right w:val="none" w:sz="0" w:space="0" w:color="auto"/>
      </w:divBdr>
    </w:div>
    <w:div w:id="1150095057">
      <w:bodyDiv w:val="1"/>
      <w:marLeft w:val="0"/>
      <w:marRight w:val="0"/>
      <w:marTop w:val="0"/>
      <w:marBottom w:val="0"/>
      <w:divBdr>
        <w:top w:val="none" w:sz="0" w:space="0" w:color="auto"/>
        <w:left w:val="none" w:sz="0" w:space="0" w:color="auto"/>
        <w:bottom w:val="none" w:sz="0" w:space="0" w:color="auto"/>
        <w:right w:val="none" w:sz="0" w:space="0" w:color="auto"/>
      </w:divBdr>
    </w:div>
    <w:div w:id="1150634283">
      <w:bodyDiv w:val="1"/>
      <w:marLeft w:val="0"/>
      <w:marRight w:val="0"/>
      <w:marTop w:val="0"/>
      <w:marBottom w:val="0"/>
      <w:divBdr>
        <w:top w:val="none" w:sz="0" w:space="0" w:color="auto"/>
        <w:left w:val="none" w:sz="0" w:space="0" w:color="auto"/>
        <w:bottom w:val="none" w:sz="0" w:space="0" w:color="auto"/>
        <w:right w:val="none" w:sz="0" w:space="0" w:color="auto"/>
      </w:divBdr>
    </w:div>
    <w:div w:id="1155607361">
      <w:bodyDiv w:val="1"/>
      <w:marLeft w:val="0"/>
      <w:marRight w:val="0"/>
      <w:marTop w:val="0"/>
      <w:marBottom w:val="0"/>
      <w:divBdr>
        <w:top w:val="none" w:sz="0" w:space="0" w:color="auto"/>
        <w:left w:val="none" w:sz="0" w:space="0" w:color="auto"/>
        <w:bottom w:val="none" w:sz="0" w:space="0" w:color="auto"/>
        <w:right w:val="none" w:sz="0" w:space="0" w:color="auto"/>
      </w:divBdr>
    </w:div>
    <w:div w:id="1156074707">
      <w:bodyDiv w:val="1"/>
      <w:marLeft w:val="0"/>
      <w:marRight w:val="0"/>
      <w:marTop w:val="0"/>
      <w:marBottom w:val="0"/>
      <w:divBdr>
        <w:top w:val="none" w:sz="0" w:space="0" w:color="auto"/>
        <w:left w:val="none" w:sz="0" w:space="0" w:color="auto"/>
        <w:bottom w:val="none" w:sz="0" w:space="0" w:color="auto"/>
        <w:right w:val="none" w:sz="0" w:space="0" w:color="auto"/>
      </w:divBdr>
    </w:div>
    <w:div w:id="1158768913">
      <w:bodyDiv w:val="1"/>
      <w:marLeft w:val="0"/>
      <w:marRight w:val="0"/>
      <w:marTop w:val="0"/>
      <w:marBottom w:val="0"/>
      <w:divBdr>
        <w:top w:val="none" w:sz="0" w:space="0" w:color="auto"/>
        <w:left w:val="none" w:sz="0" w:space="0" w:color="auto"/>
        <w:bottom w:val="none" w:sz="0" w:space="0" w:color="auto"/>
        <w:right w:val="none" w:sz="0" w:space="0" w:color="auto"/>
      </w:divBdr>
    </w:div>
    <w:div w:id="1159613065">
      <w:bodyDiv w:val="1"/>
      <w:marLeft w:val="0"/>
      <w:marRight w:val="0"/>
      <w:marTop w:val="0"/>
      <w:marBottom w:val="0"/>
      <w:divBdr>
        <w:top w:val="none" w:sz="0" w:space="0" w:color="auto"/>
        <w:left w:val="none" w:sz="0" w:space="0" w:color="auto"/>
        <w:bottom w:val="none" w:sz="0" w:space="0" w:color="auto"/>
        <w:right w:val="none" w:sz="0" w:space="0" w:color="auto"/>
      </w:divBdr>
    </w:div>
    <w:div w:id="1162814100">
      <w:bodyDiv w:val="1"/>
      <w:marLeft w:val="0"/>
      <w:marRight w:val="0"/>
      <w:marTop w:val="0"/>
      <w:marBottom w:val="0"/>
      <w:divBdr>
        <w:top w:val="none" w:sz="0" w:space="0" w:color="auto"/>
        <w:left w:val="none" w:sz="0" w:space="0" w:color="auto"/>
        <w:bottom w:val="none" w:sz="0" w:space="0" w:color="auto"/>
        <w:right w:val="none" w:sz="0" w:space="0" w:color="auto"/>
      </w:divBdr>
    </w:div>
    <w:div w:id="1165710364">
      <w:bodyDiv w:val="1"/>
      <w:marLeft w:val="0"/>
      <w:marRight w:val="0"/>
      <w:marTop w:val="0"/>
      <w:marBottom w:val="0"/>
      <w:divBdr>
        <w:top w:val="none" w:sz="0" w:space="0" w:color="auto"/>
        <w:left w:val="none" w:sz="0" w:space="0" w:color="auto"/>
        <w:bottom w:val="none" w:sz="0" w:space="0" w:color="auto"/>
        <w:right w:val="none" w:sz="0" w:space="0" w:color="auto"/>
      </w:divBdr>
    </w:div>
    <w:div w:id="1168596880">
      <w:bodyDiv w:val="1"/>
      <w:marLeft w:val="0"/>
      <w:marRight w:val="0"/>
      <w:marTop w:val="0"/>
      <w:marBottom w:val="0"/>
      <w:divBdr>
        <w:top w:val="none" w:sz="0" w:space="0" w:color="auto"/>
        <w:left w:val="none" w:sz="0" w:space="0" w:color="auto"/>
        <w:bottom w:val="none" w:sz="0" w:space="0" w:color="auto"/>
        <w:right w:val="none" w:sz="0" w:space="0" w:color="auto"/>
      </w:divBdr>
    </w:div>
    <w:div w:id="1170170238">
      <w:bodyDiv w:val="1"/>
      <w:marLeft w:val="0"/>
      <w:marRight w:val="0"/>
      <w:marTop w:val="0"/>
      <w:marBottom w:val="0"/>
      <w:divBdr>
        <w:top w:val="none" w:sz="0" w:space="0" w:color="auto"/>
        <w:left w:val="none" w:sz="0" w:space="0" w:color="auto"/>
        <w:bottom w:val="none" w:sz="0" w:space="0" w:color="auto"/>
        <w:right w:val="none" w:sz="0" w:space="0" w:color="auto"/>
      </w:divBdr>
    </w:div>
    <w:div w:id="1170948884">
      <w:bodyDiv w:val="1"/>
      <w:marLeft w:val="0"/>
      <w:marRight w:val="0"/>
      <w:marTop w:val="0"/>
      <w:marBottom w:val="0"/>
      <w:divBdr>
        <w:top w:val="none" w:sz="0" w:space="0" w:color="auto"/>
        <w:left w:val="none" w:sz="0" w:space="0" w:color="auto"/>
        <w:bottom w:val="none" w:sz="0" w:space="0" w:color="auto"/>
        <w:right w:val="none" w:sz="0" w:space="0" w:color="auto"/>
      </w:divBdr>
    </w:div>
    <w:div w:id="1171526391">
      <w:bodyDiv w:val="1"/>
      <w:marLeft w:val="0"/>
      <w:marRight w:val="0"/>
      <w:marTop w:val="0"/>
      <w:marBottom w:val="0"/>
      <w:divBdr>
        <w:top w:val="none" w:sz="0" w:space="0" w:color="auto"/>
        <w:left w:val="none" w:sz="0" w:space="0" w:color="auto"/>
        <w:bottom w:val="none" w:sz="0" w:space="0" w:color="auto"/>
        <w:right w:val="none" w:sz="0" w:space="0" w:color="auto"/>
      </w:divBdr>
    </w:div>
    <w:div w:id="1173491637">
      <w:bodyDiv w:val="1"/>
      <w:marLeft w:val="0"/>
      <w:marRight w:val="0"/>
      <w:marTop w:val="0"/>
      <w:marBottom w:val="0"/>
      <w:divBdr>
        <w:top w:val="none" w:sz="0" w:space="0" w:color="auto"/>
        <w:left w:val="none" w:sz="0" w:space="0" w:color="auto"/>
        <w:bottom w:val="none" w:sz="0" w:space="0" w:color="auto"/>
        <w:right w:val="none" w:sz="0" w:space="0" w:color="auto"/>
      </w:divBdr>
    </w:div>
    <w:div w:id="1175922974">
      <w:bodyDiv w:val="1"/>
      <w:marLeft w:val="0"/>
      <w:marRight w:val="0"/>
      <w:marTop w:val="0"/>
      <w:marBottom w:val="0"/>
      <w:divBdr>
        <w:top w:val="none" w:sz="0" w:space="0" w:color="auto"/>
        <w:left w:val="none" w:sz="0" w:space="0" w:color="auto"/>
        <w:bottom w:val="none" w:sz="0" w:space="0" w:color="auto"/>
        <w:right w:val="none" w:sz="0" w:space="0" w:color="auto"/>
      </w:divBdr>
    </w:div>
    <w:div w:id="1177039577">
      <w:bodyDiv w:val="1"/>
      <w:marLeft w:val="0"/>
      <w:marRight w:val="0"/>
      <w:marTop w:val="0"/>
      <w:marBottom w:val="0"/>
      <w:divBdr>
        <w:top w:val="none" w:sz="0" w:space="0" w:color="auto"/>
        <w:left w:val="none" w:sz="0" w:space="0" w:color="auto"/>
        <w:bottom w:val="none" w:sz="0" w:space="0" w:color="auto"/>
        <w:right w:val="none" w:sz="0" w:space="0" w:color="auto"/>
      </w:divBdr>
    </w:div>
    <w:div w:id="1177311164">
      <w:bodyDiv w:val="1"/>
      <w:marLeft w:val="0"/>
      <w:marRight w:val="0"/>
      <w:marTop w:val="0"/>
      <w:marBottom w:val="0"/>
      <w:divBdr>
        <w:top w:val="none" w:sz="0" w:space="0" w:color="auto"/>
        <w:left w:val="none" w:sz="0" w:space="0" w:color="auto"/>
        <w:bottom w:val="none" w:sz="0" w:space="0" w:color="auto"/>
        <w:right w:val="none" w:sz="0" w:space="0" w:color="auto"/>
      </w:divBdr>
    </w:div>
    <w:div w:id="1178425050">
      <w:bodyDiv w:val="1"/>
      <w:marLeft w:val="0"/>
      <w:marRight w:val="0"/>
      <w:marTop w:val="0"/>
      <w:marBottom w:val="0"/>
      <w:divBdr>
        <w:top w:val="none" w:sz="0" w:space="0" w:color="auto"/>
        <w:left w:val="none" w:sz="0" w:space="0" w:color="auto"/>
        <w:bottom w:val="none" w:sz="0" w:space="0" w:color="auto"/>
        <w:right w:val="none" w:sz="0" w:space="0" w:color="auto"/>
      </w:divBdr>
    </w:div>
    <w:div w:id="1179271656">
      <w:bodyDiv w:val="1"/>
      <w:marLeft w:val="0"/>
      <w:marRight w:val="0"/>
      <w:marTop w:val="0"/>
      <w:marBottom w:val="0"/>
      <w:divBdr>
        <w:top w:val="none" w:sz="0" w:space="0" w:color="auto"/>
        <w:left w:val="none" w:sz="0" w:space="0" w:color="auto"/>
        <w:bottom w:val="none" w:sz="0" w:space="0" w:color="auto"/>
        <w:right w:val="none" w:sz="0" w:space="0" w:color="auto"/>
      </w:divBdr>
    </w:div>
    <w:div w:id="1179466757">
      <w:bodyDiv w:val="1"/>
      <w:marLeft w:val="0"/>
      <w:marRight w:val="0"/>
      <w:marTop w:val="0"/>
      <w:marBottom w:val="0"/>
      <w:divBdr>
        <w:top w:val="none" w:sz="0" w:space="0" w:color="auto"/>
        <w:left w:val="none" w:sz="0" w:space="0" w:color="auto"/>
        <w:bottom w:val="none" w:sz="0" w:space="0" w:color="auto"/>
        <w:right w:val="none" w:sz="0" w:space="0" w:color="auto"/>
      </w:divBdr>
    </w:div>
    <w:div w:id="1183588979">
      <w:bodyDiv w:val="1"/>
      <w:marLeft w:val="0"/>
      <w:marRight w:val="0"/>
      <w:marTop w:val="0"/>
      <w:marBottom w:val="0"/>
      <w:divBdr>
        <w:top w:val="none" w:sz="0" w:space="0" w:color="auto"/>
        <w:left w:val="none" w:sz="0" w:space="0" w:color="auto"/>
        <w:bottom w:val="none" w:sz="0" w:space="0" w:color="auto"/>
        <w:right w:val="none" w:sz="0" w:space="0" w:color="auto"/>
      </w:divBdr>
    </w:div>
    <w:div w:id="1183975820">
      <w:bodyDiv w:val="1"/>
      <w:marLeft w:val="0"/>
      <w:marRight w:val="0"/>
      <w:marTop w:val="0"/>
      <w:marBottom w:val="0"/>
      <w:divBdr>
        <w:top w:val="none" w:sz="0" w:space="0" w:color="auto"/>
        <w:left w:val="none" w:sz="0" w:space="0" w:color="auto"/>
        <w:bottom w:val="none" w:sz="0" w:space="0" w:color="auto"/>
        <w:right w:val="none" w:sz="0" w:space="0" w:color="auto"/>
      </w:divBdr>
    </w:div>
    <w:div w:id="1184439813">
      <w:bodyDiv w:val="1"/>
      <w:marLeft w:val="0"/>
      <w:marRight w:val="0"/>
      <w:marTop w:val="0"/>
      <w:marBottom w:val="0"/>
      <w:divBdr>
        <w:top w:val="none" w:sz="0" w:space="0" w:color="auto"/>
        <w:left w:val="none" w:sz="0" w:space="0" w:color="auto"/>
        <w:bottom w:val="none" w:sz="0" w:space="0" w:color="auto"/>
        <w:right w:val="none" w:sz="0" w:space="0" w:color="auto"/>
      </w:divBdr>
    </w:div>
    <w:div w:id="1188643153">
      <w:bodyDiv w:val="1"/>
      <w:marLeft w:val="0"/>
      <w:marRight w:val="0"/>
      <w:marTop w:val="0"/>
      <w:marBottom w:val="0"/>
      <w:divBdr>
        <w:top w:val="none" w:sz="0" w:space="0" w:color="auto"/>
        <w:left w:val="none" w:sz="0" w:space="0" w:color="auto"/>
        <w:bottom w:val="none" w:sz="0" w:space="0" w:color="auto"/>
        <w:right w:val="none" w:sz="0" w:space="0" w:color="auto"/>
      </w:divBdr>
    </w:div>
    <w:div w:id="1190140415">
      <w:bodyDiv w:val="1"/>
      <w:marLeft w:val="0"/>
      <w:marRight w:val="0"/>
      <w:marTop w:val="0"/>
      <w:marBottom w:val="0"/>
      <w:divBdr>
        <w:top w:val="none" w:sz="0" w:space="0" w:color="auto"/>
        <w:left w:val="none" w:sz="0" w:space="0" w:color="auto"/>
        <w:bottom w:val="none" w:sz="0" w:space="0" w:color="auto"/>
        <w:right w:val="none" w:sz="0" w:space="0" w:color="auto"/>
      </w:divBdr>
    </w:div>
    <w:div w:id="1190532495">
      <w:bodyDiv w:val="1"/>
      <w:marLeft w:val="0"/>
      <w:marRight w:val="0"/>
      <w:marTop w:val="0"/>
      <w:marBottom w:val="0"/>
      <w:divBdr>
        <w:top w:val="none" w:sz="0" w:space="0" w:color="auto"/>
        <w:left w:val="none" w:sz="0" w:space="0" w:color="auto"/>
        <w:bottom w:val="none" w:sz="0" w:space="0" w:color="auto"/>
        <w:right w:val="none" w:sz="0" w:space="0" w:color="auto"/>
      </w:divBdr>
    </w:div>
    <w:div w:id="1190921592">
      <w:bodyDiv w:val="1"/>
      <w:marLeft w:val="0"/>
      <w:marRight w:val="0"/>
      <w:marTop w:val="0"/>
      <w:marBottom w:val="0"/>
      <w:divBdr>
        <w:top w:val="none" w:sz="0" w:space="0" w:color="auto"/>
        <w:left w:val="none" w:sz="0" w:space="0" w:color="auto"/>
        <w:bottom w:val="none" w:sz="0" w:space="0" w:color="auto"/>
        <w:right w:val="none" w:sz="0" w:space="0" w:color="auto"/>
      </w:divBdr>
    </w:div>
    <w:div w:id="1191601352">
      <w:bodyDiv w:val="1"/>
      <w:marLeft w:val="0"/>
      <w:marRight w:val="0"/>
      <w:marTop w:val="0"/>
      <w:marBottom w:val="0"/>
      <w:divBdr>
        <w:top w:val="none" w:sz="0" w:space="0" w:color="auto"/>
        <w:left w:val="none" w:sz="0" w:space="0" w:color="auto"/>
        <w:bottom w:val="none" w:sz="0" w:space="0" w:color="auto"/>
        <w:right w:val="none" w:sz="0" w:space="0" w:color="auto"/>
      </w:divBdr>
    </w:div>
    <w:div w:id="1191608206">
      <w:bodyDiv w:val="1"/>
      <w:marLeft w:val="0"/>
      <w:marRight w:val="0"/>
      <w:marTop w:val="0"/>
      <w:marBottom w:val="0"/>
      <w:divBdr>
        <w:top w:val="none" w:sz="0" w:space="0" w:color="auto"/>
        <w:left w:val="none" w:sz="0" w:space="0" w:color="auto"/>
        <w:bottom w:val="none" w:sz="0" w:space="0" w:color="auto"/>
        <w:right w:val="none" w:sz="0" w:space="0" w:color="auto"/>
      </w:divBdr>
    </w:div>
    <w:div w:id="1193374680">
      <w:bodyDiv w:val="1"/>
      <w:marLeft w:val="0"/>
      <w:marRight w:val="0"/>
      <w:marTop w:val="0"/>
      <w:marBottom w:val="0"/>
      <w:divBdr>
        <w:top w:val="none" w:sz="0" w:space="0" w:color="auto"/>
        <w:left w:val="none" w:sz="0" w:space="0" w:color="auto"/>
        <w:bottom w:val="none" w:sz="0" w:space="0" w:color="auto"/>
        <w:right w:val="none" w:sz="0" w:space="0" w:color="auto"/>
      </w:divBdr>
    </w:div>
    <w:div w:id="1193957359">
      <w:bodyDiv w:val="1"/>
      <w:marLeft w:val="0"/>
      <w:marRight w:val="0"/>
      <w:marTop w:val="0"/>
      <w:marBottom w:val="0"/>
      <w:divBdr>
        <w:top w:val="none" w:sz="0" w:space="0" w:color="auto"/>
        <w:left w:val="none" w:sz="0" w:space="0" w:color="auto"/>
        <w:bottom w:val="none" w:sz="0" w:space="0" w:color="auto"/>
        <w:right w:val="none" w:sz="0" w:space="0" w:color="auto"/>
      </w:divBdr>
    </w:div>
    <w:div w:id="1194998398">
      <w:bodyDiv w:val="1"/>
      <w:marLeft w:val="0"/>
      <w:marRight w:val="0"/>
      <w:marTop w:val="0"/>
      <w:marBottom w:val="0"/>
      <w:divBdr>
        <w:top w:val="none" w:sz="0" w:space="0" w:color="auto"/>
        <w:left w:val="none" w:sz="0" w:space="0" w:color="auto"/>
        <w:bottom w:val="none" w:sz="0" w:space="0" w:color="auto"/>
        <w:right w:val="none" w:sz="0" w:space="0" w:color="auto"/>
      </w:divBdr>
    </w:div>
    <w:div w:id="1195116253">
      <w:bodyDiv w:val="1"/>
      <w:marLeft w:val="0"/>
      <w:marRight w:val="0"/>
      <w:marTop w:val="0"/>
      <w:marBottom w:val="0"/>
      <w:divBdr>
        <w:top w:val="none" w:sz="0" w:space="0" w:color="auto"/>
        <w:left w:val="none" w:sz="0" w:space="0" w:color="auto"/>
        <w:bottom w:val="none" w:sz="0" w:space="0" w:color="auto"/>
        <w:right w:val="none" w:sz="0" w:space="0" w:color="auto"/>
      </w:divBdr>
    </w:div>
    <w:div w:id="1196887998">
      <w:bodyDiv w:val="1"/>
      <w:marLeft w:val="0"/>
      <w:marRight w:val="0"/>
      <w:marTop w:val="0"/>
      <w:marBottom w:val="0"/>
      <w:divBdr>
        <w:top w:val="none" w:sz="0" w:space="0" w:color="auto"/>
        <w:left w:val="none" w:sz="0" w:space="0" w:color="auto"/>
        <w:bottom w:val="none" w:sz="0" w:space="0" w:color="auto"/>
        <w:right w:val="none" w:sz="0" w:space="0" w:color="auto"/>
      </w:divBdr>
    </w:div>
    <w:div w:id="1197036210">
      <w:bodyDiv w:val="1"/>
      <w:marLeft w:val="0"/>
      <w:marRight w:val="0"/>
      <w:marTop w:val="0"/>
      <w:marBottom w:val="0"/>
      <w:divBdr>
        <w:top w:val="none" w:sz="0" w:space="0" w:color="auto"/>
        <w:left w:val="none" w:sz="0" w:space="0" w:color="auto"/>
        <w:bottom w:val="none" w:sz="0" w:space="0" w:color="auto"/>
        <w:right w:val="none" w:sz="0" w:space="0" w:color="auto"/>
      </w:divBdr>
    </w:div>
    <w:div w:id="1197696829">
      <w:bodyDiv w:val="1"/>
      <w:marLeft w:val="0"/>
      <w:marRight w:val="0"/>
      <w:marTop w:val="0"/>
      <w:marBottom w:val="0"/>
      <w:divBdr>
        <w:top w:val="none" w:sz="0" w:space="0" w:color="auto"/>
        <w:left w:val="none" w:sz="0" w:space="0" w:color="auto"/>
        <w:bottom w:val="none" w:sz="0" w:space="0" w:color="auto"/>
        <w:right w:val="none" w:sz="0" w:space="0" w:color="auto"/>
      </w:divBdr>
    </w:div>
    <w:div w:id="1199321238">
      <w:bodyDiv w:val="1"/>
      <w:marLeft w:val="0"/>
      <w:marRight w:val="0"/>
      <w:marTop w:val="0"/>
      <w:marBottom w:val="0"/>
      <w:divBdr>
        <w:top w:val="none" w:sz="0" w:space="0" w:color="auto"/>
        <w:left w:val="none" w:sz="0" w:space="0" w:color="auto"/>
        <w:bottom w:val="none" w:sz="0" w:space="0" w:color="auto"/>
        <w:right w:val="none" w:sz="0" w:space="0" w:color="auto"/>
      </w:divBdr>
    </w:div>
    <w:div w:id="1203128473">
      <w:bodyDiv w:val="1"/>
      <w:marLeft w:val="0"/>
      <w:marRight w:val="0"/>
      <w:marTop w:val="0"/>
      <w:marBottom w:val="0"/>
      <w:divBdr>
        <w:top w:val="none" w:sz="0" w:space="0" w:color="auto"/>
        <w:left w:val="none" w:sz="0" w:space="0" w:color="auto"/>
        <w:bottom w:val="none" w:sz="0" w:space="0" w:color="auto"/>
        <w:right w:val="none" w:sz="0" w:space="0" w:color="auto"/>
      </w:divBdr>
    </w:div>
    <w:div w:id="1203324054">
      <w:bodyDiv w:val="1"/>
      <w:marLeft w:val="0"/>
      <w:marRight w:val="0"/>
      <w:marTop w:val="0"/>
      <w:marBottom w:val="0"/>
      <w:divBdr>
        <w:top w:val="none" w:sz="0" w:space="0" w:color="auto"/>
        <w:left w:val="none" w:sz="0" w:space="0" w:color="auto"/>
        <w:bottom w:val="none" w:sz="0" w:space="0" w:color="auto"/>
        <w:right w:val="none" w:sz="0" w:space="0" w:color="auto"/>
      </w:divBdr>
    </w:div>
    <w:div w:id="1203441611">
      <w:bodyDiv w:val="1"/>
      <w:marLeft w:val="0"/>
      <w:marRight w:val="0"/>
      <w:marTop w:val="0"/>
      <w:marBottom w:val="0"/>
      <w:divBdr>
        <w:top w:val="none" w:sz="0" w:space="0" w:color="auto"/>
        <w:left w:val="none" w:sz="0" w:space="0" w:color="auto"/>
        <w:bottom w:val="none" w:sz="0" w:space="0" w:color="auto"/>
        <w:right w:val="none" w:sz="0" w:space="0" w:color="auto"/>
      </w:divBdr>
    </w:div>
    <w:div w:id="1203786169">
      <w:bodyDiv w:val="1"/>
      <w:marLeft w:val="0"/>
      <w:marRight w:val="0"/>
      <w:marTop w:val="0"/>
      <w:marBottom w:val="0"/>
      <w:divBdr>
        <w:top w:val="none" w:sz="0" w:space="0" w:color="auto"/>
        <w:left w:val="none" w:sz="0" w:space="0" w:color="auto"/>
        <w:bottom w:val="none" w:sz="0" w:space="0" w:color="auto"/>
        <w:right w:val="none" w:sz="0" w:space="0" w:color="auto"/>
      </w:divBdr>
    </w:div>
    <w:div w:id="1203981462">
      <w:bodyDiv w:val="1"/>
      <w:marLeft w:val="0"/>
      <w:marRight w:val="0"/>
      <w:marTop w:val="0"/>
      <w:marBottom w:val="0"/>
      <w:divBdr>
        <w:top w:val="none" w:sz="0" w:space="0" w:color="auto"/>
        <w:left w:val="none" w:sz="0" w:space="0" w:color="auto"/>
        <w:bottom w:val="none" w:sz="0" w:space="0" w:color="auto"/>
        <w:right w:val="none" w:sz="0" w:space="0" w:color="auto"/>
      </w:divBdr>
    </w:div>
    <w:div w:id="1208301349">
      <w:bodyDiv w:val="1"/>
      <w:marLeft w:val="0"/>
      <w:marRight w:val="0"/>
      <w:marTop w:val="0"/>
      <w:marBottom w:val="0"/>
      <w:divBdr>
        <w:top w:val="none" w:sz="0" w:space="0" w:color="auto"/>
        <w:left w:val="none" w:sz="0" w:space="0" w:color="auto"/>
        <w:bottom w:val="none" w:sz="0" w:space="0" w:color="auto"/>
        <w:right w:val="none" w:sz="0" w:space="0" w:color="auto"/>
      </w:divBdr>
    </w:div>
    <w:div w:id="1208831975">
      <w:bodyDiv w:val="1"/>
      <w:marLeft w:val="0"/>
      <w:marRight w:val="0"/>
      <w:marTop w:val="0"/>
      <w:marBottom w:val="0"/>
      <w:divBdr>
        <w:top w:val="none" w:sz="0" w:space="0" w:color="auto"/>
        <w:left w:val="none" w:sz="0" w:space="0" w:color="auto"/>
        <w:bottom w:val="none" w:sz="0" w:space="0" w:color="auto"/>
        <w:right w:val="none" w:sz="0" w:space="0" w:color="auto"/>
      </w:divBdr>
    </w:div>
    <w:div w:id="1209075535">
      <w:bodyDiv w:val="1"/>
      <w:marLeft w:val="0"/>
      <w:marRight w:val="0"/>
      <w:marTop w:val="0"/>
      <w:marBottom w:val="0"/>
      <w:divBdr>
        <w:top w:val="none" w:sz="0" w:space="0" w:color="auto"/>
        <w:left w:val="none" w:sz="0" w:space="0" w:color="auto"/>
        <w:bottom w:val="none" w:sz="0" w:space="0" w:color="auto"/>
        <w:right w:val="none" w:sz="0" w:space="0" w:color="auto"/>
      </w:divBdr>
    </w:div>
    <w:div w:id="1210000123">
      <w:bodyDiv w:val="1"/>
      <w:marLeft w:val="0"/>
      <w:marRight w:val="0"/>
      <w:marTop w:val="0"/>
      <w:marBottom w:val="0"/>
      <w:divBdr>
        <w:top w:val="none" w:sz="0" w:space="0" w:color="auto"/>
        <w:left w:val="none" w:sz="0" w:space="0" w:color="auto"/>
        <w:bottom w:val="none" w:sz="0" w:space="0" w:color="auto"/>
        <w:right w:val="none" w:sz="0" w:space="0" w:color="auto"/>
      </w:divBdr>
    </w:div>
    <w:div w:id="1211771385">
      <w:bodyDiv w:val="1"/>
      <w:marLeft w:val="0"/>
      <w:marRight w:val="0"/>
      <w:marTop w:val="0"/>
      <w:marBottom w:val="0"/>
      <w:divBdr>
        <w:top w:val="none" w:sz="0" w:space="0" w:color="auto"/>
        <w:left w:val="none" w:sz="0" w:space="0" w:color="auto"/>
        <w:bottom w:val="none" w:sz="0" w:space="0" w:color="auto"/>
        <w:right w:val="none" w:sz="0" w:space="0" w:color="auto"/>
      </w:divBdr>
    </w:div>
    <w:div w:id="1212351472">
      <w:bodyDiv w:val="1"/>
      <w:marLeft w:val="0"/>
      <w:marRight w:val="0"/>
      <w:marTop w:val="0"/>
      <w:marBottom w:val="0"/>
      <w:divBdr>
        <w:top w:val="none" w:sz="0" w:space="0" w:color="auto"/>
        <w:left w:val="none" w:sz="0" w:space="0" w:color="auto"/>
        <w:bottom w:val="none" w:sz="0" w:space="0" w:color="auto"/>
        <w:right w:val="none" w:sz="0" w:space="0" w:color="auto"/>
      </w:divBdr>
    </w:div>
    <w:div w:id="1213346751">
      <w:bodyDiv w:val="1"/>
      <w:marLeft w:val="0"/>
      <w:marRight w:val="0"/>
      <w:marTop w:val="0"/>
      <w:marBottom w:val="0"/>
      <w:divBdr>
        <w:top w:val="none" w:sz="0" w:space="0" w:color="auto"/>
        <w:left w:val="none" w:sz="0" w:space="0" w:color="auto"/>
        <w:bottom w:val="none" w:sz="0" w:space="0" w:color="auto"/>
        <w:right w:val="none" w:sz="0" w:space="0" w:color="auto"/>
      </w:divBdr>
    </w:div>
    <w:div w:id="1215847055">
      <w:bodyDiv w:val="1"/>
      <w:marLeft w:val="0"/>
      <w:marRight w:val="0"/>
      <w:marTop w:val="0"/>
      <w:marBottom w:val="0"/>
      <w:divBdr>
        <w:top w:val="none" w:sz="0" w:space="0" w:color="auto"/>
        <w:left w:val="none" w:sz="0" w:space="0" w:color="auto"/>
        <w:bottom w:val="none" w:sz="0" w:space="0" w:color="auto"/>
        <w:right w:val="none" w:sz="0" w:space="0" w:color="auto"/>
      </w:divBdr>
    </w:div>
    <w:div w:id="1216938080">
      <w:bodyDiv w:val="1"/>
      <w:marLeft w:val="0"/>
      <w:marRight w:val="0"/>
      <w:marTop w:val="0"/>
      <w:marBottom w:val="0"/>
      <w:divBdr>
        <w:top w:val="none" w:sz="0" w:space="0" w:color="auto"/>
        <w:left w:val="none" w:sz="0" w:space="0" w:color="auto"/>
        <w:bottom w:val="none" w:sz="0" w:space="0" w:color="auto"/>
        <w:right w:val="none" w:sz="0" w:space="0" w:color="auto"/>
      </w:divBdr>
    </w:div>
    <w:div w:id="1217661783">
      <w:bodyDiv w:val="1"/>
      <w:marLeft w:val="0"/>
      <w:marRight w:val="0"/>
      <w:marTop w:val="0"/>
      <w:marBottom w:val="0"/>
      <w:divBdr>
        <w:top w:val="none" w:sz="0" w:space="0" w:color="auto"/>
        <w:left w:val="none" w:sz="0" w:space="0" w:color="auto"/>
        <w:bottom w:val="none" w:sz="0" w:space="0" w:color="auto"/>
        <w:right w:val="none" w:sz="0" w:space="0" w:color="auto"/>
      </w:divBdr>
    </w:div>
    <w:div w:id="1218473307">
      <w:bodyDiv w:val="1"/>
      <w:marLeft w:val="0"/>
      <w:marRight w:val="0"/>
      <w:marTop w:val="0"/>
      <w:marBottom w:val="0"/>
      <w:divBdr>
        <w:top w:val="none" w:sz="0" w:space="0" w:color="auto"/>
        <w:left w:val="none" w:sz="0" w:space="0" w:color="auto"/>
        <w:bottom w:val="none" w:sz="0" w:space="0" w:color="auto"/>
        <w:right w:val="none" w:sz="0" w:space="0" w:color="auto"/>
      </w:divBdr>
    </w:div>
    <w:div w:id="1219391063">
      <w:bodyDiv w:val="1"/>
      <w:marLeft w:val="0"/>
      <w:marRight w:val="0"/>
      <w:marTop w:val="0"/>
      <w:marBottom w:val="0"/>
      <w:divBdr>
        <w:top w:val="none" w:sz="0" w:space="0" w:color="auto"/>
        <w:left w:val="none" w:sz="0" w:space="0" w:color="auto"/>
        <w:bottom w:val="none" w:sz="0" w:space="0" w:color="auto"/>
        <w:right w:val="none" w:sz="0" w:space="0" w:color="auto"/>
      </w:divBdr>
    </w:div>
    <w:div w:id="1220824960">
      <w:bodyDiv w:val="1"/>
      <w:marLeft w:val="0"/>
      <w:marRight w:val="0"/>
      <w:marTop w:val="0"/>
      <w:marBottom w:val="0"/>
      <w:divBdr>
        <w:top w:val="none" w:sz="0" w:space="0" w:color="auto"/>
        <w:left w:val="none" w:sz="0" w:space="0" w:color="auto"/>
        <w:bottom w:val="none" w:sz="0" w:space="0" w:color="auto"/>
        <w:right w:val="none" w:sz="0" w:space="0" w:color="auto"/>
      </w:divBdr>
    </w:div>
    <w:div w:id="1222251226">
      <w:bodyDiv w:val="1"/>
      <w:marLeft w:val="0"/>
      <w:marRight w:val="0"/>
      <w:marTop w:val="0"/>
      <w:marBottom w:val="0"/>
      <w:divBdr>
        <w:top w:val="none" w:sz="0" w:space="0" w:color="auto"/>
        <w:left w:val="none" w:sz="0" w:space="0" w:color="auto"/>
        <w:bottom w:val="none" w:sz="0" w:space="0" w:color="auto"/>
        <w:right w:val="none" w:sz="0" w:space="0" w:color="auto"/>
      </w:divBdr>
    </w:div>
    <w:div w:id="1222251614">
      <w:bodyDiv w:val="1"/>
      <w:marLeft w:val="0"/>
      <w:marRight w:val="0"/>
      <w:marTop w:val="0"/>
      <w:marBottom w:val="0"/>
      <w:divBdr>
        <w:top w:val="none" w:sz="0" w:space="0" w:color="auto"/>
        <w:left w:val="none" w:sz="0" w:space="0" w:color="auto"/>
        <w:bottom w:val="none" w:sz="0" w:space="0" w:color="auto"/>
        <w:right w:val="none" w:sz="0" w:space="0" w:color="auto"/>
      </w:divBdr>
    </w:div>
    <w:div w:id="1224750767">
      <w:bodyDiv w:val="1"/>
      <w:marLeft w:val="0"/>
      <w:marRight w:val="0"/>
      <w:marTop w:val="0"/>
      <w:marBottom w:val="0"/>
      <w:divBdr>
        <w:top w:val="none" w:sz="0" w:space="0" w:color="auto"/>
        <w:left w:val="none" w:sz="0" w:space="0" w:color="auto"/>
        <w:bottom w:val="none" w:sz="0" w:space="0" w:color="auto"/>
        <w:right w:val="none" w:sz="0" w:space="0" w:color="auto"/>
      </w:divBdr>
    </w:div>
    <w:div w:id="1225023345">
      <w:bodyDiv w:val="1"/>
      <w:marLeft w:val="0"/>
      <w:marRight w:val="0"/>
      <w:marTop w:val="0"/>
      <w:marBottom w:val="0"/>
      <w:divBdr>
        <w:top w:val="none" w:sz="0" w:space="0" w:color="auto"/>
        <w:left w:val="none" w:sz="0" w:space="0" w:color="auto"/>
        <w:bottom w:val="none" w:sz="0" w:space="0" w:color="auto"/>
        <w:right w:val="none" w:sz="0" w:space="0" w:color="auto"/>
      </w:divBdr>
    </w:div>
    <w:div w:id="1225068575">
      <w:bodyDiv w:val="1"/>
      <w:marLeft w:val="0"/>
      <w:marRight w:val="0"/>
      <w:marTop w:val="0"/>
      <w:marBottom w:val="0"/>
      <w:divBdr>
        <w:top w:val="none" w:sz="0" w:space="0" w:color="auto"/>
        <w:left w:val="none" w:sz="0" w:space="0" w:color="auto"/>
        <w:bottom w:val="none" w:sz="0" w:space="0" w:color="auto"/>
        <w:right w:val="none" w:sz="0" w:space="0" w:color="auto"/>
      </w:divBdr>
    </w:div>
    <w:div w:id="1234001027">
      <w:bodyDiv w:val="1"/>
      <w:marLeft w:val="0"/>
      <w:marRight w:val="0"/>
      <w:marTop w:val="0"/>
      <w:marBottom w:val="0"/>
      <w:divBdr>
        <w:top w:val="none" w:sz="0" w:space="0" w:color="auto"/>
        <w:left w:val="none" w:sz="0" w:space="0" w:color="auto"/>
        <w:bottom w:val="none" w:sz="0" w:space="0" w:color="auto"/>
        <w:right w:val="none" w:sz="0" w:space="0" w:color="auto"/>
      </w:divBdr>
    </w:div>
    <w:div w:id="1235164484">
      <w:bodyDiv w:val="1"/>
      <w:marLeft w:val="0"/>
      <w:marRight w:val="0"/>
      <w:marTop w:val="0"/>
      <w:marBottom w:val="0"/>
      <w:divBdr>
        <w:top w:val="none" w:sz="0" w:space="0" w:color="auto"/>
        <w:left w:val="none" w:sz="0" w:space="0" w:color="auto"/>
        <w:bottom w:val="none" w:sz="0" w:space="0" w:color="auto"/>
        <w:right w:val="none" w:sz="0" w:space="0" w:color="auto"/>
      </w:divBdr>
    </w:div>
    <w:div w:id="1235627106">
      <w:bodyDiv w:val="1"/>
      <w:marLeft w:val="0"/>
      <w:marRight w:val="0"/>
      <w:marTop w:val="0"/>
      <w:marBottom w:val="0"/>
      <w:divBdr>
        <w:top w:val="none" w:sz="0" w:space="0" w:color="auto"/>
        <w:left w:val="none" w:sz="0" w:space="0" w:color="auto"/>
        <w:bottom w:val="none" w:sz="0" w:space="0" w:color="auto"/>
        <w:right w:val="none" w:sz="0" w:space="0" w:color="auto"/>
      </w:divBdr>
    </w:div>
    <w:div w:id="1235703787">
      <w:bodyDiv w:val="1"/>
      <w:marLeft w:val="0"/>
      <w:marRight w:val="0"/>
      <w:marTop w:val="0"/>
      <w:marBottom w:val="0"/>
      <w:divBdr>
        <w:top w:val="none" w:sz="0" w:space="0" w:color="auto"/>
        <w:left w:val="none" w:sz="0" w:space="0" w:color="auto"/>
        <w:bottom w:val="none" w:sz="0" w:space="0" w:color="auto"/>
        <w:right w:val="none" w:sz="0" w:space="0" w:color="auto"/>
      </w:divBdr>
    </w:div>
    <w:div w:id="1237940321">
      <w:bodyDiv w:val="1"/>
      <w:marLeft w:val="0"/>
      <w:marRight w:val="0"/>
      <w:marTop w:val="0"/>
      <w:marBottom w:val="0"/>
      <w:divBdr>
        <w:top w:val="none" w:sz="0" w:space="0" w:color="auto"/>
        <w:left w:val="none" w:sz="0" w:space="0" w:color="auto"/>
        <w:bottom w:val="none" w:sz="0" w:space="0" w:color="auto"/>
        <w:right w:val="none" w:sz="0" w:space="0" w:color="auto"/>
      </w:divBdr>
    </w:div>
    <w:div w:id="1239097121">
      <w:bodyDiv w:val="1"/>
      <w:marLeft w:val="0"/>
      <w:marRight w:val="0"/>
      <w:marTop w:val="0"/>
      <w:marBottom w:val="0"/>
      <w:divBdr>
        <w:top w:val="none" w:sz="0" w:space="0" w:color="auto"/>
        <w:left w:val="none" w:sz="0" w:space="0" w:color="auto"/>
        <w:bottom w:val="none" w:sz="0" w:space="0" w:color="auto"/>
        <w:right w:val="none" w:sz="0" w:space="0" w:color="auto"/>
      </w:divBdr>
    </w:div>
    <w:div w:id="1239367589">
      <w:bodyDiv w:val="1"/>
      <w:marLeft w:val="0"/>
      <w:marRight w:val="0"/>
      <w:marTop w:val="0"/>
      <w:marBottom w:val="0"/>
      <w:divBdr>
        <w:top w:val="none" w:sz="0" w:space="0" w:color="auto"/>
        <w:left w:val="none" w:sz="0" w:space="0" w:color="auto"/>
        <w:bottom w:val="none" w:sz="0" w:space="0" w:color="auto"/>
        <w:right w:val="none" w:sz="0" w:space="0" w:color="auto"/>
      </w:divBdr>
    </w:div>
    <w:div w:id="1240167474">
      <w:bodyDiv w:val="1"/>
      <w:marLeft w:val="0"/>
      <w:marRight w:val="0"/>
      <w:marTop w:val="0"/>
      <w:marBottom w:val="0"/>
      <w:divBdr>
        <w:top w:val="none" w:sz="0" w:space="0" w:color="auto"/>
        <w:left w:val="none" w:sz="0" w:space="0" w:color="auto"/>
        <w:bottom w:val="none" w:sz="0" w:space="0" w:color="auto"/>
        <w:right w:val="none" w:sz="0" w:space="0" w:color="auto"/>
      </w:divBdr>
    </w:div>
    <w:div w:id="1240481012">
      <w:bodyDiv w:val="1"/>
      <w:marLeft w:val="0"/>
      <w:marRight w:val="0"/>
      <w:marTop w:val="0"/>
      <w:marBottom w:val="0"/>
      <w:divBdr>
        <w:top w:val="none" w:sz="0" w:space="0" w:color="auto"/>
        <w:left w:val="none" w:sz="0" w:space="0" w:color="auto"/>
        <w:bottom w:val="none" w:sz="0" w:space="0" w:color="auto"/>
        <w:right w:val="none" w:sz="0" w:space="0" w:color="auto"/>
      </w:divBdr>
    </w:div>
    <w:div w:id="1240676574">
      <w:bodyDiv w:val="1"/>
      <w:marLeft w:val="0"/>
      <w:marRight w:val="0"/>
      <w:marTop w:val="0"/>
      <w:marBottom w:val="0"/>
      <w:divBdr>
        <w:top w:val="none" w:sz="0" w:space="0" w:color="auto"/>
        <w:left w:val="none" w:sz="0" w:space="0" w:color="auto"/>
        <w:bottom w:val="none" w:sz="0" w:space="0" w:color="auto"/>
        <w:right w:val="none" w:sz="0" w:space="0" w:color="auto"/>
      </w:divBdr>
    </w:div>
    <w:div w:id="1243375633">
      <w:bodyDiv w:val="1"/>
      <w:marLeft w:val="0"/>
      <w:marRight w:val="0"/>
      <w:marTop w:val="0"/>
      <w:marBottom w:val="0"/>
      <w:divBdr>
        <w:top w:val="none" w:sz="0" w:space="0" w:color="auto"/>
        <w:left w:val="none" w:sz="0" w:space="0" w:color="auto"/>
        <w:bottom w:val="none" w:sz="0" w:space="0" w:color="auto"/>
        <w:right w:val="none" w:sz="0" w:space="0" w:color="auto"/>
      </w:divBdr>
    </w:div>
    <w:div w:id="1244800038">
      <w:bodyDiv w:val="1"/>
      <w:marLeft w:val="0"/>
      <w:marRight w:val="0"/>
      <w:marTop w:val="0"/>
      <w:marBottom w:val="0"/>
      <w:divBdr>
        <w:top w:val="none" w:sz="0" w:space="0" w:color="auto"/>
        <w:left w:val="none" w:sz="0" w:space="0" w:color="auto"/>
        <w:bottom w:val="none" w:sz="0" w:space="0" w:color="auto"/>
        <w:right w:val="none" w:sz="0" w:space="0" w:color="auto"/>
      </w:divBdr>
    </w:div>
    <w:div w:id="1247887770">
      <w:bodyDiv w:val="1"/>
      <w:marLeft w:val="0"/>
      <w:marRight w:val="0"/>
      <w:marTop w:val="0"/>
      <w:marBottom w:val="0"/>
      <w:divBdr>
        <w:top w:val="none" w:sz="0" w:space="0" w:color="auto"/>
        <w:left w:val="none" w:sz="0" w:space="0" w:color="auto"/>
        <w:bottom w:val="none" w:sz="0" w:space="0" w:color="auto"/>
        <w:right w:val="none" w:sz="0" w:space="0" w:color="auto"/>
      </w:divBdr>
    </w:div>
    <w:div w:id="1247959867">
      <w:bodyDiv w:val="1"/>
      <w:marLeft w:val="0"/>
      <w:marRight w:val="0"/>
      <w:marTop w:val="0"/>
      <w:marBottom w:val="0"/>
      <w:divBdr>
        <w:top w:val="none" w:sz="0" w:space="0" w:color="auto"/>
        <w:left w:val="none" w:sz="0" w:space="0" w:color="auto"/>
        <w:bottom w:val="none" w:sz="0" w:space="0" w:color="auto"/>
        <w:right w:val="none" w:sz="0" w:space="0" w:color="auto"/>
      </w:divBdr>
    </w:div>
    <w:div w:id="1248660065">
      <w:bodyDiv w:val="1"/>
      <w:marLeft w:val="0"/>
      <w:marRight w:val="0"/>
      <w:marTop w:val="0"/>
      <w:marBottom w:val="0"/>
      <w:divBdr>
        <w:top w:val="none" w:sz="0" w:space="0" w:color="auto"/>
        <w:left w:val="none" w:sz="0" w:space="0" w:color="auto"/>
        <w:bottom w:val="none" w:sz="0" w:space="0" w:color="auto"/>
        <w:right w:val="none" w:sz="0" w:space="0" w:color="auto"/>
      </w:divBdr>
    </w:div>
    <w:div w:id="1249120285">
      <w:bodyDiv w:val="1"/>
      <w:marLeft w:val="0"/>
      <w:marRight w:val="0"/>
      <w:marTop w:val="0"/>
      <w:marBottom w:val="0"/>
      <w:divBdr>
        <w:top w:val="none" w:sz="0" w:space="0" w:color="auto"/>
        <w:left w:val="none" w:sz="0" w:space="0" w:color="auto"/>
        <w:bottom w:val="none" w:sz="0" w:space="0" w:color="auto"/>
        <w:right w:val="none" w:sz="0" w:space="0" w:color="auto"/>
      </w:divBdr>
    </w:div>
    <w:div w:id="1251424533">
      <w:bodyDiv w:val="1"/>
      <w:marLeft w:val="0"/>
      <w:marRight w:val="0"/>
      <w:marTop w:val="0"/>
      <w:marBottom w:val="0"/>
      <w:divBdr>
        <w:top w:val="none" w:sz="0" w:space="0" w:color="auto"/>
        <w:left w:val="none" w:sz="0" w:space="0" w:color="auto"/>
        <w:bottom w:val="none" w:sz="0" w:space="0" w:color="auto"/>
        <w:right w:val="none" w:sz="0" w:space="0" w:color="auto"/>
      </w:divBdr>
    </w:div>
    <w:div w:id="1252162055">
      <w:bodyDiv w:val="1"/>
      <w:marLeft w:val="0"/>
      <w:marRight w:val="0"/>
      <w:marTop w:val="0"/>
      <w:marBottom w:val="0"/>
      <w:divBdr>
        <w:top w:val="none" w:sz="0" w:space="0" w:color="auto"/>
        <w:left w:val="none" w:sz="0" w:space="0" w:color="auto"/>
        <w:bottom w:val="none" w:sz="0" w:space="0" w:color="auto"/>
        <w:right w:val="none" w:sz="0" w:space="0" w:color="auto"/>
      </w:divBdr>
    </w:div>
    <w:div w:id="1253127918">
      <w:bodyDiv w:val="1"/>
      <w:marLeft w:val="0"/>
      <w:marRight w:val="0"/>
      <w:marTop w:val="0"/>
      <w:marBottom w:val="0"/>
      <w:divBdr>
        <w:top w:val="none" w:sz="0" w:space="0" w:color="auto"/>
        <w:left w:val="none" w:sz="0" w:space="0" w:color="auto"/>
        <w:bottom w:val="none" w:sz="0" w:space="0" w:color="auto"/>
        <w:right w:val="none" w:sz="0" w:space="0" w:color="auto"/>
      </w:divBdr>
    </w:div>
    <w:div w:id="1256472490">
      <w:bodyDiv w:val="1"/>
      <w:marLeft w:val="0"/>
      <w:marRight w:val="0"/>
      <w:marTop w:val="0"/>
      <w:marBottom w:val="0"/>
      <w:divBdr>
        <w:top w:val="none" w:sz="0" w:space="0" w:color="auto"/>
        <w:left w:val="none" w:sz="0" w:space="0" w:color="auto"/>
        <w:bottom w:val="none" w:sz="0" w:space="0" w:color="auto"/>
        <w:right w:val="none" w:sz="0" w:space="0" w:color="auto"/>
      </w:divBdr>
    </w:div>
    <w:div w:id="1258367965">
      <w:bodyDiv w:val="1"/>
      <w:marLeft w:val="0"/>
      <w:marRight w:val="0"/>
      <w:marTop w:val="0"/>
      <w:marBottom w:val="0"/>
      <w:divBdr>
        <w:top w:val="none" w:sz="0" w:space="0" w:color="auto"/>
        <w:left w:val="none" w:sz="0" w:space="0" w:color="auto"/>
        <w:bottom w:val="none" w:sz="0" w:space="0" w:color="auto"/>
        <w:right w:val="none" w:sz="0" w:space="0" w:color="auto"/>
      </w:divBdr>
    </w:div>
    <w:div w:id="1259559711">
      <w:bodyDiv w:val="1"/>
      <w:marLeft w:val="0"/>
      <w:marRight w:val="0"/>
      <w:marTop w:val="0"/>
      <w:marBottom w:val="0"/>
      <w:divBdr>
        <w:top w:val="none" w:sz="0" w:space="0" w:color="auto"/>
        <w:left w:val="none" w:sz="0" w:space="0" w:color="auto"/>
        <w:bottom w:val="none" w:sz="0" w:space="0" w:color="auto"/>
        <w:right w:val="none" w:sz="0" w:space="0" w:color="auto"/>
      </w:divBdr>
    </w:div>
    <w:div w:id="1259798849">
      <w:bodyDiv w:val="1"/>
      <w:marLeft w:val="0"/>
      <w:marRight w:val="0"/>
      <w:marTop w:val="0"/>
      <w:marBottom w:val="0"/>
      <w:divBdr>
        <w:top w:val="none" w:sz="0" w:space="0" w:color="auto"/>
        <w:left w:val="none" w:sz="0" w:space="0" w:color="auto"/>
        <w:bottom w:val="none" w:sz="0" w:space="0" w:color="auto"/>
        <w:right w:val="none" w:sz="0" w:space="0" w:color="auto"/>
      </w:divBdr>
    </w:div>
    <w:div w:id="1259866513">
      <w:bodyDiv w:val="1"/>
      <w:marLeft w:val="0"/>
      <w:marRight w:val="0"/>
      <w:marTop w:val="0"/>
      <w:marBottom w:val="0"/>
      <w:divBdr>
        <w:top w:val="none" w:sz="0" w:space="0" w:color="auto"/>
        <w:left w:val="none" w:sz="0" w:space="0" w:color="auto"/>
        <w:bottom w:val="none" w:sz="0" w:space="0" w:color="auto"/>
        <w:right w:val="none" w:sz="0" w:space="0" w:color="auto"/>
      </w:divBdr>
    </w:div>
    <w:div w:id="1261640896">
      <w:bodyDiv w:val="1"/>
      <w:marLeft w:val="0"/>
      <w:marRight w:val="0"/>
      <w:marTop w:val="0"/>
      <w:marBottom w:val="0"/>
      <w:divBdr>
        <w:top w:val="none" w:sz="0" w:space="0" w:color="auto"/>
        <w:left w:val="none" w:sz="0" w:space="0" w:color="auto"/>
        <w:bottom w:val="none" w:sz="0" w:space="0" w:color="auto"/>
        <w:right w:val="none" w:sz="0" w:space="0" w:color="auto"/>
      </w:divBdr>
    </w:div>
    <w:div w:id="1261986686">
      <w:bodyDiv w:val="1"/>
      <w:marLeft w:val="0"/>
      <w:marRight w:val="0"/>
      <w:marTop w:val="0"/>
      <w:marBottom w:val="0"/>
      <w:divBdr>
        <w:top w:val="none" w:sz="0" w:space="0" w:color="auto"/>
        <w:left w:val="none" w:sz="0" w:space="0" w:color="auto"/>
        <w:bottom w:val="none" w:sz="0" w:space="0" w:color="auto"/>
        <w:right w:val="none" w:sz="0" w:space="0" w:color="auto"/>
      </w:divBdr>
    </w:div>
    <w:div w:id="1262296034">
      <w:bodyDiv w:val="1"/>
      <w:marLeft w:val="0"/>
      <w:marRight w:val="0"/>
      <w:marTop w:val="0"/>
      <w:marBottom w:val="0"/>
      <w:divBdr>
        <w:top w:val="none" w:sz="0" w:space="0" w:color="auto"/>
        <w:left w:val="none" w:sz="0" w:space="0" w:color="auto"/>
        <w:bottom w:val="none" w:sz="0" w:space="0" w:color="auto"/>
        <w:right w:val="none" w:sz="0" w:space="0" w:color="auto"/>
      </w:divBdr>
    </w:div>
    <w:div w:id="1263227897">
      <w:bodyDiv w:val="1"/>
      <w:marLeft w:val="0"/>
      <w:marRight w:val="0"/>
      <w:marTop w:val="0"/>
      <w:marBottom w:val="0"/>
      <w:divBdr>
        <w:top w:val="none" w:sz="0" w:space="0" w:color="auto"/>
        <w:left w:val="none" w:sz="0" w:space="0" w:color="auto"/>
        <w:bottom w:val="none" w:sz="0" w:space="0" w:color="auto"/>
        <w:right w:val="none" w:sz="0" w:space="0" w:color="auto"/>
      </w:divBdr>
    </w:div>
    <w:div w:id="1263413155">
      <w:bodyDiv w:val="1"/>
      <w:marLeft w:val="0"/>
      <w:marRight w:val="0"/>
      <w:marTop w:val="0"/>
      <w:marBottom w:val="0"/>
      <w:divBdr>
        <w:top w:val="none" w:sz="0" w:space="0" w:color="auto"/>
        <w:left w:val="none" w:sz="0" w:space="0" w:color="auto"/>
        <w:bottom w:val="none" w:sz="0" w:space="0" w:color="auto"/>
        <w:right w:val="none" w:sz="0" w:space="0" w:color="auto"/>
      </w:divBdr>
    </w:div>
    <w:div w:id="1263681570">
      <w:bodyDiv w:val="1"/>
      <w:marLeft w:val="0"/>
      <w:marRight w:val="0"/>
      <w:marTop w:val="0"/>
      <w:marBottom w:val="0"/>
      <w:divBdr>
        <w:top w:val="none" w:sz="0" w:space="0" w:color="auto"/>
        <w:left w:val="none" w:sz="0" w:space="0" w:color="auto"/>
        <w:bottom w:val="none" w:sz="0" w:space="0" w:color="auto"/>
        <w:right w:val="none" w:sz="0" w:space="0" w:color="auto"/>
      </w:divBdr>
    </w:div>
    <w:div w:id="1265114887">
      <w:bodyDiv w:val="1"/>
      <w:marLeft w:val="0"/>
      <w:marRight w:val="0"/>
      <w:marTop w:val="0"/>
      <w:marBottom w:val="0"/>
      <w:divBdr>
        <w:top w:val="none" w:sz="0" w:space="0" w:color="auto"/>
        <w:left w:val="none" w:sz="0" w:space="0" w:color="auto"/>
        <w:bottom w:val="none" w:sz="0" w:space="0" w:color="auto"/>
        <w:right w:val="none" w:sz="0" w:space="0" w:color="auto"/>
      </w:divBdr>
    </w:div>
    <w:div w:id="1265116503">
      <w:bodyDiv w:val="1"/>
      <w:marLeft w:val="0"/>
      <w:marRight w:val="0"/>
      <w:marTop w:val="0"/>
      <w:marBottom w:val="0"/>
      <w:divBdr>
        <w:top w:val="none" w:sz="0" w:space="0" w:color="auto"/>
        <w:left w:val="none" w:sz="0" w:space="0" w:color="auto"/>
        <w:bottom w:val="none" w:sz="0" w:space="0" w:color="auto"/>
        <w:right w:val="none" w:sz="0" w:space="0" w:color="auto"/>
      </w:divBdr>
    </w:div>
    <w:div w:id="1268006839">
      <w:bodyDiv w:val="1"/>
      <w:marLeft w:val="0"/>
      <w:marRight w:val="0"/>
      <w:marTop w:val="0"/>
      <w:marBottom w:val="0"/>
      <w:divBdr>
        <w:top w:val="none" w:sz="0" w:space="0" w:color="auto"/>
        <w:left w:val="none" w:sz="0" w:space="0" w:color="auto"/>
        <w:bottom w:val="none" w:sz="0" w:space="0" w:color="auto"/>
        <w:right w:val="none" w:sz="0" w:space="0" w:color="auto"/>
      </w:divBdr>
    </w:div>
    <w:div w:id="1270433787">
      <w:bodyDiv w:val="1"/>
      <w:marLeft w:val="0"/>
      <w:marRight w:val="0"/>
      <w:marTop w:val="0"/>
      <w:marBottom w:val="0"/>
      <w:divBdr>
        <w:top w:val="none" w:sz="0" w:space="0" w:color="auto"/>
        <w:left w:val="none" w:sz="0" w:space="0" w:color="auto"/>
        <w:bottom w:val="none" w:sz="0" w:space="0" w:color="auto"/>
        <w:right w:val="none" w:sz="0" w:space="0" w:color="auto"/>
      </w:divBdr>
    </w:div>
    <w:div w:id="1273710687">
      <w:bodyDiv w:val="1"/>
      <w:marLeft w:val="0"/>
      <w:marRight w:val="0"/>
      <w:marTop w:val="0"/>
      <w:marBottom w:val="0"/>
      <w:divBdr>
        <w:top w:val="none" w:sz="0" w:space="0" w:color="auto"/>
        <w:left w:val="none" w:sz="0" w:space="0" w:color="auto"/>
        <w:bottom w:val="none" w:sz="0" w:space="0" w:color="auto"/>
        <w:right w:val="none" w:sz="0" w:space="0" w:color="auto"/>
      </w:divBdr>
    </w:div>
    <w:div w:id="1274553120">
      <w:bodyDiv w:val="1"/>
      <w:marLeft w:val="0"/>
      <w:marRight w:val="0"/>
      <w:marTop w:val="0"/>
      <w:marBottom w:val="0"/>
      <w:divBdr>
        <w:top w:val="none" w:sz="0" w:space="0" w:color="auto"/>
        <w:left w:val="none" w:sz="0" w:space="0" w:color="auto"/>
        <w:bottom w:val="none" w:sz="0" w:space="0" w:color="auto"/>
        <w:right w:val="none" w:sz="0" w:space="0" w:color="auto"/>
      </w:divBdr>
    </w:div>
    <w:div w:id="1280648401">
      <w:bodyDiv w:val="1"/>
      <w:marLeft w:val="0"/>
      <w:marRight w:val="0"/>
      <w:marTop w:val="0"/>
      <w:marBottom w:val="0"/>
      <w:divBdr>
        <w:top w:val="none" w:sz="0" w:space="0" w:color="auto"/>
        <w:left w:val="none" w:sz="0" w:space="0" w:color="auto"/>
        <w:bottom w:val="none" w:sz="0" w:space="0" w:color="auto"/>
        <w:right w:val="none" w:sz="0" w:space="0" w:color="auto"/>
      </w:divBdr>
    </w:div>
    <w:div w:id="1282759437">
      <w:bodyDiv w:val="1"/>
      <w:marLeft w:val="0"/>
      <w:marRight w:val="0"/>
      <w:marTop w:val="0"/>
      <w:marBottom w:val="0"/>
      <w:divBdr>
        <w:top w:val="none" w:sz="0" w:space="0" w:color="auto"/>
        <w:left w:val="none" w:sz="0" w:space="0" w:color="auto"/>
        <w:bottom w:val="none" w:sz="0" w:space="0" w:color="auto"/>
        <w:right w:val="none" w:sz="0" w:space="0" w:color="auto"/>
      </w:divBdr>
    </w:div>
    <w:div w:id="1286082948">
      <w:bodyDiv w:val="1"/>
      <w:marLeft w:val="0"/>
      <w:marRight w:val="0"/>
      <w:marTop w:val="0"/>
      <w:marBottom w:val="0"/>
      <w:divBdr>
        <w:top w:val="none" w:sz="0" w:space="0" w:color="auto"/>
        <w:left w:val="none" w:sz="0" w:space="0" w:color="auto"/>
        <w:bottom w:val="none" w:sz="0" w:space="0" w:color="auto"/>
        <w:right w:val="none" w:sz="0" w:space="0" w:color="auto"/>
      </w:divBdr>
    </w:div>
    <w:div w:id="1286156551">
      <w:bodyDiv w:val="1"/>
      <w:marLeft w:val="0"/>
      <w:marRight w:val="0"/>
      <w:marTop w:val="0"/>
      <w:marBottom w:val="0"/>
      <w:divBdr>
        <w:top w:val="none" w:sz="0" w:space="0" w:color="auto"/>
        <w:left w:val="none" w:sz="0" w:space="0" w:color="auto"/>
        <w:bottom w:val="none" w:sz="0" w:space="0" w:color="auto"/>
        <w:right w:val="none" w:sz="0" w:space="0" w:color="auto"/>
      </w:divBdr>
    </w:div>
    <w:div w:id="1288126287">
      <w:bodyDiv w:val="1"/>
      <w:marLeft w:val="0"/>
      <w:marRight w:val="0"/>
      <w:marTop w:val="0"/>
      <w:marBottom w:val="0"/>
      <w:divBdr>
        <w:top w:val="none" w:sz="0" w:space="0" w:color="auto"/>
        <w:left w:val="none" w:sz="0" w:space="0" w:color="auto"/>
        <w:bottom w:val="none" w:sz="0" w:space="0" w:color="auto"/>
        <w:right w:val="none" w:sz="0" w:space="0" w:color="auto"/>
      </w:divBdr>
    </w:div>
    <w:div w:id="1293511323">
      <w:bodyDiv w:val="1"/>
      <w:marLeft w:val="0"/>
      <w:marRight w:val="0"/>
      <w:marTop w:val="0"/>
      <w:marBottom w:val="0"/>
      <w:divBdr>
        <w:top w:val="none" w:sz="0" w:space="0" w:color="auto"/>
        <w:left w:val="none" w:sz="0" w:space="0" w:color="auto"/>
        <w:bottom w:val="none" w:sz="0" w:space="0" w:color="auto"/>
        <w:right w:val="none" w:sz="0" w:space="0" w:color="auto"/>
      </w:divBdr>
    </w:div>
    <w:div w:id="1293556553">
      <w:bodyDiv w:val="1"/>
      <w:marLeft w:val="0"/>
      <w:marRight w:val="0"/>
      <w:marTop w:val="0"/>
      <w:marBottom w:val="0"/>
      <w:divBdr>
        <w:top w:val="none" w:sz="0" w:space="0" w:color="auto"/>
        <w:left w:val="none" w:sz="0" w:space="0" w:color="auto"/>
        <w:bottom w:val="none" w:sz="0" w:space="0" w:color="auto"/>
        <w:right w:val="none" w:sz="0" w:space="0" w:color="auto"/>
      </w:divBdr>
    </w:div>
    <w:div w:id="1294410623">
      <w:bodyDiv w:val="1"/>
      <w:marLeft w:val="0"/>
      <w:marRight w:val="0"/>
      <w:marTop w:val="0"/>
      <w:marBottom w:val="0"/>
      <w:divBdr>
        <w:top w:val="none" w:sz="0" w:space="0" w:color="auto"/>
        <w:left w:val="none" w:sz="0" w:space="0" w:color="auto"/>
        <w:bottom w:val="none" w:sz="0" w:space="0" w:color="auto"/>
        <w:right w:val="none" w:sz="0" w:space="0" w:color="auto"/>
      </w:divBdr>
    </w:div>
    <w:div w:id="1295020876">
      <w:bodyDiv w:val="1"/>
      <w:marLeft w:val="0"/>
      <w:marRight w:val="0"/>
      <w:marTop w:val="0"/>
      <w:marBottom w:val="0"/>
      <w:divBdr>
        <w:top w:val="none" w:sz="0" w:space="0" w:color="auto"/>
        <w:left w:val="none" w:sz="0" w:space="0" w:color="auto"/>
        <w:bottom w:val="none" w:sz="0" w:space="0" w:color="auto"/>
        <w:right w:val="none" w:sz="0" w:space="0" w:color="auto"/>
      </w:divBdr>
    </w:div>
    <w:div w:id="1298297435">
      <w:bodyDiv w:val="1"/>
      <w:marLeft w:val="0"/>
      <w:marRight w:val="0"/>
      <w:marTop w:val="0"/>
      <w:marBottom w:val="0"/>
      <w:divBdr>
        <w:top w:val="none" w:sz="0" w:space="0" w:color="auto"/>
        <w:left w:val="none" w:sz="0" w:space="0" w:color="auto"/>
        <w:bottom w:val="none" w:sz="0" w:space="0" w:color="auto"/>
        <w:right w:val="none" w:sz="0" w:space="0" w:color="auto"/>
      </w:divBdr>
    </w:div>
    <w:div w:id="1298759643">
      <w:bodyDiv w:val="1"/>
      <w:marLeft w:val="0"/>
      <w:marRight w:val="0"/>
      <w:marTop w:val="0"/>
      <w:marBottom w:val="0"/>
      <w:divBdr>
        <w:top w:val="none" w:sz="0" w:space="0" w:color="auto"/>
        <w:left w:val="none" w:sz="0" w:space="0" w:color="auto"/>
        <w:bottom w:val="none" w:sz="0" w:space="0" w:color="auto"/>
        <w:right w:val="none" w:sz="0" w:space="0" w:color="auto"/>
      </w:divBdr>
    </w:div>
    <w:div w:id="1299460368">
      <w:bodyDiv w:val="1"/>
      <w:marLeft w:val="0"/>
      <w:marRight w:val="0"/>
      <w:marTop w:val="0"/>
      <w:marBottom w:val="0"/>
      <w:divBdr>
        <w:top w:val="none" w:sz="0" w:space="0" w:color="auto"/>
        <w:left w:val="none" w:sz="0" w:space="0" w:color="auto"/>
        <w:bottom w:val="none" w:sz="0" w:space="0" w:color="auto"/>
        <w:right w:val="none" w:sz="0" w:space="0" w:color="auto"/>
      </w:divBdr>
    </w:div>
    <w:div w:id="1300498133">
      <w:bodyDiv w:val="1"/>
      <w:marLeft w:val="0"/>
      <w:marRight w:val="0"/>
      <w:marTop w:val="0"/>
      <w:marBottom w:val="0"/>
      <w:divBdr>
        <w:top w:val="none" w:sz="0" w:space="0" w:color="auto"/>
        <w:left w:val="none" w:sz="0" w:space="0" w:color="auto"/>
        <w:bottom w:val="none" w:sz="0" w:space="0" w:color="auto"/>
        <w:right w:val="none" w:sz="0" w:space="0" w:color="auto"/>
      </w:divBdr>
    </w:div>
    <w:div w:id="1301034933">
      <w:bodyDiv w:val="1"/>
      <w:marLeft w:val="0"/>
      <w:marRight w:val="0"/>
      <w:marTop w:val="0"/>
      <w:marBottom w:val="0"/>
      <w:divBdr>
        <w:top w:val="none" w:sz="0" w:space="0" w:color="auto"/>
        <w:left w:val="none" w:sz="0" w:space="0" w:color="auto"/>
        <w:bottom w:val="none" w:sz="0" w:space="0" w:color="auto"/>
        <w:right w:val="none" w:sz="0" w:space="0" w:color="auto"/>
      </w:divBdr>
    </w:div>
    <w:div w:id="1301810117">
      <w:bodyDiv w:val="1"/>
      <w:marLeft w:val="0"/>
      <w:marRight w:val="0"/>
      <w:marTop w:val="0"/>
      <w:marBottom w:val="0"/>
      <w:divBdr>
        <w:top w:val="none" w:sz="0" w:space="0" w:color="auto"/>
        <w:left w:val="none" w:sz="0" w:space="0" w:color="auto"/>
        <w:bottom w:val="none" w:sz="0" w:space="0" w:color="auto"/>
        <w:right w:val="none" w:sz="0" w:space="0" w:color="auto"/>
      </w:divBdr>
    </w:div>
    <w:div w:id="1303385559">
      <w:bodyDiv w:val="1"/>
      <w:marLeft w:val="0"/>
      <w:marRight w:val="0"/>
      <w:marTop w:val="0"/>
      <w:marBottom w:val="0"/>
      <w:divBdr>
        <w:top w:val="none" w:sz="0" w:space="0" w:color="auto"/>
        <w:left w:val="none" w:sz="0" w:space="0" w:color="auto"/>
        <w:bottom w:val="none" w:sz="0" w:space="0" w:color="auto"/>
        <w:right w:val="none" w:sz="0" w:space="0" w:color="auto"/>
      </w:divBdr>
    </w:div>
    <w:div w:id="1304887328">
      <w:bodyDiv w:val="1"/>
      <w:marLeft w:val="0"/>
      <w:marRight w:val="0"/>
      <w:marTop w:val="0"/>
      <w:marBottom w:val="0"/>
      <w:divBdr>
        <w:top w:val="none" w:sz="0" w:space="0" w:color="auto"/>
        <w:left w:val="none" w:sz="0" w:space="0" w:color="auto"/>
        <w:bottom w:val="none" w:sz="0" w:space="0" w:color="auto"/>
        <w:right w:val="none" w:sz="0" w:space="0" w:color="auto"/>
      </w:divBdr>
    </w:div>
    <w:div w:id="1309632152">
      <w:bodyDiv w:val="1"/>
      <w:marLeft w:val="0"/>
      <w:marRight w:val="0"/>
      <w:marTop w:val="0"/>
      <w:marBottom w:val="0"/>
      <w:divBdr>
        <w:top w:val="none" w:sz="0" w:space="0" w:color="auto"/>
        <w:left w:val="none" w:sz="0" w:space="0" w:color="auto"/>
        <w:bottom w:val="none" w:sz="0" w:space="0" w:color="auto"/>
        <w:right w:val="none" w:sz="0" w:space="0" w:color="auto"/>
      </w:divBdr>
    </w:div>
    <w:div w:id="1310475009">
      <w:bodyDiv w:val="1"/>
      <w:marLeft w:val="0"/>
      <w:marRight w:val="0"/>
      <w:marTop w:val="0"/>
      <w:marBottom w:val="0"/>
      <w:divBdr>
        <w:top w:val="none" w:sz="0" w:space="0" w:color="auto"/>
        <w:left w:val="none" w:sz="0" w:space="0" w:color="auto"/>
        <w:bottom w:val="none" w:sz="0" w:space="0" w:color="auto"/>
        <w:right w:val="none" w:sz="0" w:space="0" w:color="auto"/>
      </w:divBdr>
    </w:div>
    <w:div w:id="1313293899">
      <w:bodyDiv w:val="1"/>
      <w:marLeft w:val="0"/>
      <w:marRight w:val="0"/>
      <w:marTop w:val="0"/>
      <w:marBottom w:val="0"/>
      <w:divBdr>
        <w:top w:val="none" w:sz="0" w:space="0" w:color="auto"/>
        <w:left w:val="none" w:sz="0" w:space="0" w:color="auto"/>
        <w:bottom w:val="none" w:sz="0" w:space="0" w:color="auto"/>
        <w:right w:val="none" w:sz="0" w:space="0" w:color="auto"/>
      </w:divBdr>
    </w:div>
    <w:div w:id="1315185734">
      <w:bodyDiv w:val="1"/>
      <w:marLeft w:val="0"/>
      <w:marRight w:val="0"/>
      <w:marTop w:val="0"/>
      <w:marBottom w:val="0"/>
      <w:divBdr>
        <w:top w:val="none" w:sz="0" w:space="0" w:color="auto"/>
        <w:left w:val="none" w:sz="0" w:space="0" w:color="auto"/>
        <w:bottom w:val="none" w:sz="0" w:space="0" w:color="auto"/>
        <w:right w:val="none" w:sz="0" w:space="0" w:color="auto"/>
      </w:divBdr>
    </w:div>
    <w:div w:id="1317028674">
      <w:bodyDiv w:val="1"/>
      <w:marLeft w:val="0"/>
      <w:marRight w:val="0"/>
      <w:marTop w:val="0"/>
      <w:marBottom w:val="0"/>
      <w:divBdr>
        <w:top w:val="none" w:sz="0" w:space="0" w:color="auto"/>
        <w:left w:val="none" w:sz="0" w:space="0" w:color="auto"/>
        <w:bottom w:val="none" w:sz="0" w:space="0" w:color="auto"/>
        <w:right w:val="none" w:sz="0" w:space="0" w:color="auto"/>
      </w:divBdr>
    </w:div>
    <w:div w:id="1318221187">
      <w:bodyDiv w:val="1"/>
      <w:marLeft w:val="0"/>
      <w:marRight w:val="0"/>
      <w:marTop w:val="0"/>
      <w:marBottom w:val="0"/>
      <w:divBdr>
        <w:top w:val="none" w:sz="0" w:space="0" w:color="auto"/>
        <w:left w:val="none" w:sz="0" w:space="0" w:color="auto"/>
        <w:bottom w:val="none" w:sz="0" w:space="0" w:color="auto"/>
        <w:right w:val="none" w:sz="0" w:space="0" w:color="auto"/>
      </w:divBdr>
    </w:div>
    <w:div w:id="1320619048">
      <w:bodyDiv w:val="1"/>
      <w:marLeft w:val="0"/>
      <w:marRight w:val="0"/>
      <w:marTop w:val="0"/>
      <w:marBottom w:val="0"/>
      <w:divBdr>
        <w:top w:val="none" w:sz="0" w:space="0" w:color="auto"/>
        <w:left w:val="none" w:sz="0" w:space="0" w:color="auto"/>
        <w:bottom w:val="none" w:sz="0" w:space="0" w:color="auto"/>
        <w:right w:val="none" w:sz="0" w:space="0" w:color="auto"/>
      </w:divBdr>
    </w:div>
    <w:div w:id="1321537109">
      <w:bodyDiv w:val="1"/>
      <w:marLeft w:val="0"/>
      <w:marRight w:val="0"/>
      <w:marTop w:val="0"/>
      <w:marBottom w:val="0"/>
      <w:divBdr>
        <w:top w:val="none" w:sz="0" w:space="0" w:color="auto"/>
        <w:left w:val="none" w:sz="0" w:space="0" w:color="auto"/>
        <w:bottom w:val="none" w:sz="0" w:space="0" w:color="auto"/>
        <w:right w:val="none" w:sz="0" w:space="0" w:color="auto"/>
      </w:divBdr>
    </w:div>
    <w:div w:id="1322152381">
      <w:bodyDiv w:val="1"/>
      <w:marLeft w:val="0"/>
      <w:marRight w:val="0"/>
      <w:marTop w:val="0"/>
      <w:marBottom w:val="0"/>
      <w:divBdr>
        <w:top w:val="none" w:sz="0" w:space="0" w:color="auto"/>
        <w:left w:val="none" w:sz="0" w:space="0" w:color="auto"/>
        <w:bottom w:val="none" w:sz="0" w:space="0" w:color="auto"/>
        <w:right w:val="none" w:sz="0" w:space="0" w:color="auto"/>
      </w:divBdr>
    </w:div>
    <w:div w:id="1330981750">
      <w:bodyDiv w:val="1"/>
      <w:marLeft w:val="0"/>
      <w:marRight w:val="0"/>
      <w:marTop w:val="0"/>
      <w:marBottom w:val="0"/>
      <w:divBdr>
        <w:top w:val="none" w:sz="0" w:space="0" w:color="auto"/>
        <w:left w:val="none" w:sz="0" w:space="0" w:color="auto"/>
        <w:bottom w:val="none" w:sz="0" w:space="0" w:color="auto"/>
        <w:right w:val="none" w:sz="0" w:space="0" w:color="auto"/>
      </w:divBdr>
    </w:div>
    <w:div w:id="1332178065">
      <w:bodyDiv w:val="1"/>
      <w:marLeft w:val="0"/>
      <w:marRight w:val="0"/>
      <w:marTop w:val="0"/>
      <w:marBottom w:val="0"/>
      <w:divBdr>
        <w:top w:val="none" w:sz="0" w:space="0" w:color="auto"/>
        <w:left w:val="none" w:sz="0" w:space="0" w:color="auto"/>
        <w:bottom w:val="none" w:sz="0" w:space="0" w:color="auto"/>
        <w:right w:val="none" w:sz="0" w:space="0" w:color="auto"/>
      </w:divBdr>
    </w:div>
    <w:div w:id="1334648696">
      <w:bodyDiv w:val="1"/>
      <w:marLeft w:val="0"/>
      <w:marRight w:val="0"/>
      <w:marTop w:val="0"/>
      <w:marBottom w:val="0"/>
      <w:divBdr>
        <w:top w:val="none" w:sz="0" w:space="0" w:color="auto"/>
        <w:left w:val="none" w:sz="0" w:space="0" w:color="auto"/>
        <w:bottom w:val="none" w:sz="0" w:space="0" w:color="auto"/>
        <w:right w:val="none" w:sz="0" w:space="0" w:color="auto"/>
      </w:divBdr>
    </w:div>
    <w:div w:id="1336034896">
      <w:bodyDiv w:val="1"/>
      <w:marLeft w:val="0"/>
      <w:marRight w:val="0"/>
      <w:marTop w:val="0"/>
      <w:marBottom w:val="0"/>
      <w:divBdr>
        <w:top w:val="none" w:sz="0" w:space="0" w:color="auto"/>
        <w:left w:val="none" w:sz="0" w:space="0" w:color="auto"/>
        <w:bottom w:val="none" w:sz="0" w:space="0" w:color="auto"/>
        <w:right w:val="none" w:sz="0" w:space="0" w:color="auto"/>
      </w:divBdr>
    </w:div>
    <w:div w:id="1336569844">
      <w:bodyDiv w:val="1"/>
      <w:marLeft w:val="0"/>
      <w:marRight w:val="0"/>
      <w:marTop w:val="0"/>
      <w:marBottom w:val="0"/>
      <w:divBdr>
        <w:top w:val="none" w:sz="0" w:space="0" w:color="auto"/>
        <w:left w:val="none" w:sz="0" w:space="0" w:color="auto"/>
        <w:bottom w:val="none" w:sz="0" w:space="0" w:color="auto"/>
        <w:right w:val="none" w:sz="0" w:space="0" w:color="auto"/>
      </w:divBdr>
    </w:div>
    <w:div w:id="1337880753">
      <w:bodyDiv w:val="1"/>
      <w:marLeft w:val="0"/>
      <w:marRight w:val="0"/>
      <w:marTop w:val="0"/>
      <w:marBottom w:val="0"/>
      <w:divBdr>
        <w:top w:val="none" w:sz="0" w:space="0" w:color="auto"/>
        <w:left w:val="none" w:sz="0" w:space="0" w:color="auto"/>
        <w:bottom w:val="none" w:sz="0" w:space="0" w:color="auto"/>
        <w:right w:val="none" w:sz="0" w:space="0" w:color="auto"/>
      </w:divBdr>
    </w:div>
    <w:div w:id="1338146232">
      <w:bodyDiv w:val="1"/>
      <w:marLeft w:val="0"/>
      <w:marRight w:val="0"/>
      <w:marTop w:val="0"/>
      <w:marBottom w:val="0"/>
      <w:divBdr>
        <w:top w:val="none" w:sz="0" w:space="0" w:color="auto"/>
        <w:left w:val="none" w:sz="0" w:space="0" w:color="auto"/>
        <w:bottom w:val="none" w:sz="0" w:space="0" w:color="auto"/>
        <w:right w:val="none" w:sz="0" w:space="0" w:color="auto"/>
      </w:divBdr>
    </w:div>
    <w:div w:id="1338577492">
      <w:bodyDiv w:val="1"/>
      <w:marLeft w:val="0"/>
      <w:marRight w:val="0"/>
      <w:marTop w:val="0"/>
      <w:marBottom w:val="0"/>
      <w:divBdr>
        <w:top w:val="none" w:sz="0" w:space="0" w:color="auto"/>
        <w:left w:val="none" w:sz="0" w:space="0" w:color="auto"/>
        <w:bottom w:val="none" w:sz="0" w:space="0" w:color="auto"/>
        <w:right w:val="none" w:sz="0" w:space="0" w:color="auto"/>
      </w:divBdr>
    </w:div>
    <w:div w:id="1339235479">
      <w:bodyDiv w:val="1"/>
      <w:marLeft w:val="0"/>
      <w:marRight w:val="0"/>
      <w:marTop w:val="0"/>
      <w:marBottom w:val="0"/>
      <w:divBdr>
        <w:top w:val="none" w:sz="0" w:space="0" w:color="auto"/>
        <w:left w:val="none" w:sz="0" w:space="0" w:color="auto"/>
        <w:bottom w:val="none" w:sz="0" w:space="0" w:color="auto"/>
        <w:right w:val="none" w:sz="0" w:space="0" w:color="auto"/>
      </w:divBdr>
    </w:div>
    <w:div w:id="1340423824">
      <w:bodyDiv w:val="1"/>
      <w:marLeft w:val="0"/>
      <w:marRight w:val="0"/>
      <w:marTop w:val="0"/>
      <w:marBottom w:val="0"/>
      <w:divBdr>
        <w:top w:val="none" w:sz="0" w:space="0" w:color="auto"/>
        <w:left w:val="none" w:sz="0" w:space="0" w:color="auto"/>
        <w:bottom w:val="none" w:sz="0" w:space="0" w:color="auto"/>
        <w:right w:val="none" w:sz="0" w:space="0" w:color="auto"/>
      </w:divBdr>
    </w:div>
    <w:div w:id="1342703334">
      <w:bodyDiv w:val="1"/>
      <w:marLeft w:val="0"/>
      <w:marRight w:val="0"/>
      <w:marTop w:val="0"/>
      <w:marBottom w:val="0"/>
      <w:divBdr>
        <w:top w:val="none" w:sz="0" w:space="0" w:color="auto"/>
        <w:left w:val="none" w:sz="0" w:space="0" w:color="auto"/>
        <w:bottom w:val="none" w:sz="0" w:space="0" w:color="auto"/>
        <w:right w:val="none" w:sz="0" w:space="0" w:color="auto"/>
      </w:divBdr>
    </w:div>
    <w:div w:id="1343047391">
      <w:bodyDiv w:val="1"/>
      <w:marLeft w:val="0"/>
      <w:marRight w:val="0"/>
      <w:marTop w:val="0"/>
      <w:marBottom w:val="0"/>
      <w:divBdr>
        <w:top w:val="none" w:sz="0" w:space="0" w:color="auto"/>
        <w:left w:val="none" w:sz="0" w:space="0" w:color="auto"/>
        <w:bottom w:val="none" w:sz="0" w:space="0" w:color="auto"/>
        <w:right w:val="none" w:sz="0" w:space="0" w:color="auto"/>
      </w:divBdr>
    </w:div>
    <w:div w:id="1352487682">
      <w:bodyDiv w:val="1"/>
      <w:marLeft w:val="0"/>
      <w:marRight w:val="0"/>
      <w:marTop w:val="0"/>
      <w:marBottom w:val="0"/>
      <w:divBdr>
        <w:top w:val="none" w:sz="0" w:space="0" w:color="auto"/>
        <w:left w:val="none" w:sz="0" w:space="0" w:color="auto"/>
        <w:bottom w:val="none" w:sz="0" w:space="0" w:color="auto"/>
        <w:right w:val="none" w:sz="0" w:space="0" w:color="auto"/>
      </w:divBdr>
    </w:div>
    <w:div w:id="1354846208">
      <w:bodyDiv w:val="1"/>
      <w:marLeft w:val="0"/>
      <w:marRight w:val="0"/>
      <w:marTop w:val="0"/>
      <w:marBottom w:val="0"/>
      <w:divBdr>
        <w:top w:val="none" w:sz="0" w:space="0" w:color="auto"/>
        <w:left w:val="none" w:sz="0" w:space="0" w:color="auto"/>
        <w:bottom w:val="none" w:sz="0" w:space="0" w:color="auto"/>
        <w:right w:val="none" w:sz="0" w:space="0" w:color="auto"/>
      </w:divBdr>
    </w:div>
    <w:div w:id="1358238677">
      <w:bodyDiv w:val="1"/>
      <w:marLeft w:val="0"/>
      <w:marRight w:val="0"/>
      <w:marTop w:val="0"/>
      <w:marBottom w:val="0"/>
      <w:divBdr>
        <w:top w:val="none" w:sz="0" w:space="0" w:color="auto"/>
        <w:left w:val="none" w:sz="0" w:space="0" w:color="auto"/>
        <w:bottom w:val="none" w:sz="0" w:space="0" w:color="auto"/>
        <w:right w:val="none" w:sz="0" w:space="0" w:color="auto"/>
      </w:divBdr>
    </w:div>
    <w:div w:id="1358848208">
      <w:bodyDiv w:val="1"/>
      <w:marLeft w:val="0"/>
      <w:marRight w:val="0"/>
      <w:marTop w:val="0"/>
      <w:marBottom w:val="0"/>
      <w:divBdr>
        <w:top w:val="none" w:sz="0" w:space="0" w:color="auto"/>
        <w:left w:val="none" w:sz="0" w:space="0" w:color="auto"/>
        <w:bottom w:val="none" w:sz="0" w:space="0" w:color="auto"/>
        <w:right w:val="none" w:sz="0" w:space="0" w:color="auto"/>
      </w:divBdr>
    </w:div>
    <w:div w:id="1358891814">
      <w:bodyDiv w:val="1"/>
      <w:marLeft w:val="0"/>
      <w:marRight w:val="0"/>
      <w:marTop w:val="0"/>
      <w:marBottom w:val="0"/>
      <w:divBdr>
        <w:top w:val="none" w:sz="0" w:space="0" w:color="auto"/>
        <w:left w:val="none" w:sz="0" w:space="0" w:color="auto"/>
        <w:bottom w:val="none" w:sz="0" w:space="0" w:color="auto"/>
        <w:right w:val="none" w:sz="0" w:space="0" w:color="auto"/>
      </w:divBdr>
    </w:div>
    <w:div w:id="1359308482">
      <w:bodyDiv w:val="1"/>
      <w:marLeft w:val="0"/>
      <w:marRight w:val="0"/>
      <w:marTop w:val="0"/>
      <w:marBottom w:val="0"/>
      <w:divBdr>
        <w:top w:val="none" w:sz="0" w:space="0" w:color="auto"/>
        <w:left w:val="none" w:sz="0" w:space="0" w:color="auto"/>
        <w:bottom w:val="none" w:sz="0" w:space="0" w:color="auto"/>
        <w:right w:val="none" w:sz="0" w:space="0" w:color="auto"/>
      </w:divBdr>
    </w:div>
    <w:div w:id="1368290448">
      <w:bodyDiv w:val="1"/>
      <w:marLeft w:val="0"/>
      <w:marRight w:val="0"/>
      <w:marTop w:val="0"/>
      <w:marBottom w:val="0"/>
      <w:divBdr>
        <w:top w:val="none" w:sz="0" w:space="0" w:color="auto"/>
        <w:left w:val="none" w:sz="0" w:space="0" w:color="auto"/>
        <w:bottom w:val="none" w:sz="0" w:space="0" w:color="auto"/>
        <w:right w:val="none" w:sz="0" w:space="0" w:color="auto"/>
      </w:divBdr>
    </w:div>
    <w:div w:id="1369263269">
      <w:bodyDiv w:val="1"/>
      <w:marLeft w:val="0"/>
      <w:marRight w:val="0"/>
      <w:marTop w:val="0"/>
      <w:marBottom w:val="0"/>
      <w:divBdr>
        <w:top w:val="none" w:sz="0" w:space="0" w:color="auto"/>
        <w:left w:val="none" w:sz="0" w:space="0" w:color="auto"/>
        <w:bottom w:val="none" w:sz="0" w:space="0" w:color="auto"/>
        <w:right w:val="none" w:sz="0" w:space="0" w:color="auto"/>
      </w:divBdr>
    </w:div>
    <w:div w:id="1369640511">
      <w:bodyDiv w:val="1"/>
      <w:marLeft w:val="0"/>
      <w:marRight w:val="0"/>
      <w:marTop w:val="0"/>
      <w:marBottom w:val="0"/>
      <w:divBdr>
        <w:top w:val="none" w:sz="0" w:space="0" w:color="auto"/>
        <w:left w:val="none" w:sz="0" w:space="0" w:color="auto"/>
        <w:bottom w:val="none" w:sz="0" w:space="0" w:color="auto"/>
        <w:right w:val="none" w:sz="0" w:space="0" w:color="auto"/>
      </w:divBdr>
    </w:div>
    <w:div w:id="1370295656">
      <w:bodyDiv w:val="1"/>
      <w:marLeft w:val="0"/>
      <w:marRight w:val="0"/>
      <w:marTop w:val="0"/>
      <w:marBottom w:val="0"/>
      <w:divBdr>
        <w:top w:val="none" w:sz="0" w:space="0" w:color="auto"/>
        <w:left w:val="none" w:sz="0" w:space="0" w:color="auto"/>
        <w:bottom w:val="none" w:sz="0" w:space="0" w:color="auto"/>
        <w:right w:val="none" w:sz="0" w:space="0" w:color="auto"/>
      </w:divBdr>
    </w:div>
    <w:div w:id="1372732756">
      <w:bodyDiv w:val="1"/>
      <w:marLeft w:val="0"/>
      <w:marRight w:val="0"/>
      <w:marTop w:val="0"/>
      <w:marBottom w:val="0"/>
      <w:divBdr>
        <w:top w:val="none" w:sz="0" w:space="0" w:color="auto"/>
        <w:left w:val="none" w:sz="0" w:space="0" w:color="auto"/>
        <w:bottom w:val="none" w:sz="0" w:space="0" w:color="auto"/>
        <w:right w:val="none" w:sz="0" w:space="0" w:color="auto"/>
      </w:divBdr>
    </w:div>
    <w:div w:id="1372804556">
      <w:bodyDiv w:val="1"/>
      <w:marLeft w:val="0"/>
      <w:marRight w:val="0"/>
      <w:marTop w:val="0"/>
      <w:marBottom w:val="0"/>
      <w:divBdr>
        <w:top w:val="none" w:sz="0" w:space="0" w:color="auto"/>
        <w:left w:val="none" w:sz="0" w:space="0" w:color="auto"/>
        <w:bottom w:val="none" w:sz="0" w:space="0" w:color="auto"/>
        <w:right w:val="none" w:sz="0" w:space="0" w:color="auto"/>
      </w:divBdr>
    </w:div>
    <w:div w:id="1374042456">
      <w:bodyDiv w:val="1"/>
      <w:marLeft w:val="0"/>
      <w:marRight w:val="0"/>
      <w:marTop w:val="0"/>
      <w:marBottom w:val="0"/>
      <w:divBdr>
        <w:top w:val="none" w:sz="0" w:space="0" w:color="auto"/>
        <w:left w:val="none" w:sz="0" w:space="0" w:color="auto"/>
        <w:bottom w:val="none" w:sz="0" w:space="0" w:color="auto"/>
        <w:right w:val="none" w:sz="0" w:space="0" w:color="auto"/>
      </w:divBdr>
    </w:div>
    <w:div w:id="1376587083">
      <w:bodyDiv w:val="1"/>
      <w:marLeft w:val="0"/>
      <w:marRight w:val="0"/>
      <w:marTop w:val="0"/>
      <w:marBottom w:val="0"/>
      <w:divBdr>
        <w:top w:val="none" w:sz="0" w:space="0" w:color="auto"/>
        <w:left w:val="none" w:sz="0" w:space="0" w:color="auto"/>
        <w:bottom w:val="none" w:sz="0" w:space="0" w:color="auto"/>
        <w:right w:val="none" w:sz="0" w:space="0" w:color="auto"/>
      </w:divBdr>
    </w:div>
    <w:div w:id="1376930825">
      <w:bodyDiv w:val="1"/>
      <w:marLeft w:val="0"/>
      <w:marRight w:val="0"/>
      <w:marTop w:val="0"/>
      <w:marBottom w:val="0"/>
      <w:divBdr>
        <w:top w:val="none" w:sz="0" w:space="0" w:color="auto"/>
        <w:left w:val="none" w:sz="0" w:space="0" w:color="auto"/>
        <w:bottom w:val="none" w:sz="0" w:space="0" w:color="auto"/>
        <w:right w:val="none" w:sz="0" w:space="0" w:color="auto"/>
      </w:divBdr>
    </w:div>
    <w:div w:id="1378047118">
      <w:bodyDiv w:val="1"/>
      <w:marLeft w:val="0"/>
      <w:marRight w:val="0"/>
      <w:marTop w:val="0"/>
      <w:marBottom w:val="0"/>
      <w:divBdr>
        <w:top w:val="none" w:sz="0" w:space="0" w:color="auto"/>
        <w:left w:val="none" w:sz="0" w:space="0" w:color="auto"/>
        <w:bottom w:val="none" w:sz="0" w:space="0" w:color="auto"/>
        <w:right w:val="none" w:sz="0" w:space="0" w:color="auto"/>
      </w:divBdr>
    </w:div>
    <w:div w:id="1379091145">
      <w:bodyDiv w:val="1"/>
      <w:marLeft w:val="0"/>
      <w:marRight w:val="0"/>
      <w:marTop w:val="0"/>
      <w:marBottom w:val="0"/>
      <w:divBdr>
        <w:top w:val="none" w:sz="0" w:space="0" w:color="auto"/>
        <w:left w:val="none" w:sz="0" w:space="0" w:color="auto"/>
        <w:bottom w:val="none" w:sz="0" w:space="0" w:color="auto"/>
        <w:right w:val="none" w:sz="0" w:space="0" w:color="auto"/>
      </w:divBdr>
    </w:div>
    <w:div w:id="1379092137">
      <w:bodyDiv w:val="1"/>
      <w:marLeft w:val="0"/>
      <w:marRight w:val="0"/>
      <w:marTop w:val="0"/>
      <w:marBottom w:val="0"/>
      <w:divBdr>
        <w:top w:val="none" w:sz="0" w:space="0" w:color="auto"/>
        <w:left w:val="none" w:sz="0" w:space="0" w:color="auto"/>
        <w:bottom w:val="none" w:sz="0" w:space="0" w:color="auto"/>
        <w:right w:val="none" w:sz="0" w:space="0" w:color="auto"/>
      </w:divBdr>
    </w:div>
    <w:div w:id="1382051149">
      <w:bodyDiv w:val="1"/>
      <w:marLeft w:val="0"/>
      <w:marRight w:val="0"/>
      <w:marTop w:val="0"/>
      <w:marBottom w:val="0"/>
      <w:divBdr>
        <w:top w:val="none" w:sz="0" w:space="0" w:color="auto"/>
        <w:left w:val="none" w:sz="0" w:space="0" w:color="auto"/>
        <w:bottom w:val="none" w:sz="0" w:space="0" w:color="auto"/>
        <w:right w:val="none" w:sz="0" w:space="0" w:color="auto"/>
      </w:divBdr>
    </w:div>
    <w:div w:id="1382367820">
      <w:bodyDiv w:val="1"/>
      <w:marLeft w:val="0"/>
      <w:marRight w:val="0"/>
      <w:marTop w:val="0"/>
      <w:marBottom w:val="0"/>
      <w:divBdr>
        <w:top w:val="none" w:sz="0" w:space="0" w:color="auto"/>
        <w:left w:val="none" w:sz="0" w:space="0" w:color="auto"/>
        <w:bottom w:val="none" w:sz="0" w:space="0" w:color="auto"/>
        <w:right w:val="none" w:sz="0" w:space="0" w:color="auto"/>
      </w:divBdr>
    </w:div>
    <w:div w:id="1389305346">
      <w:bodyDiv w:val="1"/>
      <w:marLeft w:val="0"/>
      <w:marRight w:val="0"/>
      <w:marTop w:val="0"/>
      <w:marBottom w:val="0"/>
      <w:divBdr>
        <w:top w:val="none" w:sz="0" w:space="0" w:color="auto"/>
        <w:left w:val="none" w:sz="0" w:space="0" w:color="auto"/>
        <w:bottom w:val="none" w:sz="0" w:space="0" w:color="auto"/>
        <w:right w:val="none" w:sz="0" w:space="0" w:color="auto"/>
      </w:divBdr>
    </w:div>
    <w:div w:id="1389500336">
      <w:bodyDiv w:val="1"/>
      <w:marLeft w:val="0"/>
      <w:marRight w:val="0"/>
      <w:marTop w:val="0"/>
      <w:marBottom w:val="0"/>
      <w:divBdr>
        <w:top w:val="none" w:sz="0" w:space="0" w:color="auto"/>
        <w:left w:val="none" w:sz="0" w:space="0" w:color="auto"/>
        <w:bottom w:val="none" w:sz="0" w:space="0" w:color="auto"/>
        <w:right w:val="none" w:sz="0" w:space="0" w:color="auto"/>
      </w:divBdr>
    </w:div>
    <w:div w:id="1389911204">
      <w:bodyDiv w:val="1"/>
      <w:marLeft w:val="0"/>
      <w:marRight w:val="0"/>
      <w:marTop w:val="0"/>
      <w:marBottom w:val="0"/>
      <w:divBdr>
        <w:top w:val="none" w:sz="0" w:space="0" w:color="auto"/>
        <w:left w:val="none" w:sz="0" w:space="0" w:color="auto"/>
        <w:bottom w:val="none" w:sz="0" w:space="0" w:color="auto"/>
        <w:right w:val="none" w:sz="0" w:space="0" w:color="auto"/>
      </w:divBdr>
    </w:div>
    <w:div w:id="1394352521">
      <w:bodyDiv w:val="1"/>
      <w:marLeft w:val="0"/>
      <w:marRight w:val="0"/>
      <w:marTop w:val="0"/>
      <w:marBottom w:val="0"/>
      <w:divBdr>
        <w:top w:val="none" w:sz="0" w:space="0" w:color="auto"/>
        <w:left w:val="none" w:sz="0" w:space="0" w:color="auto"/>
        <w:bottom w:val="none" w:sz="0" w:space="0" w:color="auto"/>
        <w:right w:val="none" w:sz="0" w:space="0" w:color="auto"/>
      </w:divBdr>
    </w:div>
    <w:div w:id="1395542403">
      <w:bodyDiv w:val="1"/>
      <w:marLeft w:val="0"/>
      <w:marRight w:val="0"/>
      <w:marTop w:val="0"/>
      <w:marBottom w:val="0"/>
      <w:divBdr>
        <w:top w:val="none" w:sz="0" w:space="0" w:color="auto"/>
        <w:left w:val="none" w:sz="0" w:space="0" w:color="auto"/>
        <w:bottom w:val="none" w:sz="0" w:space="0" w:color="auto"/>
        <w:right w:val="none" w:sz="0" w:space="0" w:color="auto"/>
      </w:divBdr>
    </w:div>
    <w:div w:id="1397819036">
      <w:bodyDiv w:val="1"/>
      <w:marLeft w:val="0"/>
      <w:marRight w:val="0"/>
      <w:marTop w:val="0"/>
      <w:marBottom w:val="0"/>
      <w:divBdr>
        <w:top w:val="none" w:sz="0" w:space="0" w:color="auto"/>
        <w:left w:val="none" w:sz="0" w:space="0" w:color="auto"/>
        <w:bottom w:val="none" w:sz="0" w:space="0" w:color="auto"/>
        <w:right w:val="none" w:sz="0" w:space="0" w:color="auto"/>
      </w:divBdr>
    </w:div>
    <w:div w:id="1399085547">
      <w:bodyDiv w:val="1"/>
      <w:marLeft w:val="0"/>
      <w:marRight w:val="0"/>
      <w:marTop w:val="0"/>
      <w:marBottom w:val="0"/>
      <w:divBdr>
        <w:top w:val="none" w:sz="0" w:space="0" w:color="auto"/>
        <w:left w:val="none" w:sz="0" w:space="0" w:color="auto"/>
        <w:bottom w:val="none" w:sz="0" w:space="0" w:color="auto"/>
        <w:right w:val="none" w:sz="0" w:space="0" w:color="auto"/>
      </w:divBdr>
    </w:div>
    <w:div w:id="1399286528">
      <w:bodyDiv w:val="1"/>
      <w:marLeft w:val="0"/>
      <w:marRight w:val="0"/>
      <w:marTop w:val="0"/>
      <w:marBottom w:val="0"/>
      <w:divBdr>
        <w:top w:val="none" w:sz="0" w:space="0" w:color="auto"/>
        <w:left w:val="none" w:sz="0" w:space="0" w:color="auto"/>
        <w:bottom w:val="none" w:sz="0" w:space="0" w:color="auto"/>
        <w:right w:val="none" w:sz="0" w:space="0" w:color="auto"/>
      </w:divBdr>
    </w:div>
    <w:div w:id="1399476239">
      <w:bodyDiv w:val="1"/>
      <w:marLeft w:val="0"/>
      <w:marRight w:val="0"/>
      <w:marTop w:val="0"/>
      <w:marBottom w:val="0"/>
      <w:divBdr>
        <w:top w:val="none" w:sz="0" w:space="0" w:color="auto"/>
        <w:left w:val="none" w:sz="0" w:space="0" w:color="auto"/>
        <w:bottom w:val="none" w:sz="0" w:space="0" w:color="auto"/>
        <w:right w:val="none" w:sz="0" w:space="0" w:color="auto"/>
      </w:divBdr>
    </w:div>
    <w:div w:id="1399591617">
      <w:bodyDiv w:val="1"/>
      <w:marLeft w:val="0"/>
      <w:marRight w:val="0"/>
      <w:marTop w:val="0"/>
      <w:marBottom w:val="0"/>
      <w:divBdr>
        <w:top w:val="none" w:sz="0" w:space="0" w:color="auto"/>
        <w:left w:val="none" w:sz="0" w:space="0" w:color="auto"/>
        <w:bottom w:val="none" w:sz="0" w:space="0" w:color="auto"/>
        <w:right w:val="none" w:sz="0" w:space="0" w:color="auto"/>
      </w:divBdr>
    </w:div>
    <w:div w:id="1400178056">
      <w:bodyDiv w:val="1"/>
      <w:marLeft w:val="0"/>
      <w:marRight w:val="0"/>
      <w:marTop w:val="0"/>
      <w:marBottom w:val="0"/>
      <w:divBdr>
        <w:top w:val="none" w:sz="0" w:space="0" w:color="auto"/>
        <w:left w:val="none" w:sz="0" w:space="0" w:color="auto"/>
        <w:bottom w:val="none" w:sz="0" w:space="0" w:color="auto"/>
        <w:right w:val="none" w:sz="0" w:space="0" w:color="auto"/>
      </w:divBdr>
    </w:div>
    <w:div w:id="1400209397">
      <w:bodyDiv w:val="1"/>
      <w:marLeft w:val="0"/>
      <w:marRight w:val="0"/>
      <w:marTop w:val="0"/>
      <w:marBottom w:val="0"/>
      <w:divBdr>
        <w:top w:val="none" w:sz="0" w:space="0" w:color="auto"/>
        <w:left w:val="none" w:sz="0" w:space="0" w:color="auto"/>
        <w:bottom w:val="none" w:sz="0" w:space="0" w:color="auto"/>
        <w:right w:val="none" w:sz="0" w:space="0" w:color="auto"/>
      </w:divBdr>
    </w:div>
    <w:div w:id="1400597332">
      <w:bodyDiv w:val="1"/>
      <w:marLeft w:val="0"/>
      <w:marRight w:val="0"/>
      <w:marTop w:val="0"/>
      <w:marBottom w:val="0"/>
      <w:divBdr>
        <w:top w:val="none" w:sz="0" w:space="0" w:color="auto"/>
        <w:left w:val="none" w:sz="0" w:space="0" w:color="auto"/>
        <w:bottom w:val="none" w:sz="0" w:space="0" w:color="auto"/>
        <w:right w:val="none" w:sz="0" w:space="0" w:color="auto"/>
      </w:divBdr>
    </w:div>
    <w:div w:id="1400982983">
      <w:bodyDiv w:val="1"/>
      <w:marLeft w:val="0"/>
      <w:marRight w:val="0"/>
      <w:marTop w:val="0"/>
      <w:marBottom w:val="0"/>
      <w:divBdr>
        <w:top w:val="none" w:sz="0" w:space="0" w:color="auto"/>
        <w:left w:val="none" w:sz="0" w:space="0" w:color="auto"/>
        <w:bottom w:val="none" w:sz="0" w:space="0" w:color="auto"/>
        <w:right w:val="none" w:sz="0" w:space="0" w:color="auto"/>
      </w:divBdr>
    </w:div>
    <w:div w:id="1401443677">
      <w:bodyDiv w:val="1"/>
      <w:marLeft w:val="0"/>
      <w:marRight w:val="0"/>
      <w:marTop w:val="0"/>
      <w:marBottom w:val="0"/>
      <w:divBdr>
        <w:top w:val="none" w:sz="0" w:space="0" w:color="auto"/>
        <w:left w:val="none" w:sz="0" w:space="0" w:color="auto"/>
        <w:bottom w:val="none" w:sz="0" w:space="0" w:color="auto"/>
        <w:right w:val="none" w:sz="0" w:space="0" w:color="auto"/>
      </w:divBdr>
    </w:div>
    <w:div w:id="1401560475">
      <w:bodyDiv w:val="1"/>
      <w:marLeft w:val="0"/>
      <w:marRight w:val="0"/>
      <w:marTop w:val="0"/>
      <w:marBottom w:val="0"/>
      <w:divBdr>
        <w:top w:val="none" w:sz="0" w:space="0" w:color="auto"/>
        <w:left w:val="none" w:sz="0" w:space="0" w:color="auto"/>
        <w:bottom w:val="none" w:sz="0" w:space="0" w:color="auto"/>
        <w:right w:val="none" w:sz="0" w:space="0" w:color="auto"/>
      </w:divBdr>
    </w:div>
    <w:div w:id="1403135476">
      <w:bodyDiv w:val="1"/>
      <w:marLeft w:val="0"/>
      <w:marRight w:val="0"/>
      <w:marTop w:val="0"/>
      <w:marBottom w:val="0"/>
      <w:divBdr>
        <w:top w:val="none" w:sz="0" w:space="0" w:color="auto"/>
        <w:left w:val="none" w:sz="0" w:space="0" w:color="auto"/>
        <w:bottom w:val="none" w:sz="0" w:space="0" w:color="auto"/>
        <w:right w:val="none" w:sz="0" w:space="0" w:color="auto"/>
      </w:divBdr>
    </w:div>
    <w:div w:id="1403336807">
      <w:bodyDiv w:val="1"/>
      <w:marLeft w:val="0"/>
      <w:marRight w:val="0"/>
      <w:marTop w:val="0"/>
      <w:marBottom w:val="0"/>
      <w:divBdr>
        <w:top w:val="none" w:sz="0" w:space="0" w:color="auto"/>
        <w:left w:val="none" w:sz="0" w:space="0" w:color="auto"/>
        <w:bottom w:val="none" w:sz="0" w:space="0" w:color="auto"/>
        <w:right w:val="none" w:sz="0" w:space="0" w:color="auto"/>
      </w:divBdr>
    </w:div>
    <w:div w:id="1405254746">
      <w:bodyDiv w:val="1"/>
      <w:marLeft w:val="0"/>
      <w:marRight w:val="0"/>
      <w:marTop w:val="0"/>
      <w:marBottom w:val="0"/>
      <w:divBdr>
        <w:top w:val="none" w:sz="0" w:space="0" w:color="auto"/>
        <w:left w:val="none" w:sz="0" w:space="0" w:color="auto"/>
        <w:bottom w:val="none" w:sz="0" w:space="0" w:color="auto"/>
        <w:right w:val="none" w:sz="0" w:space="0" w:color="auto"/>
      </w:divBdr>
    </w:div>
    <w:div w:id="1406296448">
      <w:bodyDiv w:val="1"/>
      <w:marLeft w:val="0"/>
      <w:marRight w:val="0"/>
      <w:marTop w:val="0"/>
      <w:marBottom w:val="0"/>
      <w:divBdr>
        <w:top w:val="none" w:sz="0" w:space="0" w:color="auto"/>
        <w:left w:val="none" w:sz="0" w:space="0" w:color="auto"/>
        <w:bottom w:val="none" w:sz="0" w:space="0" w:color="auto"/>
        <w:right w:val="none" w:sz="0" w:space="0" w:color="auto"/>
      </w:divBdr>
    </w:div>
    <w:div w:id="1406537299">
      <w:bodyDiv w:val="1"/>
      <w:marLeft w:val="0"/>
      <w:marRight w:val="0"/>
      <w:marTop w:val="0"/>
      <w:marBottom w:val="0"/>
      <w:divBdr>
        <w:top w:val="none" w:sz="0" w:space="0" w:color="auto"/>
        <w:left w:val="none" w:sz="0" w:space="0" w:color="auto"/>
        <w:bottom w:val="none" w:sz="0" w:space="0" w:color="auto"/>
        <w:right w:val="none" w:sz="0" w:space="0" w:color="auto"/>
      </w:divBdr>
    </w:div>
    <w:div w:id="1407338912">
      <w:bodyDiv w:val="1"/>
      <w:marLeft w:val="0"/>
      <w:marRight w:val="0"/>
      <w:marTop w:val="0"/>
      <w:marBottom w:val="0"/>
      <w:divBdr>
        <w:top w:val="none" w:sz="0" w:space="0" w:color="auto"/>
        <w:left w:val="none" w:sz="0" w:space="0" w:color="auto"/>
        <w:bottom w:val="none" w:sz="0" w:space="0" w:color="auto"/>
        <w:right w:val="none" w:sz="0" w:space="0" w:color="auto"/>
      </w:divBdr>
    </w:div>
    <w:div w:id="1411388014">
      <w:bodyDiv w:val="1"/>
      <w:marLeft w:val="0"/>
      <w:marRight w:val="0"/>
      <w:marTop w:val="0"/>
      <w:marBottom w:val="0"/>
      <w:divBdr>
        <w:top w:val="none" w:sz="0" w:space="0" w:color="auto"/>
        <w:left w:val="none" w:sz="0" w:space="0" w:color="auto"/>
        <w:bottom w:val="none" w:sz="0" w:space="0" w:color="auto"/>
        <w:right w:val="none" w:sz="0" w:space="0" w:color="auto"/>
      </w:divBdr>
    </w:div>
    <w:div w:id="1414667333">
      <w:bodyDiv w:val="1"/>
      <w:marLeft w:val="0"/>
      <w:marRight w:val="0"/>
      <w:marTop w:val="0"/>
      <w:marBottom w:val="0"/>
      <w:divBdr>
        <w:top w:val="none" w:sz="0" w:space="0" w:color="auto"/>
        <w:left w:val="none" w:sz="0" w:space="0" w:color="auto"/>
        <w:bottom w:val="none" w:sz="0" w:space="0" w:color="auto"/>
        <w:right w:val="none" w:sz="0" w:space="0" w:color="auto"/>
      </w:divBdr>
    </w:div>
    <w:div w:id="1416827241">
      <w:bodyDiv w:val="1"/>
      <w:marLeft w:val="0"/>
      <w:marRight w:val="0"/>
      <w:marTop w:val="0"/>
      <w:marBottom w:val="0"/>
      <w:divBdr>
        <w:top w:val="none" w:sz="0" w:space="0" w:color="auto"/>
        <w:left w:val="none" w:sz="0" w:space="0" w:color="auto"/>
        <w:bottom w:val="none" w:sz="0" w:space="0" w:color="auto"/>
        <w:right w:val="none" w:sz="0" w:space="0" w:color="auto"/>
      </w:divBdr>
    </w:div>
    <w:div w:id="1422798997">
      <w:bodyDiv w:val="1"/>
      <w:marLeft w:val="0"/>
      <w:marRight w:val="0"/>
      <w:marTop w:val="0"/>
      <w:marBottom w:val="0"/>
      <w:divBdr>
        <w:top w:val="none" w:sz="0" w:space="0" w:color="auto"/>
        <w:left w:val="none" w:sz="0" w:space="0" w:color="auto"/>
        <w:bottom w:val="none" w:sz="0" w:space="0" w:color="auto"/>
        <w:right w:val="none" w:sz="0" w:space="0" w:color="auto"/>
      </w:divBdr>
    </w:div>
    <w:div w:id="1423457585">
      <w:bodyDiv w:val="1"/>
      <w:marLeft w:val="0"/>
      <w:marRight w:val="0"/>
      <w:marTop w:val="0"/>
      <w:marBottom w:val="0"/>
      <w:divBdr>
        <w:top w:val="none" w:sz="0" w:space="0" w:color="auto"/>
        <w:left w:val="none" w:sz="0" w:space="0" w:color="auto"/>
        <w:bottom w:val="none" w:sz="0" w:space="0" w:color="auto"/>
        <w:right w:val="none" w:sz="0" w:space="0" w:color="auto"/>
      </w:divBdr>
    </w:div>
    <w:div w:id="1424448672">
      <w:bodyDiv w:val="1"/>
      <w:marLeft w:val="0"/>
      <w:marRight w:val="0"/>
      <w:marTop w:val="0"/>
      <w:marBottom w:val="0"/>
      <w:divBdr>
        <w:top w:val="none" w:sz="0" w:space="0" w:color="auto"/>
        <w:left w:val="none" w:sz="0" w:space="0" w:color="auto"/>
        <w:bottom w:val="none" w:sz="0" w:space="0" w:color="auto"/>
        <w:right w:val="none" w:sz="0" w:space="0" w:color="auto"/>
      </w:divBdr>
    </w:div>
    <w:div w:id="1425147414">
      <w:bodyDiv w:val="1"/>
      <w:marLeft w:val="0"/>
      <w:marRight w:val="0"/>
      <w:marTop w:val="0"/>
      <w:marBottom w:val="0"/>
      <w:divBdr>
        <w:top w:val="none" w:sz="0" w:space="0" w:color="auto"/>
        <w:left w:val="none" w:sz="0" w:space="0" w:color="auto"/>
        <w:bottom w:val="none" w:sz="0" w:space="0" w:color="auto"/>
        <w:right w:val="none" w:sz="0" w:space="0" w:color="auto"/>
      </w:divBdr>
    </w:div>
    <w:div w:id="1426222151">
      <w:bodyDiv w:val="1"/>
      <w:marLeft w:val="0"/>
      <w:marRight w:val="0"/>
      <w:marTop w:val="0"/>
      <w:marBottom w:val="0"/>
      <w:divBdr>
        <w:top w:val="none" w:sz="0" w:space="0" w:color="auto"/>
        <w:left w:val="none" w:sz="0" w:space="0" w:color="auto"/>
        <w:bottom w:val="none" w:sz="0" w:space="0" w:color="auto"/>
        <w:right w:val="none" w:sz="0" w:space="0" w:color="auto"/>
      </w:divBdr>
    </w:div>
    <w:div w:id="1430193841">
      <w:bodyDiv w:val="1"/>
      <w:marLeft w:val="0"/>
      <w:marRight w:val="0"/>
      <w:marTop w:val="0"/>
      <w:marBottom w:val="0"/>
      <w:divBdr>
        <w:top w:val="none" w:sz="0" w:space="0" w:color="auto"/>
        <w:left w:val="none" w:sz="0" w:space="0" w:color="auto"/>
        <w:bottom w:val="none" w:sz="0" w:space="0" w:color="auto"/>
        <w:right w:val="none" w:sz="0" w:space="0" w:color="auto"/>
      </w:divBdr>
    </w:div>
    <w:div w:id="1431269649">
      <w:bodyDiv w:val="1"/>
      <w:marLeft w:val="0"/>
      <w:marRight w:val="0"/>
      <w:marTop w:val="0"/>
      <w:marBottom w:val="0"/>
      <w:divBdr>
        <w:top w:val="none" w:sz="0" w:space="0" w:color="auto"/>
        <w:left w:val="none" w:sz="0" w:space="0" w:color="auto"/>
        <w:bottom w:val="none" w:sz="0" w:space="0" w:color="auto"/>
        <w:right w:val="none" w:sz="0" w:space="0" w:color="auto"/>
      </w:divBdr>
    </w:div>
    <w:div w:id="1432698196">
      <w:bodyDiv w:val="1"/>
      <w:marLeft w:val="0"/>
      <w:marRight w:val="0"/>
      <w:marTop w:val="0"/>
      <w:marBottom w:val="0"/>
      <w:divBdr>
        <w:top w:val="none" w:sz="0" w:space="0" w:color="auto"/>
        <w:left w:val="none" w:sz="0" w:space="0" w:color="auto"/>
        <w:bottom w:val="none" w:sz="0" w:space="0" w:color="auto"/>
        <w:right w:val="none" w:sz="0" w:space="0" w:color="auto"/>
      </w:divBdr>
    </w:div>
    <w:div w:id="1438209599">
      <w:bodyDiv w:val="1"/>
      <w:marLeft w:val="0"/>
      <w:marRight w:val="0"/>
      <w:marTop w:val="0"/>
      <w:marBottom w:val="0"/>
      <w:divBdr>
        <w:top w:val="none" w:sz="0" w:space="0" w:color="auto"/>
        <w:left w:val="none" w:sz="0" w:space="0" w:color="auto"/>
        <w:bottom w:val="none" w:sz="0" w:space="0" w:color="auto"/>
        <w:right w:val="none" w:sz="0" w:space="0" w:color="auto"/>
      </w:divBdr>
    </w:div>
    <w:div w:id="1439520764">
      <w:bodyDiv w:val="1"/>
      <w:marLeft w:val="0"/>
      <w:marRight w:val="0"/>
      <w:marTop w:val="0"/>
      <w:marBottom w:val="0"/>
      <w:divBdr>
        <w:top w:val="none" w:sz="0" w:space="0" w:color="auto"/>
        <w:left w:val="none" w:sz="0" w:space="0" w:color="auto"/>
        <w:bottom w:val="none" w:sz="0" w:space="0" w:color="auto"/>
        <w:right w:val="none" w:sz="0" w:space="0" w:color="auto"/>
      </w:divBdr>
    </w:div>
    <w:div w:id="1439564287">
      <w:bodyDiv w:val="1"/>
      <w:marLeft w:val="0"/>
      <w:marRight w:val="0"/>
      <w:marTop w:val="0"/>
      <w:marBottom w:val="0"/>
      <w:divBdr>
        <w:top w:val="none" w:sz="0" w:space="0" w:color="auto"/>
        <w:left w:val="none" w:sz="0" w:space="0" w:color="auto"/>
        <w:bottom w:val="none" w:sz="0" w:space="0" w:color="auto"/>
        <w:right w:val="none" w:sz="0" w:space="0" w:color="auto"/>
      </w:divBdr>
    </w:div>
    <w:div w:id="1439912559">
      <w:bodyDiv w:val="1"/>
      <w:marLeft w:val="0"/>
      <w:marRight w:val="0"/>
      <w:marTop w:val="0"/>
      <w:marBottom w:val="0"/>
      <w:divBdr>
        <w:top w:val="none" w:sz="0" w:space="0" w:color="auto"/>
        <w:left w:val="none" w:sz="0" w:space="0" w:color="auto"/>
        <w:bottom w:val="none" w:sz="0" w:space="0" w:color="auto"/>
        <w:right w:val="none" w:sz="0" w:space="0" w:color="auto"/>
      </w:divBdr>
    </w:div>
    <w:div w:id="1442722402">
      <w:bodyDiv w:val="1"/>
      <w:marLeft w:val="0"/>
      <w:marRight w:val="0"/>
      <w:marTop w:val="0"/>
      <w:marBottom w:val="0"/>
      <w:divBdr>
        <w:top w:val="none" w:sz="0" w:space="0" w:color="auto"/>
        <w:left w:val="none" w:sz="0" w:space="0" w:color="auto"/>
        <w:bottom w:val="none" w:sz="0" w:space="0" w:color="auto"/>
        <w:right w:val="none" w:sz="0" w:space="0" w:color="auto"/>
      </w:divBdr>
    </w:div>
    <w:div w:id="1443644454">
      <w:bodyDiv w:val="1"/>
      <w:marLeft w:val="0"/>
      <w:marRight w:val="0"/>
      <w:marTop w:val="0"/>
      <w:marBottom w:val="0"/>
      <w:divBdr>
        <w:top w:val="none" w:sz="0" w:space="0" w:color="auto"/>
        <w:left w:val="none" w:sz="0" w:space="0" w:color="auto"/>
        <w:bottom w:val="none" w:sz="0" w:space="0" w:color="auto"/>
        <w:right w:val="none" w:sz="0" w:space="0" w:color="auto"/>
      </w:divBdr>
    </w:div>
    <w:div w:id="1443650909">
      <w:bodyDiv w:val="1"/>
      <w:marLeft w:val="0"/>
      <w:marRight w:val="0"/>
      <w:marTop w:val="0"/>
      <w:marBottom w:val="0"/>
      <w:divBdr>
        <w:top w:val="none" w:sz="0" w:space="0" w:color="auto"/>
        <w:left w:val="none" w:sz="0" w:space="0" w:color="auto"/>
        <w:bottom w:val="none" w:sz="0" w:space="0" w:color="auto"/>
        <w:right w:val="none" w:sz="0" w:space="0" w:color="auto"/>
      </w:divBdr>
    </w:div>
    <w:div w:id="1443651575">
      <w:bodyDiv w:val="1"/>
      <w:marLeft w:val="0"/>
      <w:marRight w:val="0"/>
      <w:marTop w:val="0"/>
      <w:marBottom w:val="0"/>
      <w:divBdr>
        <w:top w:val="none" w:sz="0" w:space="0" w:color="auto"/>
        <w:left w:val="none" w:sz="0" w:space="0" w:color="auto"/>
        <w:bottom w:val="none" w:sz="0" w:space="0" w:color="auto"/>
        <w:right w:val="none" w:sz="0" w:space="0" w:color="auto"/>
      </w:divBdr>
    </w:div>
    <w:div w:id="1443695549">
      <w:bodyDiv w:val="1"/>
      <w:marLeft w:val="0"/>
      <w:marRight w:val="0"/>
      <w:marTop w:val="0"/>
      <w:marBottom w:val="0"/>
      <w:divBdr>
        <w:top w:val="none" w:sz="0" w:space="0" w:color="auto"/>
        <w:left w:val="none" w:sz="0" w:space="0" w:color="auto"/>
        <w:bottom w:val="none" w:sz="0" w:space="0" w:color="auto"/>
        <w:right w:val="none" w:sz="0" w:space="0" w:color="auto"/>
      </w:divBdr>
    </w:div>
    <w:div w:id="1445803294">
      <w:bodyDiv w:val="1"/>
      <w:marLeft w:val="0"/>
      <w:marRight w:val="0"/>
      <w:marTop w:val="0"/>
      <w:marBottom w:val="0"/>
      <w:divBdr>
        <w:top w:val="none" w:sz="0" w:space="0" w:color="auto"/>
        <w:left w:val="none" w:sz="0" w:space="0" w:color="auto"/>
        <w:bottom w:val="none" w:sz="0" w:space="0" w:color="auto"/>
        <w:right w:val="none" w:sz="0" w:space="0" w:color="auto"/>
      </w:divBdr>
    </w:div>
    <w:div w:id="1446656193">
      <w:bodyDiv w:val="1"/>
      <w:marLeft w:val="0"/>
      <w:marRight w:val="0"/>
      <w:marTop w:val="0"/>
      <w:marBottom w:val="0"/>
      <w:divBdr>
        <w:top w:val="none" w:sz="0" w:space="0" w:color="auto"/>
        <w:left w:val="none" w:sz="0" w:space="0" w:color="auto"/>
        <w:bottom w:val="none" w:sz="0" w:space="0" w:color="auto"/>
        <w:right w:val="none" w:sz="0" w:space="0" w:color="auto"/>
      </w:divBdr>
    </w:div>
    <w:div w:id="1449199275">
      <w:bodyDiv w:val="1"/>
      <w:marLeft w:val="0"/>
      <w:marRight w:val="0"/>
      <w:marTop w:val="0"/>
      <w:marBottom w:val="0"/>
      <w:divBdr>
        <w:top w:val="none" w:sz="0" w:space="0" w:color="auto"/>
        <w:left w:val="none" w:sz="0" w:space="0" w:color="auto"/>
        <w:bottom w:val="none" w:sz="0" w:space="0" w:color="auto"/>
        <w:right w:val="none" w:sz="0" w:space="0" w:color="auto"/>
      </w:divBdr>
    </w:div>
    <w:div w:id="1449659966">
      <w:bodyDiv w:val="1"/>
      <w:marLeft w:val="0"/>
      <w:marRight w:val="0"/>
      <w:marTop w:val="0"/>
      <w:marBottom w:val="0"/>
      <w:divBdr>
        <w:top w:val="none" w:sz="0" w:space="0" w:color="auto"/>
        <w:left w:val="none" w:sz="0" w:space="0" w:color="auto"/>
        <w:bottom w:val="none" w:sz="0" w:space="0" w:color="auto"/>
        <w:right w:val="none" w:sz="0" w:space="0" w:color="auto"/>
      </w:divBdr>
    </w:div>
    <w:div w:id="1449811292">
      <w:bodyDiv w:val="1"/>
      <w:marLeft w:val="0"/>
      <w:marRight w:val="0"/>
      <w:marTop w:val="0"/>
      <w:marBottom w:val="0"/>
      <w:divBdr>
        <w:top w:val="none" w:sz="0" w:space="0" w:color="auto"/>
        <w:left w:val="none" w:sz="0" w:space="0" w:color="auto"/>
        <w:bottom w:val="none" w:sz="0" w:space="0" w:color="auto"/>
        <w:right w:val="none" w:sz="0" w:space="0" w:color="auto"/>
      </w:divBdr>
    </w:div>
    <w:div w:id="1451700079">
      <w:bodyDiv w:val="1"/>
      <w:marLeft w:val="0"/>
      <w:marRight w:val="0"/>
      <w:marTop w:val="0"/>
      <w:marBottom w:val="0"/>
      <w:divBdr>
        <w:top w:val="none" w:sz="0" w:space="0" w:color="auto"/>
        <w:left w:val="none" w:sz="0" w:space="0" w:color="auto"/>
        <w:bottom w:val="none" w:sz="0" w:space="0" w:color="auto"/>
        <w:right w:val="none" w:sz="0" w:space="0" w:color="auto"/>
      </w:divBdr>
    </w:div>
    <w:div w:id="1455367561">
      <w:bodyDiv w:val="1"/>
      <w:marLeft w:val="0"/>
      <w:marRight w:val="0"/>
      <w:marTop w:val="0"/>
      <w:marBottom w:val="0"/>
      <w:divBdr>
        <w:top w:val="none" w:sz="0" w:space="0" w:color="auto"/>
        <w:left w:val="none" w:sz="0" w:space="0" w:color="auto"/>
        <w:bottom w:val="none" w:sz="0" w:space="0" w:color="auto"/>
        <w:right w:val="none" w:sz="0" w:space="0" w:color="auto"/>
      </w:divBdr>
    </w:div>
    <w:div w:id="1455909192">
      <w:bodyDiv w:val="1"/>
      <w:marLeft w:val="0"/>
      <w:marRight w:val="0"/>
      <w:marTop w:val="0"/>
      <w:marBottom w:val="0"/>
      <w:divBdr>
        <w:top w:val="none" w:sz="0" w:space="0" w:color="auto"/>
        <w:left w:val="none" w:sz="0" w:space="0" w:color="auto"/>
        <w:bottom w:val="none" w:sz="0" w:space="0" w:color="auto"/>
        <w:right w:val="none" w:sz="0" w:space="0" w:color="auto"/>
      </w:divBdr>
    </w:div>
    <w:div w:id="1462964078">
      <w:bodyDiv w:val="1"/>
      <w:marLeft w:val="0"/>
      <w:marRight w:val="0"/>
      <w:marTop w:val="0"/>
      <w:marBottom w:val="0"/>
      <w:divBdr>
        <w:top w:val="none" w:sz="0" w:space="0" w:color="auto"/>
        <w:left w:val="none" w:sz="0" w:space="0" w:color="auto"/>
        <w:bottom w:val="none" w:sz="0" w:space="0" w:color="auto"/>
        <w:right w:val="none" w:sz="0" w:space="0" w:color="auto"/>
      </w:divBdr>
    </w:div>
    <w:div w:id="1465152655">
      <w:bodyDiv w:val="1"/>
      <w:marLeft w:val="0"/>
      <w:marRight w:val="0"/>
      <w:marTop w:val="0"/>
      <w:marBottom w:val="0"/>
      <w:divBdr>
        <w:top w:val="none" w:sz="0" w:space="0" w:color="auto"/>
        <w:left w:val="none" w:sz="0" w:space="0" w:color="auto"/>
        <w:bottom w:val="none" w:sz="0" w:space="0" w:color="auto"/>
        <w:right w:val="none" w:sz="0" w:space="0" w:color="auto"/>
      </w:divBdr>
    </w:div>
    <w:div w:id="1465199276">
      <w:bodyDiv w:val="1"/>
      <w:marLeft w:val="0"/>
      <w:marRight w:val="0"/>
      <w:marTop w:val="0"/>
      <w:marBottom w:val="0"/>
      <w:divBdr>
        <w:top w:val="none" w:sz="0" w:space="0" w:color="auto"/>
        <w:left w:val="none" w:sz="0" w:space="0" w:color="auto"/>
        <w:bottom w:val="none" w:sz="0" w:space="0" w:color="auto"/>
        <w:right w:val="none" w:sz="0" w:space="0" w:color="auto"/>
      </w:divBdr>
    </w:div>
    <w:div w:id="1465392559">
      <w:bodyDiv w:val="1"/>
      <w:marLeft w:val="0"/>
      <w:marRight w:val="0"/>
      <w:marTop w:val="0"/>
      <w:marBottom w:val="0"/>
      <w:divBdr>
        <w:top w:val="none" w:sz="0" w:space="0" w:color="auto"/>
        <w:left w:val="none" w:sz="0" w:space="0" w:color="auto"/>
        <w:bottom w:val="none" w:sz="0" w:space="0" w:color="auto"/>
        <w:right w:val="none" w:sz="0" w:space="0" w:color="auto"/>
      </w:divBdr>
    </w:div>
    <w:div w:id="1466894632">
      <w:bodyDiv w:val="1"/>
      <w:marLeft w:val="0"/>
      <w:marRight w:val="0"/>
      <w:marTop w:val="0"/>
      <w:marBottom w:val="0"/>
      <w:divBdr>
        <w:top w:val="none" w:sz="0" w:space="0" w:color="auto"/>
        <w:left w:val="none" w:sz="0" w:space="0" w:color="auto"/>
        <w:bottom w:val="none" w:sz="0" w:space="0" w:color="auto"/>
        <w:right w:val="none" w:sz="0" w:space="0" w:color="auto"/>
      </w:divBdr>
    </w:div>
    <w:div w:id="1467817121">
      <w:bodyDiv w:val="1"/>
      <w:marLeft w:val="0"/>
      <w:marRight w:val="0"/>
      <w:marTop w:val="0"/>
      <w:marBottom w:val="0"/>
      <w:divBdr>
        <w:top w:val="none" w:sz="0" w:space="0" w:color="auto"/>
        <w:left w:val="none" w:sz="0" w:space="0" w:color="auto"/>
        <w:bottom w:val="none" w:sz="0" w:space="0" w:color="auto"/>
        <w:right w:val="none" w:sz="0" w:space="0" w:color="auto"/>
      </w:divBdr>
    </w:div>
    <w:div w:id="1467822108">
      <w:bodyDiv w:val="1"/>
      <w:marLeft w:val="0"/>
      <w:marRight w:val="0"/>
      <w:marTop w:val="0"/>
      <w:marBottom w:val="0"/>
      <w:divBdr>
        <w:top w:val="none" w:sz="0" w:space="0" w:color="auto"/>
        <w:left w:val="none" w:sz="0" w:space="0" w:color="auto"/>
        <w:bottom w:val="none" w:sz="0" w:space="0" w:color="auto"/>
        <w:right w:val="none" w:sz="0" w:space="0" w:color="auto"/>
      </w:divBdr>
    </w:div>
    <w:div w:id="1467965113">
      <w:bodyDiv w:val="1"/>
      <w:marLeft w:val="0"/>
      <w:marRight w:val="0"/>
      <w:marTop w:val="0"/>
      <w:marBottom w:val="0"/>
      <w:divBdr>
        <w:top w:val="none" w:sz="0" w:space="0" w:color="auto"/>
        <w:left w:val="none" w:sz="0" w:space="0" w:color="auto"/>
        <w:bottom w:val="none" w:sz="0" w:space="0" w:color="auto"/>
        <w:right w:val="none" w:sz="0" w:space="0" w:color="auto"/>
      </w:divBdr>
    </w:div>
    <w:div w:id="1469667238">
      <w:bodyDiv w:val="1"/>
      <w:marLeft w:val="0"/>
      <w:marRight w:val="0"/>
      <w:marTop w:val="0"/>
      <w:marBottom w:val="0"/>
      <w:divBdr>
        <w:top w:val="none" w:sz="0" w:space="0" w:color="auto"/>
        <w:left w:val="none" w:sz="0" w:space="0" w:color="auto"/>
        <w:bottom w:val="none" w:sz="0" w:space="0" w:color="auto"/>
        <w:right w:val="none" w:sz="0" w:space="0" w:color="auto"/>
      </w:divBdr>
    </w:div>
    <w:div w:id="1471970839">
      <w:bodyDiv w:val="1"/>
      <w:marLeft w:val="0"/>
      <w:marRight w:val="0"/>
      <w:marTop w:val="0"/>
      <w:marBottom w:val="0"/>
      <w:divBdr>
        <w:top w:val="none" w:sz="0" w:space="0" w:color="auto"/>
        <w:left w:val="none" w:sz="0" w:space="0" w:color="auto"/>
        <w:bottom w:val="none" w:sz="0" w:space="0" w:color="auto"/>
        <w:right w:val="none" w:sz="0" w:space="0" w:color="auto"/>
      </w:divBdr>
    </w:div>
    <w:div w:id="1472093369">
      <w:bodyDiv w:val="1"/>
      <w:marLeft w:val="0"/>
      <w:marRight w:val="0"/>
      <w:marTop w:val="0"/>
      <w:marBottom w:val="0"/>
      <w:divBdr>
        <w:top w:val="none" w:sz="0" w:space="0" w:color="auto"/>
        <w:left w:val="none" w:sz="0" w:space="0" w:color="auto"/>
        <w:bottom w:val="none" w:sz="0" w:space="0" w:color="auto"/>
        <w:right w:val="none" w:sz="0" w:space="0" w:color="auto"/>
      </w:divBdr>
    </w:div>
    <w:div w:id="1472214146">
      <w:bodyDiv w:val="1"/>
      <w:marLeft w:val="0"/>
      <w:marRight w:val="0"/>
      <w:marTop w:val="0"/>
      <w:marBottom w:val="0"/>
      <w:divBdr>
        <w:top w:val="none" w:sz="0" w:space="0" w:color="auto"/>
        <w:left w:val="none" w:sz="0" w:space="0" w:color="auto"/>
        <w:bottom w:val="none" w:sz="0" w:space="0" w:color="auto"/>
        <w:right w:val="none" w:sz="0" w:space="0" w:color="auto"/>
      </w:divBdr>
    </w:div>
    <w:div w:id="1472215843">
      <w:bodyDiv w:val="1"/>
      <w:marLeft w:val="0"/>
      <w:marRight w:val="0"/>
      <w:marTop w:val="0"/>
      <w:marBottom w:val="0"/>
      <w:divBdr>
        <w:top w:val="none" w:sz="0" w:space="0" w:color="auto"/>
        <w:left w:val="none" w:sz="0" w:space="0" w:color="auto"/>
        <w:bottom w:val="none" w:sz="0" w:space="0" w:color="auto"/>
        <w:right w:val="none" w:sz="0" w:space="0" w:color="auto"/>
      </w:divBdr>
    </w:div>
    <w:div w:id="1473525380">
      <w:bodyDiv w:val="1"/>
      <w:marLeft w:val="0"/>
      <w:marRight w:val="0"/>
      <w:marTop w:val="0"/>
      <w:marBottom w:val="0"/>
      <w:divBdr>
        <w:top w:val="none" w:sz="0" w:space="0" w:color="auto"/>
        <w:left w:val="none" w:sz="0" w:space="0" w:color="auto"/>
        <w:bottom w:val="none" w:sz="0" w:space="0" w:color="auto"/>
        <w:right w:val="none" w:sz="0" w:space="0" w:color="auto"/>
      </w:divBdr>
    </w:div>
    <w:div w:id="1478496822">
      <w:bodyDiv w:val="1"/>
      <w:marLeft w:val="0"/>
      <w:marRight w:val="0"/>
      <w:marTop w:val="0"/>
      <w:marBottom w:val="0"/>
      <w:divBdr>
        <w:top w:val="none" w:sz="0" w:space="0" w:color="auto"/>
        <w:left w:val="none" w:sz="0" w:space="0" w:color="auto"/>
        <w:bottom w:val="none" w:sz="0" w:space="0" w:color="auto"/>
        <w:right w:val="none" w:sz="0" w:space="0" w:color="auto"/>
      </w:divBdr>
    </w:div>
    <w:div w:id="1481843493">
      <w:bodyDiv w:val="1"/>
      <w:marLeft w:val="0"/>
      <w:marRight w:val="0"/>
      <w:marTop w:val="0"/>
      <w:marBottom w:val="0"/>
      <w:divBdr>
        <w:top w:val="none" w:sz="0" w:space="0" w:color="auto"/>
        <w:left w:val="none" w:sz="0" w:space="0" w:color="auto"/>
        <w:bottom w:val="none" w:sz="0" w:space="0" w:color="auto"/>
        <w:right w:val="none" w:sz="0" w:space="0" w:color="auto"/>
      </w:divBdr>
    </w:div>
    <w:div w:id="1482504672">
      <w:bodyDiv w:val="1"/>
      <w:marLeft w:val="0"/>
      <w:marRight w:val="0"/>
      <w:marTop w:val="0"/>
      <w:marBottom w:val="0"/>
      <w:divBdr>
        <w:top w:val="none" w:sz="0" w:space="0" w:color="auto"/>
        <w:left w:val="none" w:sz="0" w:space="0" w:color="auto"/>
        <w:bottom w:val="none" w:sz="0" w:space="0" w:color="auto"/>
        <w:right w:val="none" w:sz="0" w:space="0" w:color="auto"/>
      </w:divBdr>
    </w:div>
    <w:div w:id="1483934840">
      <w:bodyDiv w:val="1"/>
      <w:marLeft w:val="0"/>
      <w:marRight w:val="0"/>
      <w:marTop w:val="0"/>
      <w:marBottom w:val="0"/>
      <w:divBdr>
        <w:top w:val="none" w:sz="0" w:space="0" w:color="auto"/>
        <w:left w:val="none" w:sz="0" w:space="0" w:color="auto"/>
        <w:bottom w:val="none" w:sz="0" w:space="0" w:color="auto"/>
        <w:right w:val="none" w:sz="0" w:space="0" w:color="auto"/>
      </w:divBdr>
    </w:div>
    <w:div w:id="1486120217">
      <w:bodyDiv w:val="1"/>
      <w:marLeft w:val="0"/>
      <w:marRight w:val="0"/>
      <w:marTop w:val="0"/>
      <w:marBottom w:val="0"/>
      <w:divBdr>
        <w:top w:val="none" w:sz="0" w:space="0" w:color="auto"/>
        <w:left w:val="none" w:sz="0" w:space="0" w:color="auto"/>
        <w:bottom w:val="none" w:sz="0" w:space="0" w:color="auto"/>
        <w:right w:val="none" w:sz="0" w:space="0" w:color="auto"/>
      </w:divBdr>
    </w:div>
    <w:div w:id="1486238048">
      <w:bodyDiv w:val="1"/>
      <w:marLeft w:val="0"/>
      <w:marRight w:val="0"/>
      <w:marTop w:val="0"/>
      <w:marBottom w:val="0"/>
      <w:divBdr>
        <w:top w:val="none" w:sz="0" w:space="0" w:color="auto"/>
        <w:left w:val="none" w:sz="0" w:space="0" w:color="auto"/>
        <w:bottom w:val="none" w:sz="0" w:space="0" w:color="auto"/>
        <w:right w:val="none" w:sz="0" w:space="0" w:color="auto"/>
      </w:divBdr>
    </w:div>
    <w:div w:id="1490252039">
      <w:bodyDiv w:val="1"/>
      <w:marLeft w:val="0"/>
      <w:marRight w:val="0"/>
      <w:marTop w:val="0"/>
      <w:marBottom w:val="0"/>
      <w:divBdr>
        <w:top w:val="none" w:sz="0" w:space="0" w:color="auto"/>
        <w:left w:val="none" w:sz="0" w:space="0" w:color="auto"/>
        <w:bottom w:val="none" w:sz="0" w:space="0" w:color="auto"/>
        <w:right w:val="none" w:sz="0" w:space="0" w:color="auto"/>
      </w:divBdr>
    </w:div>
    <w:div w:id="1494030155">
      <w:bodyDiv w:val="1"/>
      <w:marLeft w:val="0"/>
      <w:marRight w:val="0"/>
      <w:marTop w:val="0"/>
      <w:marBottom w:val="0"/>
      <w:divBdr>
        <w:top w:val="none" w:sz="0" w:space="0" w:color="auto"/>
        <w:left w:val="none" w:sz="0" w:space="0" w:color="auto"/>
        <w:bottom w:val="none" w:sz="0" w:space="0" w:color="auto"/>
        <w:right w:val="none" w:sz="0" w:space="0" w:color="auto"/>
      </w:divBdr>
    </w:div>
    <w:div w:id="1495678386">
      <w:bodyDiv w:val="1"/>
      <w:marLeft w:val="0"/>
      <w:marRight w:val="0"/>
      <w:marTop w:val="0"/>
      <w:marBottom w:val="0"/>
      <w:divBdr>
        <w:top w:val="none" w:sz="0" w:space="0" w:color="auto"/>
        <w:left w:val="none" w:sz="0" w:space="0" w:color="auto"/>
        <w:bottom w:val="none" w:sz="0" w:space="0" w:color="auto"/>
        <w:right w:val="none" w:sz="0" w:space="0" w:color="auto"/>
      </w:divBdr>
    </w:div>
    <w:div w:id="1495801707">
      <w:bodyDiv w:val="1"/>
      <w:marLeft w:val="0"/>
      <w:marRight w:val="0"/>
      <w:marTop w:val="0"/>
      <w:marBottom w:val="0"/>
      <w:divBdr>
        <w:top w:val="none" w:sz="0" w:space="0" w:color="auto"/>
        <w:left w:val="none" w:sz="0" w:space="0" w:color="auto"/>
        <w:bottom w:val="none" w:sz="0" w:space="0" w:color="auto"/>
        <w:right w:val="none" w:sz="0" w:space="0" w:color="auto"/>
      </w:divBdr>
    </w:div>
    <w:div w:id="1497038925">
      <w:bodyDiv w:val="1"/>
      <w:marLeft w:val="0"/>
      <w:marRight w:val="0"/>
      <w:marTop w:val="0"/>
      <w:marBottom w:val="0"/>
      <w:divBdr>
        <w:top w:val="none" w:sz="0" w:space="0" w:color="auto"/>
        <w:left w:val="none" w:sz="0" w:space="0" w:color="auto"/>
        <w:bottom w:val="none" w:sz="0" w:space="0" w:color="auto"/>
        <w:right w:val="none" w:sz="0" w:space="0" w:color="auto"/>
      </w:divBdr>
    </w:div>
    <w:div w:id="1497263500">
      <w:bodyDiv w:val="1"/>
      <w:marLeft w:val="0"/>
      <w:marRight w:val="0"/>
      <w:marTop w:val="0"/>
      <w:marBottom w:val="0"/>
      <w:divBdr>
        <w:top w:val="none" w:sz="0" w:space="0" w:color="auto"/>
        <w:left w:val="none" w:sz="0" w:space="0" w:color="auto"/>
        <w:bottom w:val="none" w:sz="0" w:space="0" w:color="auto"/>
        <w:right w:val="none" w:sz="0" w:space="0" w:color="auto"/>
      </w:divBdr>
    </w:div>
    <w:div w:id="1497577765">
      <w:bodyDiv w:val="1"/>
      <w:marLeft w:val="0"/>
      <w:marRight w:val="0"/>
      <w:marTop w:val="0"/>
      <w:marBottom w:val="0"/>
      <w:divBdr>
        <w:top w:val="none" w:sz="0" w:space="0" w:color="auto"/>
        <w:left w:val="none" w:sz="0" w:space="0" w:color="auto"/>
        <w:bottom w:val="none" w:sz="0" w:space="0" w:color="auto"/>
        <w:right w:val="none" w:sz="0" w:space="0" w:color="auto"/>
      </w:divBdr>
    </w:div>
    <w:div w:id="1502694076">
      <w:bodyDiv w:val="1"/>
      <w:marLeft w:val="0"/>
      <w:marRight w:val="0"/>
      <w:marTop w:val="0"/>
      <w:marBottom w:val="0"/>
      <w:divBdr>
        <w:top w:val="none" w:sz="0" w:space="0" w:color="auto"/>
        <w:left w:val="none" w:sz="0" w:space="0" w:color="auto"/>
        <w:bottom w:val="none" w:sz="0" w:space="0" w:color="auto"/>
        <w:right w:val="none" w:sz="0" w:space="0" w:color="auto"/>
      </w:divBdr>
    </w:div>
    <w:div w:id="1503623569">
      <w:bodyDiv w:val="1"/>
      <w:marLeft w:val="0"/>
      <w:marRight w:val="0"/>
      <w:marTop w:val="0"/>
      <w:marBottom w:val="0"/>
      <w:divBdr>
        <w:top w:val="none" w:sz="0" w:space="0" w:color="auto"/>
        <w:left w:val="none" w:sz="0" w:space="0" w:color="auto"/>
        <w:bottom w:val="none" w:sz="0" w:space="0" w:color="auto"/>
        <w:right w:val="none" w:sz="0" w:space="0" w:color="auto"/>
      </w:divBdr>
    </w:div>
    <w:div w:id="1505902997">
      <w:bodyDiv w:val="1"/>
      <w:marLeft w:val="0"/>
      <w:marRight w:val="0"/>
      <w:marTop w:val="0"/>
      <w:marBottom w:val="0"/>
      <w:divBdr>
        <w:top w:val="none" w:sz="0" w:space="0" w:color="auto"/>
        <w:left w:val="none" w:sz="0" w:space="0" w:color="auto"/>
        <w:bottom w:val="none" w:sz="0" w:space="0" w:color="auto"/>
        <w:right w:val="none" w:sz="0" w:space="0" w:color="auto"/>
      </w:divBdr>
    </w:div>
    <w:div w:id="1508787566">
      <w:bodyDiv w:val="1"/>
      <w:marLeft w:val="0"/>
      <w:marRight w:val="0"/>
      <w:marTop w:val="0"/>
      <w:marBottom w:val="0"/>
      <w:divBdr>
        <w:top w:val="none" w:sz="0" w:space="0" w:color="auto"/>
        <w:left w:val="none" w:sz="0" w:space="0" w:color="auto"/>
        <w:bottom w:val="none" w:sz="0" w:space="0" w:color="auto"/>
        <w:right w:val="none" w:sz="0" w:space="0" w:color="auto"/>
      </w:divBdr>
    </w:div>
    <w:div w:id="1512143698">
      <w:bodyDiv w:val="1"/>
      <w:marLeft w:val="0"/>
      <w:marRight w:val="0"/>
      <w:marTop w:val="0"/>
      <w:marBottom w:val="0"/>
      <w:divBdr>
        <w:top w:val="none" w:sz="0" w:space="0" w:color="auto"/>
        <w:left w:val="none" w:sz="0" w:space="0" w:color="auto"/>
        <w:bottom w:val="none" w:sz="0" w:space="0" w:color="auto"/>
        <w:right w:val="none" w:sz="0" w:space="0" w:color="auto"/>
      </w:divBdr>
    </w:div>
    <w:div w:id="1513495270">
      <w:bodyDiv w:val="1"/>
      <w:marLeft w:val="0"/>
      <w:marRight w:val="0"/>
      <w:marTop w:val="0"/>
      <w:marBottom w:val="0"/>
      <w:divBdr>
        <w:top w:val="none" w:sz="0" w:space="0" w:color="auto"/>
        <w:left w:val="none" w:sz="0" w:space="0" w:color="auto"/>
        <w:bottom w:val="none" w:sz="0" w:space="0" w:color="auto"/>
        <w:right w:val="none" w:sz="0" w:space="0" w:color="auto"/>
      </w:divBdr>
    </w:div>
    <w:div w:id="1513566641">
      <w:bodyDiv w:val="1"/>
      <w:marLeft w:val="0"/>
      <w:marRight w:val="0"/>
      <w:marTop w:val="0"/>
      <w:marBottom w:val="0"/>
      <w:divBdr>
        <w:top w:val="none" w:sz="0" w:space="0" w:color="auto"/>
        <w:left w:val="none" w:sz="0" w:space="0" w:color="auto"/>
        <w:bottom w:val="none" w:sz="0" w:space="0" w:color="auto"/>
        <w:right w:val="none" w:sz="0" w:space="0" w:color="auto"/>
      </w:divBdr>
    </w:div>
    <w:div w:id="1514806980">
      <w:bodyDiv w:val="1"/>
      <w:marLeft w:val="0"/>
      <w:marRight w:val="0"/>
      <w:marTop w:val="0"/>
      <w:marBottom w:val="0"/>
      <w:divBdr>
        <w:top w:val="none" w:sz="0" w:space="0" w:color="auto"/>
        <w:left w:val="none" w:sz="0" w:space="0" w:color="auto"/>
        <w:bottom w:val="none" w:sz="0" w:space="0" w:color="auto"/>
        <w:right w:val="none" w:sz="0" w:space="0" w:color="auto"/>
      </w:divBdr>
    </w:div>
    <w:div w:id="1515731037">
      <w:bodyDiv w:val="1"/>
      <w:marLeft w:val="0"/>
      <w:marRight w:val="0"/>
      <w:marTop w:val="0"/>
      <w:marBottom w:val="0"/>
      <w:divBdr>
        <w:top w:val="none" w:sz="0" w:space="0" w:color="auto"/>
        <w:left w:val="none" w:sz="0" w:space="0" w:color="auto"/>
        <w:bottom w:val="none" w:sz="0" w:space="0" w:color="auto"/>
        <w:right w:val="none" w:sz="0" w:space="0" w:color="auto"/>
      </w:divBdr>
    </w:div>
    <w:div w:id="1517115640">
      <w:bodyDiv w:val="1"/>
      <w:marLeft w:val="0"/>
      <w:marRight w:val="0"/>
      <w:marTop w:val="0"/>
      <w:marBottom w:val="0"/>
      <w:divBdr>
        <w:top w:val="none" w:sz="0" w:space="0" w:color="auto"/>
        <w:left w:val="none" w:sz="0" w:space="0" w:color="auto"/>
        <w:bottom w:val="none" w:sz="0" w:space="0" w:color="auto"/>
        <w:right w:val="none" w:sz="0" w:space="0" w:color="auto"/>
      </w:divBdr>
    </w:div>
    <w:div w:id="1523862594">
      <w:bodyDiv w:val="1"/>
      <w:marLeft w:val="0"/>
      <w:marRight w:val="0"/>
      <w:marTop w:val="0"/>
      <w:marBottom w:val="0"/>
      <w:divBdr>
        <w:top w:val="none" w:sz="0" w:space="0" w:color="auto"/>
        <w:left w:val="none" w:sz="0" w:space="0" w:color="auto"/>
        <w:bottom w:val="none" w:sz="0" w:space="0" w:color="auto"/>
        <w:right w:val="none" w:sz="0" w:space="0" w:color="auto"/>
      </w:divBdr>
    </w:div>
    <w:div w:id="1524172705">
      <w:bodyDiv w:val="1"/>
      <w:marLeft w:val="0"/>
      <w:marRight w:val="0"/>
      <w:marTop w:val="0"/>
      <w:marBottom w:val="0"/>
      <w:divBdr>
        <w:top w:val="none" w:sz="0" w:space="0" w:color="auto"/>
        <w:left w:val="none" w:sz="0" w:space="0" w:color="auto"/>
        <w:bottom w:val="none" w:sz="0" w:space="0" w:color="auto"/>
        <w:right w:val="none" w:sz="0" w:space="0" w:color="auto"/>
      </w:divBdr>
    </w:div>
    <w:div w:id="1525560144">
      <w:bodyDiv w:val="1"/>
      <w:marLeft w:val="0"/>
      <w:marRight w:val="0"/>
      <w:marTop w:val="0"/>
      <w:marBottom w:val="0"/>
      <w:divBdr>
        <w:top w:val="none" w:sz="0" w:space="0" w:color="auto"/>
        <w:left w:val="none" w:sz="0" w:space="0" w:color="auto"/>
        <w:bottom w:val="none" w:sz="0" w:space="0" w:color="auto"/>
        <w:right w:val="none" w:sz="0" w:space="0" w:color="auto"/>
      </w:divBdr>
    </w:div>
    <w:div w:id="1526093366">
      <w:bodyDiv w:val="1"/>
      <w:marLeft w:val="0"/>
      <w:marRight w:val="0"/>
      <w:marTop w:val="0"/>
      <w:marBottom w:val="0"/>
      <w:divBdr>
        <w:top w:val="none" w:sz="0" w:space="0" w:color="auto"/>
        <w:left w:val="none" w:sz="0" w:space="0" w:color="auto"/>
        <w:bottom w:val="none" w:sz="0" w:space="0" w:color="auto"/>
        <w:right w:val="none" w:sz="0" w:space="0" w:color="auto"/>
      </w:divBdr>
    </w:div>
    <w:div w:id="1527595559">
      <w:bodyDiv w:val="1"/>
      <w:marLeft w:val="0"/>
      <w:marRight w:val="0"/>
      <w:marTop w:val="0"/>
      <w:marBottom w:val="0"/>
      <w:divBdr>
        <w:top w:val="none" w:sz="0" w:space="0" w:color="auto"/>
        <w:left w:val="none" w:sz="0" w:space="0" w:color="auto"/>
        <w:bottom w:val="none" w:sz="0" w:space="0" w:color="auto"/>
        <w:right w:val="none" w:sz="0" w:space="0" w:color="auto"/>
      </w:divBdr>
    </w:div>
    <w:div w:id="1528985168">
      <w:bodyDiv w:val="1"/>
      <w:marLeft w:val="0"/>
      <w:marRight w:val="0"/>
      <w:marTop w:val="0"/>
      <w:marBottom w:val="0"/>
      <w:divBdr>
        <w:top w:val="none" w:sz="0" w:space="0" w:color="auto"/>
        <w:left w:val="none" w:sz="0" w:space="0" w:color="auto"/>
        <w:bottom w:val="none" w:sz="0" w:space="0" w:color="auto"/>
        <w:right w:val="none" w:sz="0" w:space="0" w:color="auto"/>
      </w:divBdr>
    </w:div>
    <w:div w:id="1531719399">
      <w:bodyDiv w:val="1"/>
      <w:marLeft w:val="0"/>
      <w:marRight w:val="0"/>
      <w:marTop w:val="0"/>
      <w:marBottom w:val="0"/>
      <w:divBdr>
        <w:top w:val="none" w:sz="0" w:space="0" w:color="auto"/>
        <w:left w:val="none" w:sz="0" w:space="0" w:color="auto"/>
        <w:bottom w:val="none" w:sz="0" w:space="0" w:color="auto"/>
        <w:right w:val="none" w:sz="0" w:space="0" w:color="auto"/>
      </w:divBdr>
    </w:div>
    <w:div w:id="1533112883">
      <w:bodyDiv w:val="1"/>
      <w:marLeft w:val="0"/>
      <w:marRight w:val="0"/>
      <w:marTop w:val="0"/>
      <w:marBottom w:val="0"/>
      <w:divBdr>
        <w:top w:val="none" w:sz="0" w:space="0" w:color="auto"/>
        <w:left w:val="none" w:sz="0" w:space="0" w:color="auto"/>
        <w:bottom w:val="none" w:sz="0" w:space="0" w:color="auto"/>
        <w:right w:val="none" w:sz="0" w:space="0" w:color="auto"/>
      </w:divBdr>
    </w:div>
    <w:div w:id="1535266985">
      <w:bodyDiv w:val="1"/>
      <w:marLeft w:val="0"/>
      <w:marRight w:val="0"/>
      <w:marTop w:val="0"/>
      <w:marBottom w:val="0"/>
      <w:divBdr>
        <w:top w:val="none" w:sz="0" w:space="0" w:color="auto"/>
        <w:left w:val="none" w:sz="0" w:space="0" w:color="auto"/>
        <w:bottom w:val="none" w:sz="0" w:space="0" w:color="auto"/>
        <w:right w:val="none" w:sz="0" w:space="0" w:color="auto"/>
      </w:divBdr>
    </w:div>
    <w:div w:id="1535725113">
      <w:bodyDiv w:val="1"/>
      <w:marLeft w:val="0"/>
      <w:marRight w:val="0"/>
      <w:marTop w:val="0"/>
      <w:marBottom w:val="0"/>
      <w:divBdr>
        <w:top w:val="none" w:sz="0" w:space="0" w:color="auto"/>
        <w:left w:val="none" w:sz="0" w:space="0" w:color="auto"/>
        <w:bottom w:val="none" w:sz="0" w:space="0" w:color="auto"/>
        <w:right w:val="none" w:sz="0" w:space="0" w:color="auto"/>
      </w:divBdr>
    </w:div>
    <w:div w:id="1540581198">
      <w:bodyDiv w:val="1"/>
      <w:marLeft w:val="0"/>
      <w:marRight w:val="0"/>
      <w:marTop w:val="0"/>
      <w:marBottom w:val="0"/>
      <w:divBdr>
        <w:top w:val="none" w:sz="0" w:space="0" w:color="auto"/>
        <w:left w:val="none" w:sz="0" w:space="0" w:color="auto"/>
        <w:bottom w:val="none" w:sz="0" w:space="0" w:color="auto"/>
        <w:right w:val="none" w:sz="0" w:space="0" w:color="auto"/>
      </w:divBdr>
    </w:div>
    <w:div w:id="1541623560">
      <w:bodyDiv w:val="1"/>
      <w:marLeft w:val="0"/>
      <w:marRight w:val="0"/>
      <w:marTop w:val="0"/>
      <w:marBottom w:val="0"/>
      <w:divBdr>
        <w:top w:val="none" w:sz="0" w:space="0" w:color="auto"/>
        <w:left w:val="none" w:sz="0" w:space="0" w:color="auto"/>
        <w:bottom w:val="none" w:sz="0" w:space="0" w:color="auto"/>
        <w:right w:val="none" w:sz="0" w:space="0" w:color="auto"/>
      </w:divBdr>
    </w:div>
    <w:div w:id="1544100797">
      <w:bodyDiv w:val="1"/>
      <w:marLeft w:val="0"/>
      <w:marRight w:val="0"/>
      <w:marTop w:val="0"/>
      <w:marBottom w:val="0"/>
      <w:divBdr>
        <w:top w:val="none" w:sz="0" w:space="0" w:color="auto"/>
        <w:left w:val="none" w:sz="0" w:space="0" w:color="auto"/>
        <w:bottom w:val="none" w:sz="0" w:space="0" w:color="auto"/>
        <w:right w:val="none" w:sz="0" w:space="0" w:color="auto"/>
      </w:divBdr>
    </w:div>
    <w:div w:id="1544903418">
      <w:bodyDiv w:val="1"/>
      <w:marLeft w:val="0"/>
      <w:marRight w:val="0"/>
      <w:marTop w:val="0"/>
      <w:marBottom w:val="0"/>
      <w:divBdr>
        <w:top w:val="none" w:sz="0" w:space="0" w:color="auto"/>
        <w:left w:val="none" w:sz="0" w:space="0" w:color="auto"/>
        <w:bottom w:val="none" w:sz="0" w:space="0" w:color="auto"/>
        <w:right w:val="none" w:sz="0" w:space="0" w:color="auto"/>
      </w:divBdr>
    </w:div>
    <w:div w:id="1545633007">
      <w:bodyDiv w:val="1"/>
      <w:marLeft w:val="0"/>
      <w:marRight w:val="0"/>
      <w:marTop w:val="0"/>
      <w:marBottom w:val="0"/>
      <w:divBdr>
        <w:top w:val="none" w:sz="0" w:space="0" w:color="auto"/>
        <w:left w:val="none" w:sz="0" w:space="0" w:color="auto"/>
        <w:bottom w:val="none" w:sz="0" w:space="0" w:color="auto"/>
        <w:right w:val="none" w:sz="0" w:space="0" w:color="auto"/>
      </w:divBdr>
    </w:div>
    <w:div w:id="1545676281">
      <w:bodyDiv w:val="1"/>
      <w:marLeft w:val="0"/>
      <w:marRight w:val="0"/>
      <w:marTop w:val="0"/>
      <w:marBottom w:val="0"/>
      <w:divBdr>
        <w:top w:val="none" w:sz="0" w:space="0" w:color="auto"/>
        <w:left w:val="none" w:sz="0" w:space="0" w:color="auto"/>
        <w:bottom w:val="none" w:sz="0" w:space="0" w:color="auto"/>
        <w:right w:val="none" w:sz="0" w:space="0" w:color="auto"/>
      </w:divBdr>
    </w:div>
    <w:div w:id="1546940077">
      <w:bodyDiv w:val="1"/>
      <w:marLeft w:val="0"/>
      <w:marRight w:val="0"/>
      <w:marTop w:val="0"/>
      <w:marBottom w:val="0"/>
      <w:divBdr>
        <w:top w:val="none" w:sz="0" w:space="0" w:color="auto"/>
        <w:left w:val="none" w:sz="0" w:space="0" w:color="auto"/>
        <w:bottom w:val="none" w:sz="0" w:space="0" w:color="auto"/>
        <w:right w:val="none" w:sz="0" w:space="0" w:color="auto"/>
      </w:divBdr>
    </w:div>
    <w:div w:id="1548299858">
      <w:bodyDiv w:val="1"/>
      <w:marLeft w:val="0"/>
      <w:marRight w:val="0"/>
      <w:marTop w:val="0"/>
      <w:marBottom w:val="0"/>
      <w:divBdr>
        <w:top w:val="none" w:sz="0" w:space="0" w:color="auto"/>
        <w:left w:val="none" w:sz="0" w:space="0" w:color="auto"/>
        <w:bottom w:val="none" w:sz="0" w:space="0" w:color="auto"/>
        <w:right w:val="none" w:sz="0" w:space="0" w:color="auto"/>
      </w:divBdr>
    </w:div>
    <w:div w:id="1548756121">
      <w:bodyDiv w:val="1"/>
      <w:marLeft w:val="0"/>
      <w:marRight w:val="0"/>
      <w:marTop w:val="0"/>
      <w:marBottom w:val="0"/>
      <w:divBdr>
        <w:top w:val="none" w:sz="0" w:space="0" w:color="auto"/>
        <w:left w:val="none" w:sz="0" w:space="0" w:color="auto"/>
        <w:bottom w:val="none" w:sz="0" w:space="0" w:color="auto"/>
        <w:right w:val="none" w:sz="0" w:space="0" w:color="auto"/>
      </w:divBdr>
    </w:div>
    <w:div w:id="1551110064">
      <w:bodyDiv w:val="1"/>
      <w:marLeft w:val="0"/>
      <w:marRight w:val="0"/>
      <w:marTop w:val="0"/>
      <w:marBottom w:val="0"/>
      <w:divBdr>
        <w:top w:val="none" w:sz="0" w:space="0" w:color="auto"/>
        <w:left w:val="none" w:sz="0" w:space="0" w:color="auto"/>
        <w:bottom w:val="none" w:sz="0" w:space="0" w:color="auto"/>
        <w:right w:val="none" w:sz="0" w:space="0" w:color="auto"/>
      </w:divBdr>
    </w:div>
    <w:div w:id="1551183453">
      <w:bodyDiv w:val="1"/>
      <w:marLeft w:val="0"/>
      <w:marRight w:val="0"/>
      <w:marTop w:val="0"/>
      <w:marBottom w:val="0"/>
      <w:divBdr>
        <w:top w:val="none" w:sz="0" w:space="0" w:color="auto"/>
        <w:left w:val="none" w:sz="0" w:space="0" w:color="auto"/>
        <w:bottom w:val="none" w:sz="0" w:space="0" w:color="auto"/>
        <w:right w:val="none" w:sz="0" w:space="0" w:color="auto"/>
      </w:divBdr>
    </w:div>
    <w:div w:id="1552228478">
      <w:bodyDiv w:val="1"/>
      <w:marLeft w:val="0"/>
      <w:marRight w:val="0"/>
      <w:marTop w:val="0"/>
      <w:marBottom w:val="0"/>
      <w:divBdr>
        <w:top w:val="none" w:sz="0" w:space="0" w:color="auto"/>
        <w:left w:val="none" w:sz="0" w:space="0" w:color="auto"/>
        <w:bottom w:val="none" w:sz="0" w:space="0" w:color="auto"/>
        <w:right w:val="none" w:sz="0" w:space="0" w:color="auto"/>
      </w:divBdr>
    </w:div>
    <w:div w:id="1555852002">
      <w:bodyDiv w:val="1"/>
      <w:marLeft w:val="0"/>
      <w:marRight w:val="0"/>
      <w:marTop w:val="0"/>
      <w:marBottom w:val="0"/>
      <w:divBdr>
        <w:top w:val="none" w:sz="0" w:space="0" w:color="auto"/>
        <w:left w:val="none" w:sz="0" w:space="0" w:color="auto"/>
        <w:bottom w:val="none" w:sz="0" w:space="0" w:color="auto"/>
        <w:right w:val="none" w:sz="0" w:space="0" w:color="auto"/>
      </w:divBdr>
    </w:div>
    <w:div w:id="1555896645">
      <w:bodyDiv w:val="1"/>
      <w:marLeft w:val="0"/>
      <w:marRight w:val="0"/>
      <w:marTop w:val="0"/>
      <w:marBottom w:val="0"/>
      <w:divBdr>
        <w:top w:val="none" w:sz="0" w:space="0" w:color="auto"/>
        <w:left w:val="none" w:sz="0" w:space="0" w:color="auto"/>
        <w:bottom w:val="none" w:sz="0" w:space="0" w:color="auto"/>
        <w:right w:val="none" w:sz="0" w:space="0" w:color="auto"/>
      </w:divBdr>
    </w:div>
    <w:div w:id="1556315221">
      <w:bodyDiv w:val="1"/>
      <w:marLeft w:val="0"/>
      <w:marRight w:val="0"/>
      <w:marTop w:val="0"/>
      <w:marBottom w:val="0"/>
      <w:divBdr>
        <w:top w:val="none" w:sz="0" w:space="0" w:color="auto"/>
        <w:left w:val="none" w:sz="0" w:space="0" w:color="auto"/>
        <w:bottom w:val="none" w:sz="0" w:space="0" w:color="auto"/>
        <w:right w:val="none" w:sz="0" w:space="0" w:color="auto"/>
      </w:divBdr>
    </w:div>
    <w:div w:id="1557163434">
      <w:bodyDiv w:val="1"/>
      <w:marLeft w:val="0"/>
      <w:marRight w:val="0"/>
      <w:marTop w:val="0"/>
      <w:marBottom w:val="0"/>
      <w:divBdr>
        <w:top w:val="none" w:sz="0" w:space="0" w:color="auto"/>
        <w:left w:val="none" w:sz="0" w:space="0" w:color="auto"/>
        <w:bottom w:val="none" w:sz="0" w:space="0" w:color="auto"/>
        <w:right w:val="none" w:sz="0" w:space="0" w:color="auto"/>
      </w:divBdr>
    </w:div>
    <w:div w:id="1558860255">
      <w:bodyDiv w:val="1"/>
      <w:marLeft w:val="0"/>
      <w:marRight w:val="0"/>
      <w:marTop w:val="0"/>
      <w:marBottom w:val="0"/>
      <w:divBdr>
        <w:top w:val="none" w:sz="0" w:space="0" w:color="auto"/>
        <w:left w:val="none" w:sz="0" w:space="0" w:color="auto"/>
        <w:bottom w:val="none" w:sz="0" w:space="0" w:color="auto"/>
        <w:right w:val="none" w:sz="0" w:space="0" w:color="auto"/>
      </w:divBdr>
    </w:div>
    <w:div w:id="1559826599">
      <w:bodyDiv w:val="1"/>
      <w:marLeft w:val="0"/>
      <w:marRight w:val="0"/>
      <w:marTop w:val="0"/>
      <w:marBottom w:val="0"/>
      <w:divBdr>
        <w:top w:val="none" w:sz="0" w:space="0" w:color="auto"/>
        <w:left w:val="none" w:sz="0" w:space="0" w:color="auto"/>
        <w:bottom w:val="none" w:sz="0" w:space="0" w:color="auto"/>
        <w:right w:val="none" w:sz="0" w:space="0" w:color="auto"/>
      </w:divBdr>
    </w:div>
    <w:div w:id="1559902506">
      <w:bodyDiv w:val="1"/>
      <w:marLeft w:val="0"/>
      <w:marRight w:val="0"/>
      <w:marTop w:val="0"/>
      <w:marBottom w:val="0"/>
      <w:divBdr>
        <w:top w:val="none" w:sz="0" w:space="0" w:color="auto"/>
        <w:left w:val="none" w:sz="0" w:space="0" w:color="auto"/>
        <w:bottom w:val="none" w:sz="0" w:space="0" w:color="auto"/>
        <w:right w:val="none" w:sz="0" w:space="0" w:color="auto"/>
      </w:divBdr>
    </w:div>
    <w:div w:id="1560899341">
      <w:bodyDiv w:val="1"/>
      <w:marLeft w:val="0"/>
      <w:marRight w:val="0"/>
      <w:marTop w:val="0"/>
      <w:marBottom w:val="0"/>
      <w:divBdr>
        <w:top w:val="none" w:sz="0" w:space="0" w:color="auto"/>
        <w:left w:val="none" w:sz="0" w:space="0" w:color="auto"/>
        <w:bottom w:val="none" w:sz="0" w:space="0" w:color="auto"/>
        <w:right w:val="none" w:sz="0" w:space="0" w:color="auto"/>
      </w:divBdr>
    </w:div>
    <w:div w:id="1561869652">
      <w:bodyDiv w:val="1"/>
      <w:marLeft w:val="0"/>
      <w:marRight w:val="0"/>
      <w:marTop w:val="0"/>
      <w:marBottom w:val="0"/>
      <w:divBdr>
        <w:top w:val="none" w:sz="0" w:space="0" w:color="auto"/>
        <w:left w:val="none" w:sz="0" w:space="0" w:color="auto"/>
        <w:bottom w:val="none" w:sz="0" w:space="0" w:color="auto"/>
        <w:right w:val="none" w:sz="0" w:space="0" w:color="auto"/>
      </w:divBdr>
    </w:div>
    <w:div w:id="1562714369">
      <w:bodyDiv w:val="1"/>
      <w:marLeft w:val="0"/>
      <w:marRight w:val="0"/>
      <w:marTop w:val="0"/>
      <w:marBottom w:val="0"/>
      <w:divBdr>
        <w:top w:val="none" w:sz="0" w:space="0" w:color="auto"/>
        <w:left w:val="none" w:sz="0" w:space="0" w:color="auto"/>
        <w:bottom w:val="none" w:sz="0" w:space="0" w:color="auto"/>
        <w:right w:val="none" w:sz="0" w:space="0" w:color="auto"/>
      </w:divBdr>
    </w:div>
    <w:div w:id="1567715487">
      <w:bodyDiv w:val="1"/>
      <w:marLeft w:val="0"/>
      <w:marRight w:val="0"/>
      <w:marTop w:val="0"/>
      <w:marBottom w:val="0"/>
      <w:divBdr>
        <w:top w:val="none" w:sz="0" w:space="0" w:color="auto"/>
        <w:left w:val="none" w:sz="0" w:space="0" w:color="auto"/>
        <w:bottom w:val="none" w:sz="0" w:space="0" w:color="auto"/>
        <w:right w:val="none" w:sz="0" w:space="0" w:color="auto"/>
      </w:divBdr>
    </w:div>
    <w:div w:id="1568373902">
      <w:bodyDiv w:val="1"/>
      <w:marLeft w:val="0"/>
      <w:marRight w:val="0"/>
      <w:marTop w:val="0"/>
      <w:marBottom w:val="0"/>
      <w:divBdr>
        <w:top w:val="none" w:sz="0" w:space="0" w:color="auto"/>
        <w:left w:val="none" w:sz="0" w:space="0" w:color="auto"/>
        <w:bottom w:val="none" w:sz="0" w:space="0" w:color="auto"/>
        <w:right w:val="none" w:sz="0" w:space="0" w:color="auto"/>
      </w:divBdr>
    </w:div>
    <w:div w:id="1569421061">
      <w:bodyDiv w:val="1"/>
      <w:marLeft w:val="0"/>
      <w:marRight w:val="0"/>
      <w:marTop w:val="0"/>
      <w:marBottom w:val="0"/>
      <w:divBdr>
        <w:top w:val="none" w:sz="0" w:space="0" w:color="auto"/>
        <w:left w:val="none" w:sz="0" w:space="0" w:color="auto"/>
        <w:bottom w:val="none" w:sz="0" w:space="0" w:color="auto"/>
        <w:right w:val="none" w:sz="0" w:space="0" w:color="auto"/>
      </w:divBdr>
    </w:div>
    <w:div w:id="1570729065">
      <w:bodyDiv w:val="1"/>
      <w:marLeft w:val="0"/>
      <w:marRight w:val="0"/>
      <w:marTop w:val="0"/>
      <w:marBottom w:val="0"/>
      <w:divBdr>
        <w:top w:val="none" w:sz="0" w:space="0" w:color="auto"/>
        <w:left w:val="none" w:sz="0" w:space="0" w:color="auto"/>
        <w:bottom w:val="none" w:sz="0" w:space="0" w:color="auto"/>
        <w:right w:val="none" w:sz="0" w:space="0" w:color="auto"/>
      </w:divBdr>
    </w:div>
    <w:div w:id="1572033327">
      <w:bodyDiv w:val="1"/>
      <w:marLeft w:val="0"/>
      <w:marRight w:val="0"/>
      <w:marTop w:val="0"/>
      <w:marBottom w:val="0"/>
      <w:divBdr>
        <w:top w:val="none" w:sz="0" w:space="0" w:color="auto"/>
        <w:left w:val="none" w:sz="0" w:space="0" w:color="auto"/>
        <w:bottom w:val="none" w:sz="0" w:space="0" w:color="auto"/>
        <w:right w:val="none" w:sz="0" w:space="0" w:color="auto"/>
      </w:divBdr>
    </w:div>
    <w:div w:id="1572160998">
      <w:bodyDiv w:val="1"/>
      <w:marLeft w:val="0"/>
      <w:marRight w:val="0"/>
      <w:marTop w:val="0"/>
      <w:marBottom w:val="0"/>
      <w:divBdr>
        <w:top w:val="none" w:sz="0" w:space="0" w:color="auto"/>
        <w:left w:val="none" w:sz="0" w:space="0" w:color="auto"/>
        <w:bottom w:val="none" w:sz="0" w:space="0" w:color="auto"/>
        <w:right w:val="none" w:sz="0" w:space="0" w:color="auto"/>
      </w:divBdr>
    </w:div>
    <w:div w:id="1574657531">
      <w:bodyDiv w:val="1"/>
      <w:marLeft w:val="0"/>
      <w:marRight w:val="0"/>
      <w:marTop w:val="0"/>
      <w:marBottom w:val="0"/>
      <w:divBdr>
        <w:top w:val="none" w:sz="0" w:space="0" w:color="auto"/>
        <w:left w:val="none" w:sz="0" w:space="0" w:color="auto"/>
        <w:bottom w:val="none" w:sz="0" w:space="0" w:color="auto"/>
        <w:right w:val="none" w:sz="0" w:space="0" w:color="auto"/>
      </w:divBdr>
    </w:div>
    <w:div w:id="1576668258">
      <w:bodyDiv w:val="1"/>
      <w:marLeft w:val="0"/>
      <w:marRight w:val="0"/>
      <w:marTop w:val="0"/>
      <w:marBottom w:val="0"/>
      <w:divBdr>
        <w:top w:val="none" w:sz="0" w:space="0" w:color="auto"/>
        <w:left w:val="none" w:sz="0" w:space="0" w:color="auto"/>
        <w:bottom w:val="none" w:sz="0" w:space="0" w:color="auto"/>
        <w:right w:val="none" w:sz="0" w:space="0" w:color="auto"/>
      </w:divBdr>
    </w:div>
    <w:div w:id="1577781885">
      <w:bodyDiv w:val="1"/>
      <w:marLeft w:val="0"/>
      <w:marRight w:val="0"/>
      <w:marTop w:val="0"/>
      <w:marBottom w:val="0"/>
      <w:divBdr>
        <w:top w:val="none" w:sz="0" w:space="0" w:color="auto"/>
        <w:left w:val="none" w:sz="0" w:space="0" w:color="auto"/>
        <w:bottom w:val="none" w:sz="0" w:space="0" w:color="auto"/>
        <w:right w:val="none" w:sz="0" w:space="0" w:color="auto"/>
      </w:divBdr>
    </w:div>
    <w:div w:id="1578172660">
      <w:bodyDiv w:val="1"/>
      <w:marLeft w:val="0"/>
      <w:marRight w:val="0"/>
      <w:marTop w:val="0"/>
      <w:marBottom w:val="0"/>
      <w:divBdr>
        <w:top w:val="none" w:sz="0" w:space="0" w:color="auto"/>
        <w:left w:val="none" w:sz="0" w:space="0" w:color="auto"/>
        <w:bottom w:val="none" w:sz="0" w:space="0" w:color="auto"/>
        <w:right w:val="none" w:sz="0" w:space="0" w:color="auto"/>
      </w:divBdr>
    </w:div>
    <w:div w:id="1579363798">
      <w:bodyDiv w:val="1"/>
      <w:marLeft w:val="0"/>
      <w:marRight w:val="0"/>
      <w:marTop w:val="0"/>
      <w:marBottom w:val="0"/>
      <w:divBdr>
        <w:top w:val="none" w:sz="0" w:space="0" w:color="auto"/>
        <w:left w:val="none" w:sz="0" w:space="0" w:color="auto"/>
        <w:bottom w:val="none" w:sz="0" w:space="0" w:color="auto"/>
        <w:right w:val="none" w:sz="0" w:space="0" w:color="auto"/>
      </w:divBdr>
    </w:div>
    <w:div w:id="1582255532">
      <w:bodyDiv w:val="1"/>
      <w:marLeft w:val="0"/>
      <w:marRight w:val="0"/>
      <w:marTop w:val="0"/>
      <w:marBottom w:val="0"/>
      <w:divBdr>
        <w:top w:val="none" w:sz="0" w:space="0" w:color="auto"/>
        <w:left w:val="none" w:sz="0" w:space="0" w:color="auto"/>
        <w:bottom w:val="none" w:sz="0" w:space="0" w:color="auto"/>
        <w:right w:val="none" w:sz="0" w:space="0" w:color="auto"/>
      </w:divBdr>
    </w:div>
    <w:div w:id="1582448144">
      <w:bodyDiv w:val="1"/>
      <w:marLeft w:val="0"/>
      <w:marRight w:val="0"/>
      <w:marTop w:val="0"/>
      <w:marBottom w:val="0"/>
      <w:divBdr>
        <w:top w:val="none" w:sz="0" w:space="0" w:color="auto"/>
        <w:left w:val="none" w:sz="0" w:space="0" w:color="auto"/>
        <w:bottom w:val="none" w:sz="0" w:space="0" w:color="auto"/>
        <w:right w:val="none" w:sz="0" w:space="0" w:color="auto"/>
      </w:divBdr>
    </w:div>
    <w:div w:id="1582521814">
      <w:bodyDiv w:val="1"/>
      <w:marLeft w:val="0"/>
      <w:marRight w:val="0"/>
      <w:marTop w:val="0"/>
      <w:marBottom w:val="0"/>
      <w:divBdr>
        <w:top w:val="none" w:sz="0" w:space="0" w:color="auto"/>
        <w:left w:val="none" w:sz="0" w:space="0" w:color="auto"/>
        <w:bottom w:val="none" w:sz="0" w:space="0" w:color="auto"/>
        <w:right w:val="none" w:sz="0" w:space="0" w:color="auto"/>
      </w:divBdr>
    </w:div>
    <w:div w:id="1586497318">
      <w:bodyDiv w:val="1"/>
      <w:marLeft w:val="0"/>
      <w:marRight w:val="0"/>
      <w:marTop w:val="0"/>
      <w:marBottom w:val="0"/>
      <w:divBdr>
        <w:top w:val="none" w:sz="0" w:space="0" w:color="auto"/>
        <w:left w:val="none" w:sz="0" w:space="0" w:color="auto"/>
        <w:bottom w:val="none" w:sz="0" w:space="0" w:color="auto"/>
        <w:right w:val="none" w:sz="0" w:space="0" w:color="auto"/>
      </w:divBdr>
    </w:div>
    <w:div w:id="1587108233">
      <w:bodyDiv w:val="1"/>
      <w:marLeft w:val="0"/>
      <w:marRight w:val="0"/>
      <w:marTop w:val="0"/>
      <w:marBottom w:val="0"/>
      <w:divBdr>
        <w:top w:val="none" w:sz="0" w:space="0" w:color="auto"/>
        <w:left w:val="none" w:sz="0" w:space="0" w:color="auto"/>
        <w:bottom w:val="none" w:sz="0" w:space="0" w:color="auto"/>
        <w:right w:val="none" w:sz="0" w:space="0" w:color="auto"/>
      </w:divBdr>
    </w:div>
    <w:div w:id="1587350057">
      <w:bodyDiv w:val="1"/>
      <w:marLeft w:val="0"/>
      <w:marRight w:val="0"/>
      <w:marTop w:val="0"/>
      <w:marBottom w:val="0"/>
      <w:divBdr>
        <w:top w:val="none" w:sz="0" w:space="0" w:color="auto"/>
        <w:left w:val="none" w:sz="0" w:space="0" w:color="auto"/>
        <w:bottom w:val="none" w:sz="0" w:space="0" w:color="auto"/>
        <w:right w:val="none" w:sz="0" w:space="0" w:color="auto"/>
      </w:divBdr>
    </w:div>
    <w:div w:id="1587954814">
      <w:bodyDiv w:val="1"/>
      <w:marLeft w:val="0"/>
      <w:marRight w:val="0"/>
      <w:marTop w:val="0"/>
      <w:marBottom w:val="0"/>
      <w:divBdr>
        <w:top w:val="none" w:sz="0" w:space="0" w:color="auto"/>
        <w:left w:val="none" w:sz="0" w:space="0" w:color="auto"/>
        <w:bottom w:val="none" w:sz="0" w:space="0" w:color="auto"/>
        <w:right w:val="none" w:sz="0" w:space="0" w:color="auto"/>
      </w:divBdr>
    </w:div>
    <w:div w:id="1588074888">
      <w:bodyDiv w:val="1"/>
      <w:marLeft w:val="0"/>
      <w:marRight w:val="0"/>
      <w:marTop w:val="0"/>
      <w:marBottom w:val="0"/>
      <w:divBdr>
        <w:top w:val="none" w:sz="0" w:space="0" w:color="auto"/>
        <w:left w:val="none" w:sz="0" w:space="0" w:color="auto"/>
        <w:bottom w:val="none" w:sz="0" w:space="0" w:color="auto"/>
        <w:right w:val="none" w:sz="0" w:space="0" w:color="auto"/>
      </w:divBdr>
    </w:div>
    <w:div w:id="1589270385">
      <w:bodyDiv w:val="1"/>
      <w:marLeft w:val="0"/>
      <w:marRight w:val="0"/>
      <w:marTop w:val="0"/>
      <w:marBottom w:val="0"/>
      <w:divBdr>
        <w:top w:val="none" w:sz="0" w:space="0" w:color="auto"/>
        <w:left w:val="none" w:sz="0" w:space="0" w:color="auto"/>
        <w:bottom w:val="none" w:sz="0" w:space="0" w:color="auto"/>
        <w:right w:val="none" w:sz="0" w:space="0" w:color="auto"/>
      </w:divBdr>
    </w:div>
    <w:div w:id="1594704524">
      <w:bodyDiv w:val="1"/>
      <w:marLeft w:val="0"/>
      <w:marRight w:val="0"/>
      <w:marTop w:val="0"/>
      <w:marBottom w:val="0"/>
      <w:divBdr>
        <w:top w:val="none" w:sz="0" w:space="0" w:color="auto"/>
        <w:left w:val="none" w:sz="0" w:space="0" w:color="auto"/>
        <w:bottom w:val="none" w:sz="0" w:space="0" w:color="auto"/>
        <w:right w:val="none" w:sz="0" w:space="0" w:color="auto"/>
      </w:divBdr>
    </w:div>
    <w:div w:id="1598365629">
      <w:bodyDiv w:val="1"/>
      <w:marLeft w:val="0"/>
      <w:marRight w:val="0"/>
      <w:marTop w:val="0"/>
      <w:marBottom w:val="0"/>
      <w:divBdr>
        <w:top w:val="none" w:sz="0" w:space="0" w:color="auto"/>
        <w:left w:val="none" w:sz="0" w:space="0" w:color="auto"/>
        <w:bottom w:val="none" w:sz="0" w:space="0" w:color="auto"/>
        <w:right w:val="none" w:sz="0" w:space="0" w:color="auto"/>
      </w:divBdr>
    </w:div>
    <w:div w:id="1599950298">
      <w:bodyDiv w:val="1"/>
      <w:marLeft w:val="0"/>
      <w:marRight w:val="0"/>
      <w:marTop w:val="0"/>
      <w:marBottom w:val="0"/>
      <w:divBdr>
        <w:top w:val="none" w:sz="0" w:space="0" w:color="auto"/>
        <w:left w:val="none" w:sz="0" w:space="0" w:color="auto"/>
        <w:bottom w:val="none" w:sz="0" w:space="0" w:color="auto"/>
        <w:right w:val="none" w:sz="0" w:space="0" w:color="auto"/>
      </w:divBdr>
    </w:div>
    <w:div w:id="1601525929">
      <w:bodyDiv w:val="1"/>
      <w:marLeft w:val="0"/>
      <w:marRight w:val="0"/>
      <w:marTop w:val="0"/>
      <w:marBottom w:val="0"/>
      <w:divBdr>
        <w:top w:val="none" w:sz="0" w:space="0" w:color="auto"/>
        <w:left w:val="none" w:sz="0" w:space="0" w:color="auto"/>
        <w:bottom w:val="none" w:sz="0" w:space="0" w:color="auto"/>
        <w:right w:val="none" w:sz="0" w:space="0" w:color="auto"/>
      </w:divBdr>
    </w:div>
    <w:div w:id="1601795755">
      <w:bodyDiv w:val="1"/>
      <w:marLeft w:val="0"/>
      <w:marRight w:val="0"/>
      <w:marTop w:val="0"/>
      <w:marBottom w:val="0"/>
      <w:divBdr>
        <w:top w:val="none" w:sz="0" w:space="0" w:color="auto"/>
        <w:left w:val="none" w:sz="0" w:space="0" w:color="auto"/>
        <w:bottom w:val="none" w:sz="0" w:space="0" w:color="auto"/>
        <w:right w:val="none" w:sz="0" w:space="0" w:color="auto"/>
      </w:divBdr>
    </w:div>
    <w:div w:id="1602371443">
      <w:bodyDiv w:val="1"/>
      <w:marLeft w:val="0"/>
      <w:marRight w:val="0"/>
      <w:marTop w:val="0"/>
      <w:marBottom w:val="0"/>
      <w:divBdr>
        <w:top w:val="none" w:sz="0" w:space="0" w:color="auto"/>
        <w:left w:val="none" w:sz="0" w:space="0" w:color="auto"/>
        <w:bottom w:val="none" w:sz="0" w:space="0" w:color="auto"/>
        <w:right w:val="none" w:sz="0" w:space="0" w:color="auto"/>
      </w:divBdr>
    </w:div>
    <w:div w:id="1603345206">
      <w:bodyDiv w:val="1"/>
      <w:marLeft w:val="0"/>
      <w:marRight w:val="0"/>
      <w:marTop w:val="0"/>
      <w:marBottom w:val="0"/>
      <w:divBdr>
        <w:top w:val="none" w:sz="0" w:space="0" w:color="auto"/>
        <w:left w:val="none" w:sz="0" w:space="0" w:color="auto"/>
        <w:bottom w:val="none" w:sz="0" w:space="0" w:color="auto"/>
        <w:right w:val="none" w:sz="0" w:space="0" w:color="auto"/>
      </w:divBdr>
    </w:div>
    <w:div w:id="1603875952">
      <w:bodyDiv w:val="1"/>
      <w:marLeft w:val="0"/>
      <w:marRight w:val="0"/>
      <w:marTop w:val="0"/>
      <w:marBottom w:val="0"/>
      <w:divBdr>
        <w:top w:val="none" w:sz="0" w:space="0" w:color="auto"/>
        <w:left w:val="none" w:sz="0" w:space="0" w:color="auto"/>
        <w:bottom w:val="none" w:sz="0" w:space="0" w:color="auto"/>
        <w:right w:val="none" w:sz="0" w:space="0" w:color="auto"/>
      </w:divBdr>
    </w:div>
    <w:div w:id="1608271073">
      <w:bodyDiv w:val="1"/>
      <w:marLeft w:val="0"/>
      <w:marRight w:val="0"/>
      <w:marTop w:val="0"/>
      <w:marBottom w:val="0"/>
      <w:divBdr>
        <w:top w:val="none" w:sz="0" w:space="0" w:color="auto"/>
        <w:left w:val="none" w:sz="0" w:space="0" w:color="auto"/>
        <w:bottom w:val="none" w:sz="0" w:space="0" w:color="auto"/>
        <w:right w:val="none" w:sz="0" w:space="0" w:color="auto"/>
      </w:divBdr>
    </w:div>
    <w:div w:id="1610552030">
      <w:bodyDiv w:val="1"/>
      <w:marLeft w:val="0"/>
      <w:marRight w:val="0"/>
      <w:marTop w:val="0"/>
      <w:marBottom w:val="0"/>
      <w:divBdr>
        <w:top w:val="none" w:sz="0" w:space="0" w:color="auto"/>
        <w:left w:val="none" w:sz="0" w:space="0" w:color="auto"/>
        <w:bottom w:val="none" w:sz="0" w:space="0" w:color="auto"/>
        <w:right w:val="none" w:sz="0" w:space="0" w:color="auto"/>
      </w:divBdr>
    </w:div>
    <w:div w:id="1611888098">
      <w:bodyDiv w:val="1"/>
      <w:marLeft w:val="0"/>
      <w:marRight w:val="0"/>
      <w:marTop w:val="0"/>
      <w:marBottom w:val="0"/>
      <w:divBdr>
        <w:top w:val="none" w:sz="0" w:space="0" w:color="auto"/>
        <w:left w:val="none" w:sz="0" w:space="0" w:color="auto"/>
        <w:bottom w:val="none" w:sz="0" w:space="0" w:color="auto"/>
        <w:right w:val="none" w:sz="0" w:space="0" w:color="auto"/>
      </w:divBdr>
    </w:div>
    <w:div w:id="1612974921">
      <w:bodyDiv w:val="1"/>
      <w:marLeft w:val="0"/>
      <w:marRight w:val="0"/>
      <w:marTop w:val="0"/>
      <w:marBottom w:val="0"/>
      <w:divBdr>
        <w:top w:val="none" w:sz="0" w:space="0" w:color="auto"/>
        <w:left w:val="none" w:sz="0" w:space="0" w:color="auto"/>
        <w:bottom w:val="none" w:sz="0" w:space="0" w:color="auto"/>
        <w:right w:val="none" w:sz="0" w:space="0" w:color="auto"/>
      </w:divBdr>
    </w:div>
    <w:div w:id="1616790022">
      <w:bodyDiv w:val="1"/>
      <w:marLeft w:val="0"/>
      <w:marRight w:val="0"/>
      <w:marTop w:val="0"/>
      <w:marBottom w:val="0"/>
      <w:divBdr>
        <w:top w:val="none" w:sz="0" w:space="0" w:color="auto"/>
        <w:left w:val="none" w:sz="0" w:space="0" w:color="auto"/>
        <w:bottom w:val="none" w:sz="0" w:space="0" w:color="auto"/>
        <w:right w:val="none" w:sz="0" w:space="0" w:color="auto"/>
      </w:divBdr>
    </w:div>
    <w:div w:id="1617525061">
      <w:bodyDiv w:val="1"/>
      <w:marLeft w:val="0"/>
      <w:marRight w:val="0"/>
      <w:marTop w:val="0"/>
      <w:marBottom w:val="0"/>
      <w:divBdr>
        <w:top w:val="none" w:sz="0" w:space="0" w:color="auto"/>
        <w:left w:val="none" w:sz="0" w:space="0" w:color="auto"/>
        <w:bottom w:val="none" w:sz="0" w:space="0" w:color="auto"/>
        <w:right w:val="none" w:sz="0" w:space="0" w:color="auto"/>
      </w:divBdr>
    </w:div>
    <w:div w:id="1619221227">
      <w:bodyDiv w:val="1"/>
      <w:marLeft w:val="0"/>
      <w:marRight w:val="0"/>
      <w:marTop w:val="0"/>
      <w:marBottom w:val="0"/>
      <w:divBdr>
        <w:top w:val="none" w:sz="0" w:space="0" w:color="auto"/>
        <w:left w:val="none" w:sz="0" w:space="0" w:color="auto"/>
        <w:bottom w:val="none" w:sz="0" w:space="0" w:color="auto"/>
        <w:right w:val="none" w:sz="0" w:space="0" w:color="auto"/>
      </w:divBdr>
    </w:div>
    <w:div w:id="1619601027">
      <w:bodyDiv w:val="1"/>
      <w:marLeft w:val="0"/>
      <w:marRight w:val="0"/>
      <w:marTop w:val="0"/>
      <w:marBottom w:val="0"/>
      <w:divBdr>
        <w:top w:val="none" w:sz="0" w:space="0" w:color="auto"/>
        <w:left w:val="none" w:sz="0" w:space="0" w:color="auto"/>
        <w:bottom w:val="none" w:sz="0" w:space="0" w:color="auto"/>
        <w:right w:val="none" w:sz="0" w:space="0" w:color="auto"/>
      </w:divBdr>
    </w:div>
    <w:div w:id="1619601747">
      <w:bodyDiv w:val="1"/>
      <w:marLeft w:val="0"/>
      <w:marRight w:val="0"/>
      <w:marTop w:val="0"/>
      <w:marBottom w:val="0"/>
      <w:divBdr>
        <w:top w:val="none" w:sz="0" w:space="0" w:color="auto"/>
        <w:left w:val="none" w:sz="0" w:space="0" w:color="auto"/>
        <w:bottom w:val="none" w:sz="0" w:space="0" w:color="auto"/>
        <w:right w:val="none" w:sz="0" w:space="0" w:color="auto"/>
      </w:divBdr>
    </w:div>
    <w:div w:id="1621568830">
      <w:bodyDiv w:val="1"/>
      <w:marLeft w:val="0"/>
      <w:marRight w:val="0"/>
      <w:marTop w:val="0"/>
      <w:marBottom w:val="0"/>
      <w:divBdr>
        <w:top w:val="none" w:sz="0" w:space="0" w:color="auto"/>
        <w:left w:val="none" w:sz="0" w:space="0" w:color="auto"/>
        <w:bottom w:val="none" w:sz="0" w:space="0" w:color="auto"/>
        <w:right w:val="none" w:sz="0" w:space="0" w:color="auto"/>
      </w:divBdr>
    </w:div>
    <w:div w:id="1623228361">
      <w:bodyDiv w:val="1"/>
      <w:marLeft w:val="0"/>
      <w:marRight w:val="0"/>
      <w:marTop w:val="0"/>
      <w:marBottom w:val="0"/>
      <w:divBdr>
        <w:top w:val="none" w:sz="0" w:space="0" w:color="auto"/>
        <w:left w:val="none" w:sz="0" w:space="0" w:color="auto"/>
        <w:bottom w:val="none" w:sz="0" w:space="0" w:color="auto"/>
        <w:right w:val="none" w:sz="0" w:space="0" w:color="auto"/>
      </w:divBdr>
    </w:div>
    <w:div w:id="1623347077">
      <w:bodyDiv w:val="1"/>
      <w:marLeft w:val="0"/>
      <w:marRight w:val="0"/>
      <w:marTop w:val="0"/>
      <w:marBottom w:val="0"/>
      <w:divBdr>
        <w:top w:val="none" w:sz="0" w:space="0" w:color="auto"/>
        <w:left w:val="none" w:sz="0" w:space="0" w:color="auto"/>
        <w:bottom w:val="none" w:sz="0" w:space="0" w:color="auto"/>
        <w:right w:val="none" w:sz="0" w:space="0" w:color="auto"/>
      </w:divBdr>
    </w:div>
    <w:div w:id="1623876969">
      <w:bodyDiv w:val="1"/>
      <w:marLeft w:val="0"/>
      <w:marRight w:val="0"/>
      <w:marTop w:val="0"/>
      <w:marBottom w:val="0"/>
      <w:divBdr>
        <w:top w:val="none" w:sz="0" w:space="0" w:color="auto"/>
        <w:left w:val="none" w:sz="0" w:space="0" w:color="auto"/>
        <w:bottom w:val="none" w:sz="0" w:space="0" w:color="auto"/>
        <w:right w:val="none" w:sz="0" w:space="0" w:color="auto"/>
      </w:divBdr>
    </w:div>
    <w:div w:id="1624461023">
      <w:bodyDiv w:val="1"/>
      <w:marLeft w:val="0"/>
      <w:marRight w:val="0"/>
      <w:marTop w:val="0"/>
      <w:marBottom w:val="0"/>
      <w:divBdr>
        <w:top w:val="none" w:sz="0" w:space="0" w:color="auto"/>
        <w:left w:val="none" w:sz="0" w:space="0" w:color="auto"/>
        <w:bottom w:val="none" w:sz="0" w:space="0" w:color="auto"/>
        <w:right w:val="none" w:sz="0" w:space="0" w:color="auto"/>
      </w:divBdr>
    </w:div>
    <w:div w:id="1624463788">
      <w:bodyDiv w:val="1"/>
      <w:marLeft w:val="0"/>
      <w:marRight w:val="0"/>
      <w:marTop w:val="0"/>
      <w:marBottom w:val="0"/>
      <w:divBdr>
        <w:top w:val="none" w:sz="0" w:space="0" w:color="auto"/>
        <w:left w:val="none" w:sz="0" w:space="0" w:color="auto"/>
        <w:bottom w:val="none" w:sz="0" w:space="0" w:color="auto"/>
        <w:right w:val="none" w:sz="0" w:space="0" w:color="auto"/>
      </w:divBdr>
    </w:div>
    <w:div w:id="1628388963">
      <w:bodyDiv w:val="1"/>
      <w:marLeft w:val="0"/>
      <w:marRight w:val="0"/>
      <w:marTop w:val="0"/>
      <w:marBottom w:val="0"/>
      <w:divBdr>
        <w:top w:val="none" w:sz="0" w:space="0" w:color="auto"/>
        <w:left w:val="none" w:sz="0" w:space="0" w:color="auto"/>
        <w:bottom w:val="none" w:sz="0" w:space="0" w:color="auto"/>
        <w:right w:val="none" w:sz="0" w:space="0" w:color="auto"/>
      </w:divBdr>
    </w:div>
    <w:div w:id="1630741266">
      <w:bodyDiv w:val="1"/>
      <w:marLeft w:val="0"/>
      <w:marRight w:val="0"/>
      <w:marTop w:val="0"/>
      <w:marBottom w:val="0"/>
      <w:divBdr>
        <w:top w:val="none" w:sz="0" w:space="0" w:color="auto"/>
        <w:left w:val="none" w:sz="0" w:space="0" w:color="auto"/>
        <w:bottom w:val="none" w:sz="0" w:space="0" w:color="auto"/>
        <w:right w:val="none" w:sz="0" w:space="0" w:color="auto"/>
      </w:divBdr>
    </w:div>
    <w:div w:id="1630864208">
      <w:bodyDiv w:val="1"/>
      <w:marLeft w:val="0"/>
      <w:marRight w:val="0"/>
      <w:marTop w:val="0"/>
      <w:marBottom w:val="0"/>
      <w:divBdr>
        <w:top w:val="none" w:sz="0" w:space="0" w:color="auto"/>
        <w:left w:val="none" w:sz="0" w:space="0" w:color="auto"/>
        <w:bottom w:val="none" w:sz="0" w:space="0" w:color="auto"/>
        <w:right w:val="none" w:sz="0" w:space="0" w:color="auto"/>
      </w:divBdr>
    </w:div>
    <w:div w:id="1634558441">
      <w:bodyDiv w:val="1"/>
      <w:marLeft w:val="0"/>
      <w:marRight w:val="0"/>
      <w:marTop w:val="0"/>
      <w:marBottom w:val="0"/>
      <w:divBdr>
        <w:top w:val="none" w:sz="0" w:space="0" w:color="auto"/>
        <w:left w:val="none" w:sz="0" w:space="0" w:color="auto"/>
        <w:bottom w:val="none" w:sz="0" w:space="0" w:color="auto"/>
        <w:right w:val="none" w:sz="0" w:space="0" w:color="auto"/>
      </w:divBdr>
    </w:div>
    <w:div w:id="1636374539">
      <w:bodyDiv w:val="1"/>
      <w:marLeft w:val="0"/>
      <w:marRight w:val="0"/>
      <w:marTop w:val="0"/>
      <w:marBottom w:val="0"/>
      <w:divBdr>
        <w:top w:val="none" w:sz="0" w:space="0" w:color="auto"/>
        <w:left w:val="none" w:sz="0" w:space="0" w:color="auto"/>
        <w:bottom w:val="none" w:sz="0" w:space="0" w:color="auto"/>
        <w:right w:val="none" w:sz="0" w:space="0" w:color="auto"/>
      </w:divBdr>
    </w:div>
    <w:div w:id="1639677261">
      <w:bodyDiv w:val="1"/>
      <w:marLeft w:val="0"/>
      <w:marRight w:val="0"/>
      <w:marTop w:val="0"/>
      <w:marBottom w:val="0"/>
      <w:divBdr>
        <w:top w:val="none" w:sz="0" w:space="0" w:color="auto"/>
        <w:left w:val="none" w:sz="0" w:space="0" w:color="auto"/>
        <w:bottom w:val="none" w:sz="0" w:space="0" w:color="auto"/>
        <w:right w:val="none" w:sz="0" w:space="0" w:color="auto"/>
      </w:divBdr>
    </w:div>
    <w:div w:id="1640647261">
      <w:bodyDiv w:val="1"/>
      <w:marLeft w:val="0"/>
      <w:marRight w:val="0"/>
      <w:marTop w:val="0"/>
      <w:marBottom w:val="0"/>
      <w:divBdr>
        <w:top w:val="none" w:sz="0" w:space="0" w:color="auto"/>
        <w:left w:val="none" w:sz="0" w:space="0" w:color="auto"/>
        <w:bottom w:val="none" w:sz="0" w:space="0" w:color="auto"/>
        <w:right w:val="none" w:sz="0" w:space="0" w:color="auto"/>
      </w:divBdr>
    </w:div>
    <w:div w:id="1640763067">
      <w:bodyDiv w:val="1"/>
      <w:marLeft w:val="0"/>
      <w:marRight w:val="0"/>
      <w:marTop w:val="0"/>
      <w:marBottom w:val="0"/>
      <w:divBdr>
        <w:top w:val="none" w:sz="0" w:space="0" w:color="auto"/>
        <w:left w:val="none" w:sz="0" w:space="0" w:color="auto"/>
        <w:bottom w:val="none" w:sz="0" w:space="0" w:color="auto"/>
        <w:right w:val="none" w:sz="0" w:space="0" w:color="auto"/>
      </w:divBdr>
    </w:div>
    <w:div w:id="1643846484">
      <w:bodyDiv w:val="1"/>
      <w:marLeft w:val="0"/>
      <w:marRight w:val="0"/>
      <w:marTop w:val="0"/>
      <w:marBottom w:val="0"/>
      <w:divBdr>
        <w:top w:val="none" w:sz="0" w:space="0" w:color="auto"/>
        <w:left w:val="none" w:sz="0" w:space="0" w:color="auto"/>
        <w:bottom w:val="none" w:sz="0" w:space="0" w:color="auto"/>
        <w:right w:val="none" w:sz="0" w:space="0" w:color="auto"/>
      </w:divBdr>
    </w:div>
    <w:div w:id="1644460438">
      <w:bodyDiv w:val="1"/>
      <w:marLeft w:val="0"/>
      <w:marRight w:val="0"/>
      <w:marTop w:val="0"/>
      <w:marBottom w:val="0"/>
      <w:divBdr>
        <w:top w:val="none" w:sz="0" w:space="0" w:color="auto"/>
        <w:left w:val="none" w:sz="0" w:space="0" w:color="auto"/>
        <w:bottom w:val="none" w:sz="0" w:space="0" w:color="auto"/>
        <w:right w:val="none" w:sz="0" w:space="0" w:color="auto"/>
      </w:divBdr>
    </w:div>
    <w:div w:id="1644505423">
      <w:bodyDiv w:val="1"/>
      <w:marLeft w:val="0"/>
      <w:marRight w:val="0"/>
      <w:marTop w:val="0"/>
      <w:marBottom w:val="0"/>
      <w:divBdr>
        <w:top w:val="none" w:sz="0" w:space="0" w:color="auto"/>
        <w:left w:val="none" w:sz="0" w:space="0" w:color="auto"/>
        <w:bottom w:val="none" w:sz="0" w:space="0" w:color="auto"/>
        <w:right w:val="none" w:sz="0" w:space="0" w:color="auto"/>
      </w:divBdr>
    </w:div>
    <w:div w:id="1647318813">
      <w:bodyDiv w:val="1"/>
      <w:marLeft w:val="0"/>
      <w:marRight w:val="0"/>
      <w:marTop w:val="0"/>
      <w:marBottom w:val="0"/>
      <w:divBdr>
        <w:top w:val="none" w:sz="0" w:space="0" w:color="auto"/>
        <w:left w:val="none" w:sz="0" w:space="0" w:color="auto"/>
        <w:bottom w:val="none" w:sz="0" w:space="0" w:color="auto"/>
        <w:right w:val="none" w:sz="0" w:space="0" w:color="auto"/>
      </w:divBdr>
    </w:div>
    <w:div w:id="1650281805">
      <w:bodyDiv w:val="1"/>
      <w:marLeft w:val="0"/>
      <w:marRight w:val="0"/>
      <w:marTop w:val="0"/>
      <w:marBottom w:val="0"/>
      <w:divBdr>
        <w:top w:val="none" w:sz="0" w:space="0" w:color="auto"/>
        <w:left w:val="none" w:sz="0" w:space="0" w:color="auto"/>
        <w:bottom w:val="none" w:sz="0" w:space="0" w:color="auto"/>
        <w:right w:val="none" w:sz="0" w:space="0" w:color="auto"/>
      </w:divBdr>
    </w:div>
    <w:div w:id="1650399016">
      <w:bodyDiv w:val="1"/>
      <w:marLeft w:val="0"/>
      <w:marRight w:val="0"/>
      <w:marTop w:val="0"/>
      <w:marBottom w:val="0"/>
      <w:divBdr>
        <w:top w:val="none" w:sz="0" w:space="0" w:color="auto"/>
        <w:left w:val="none" w:sz="0" w:space="0" w:color="auto"/>
        <w:bottom w:val="none" w:sz="0" w:space="0" w:color="auto"/>
        <w:right w:val="none" w:sz="0" w:space="0" w:color="auto"/>
      </w:divBdr>
    </w:div>
    <w:div w:id="1650481838">
      <w:bodyDiv w:val="1"/>
      <w:marLeft w:val="0"/>
      <w:marRight w:val="0"/>
      <w:marTop w:val="0"/>
      <w:marBottom w:val="0"/>
      <w:divBdr>
        <w:top w:val="none" w:sz="0" w:space="0" w:color="auto"/>
        <w:left w:val="none" w:sz="0" w:space="0" w:color="auto"/>
        <w:bottom w:val="none" w:sz="0" w:space="0" w:color="auto"/>
        <w:right w:val="none" w:sz="0" w:space="0" w:color="auto"/>
      </w:divBdr>
    </w:div>
    <w:div w:id="1653440481">
      <w:bodyDiv w:val="1"/>
      <w:marLeft w:val="0"/>
      <w:marRight w:val="0"/>
      <w:marTop w:val="0"/>
      <w:marBottom w:val="0"/>
      <w:divBdr>
        <w:top w:val="none" w:sz="0" w:space="0" w:color="auto"/>
        <w:left w:val="none" w:sz="0" w:space="0" w:color="auto"/>
        <w:bottom w:val="none" w:sz="0" w:space="0" w:color="auto"/>
        <w:right w:val="none" w:sz="0" w:space="0" w:color="auto"/>
      </w:divBdr>
    </w:div>
    <w:div w:id="1654675495">
      <w:bodyDiv w:val="1"/>
      <w:marLeft w:val="0"/>
      <w:marRight w:val="0"/>
      <w:marTop w:val="0"/>
      <w:marBottom w:val="0"/>
      <w:divBdr>
        <w:top w:val="none" w:sz="0" w:space="0" w:color="auto"/>
        <w:left w:val="none" w:sz="0" w:space="0" w:color="auto"/>
        <w:bottom w:val="none" w:sz="0" w:space="0" w:color="auto"/>
        <w:right w:val="none" w:sz="0" w:space="0" w:color="auto"/>
      </w:divBdr>
    </w:div>
    <w:div w:id="1655523726">
      <w:bodyDiv w:val="1"/>
      <w:marLeft w:val="0"/>
      <w:marRight w:val="0"/>
      <w:marTop w:val="0"/>
      <w:marBottom w:val="0"/>
      <w:divBdr>
        <w:top w:val="none" w:sz="0" w:space="0" w:color="auto"/>
        <w:left w:val="none" w:sz="0" w:space="0" w:color="auto"/>
        <w:bottom w:val="none" w:sz="0" w:space="0" w:color="auto"/>
        <w:right w:val="none" w:sz="0" w:space="0" w:color="auto"/>
      </w:divBdr>
    </w:div>
    <w:div w:id="1657807932">
      <w:bodyDiv w:val="1"/>
      <w:marLeft w:val="0"/>
      <w:marRight w:val="0"/>
      <w:marTop w:val="0"/>
      <w:marBottom w:val="0"/>
      <w:divBdr>
        <w:top w:val="none" w:sz="0" w:space="0" w:color="auto"/>
        <w:left w:val="none" w:sz="0" w:space="0" w:color="auto"/>
        <w:bottom w:val="none" w:sz="0" w:space="0" w:color="auto"/>
        <w:right w:val="none" w:sz="0" w:space="0" w:color="auto"/>
      </w:divBdr>
    </w:div>
    <w:div w:id="1659261588">
      <w:bodyDiv w:val="1"/>
      <w:marLeft w:val="0"/>
      <w:marRight w:val="0"/>
      <w:marTop w:val="0"/>
      <w:marBottom w:val="0"/>
      <w:divBdr>
        <w:top w:val="none" w:sz="0" w:space="0" w:color="auto"/>
        <w:left w:val="none" w:sz="0" w:space="0" w:color="auto"/>
        <w:bottom w:val="none" w:sz="0" w:space="0" w:color="auto"/>
        <w:right w:val="none" w:sz="0" w:space="0" w:color="auto"/>
      </w:divBdr>
    </w:div>
    <w:div w:id="1661956008">
      <w:bodyDiv w:val="1"/>
      <w:marLeft w:val="0"/>
      <w:marRight w:val="0"/>
      <w:marTop w:val="0"/>
      <w:marBottom w:val="0"/>
      <w:divBdr>
        <w:top w:val="none" w:sz="0" w:space="0" w:color="auto"/>
        <w:left w:val="none" w:sz="0" w:space="0" w:color="auto"/>
        <w:bottom w:val="none" w:sz="0" w:space="0" w:color="auto"/>
        <w:right w:val="none" w:sz="0" w:space="0" w:color="auto"/>
      </w:divBdr>
    </w:div>
    <w:div w:id="1662544961">
      <w:bodyDiv w:val="1"/>
      <w:marLeft w:val="0"/>
      <w:marRight w:val="0"/>
      <w:marTop w:val="0"/>
      <w:marBottom w:val="0"/>
      <w:divBdr>
        <w:top w:val="none" w:sz="0" w:space="0" w:color="auto"/>
        <w:left w:val="none" w:sz="0" w:space="0" w:color="auto"/>
        <w:bottom w:val="none" w:sz="0" w:space="0" w:color="auto"/>
        <w:right w:val="none" w:sz="0" w:space="0" w:color="auto"/>
      </w:divBdr>
    </w:div>
    <w:div w:id="1662931948">
      <w:bodyDiv w:val="1"/>
      <w:marLeft w:val="0"/>
      <w:marRight w:val="0"/>
      <w:marTop w:val="0"/>
      <w:marBottom w:val="0"/>
      <w:divBdr>
        <w:top w:val="none" w:sz="0" w:space="0" w:color="auto"/>
        <w:left w:val="none" w:sz="0" w:space="0" w:color="auto"/>
        <w:bottom w:val="none" w:sz="0" w:space="0" w:color="auto"/>
        <w:right w:val="none" w:sz="0" w:space="0" w:color="auto"/>
      </w:divBdr>
    </w:div>
    <w:div w:id="1664044255">
      <w:bodyDiv w:val="1"/>
      <w:marLeft w:val="0"/>
      <w:marRight w:val="0"/>
      <w:marTop w:val="0"/>
      <w:marBottom w:val="0"/>
      <w:divBdr>
        <w:top w:val="none" w:sz="0" w:space="0" w:color="auto"/>
        <w:left w:val="none" w:sz="0" w:space="0" w:color="auto"/>
        <w:bottom w:val="none" w:sz="0" w:space="0" w:color="auto"/>
        <w:right w:val="none" w:sz="0" w:space="0" w:color="auto"/>
      </w:divBdr>
    </w:div>
    <w:div w:id="1664817810">
      <w:bodyDiv w:val="1"/>
      <w:marLeft w:val="0"/>
      <w:marRight w:val="0"/>
      <w:marTop w:val="0"/>
      <w:marBottom w:val="0"/>
      <w:divBdr>
        <w:top w:val="none" w:sz="0" w:space="0" w:color="auto"/>
        <w:left w:val="none" w:sz="0" w:space="0" w:color="auto"/>
        <w:bottom w:val="none" w:sz="0" w:space="0" w:color="auto"/>
        <w:right w:val="none" w:sz="0" w:space="0" w:color="auto"/>
      </w:divBdr>
    </w:div>
    <w:div w:id="1665089959">
      <w:bodyDiv w:val="1"/>
      <w:marLeft w:val="0"/>
      <w:marRight w:val="0"/>
      <w:marTop w:val="0"/>
      <w:marBottom w:val="0"/>
      <w:divBdr>
        <w:top w:val="none" w:sz="0" w:space="0" w:color="auto"/>
        <w:left w:val="none" w:sz="0" w:space="0" w:color="auto"/>
        <w:bottom w:val="none" w:sz="0" w:space="0" w:color="auto"/>
        <w:right w:val="none" w:sz="0" w:space="0" w:color="auto"/>
      </w:divBdr>
    </w:div>
    <w:div w:id="1667586405">
      <w:bodyDiv w:val="1"/>
      <w:marLeft w:val="0"/>
      <w:marRight w:val="0"/>
      <w:marTop w:val="0"/>
      <w:marBottom w:val="0"/>
      <w:divBdr>
        <w:top w:val="none" w:sz="0" w:space="0" w:color="auto"/>
        <w:left w:val="none" w:sz="0" w:space="0" w:color="auto"/>
        <w:bottom w:val="none" w:sz="0" w:space="0" w:color="auto"/>
        <w:right w:val="none" w:sz="0" w:space="0" w:color="auto"/>
      </w:divBdr>
    </w:div>
    <w:div w:id="1668367419">
      <w:bodyDiv w:val="1"/>
      <w:marLeft w:val="0"/>
      <w:marRight w:val="0"/>
      <w:marTop w:val="0"/>
      <w:marBottom w:val="0"/>
      <w:divBdr>
        <w:top w:val="none" w:sz="0" w:space="0" w:color="auto"/>
        <w:left w:val="none" w:sz="0" w:space="0" w:color="auto"/>
        <w:bottom w:val="none" w:sz="0" w:space="0" w:color="auto"/>
        <w:right w:val="none" w:sz="0" w:space="0" w:color="auto"/>
      </w:divBdr>
    </w:div>
    <w:div w:id="1669018081">
      <w:bodyDiv w:val="1"/>
      <w:marLeft w:val="0"/>
      <w:marRight w:val="0"/>
      <w:marTop w:val="0"/>
      <w:marBottom w:val="0"/>
      <w:divBdr>
        <w:top w:val="none" w:sz="0" w:space="0" w:color="auto"/>
        <w:left w:val="none" w:sz="0" w:space="0" w:color="auto"/>
        <w:bottom w:val="none" w:sz="0" w:space="0" w:color="auto"/>
        <w:right w:val="none" w:sz="0" w:space="0" w:color="auto"/>
      </w:divBdr>
    </w:div>
    <w:div w:id="1669871437">
      <w:bodyDiv w:val="1"/>
      <w:marLeft w:val="0"/>
      <w:marRight w:val="0"/>
      <w:marTop w:val="0"/>
      <w:marBottom w:val="0"/>
      <w:divBdr>
        <w:top w:val="none" w:sz="0" w:space="0" w:color="auto"/>
        <w:left w:val="none" w:sz="0" w:space="0" w:color="auto"/>
        <w:bottom w:val="none" w:sz="0" w:space="0" w:color="auto"/>
        <w:right w:val="none" w:sz="0" w:space="0" w:color="auto"/>
      </w:divBdr>
    </w:div>
    <w:div w:id="1673802253">
      <w:bodyDiv w:val="1"/>
      <w:marLeft w:val="0"/>
      <w:marRight w:val="0"/>
      <w:marTop w:val="0"/>
      <w:marBottom w:val="0"/>
      <w:divBdr>
        <w:top w:val="none" w:sz="0" w:space="0" w:color="auto"/>
        <w:left w:val="none" w:sz="0" w:space="0" w:color="auto"/>
        <w:bottom w:val="none" w:sz="0" w:space="0" w:color="auto"/>
        <w:right w:val="none" w:sz="0" w:space="0" w:color="auto"/>
      </w:divBdr>
    </w:div>
    <w:div w:id="1674869253">
      <w:bodyDiv w:val="1"/>
      <w:marLeft w:val="0"/>
      <w:marRight w:val="0"/>
      <w:marTop w:val="0"/>
      <w:marBottom w:val="0"/>
      <w:divBdr>
        <w:top w:val="none" w:sz="0" w:space="0" w:color="auto"/>
        <w:left w:val="none" w:sz="0" w:space="0" w:color="auto"/>
        <w:bottom w:val="none" w:sz="0" w:space="0" w:color="auto"/>
        <w:right w:val="none" w:sz="0" w:space="0" w:color="auto"/>
      </w:divBdr>
    </w:div>
    <w:div w:id="1680737539">
      <w:bodyDiv w:val="1"/>
      <w:marLeft w:val="0"/>
      <w:marRight w:val="0"/>
      <w:marTop w:val="0"/>
      <w:marBottom w:val="0"/>
      <w:divBdr>
        <w:top w:val="none" w:sz="0" w:space="0" w:color="auto"/>
        <w:left w:val="none" w:sz="0" w:space="0" w:color="auto"/>
        <w:bottom w:val="none" w:sz="0" w:space="0" w:color="auto"/>
        <w:right w:val="none" w:sz="0" w:space="0" w:color="auto"/>
      </w:divBdr>
    </w:div>
    <w:div w:id="1681463567">
      <w:bodyDiv w:val="1"/>
      <w:marLeft w:val="0"/>
      <w:marRight w:val="0"/>
      <w:marTop w:val="0"/>
      <w:marBottom w:val="0"/>
      <w:divBdr>
        <w:top w:val="none" w:sz="0" w:space="0" w:color="auto"/>
        <w:left w:val="none" w:sz="0" w:space="0" w:color="auto"/>
        <w:bottom w:val="none" w:sz="0" w:space="0" w:color="auto"/>
        <w:right w:val="none" w:sz="0" w:space="0" w:color="auto"/>
      </w:divBdr>
    </w:div>
    <w:div w:id="1682124394">
      <w:bodyDiv w:val="1"/>
      <w:marLeft w:val="0"/>
      <w:marRight w:val="0"/>
      <w:marTop w:val="0"/>
      <w:marBottom w:val="0"/>
      <w:divBdr>
        <w:top w:val="none" w:sz="0" w:space="0" w:color="auto"/>
        <w:left w:val="none" w:sz="0" w:space="0" w:color="auto"/>
        <w:bottom w:val="none" w:sz="0" w:space="0" w:color="auto"/>
        <w:right w:val="none" w:sz="0" w:space="0" w:color="auto"/>
      </w:divBdr>
    </w:div>
    <w:div w:id="1684627379">
      <w:bodyDiv w:val="1"/>
      <w:marLeft w:val="0"/>
      <w:marRight w:val="0"/>
      <w:marTop w:val="0"/>
      <w:marBottom w:val="0"/>
      <w:divBdr>
        <w:top w:val="none" w:sz="0" w:space="0" w:color="auto"/>
        <w:left w:val="none" w:sz="0" w:space="0" w:color="auto"/>
        <w:bottom w:val="none" w:sz="0" w:space="0" w:color="auto"/>
        <w:right w:val="none" w:sz="0" w:space="0" w:color="auto"/>
      </w:divBdr>
    </w:div>
    <w:div w:id="1684817618">
      <w:bodyDiv w:val="1"/>
      <w:marLeft w:val="0"/>
      <w:marRight w:val="0"/>
      <w:marTop w:val="0"/>
      <w:marBottom w:val="0"/>
      <w:divBdr>
        <w:top w:val="none" w:sz="0" w:space="0" w:color="auto"/>
        <w:left w:val="none" w:sz="0" w:space="0" w:color="auto"/>
        <w:bottom w:val="none" w:sz="0" w:space="0" w:color="auto"/>
        <w:right w:val="none" w:sz="0" w:space="0" w:color="auto"/>
      </w:divBdr>
    </w:div>
    <w:div w:id="1687711870">
      <w:bodyDiv w:val="1"/>
      <w:marLeft w:val="0"/>
      <w:marRight w:val="0"/>
      <w:marTop w:val="0"/>
      <w:marBottom w:val="0"/>
      <w:divBdr>
        <w:top w:val="none" w:sz="0" w:space="0" w:color="auto"/>
        <w:left w:val="none" w:sz="0" w:space="0" w:color="auto"/>
        <w:bottom w:val="none" w:sz="0" w:space="0" w:color="auto"/>
        <w:right w:val="none" w:sz="0" w:space="0" w:color="auto"/>
      </w:divBdr>
    </w:div>
    <w:div w:id="1688216024">
      <w:bodyDiv w:val="1"/>
      <w:marLeft w:val="0"/>
      <w:marRight w:val="0"/>
      <w:marTop w:val="0"/>
      <w:marBottom w:val="0"/>
      <w:divBdr>
        <w:top w:val="none" w:sz="0" w:space="0" w:color="auto"/>
        <w:left w:val="none" w:sz="0" w:space="0" w:color="auto"/>
        <w:bottom w:val="none" w:sz="0" w:space="0" w:color="auto"/>
        <w:right w:val="none" w:sz="0" w:space="0" w:color="auto"/>
      </w:divBdr>
    </w:div>
    <w:div w:id="1688479365">
      <w:bodyDiv w:val="1"/>
      <w:marLeft w:val="0"/>
      <w:marRight w:val="0"/>
      <w:marTop w:val="0"/>
      <w:marBottom w:val="0"/>
      <w:divBdr>
        <w:top w:val="none" w:sz="0" w:space="0" w:color="auto"/>
        <w:left w:val="none" w:sz="0" w:space="0" w:color="auto"/>
        <w:bottom w:val="none" w:sz="0" w:space="0" w:color="auto"/>
        <w:right w:val="none" w:sz="0" w:space="0" w:color="auto"/>
      </w:divBdr>
    </w:div>
    <w:div w:id="1690137544">
      <w:bodyDiv w:val="1"/>
      <w:marLeft w:val="0"/>
      <w:marRight w:val="0"/>
      <w:marTop w:val="0"/>
      <w:marBottom w:val="0"/>
      <w:divBdr>
        <w:top w:val="none" w:sz="0" w:space="0" w:color="auto"/>
        <w:left w:val="none" w:sz="0" w:space="0" w:color="auto"/>
        <w:bottom w:val="none" w:sz="0" w:space="0" w:color="auto"/>
        <w:right w:val="none" w:sz="0" w:space="0" w:color="auto"/>
      </w:divBdr>
    </w:div>
    <w:div w:id="1692144717">
      <w:bodyDiv w:val="1"/>
      <w:marLeft w:val="0"/>
      <w:marRight w:val="0"/>
      <w:marTop w:val="0"/>
      <w:marBottom w:val="0"/>
      <w:divBdr>
        <w:top w:val="none" w:sz="0" w:space="0" w:color="auto"/>
        <w:left w:val="none" w:sz="0" w:space="0" w:color="auto"/>
        <w:bottom w:val="none" w:sz="0" w:space="0" w:color="auto"/>
        <w:right w:val="none" w:sz="0" w:space="0" w:color="auto"/>
      </w:divBdr>
    </w:div>
    <w:div w:id="1692413074">
      <w:bodyDiv w:val="1"/>
      <w:marLeft w:val="0"/>
      <w:marRight w:val="0"/>
      <w:marTop w:val="0"/>
      <w:marBottom w:val="0"/>
      <w:divBdr>
        <w:top w:val="none" w:sz="0" w:space="0" w:color="auto"/>
        <w:left w:val="none" w:sz="0" w:space="0" w:color="auto"/>
        <w:bottom w:val="none" w:sz="0" w:space="0" w:color="auto"/>
        <w:right w:val="none" w:sz="0" w:space="0" w:color="auto"/>
      </w:divBdr>
    </w:div>
    <w:div w:id="1692491593">
      <w:bodyDiv w:val="1"/>
      <w:marLeft w:val="0"/>
      <w:marRight w:val="0"/>
      <w:marTop w:val="0"/>
      <w:marBottom w:val="0"/>
      <w:divBdr>
        <w:top w:val="none" w:sz="0" w:space="0" w:color="auto"/>
        <w:left w:val="none" w:sz="0" w:space="0" w:color="auto"/>
        <w:bottom w:val="none" w:sz="0" w:space="0" w:color="auto"/>
        <w:right w:val="none" w:sz="0" w:space="0" w:color="auto"/>
      </w:divBdr>
    </w:div>
    <w:div w:id="1693603478">
      <w:bodyDiv w:val="1"/>
      <w:marLeft w:val="0"/>
      <w:marRight w:val="0"/>
      <w:marTop w:val="0"/>
      <w:marBottom w:val="0"/>
      <w:divBdr>
        <w:top w:val="none" w:sz="0" w:space="0" w:color="auto"/>
        <w:left w:val="none" w:sz="0" w:space="0" w:color="auto"/>
        <w:bottom w:val="none" w:sz="0" w:space="0" w:color="auto"/>
        <w:right w:val="none" w:sz="0" w:space="0" w:color="auto"/>
      </w:divBdr>
    </w:div>
    <w:div w:id="1693844421">
      <w:bodyDiv w:val="1"/>
      <w:marLeft w:val="0"/>
      <w:marRight w:val="0"/>
      <w:marTop w:val="0"/>
      <w:marBottom w:val="0"/>
      <w:divBdr>
        <w:top w:val="none" w:sz="0" w:space="0" w:color="auto"/>
        <w:left w:val="none" w:sz="0" w:space="0" w:color="auto"/>
        <w:bottom w:val="none" w:sz="0" w:space="0" w:color="auto"/>
        <w:right w:val="none" w:sz="0" w:space="0" w:color="auto"/>
      </w:divBdr>
    </w:div>
    <w:div w:id="1696081463">
      <w:bodyDiv w:val="1"/>
      <w:marLeft w:val="0"/>
      <w:marRight w:val="0"/>
      <w:marTop w:val="0"/>
      <w:marBottom w:val="0"/>
      <w:divBdr>
        <w:top w:val="none" w:sz="0" w:space="0" w:color="auto"/>
        <w:left w:val="none" w:sz="0" w:space="0" w:color="auto"/>
        <w:bottom w:val="none" w:sz="0" w:space="0" w:color="auto"/>
        <w:right w:val="none" w:sz="0" w:space="0" w:color="auto"/>
      </w:divBdr>
    </w:div>
    <w:div w:id="1698431478">
      <w:bodyDiv w:val="1"/>
      <w:marLeft w:val="0"/>
      <w:marRight w:val="0"/>
      <w:marTop w:val="0"/>
      <w:marBottom w:val="0"/>
      <w:divBdr>
        <w:top w:val="none" w:sz="0" w:space="0" w:color="auto"/>
        <w:left w:val="none" w:sz="0" w:space="0" w:color="auto"/>
        <w:bottom w:val="none" w:sz="0" w:space="0" w:color="auto"/>
        <w:right w:val="none" w:sz="0" w:space="0" w:color="auto"/>
      </w:divBdr>
    </w:div>
    <w:div w:id="1698653630">
      <w:bodyDiv w:val="1"/>
      <w:marLeft w:val="0"/>
      <w:marRight w:val="0"/>
      <w:marTop w:val="0"/>
      <w:marBottom w:val="0"/>
      <w:divBdr>
        <w:top w:val="none" w:sz="0" w:space="0" w:color="auto"/>
        <w:left w:val="none" w:sz="0" w:space="0" w:color="auto"/>
        <w:bottom w:val="none" w:sz="0" w:space="0" w:color="auto"/>
        <w:right w:val="none" w:sz="0" w:space="0" w:color="auto"/>
      </w:divBdr>
    </w:div>
    <w:div w:id="1699235190">
      <w:bodyDiv w:val="1"/>
      <w:marLeft w:val="0"/>
      <w:marRight w:val="0"/>
      <w:marTop w:val="0"/>
      <w:marBottom w:val="0"/>
      <w:divBdr>
        <w:top w:val="none" w:sz="0" w:space="0" w:color="auto"/>
        <w:left w:val="none" w:sz="0" w:space="0" w:color="auto"/>
        <w:bottom w:val="none" w:sz="0" w:space="0" w:color="auto"/>
        <w:right w:val="none" w:sz="0" w:space="0" w:color="auto"/>
      </w:divBdr>
    </w:div>
    <w:div w:id="1699352804">
      <w:bodyDiv w:val="1"/>
      <w:marLeft w:val="0"/>
      <w:marRight w:val="0"/>
      <w:marTop w:val="0"/>
      <w:marBottom w:val="0"/>
      <w:divBdr>
        <w:top w:val="none" w:sz="0" w:space="0" w:color="auto"/>
        <w:left w:val="none" w:sz="0" w:space="0" w:color="auto"/>
        <w:bottom w:val="none" w:sz="0" w:space="0" w:color="auto"/>
        <w:right w:val="none" w:sz="0" w:space="0" w:color="auto"/>
      </w:divBdr>
    </w:div>
    <w:div w:id="1699894807">
      <w:bodyDiv w:val="1"/>
      <w:marLeft w:val="0"/>
      <w:marRight w:val="0"/>
      <w:marTop w:val="0"/>
      <w:marBottom w:val="0"/>
      <w:divBdr>
        <w:top w:val="none" w:sz="0" w:space="0" w:color="auto"/>
        <w:left w:val="none" w:sz="0" w:space="0" w:color="auto"/>
        <w:bottom w:val="none" w:sz="0" w:space="0" w:color="auto"/>
        <w:right w:val="none" w:sz="0" w:space="0" w:color="auto"/>
      </w:divBdr>
    </w:div>
    <w:div w:id="1700353404">
      <w:bodyDiv w:val="1"/>
      <w:marLeft w:val="0"/>
      <w:marRight w:val="0"/>
      <w:marTop w:val="0"/>
      <w:marBottom w:val="0"/>
      <w:divBdr>
        <w:top w:val="none" w:sz="0" w:space="0" w:color="auto"/>
        <w:left w:val="none" w:sz="0" w:space="0" w:color="auto"/>
        <w:bottom w:val="none" w:sz="0" w:space="0" w:color="auto"/>
        <w:right w:val="none" w:sz="0" w:space="0" w:color="auto"/>
      </w:divBdr>
    </w:div>
    <w:div w:id="1701121444">
      <w:bodyDiv w:val="1"/>
      <w:marLeft w:val="0"/>
      <w:marRight w:val="0"/>
      <w:marTop w:val="0"/>
      <w:marBottom w:val="0"/>
      <w:divBdr>
        <w:top w:val="none" w:sz="0" w:space="0" w:color="auto"/>
        <w:left w:val="none" w:sz="0" w:space="0" w:color="auto"/>
        <w:bottom w:val="none" w:sz="0" w:space="0" w:color="auto"/>
        <w:right w:val="none" w:sz="0" w:space="0" w:color="auto"/>
      </w:divBdr>
    </w:div>
    <w:div w:id="1704591778">
      <w:bodyDiv w:val="1"/>
      <w:marLeft w:val="0"/>
      <w:marRight w:val="0"/>
      <w:marTop w:val="0"/>
      <w:marBottom w:val="0"/>
      <w:divBdr>
        <w:top w:val="none" w:sz="0" w:space="0" w:color="auto"/>
        <w:left w:val="none" w:sz="0" w:space="0" w:color="auto"/>
        <w:bottom w:val="none" w:sz="0" w:space="0" w:color="auto"/>
        <w:right w:val="none" w:sz="0" w:space="0" w:color="auto"/>
      </w:divBdr>
    </w:div>
    <w:div w:id="1707288949">
      <w:bodyDiv w:val="1"/>
      <w:marLeft w:val="0"/>
      <w:marRight w:val="0"/>
      <w:marTop w:val="0"/>
      <w:marBottom w:val="0"/>
      <w:divBdr>
        <w:top w:val="none" w:sz="0" w:space="0" w:color="auto"/>
        <w:left w:val="none" w:sz="0" w:space="0" w:color="auto"/>
        <w:bottom w:val="none" w:sz="0" w:space="0" w:color="auto"/>
        <w:right w:val="none" w:sz="0" w:space="0" w:color="auto"/>
      </w:divBdr>
    </w:div>
    <w:div w:id="1708333455">
      <w:bodyDiv w:val="1"/>
      <w:marLeft w:val="0"/>
      <w:marRight w:val="0"/>
      <w:marTop w:val="0"/>
      <w:marBottom w:val="0"/>
      <w:divBdr>
        <w:top w:val="none" w:sz="0" w:space="0" w:color="auto"/>
        <w:left w:val="none" w:sz="0" w:space="0" w:color="auto"/>
        <w:bottom w:val="none" w:sz="0" w:space="0" w:color="auto"/>
        <w:right w:val="none" w:sz="0" w:space="0" w:color="auto"/>
      </w:divBdr>
    </w:div>
    <w:div w:id="1709834344">
      <w:bodyDiv w:val="1"/>
      <w:marLeft w:val="0"/>
      <w:marRight w:val="0"/>
      <w:marTop w:val="0"/>
      <w:marBottom w:val="0"/>
      <w:divBdr>
        <w:top w:val="none" w:sz="0" w:space="0" w:color="auto"/>
        <w:left w:val="none" w:sz="0" w:space="0" w:color="auto"/>
        <w:bottom w:val="none" w:sz="0" w:space="0" w:color="auto"/>
        <w:right w:val="none" w:sz="0" w:space="0" w:color="auto"/>
      </w:divBdr>
    </w:div>
    <w:div w:id="1711296916">
      <w:bodyDiv w:val="1"/>
      <w:marLeft w:val="0"/>
      <w:marRight w:val="0"/>
      <w:marTop w:val="0"/>
      <w:marBottom w:val="0"/>
      <w:divBdr>
        <w:top w:val="none" w:sz="0" w:space="0" w:color="auto"/>
        <w:left w:val="none" w:sz="0" w:space="0" w:color="auto"/>
        <w:bottom w:val="none" w:sz="0" w:space="0" w:color="auto"/>
        <w:right w:val="none" w:sz="0" w:space="0" w:color="auto"/>
      </w:divBdr>
    </w:div>
    <w:div w:id="1712920762">
      <w:bodyDiv w:val="1"/>
      <w:marLeft w:val="0"/>
      <w:marRight w:val="0"/>
      <w:marTop w:val="0"/>
      <w:marBottom w:val="0"/>
      <w:divBdr>
        <w:top w:val="none" w:sz="0" w:space="0" w:color="auto"/>
        <w:left w:val="none" w:sz="0" w:space="0" w:color="auto"/>
        <w:bottom w:val="none" w:sz="0" w:space="0" w:color="auto"/>
        <w:right w:val="none" w:sz="0" w:space="0" w:color="auto"/>
      </w:divBdr>
    </w:div>
    <w:div w:id="1716269679">
      <w:bodyDiv w:val="1"/>
      <w:marLeft w:val="0"/>
      <w:marRight w:val="0"/>
      <w:marTop w:val="0"/>
      <w:marBottom w:val="0"/>
      <w:divBdr>
        <w:top w:val="none" w:sz="0" w:space="0" w:color="auto"/>
        <w:left w:val="none" w:sz="0" w:space="0" w:color="auto"/>
        <w:bottom w:val="none" w:sz="0" w:space="0" w:color="auto"/>
        <w:right w:val="none" w:sz="0" w:space="0" w:color="auto"/>
      </w:divBdr>
    </w:div>
    <w:div w:id="1717193689">
      <w:bodyDiv w:val="1"/>
      <w:marLeft w:val="0"/>
      <w:marRight w:val="0"/>
      <w:marTop w:val="0"/>
      <w:marBottom w:val="0"/>
      <w:divBdr>
        <w:top w:val="none" w:sz="0" w:space="0" w:color="auto"/>
        <w:left w:val="none" w:sz="0" w:space="0" w:color="auto"/>
        <w:bottom w:val="none" w:sz="0" w:space="0" w:color="auto"/>
        <w:right w:val="none" w:sz="0" w:space="0" w:color="auto"/>
      </w:divBdr>
    </w:div>
    <w:div w:id="1718820878">
      <w:bodyDiv w:val="1"/>
      <w:marLeft w:val="0"/>
      <w:marRight w:val="0"/>
      <w:marTop w:val="0"/>
      <w:marBottom w:val="0"/>
      <w:divBdr>
        <w:top w:val="none" w:sz="0" w:space="0" w:color="auto"/>
        <w:left w:val="none" w:sz="0" w:space="0" w:color="auto"/>
        <w:bottom w:val="none" w:sz="0" w:space="0" w:color="auto"/>
        <w:right w:val="none" w:sz="0" w:space="0" w:color="auto"/>
      </w:divBdr>
    </w:div>
    <w:div w:id="1721200315">
      <w:bodyDiv w:val="1"/>
      <w:marLeft w:val="0"/>
      <w:marRight w:val="0"/>
      <w:marTop w:val="0"/>
      <w:marBottom w:val="0"/>
      <w:divBdr>
        <w:top w:val="none" w:sz="0" w:space="0" w:color="auto"/>
        <w:left w:val="none" w:sz="0" w:space="0" w:color="auto"/>
        <w:bottom w:val="none" w:sz="0" w:space="0" w:color="auto"/>
        <w:right w:val="none" w:sz="0" w:space="0" w:color="auto"/>
      </w:divBdr>
    </w:div>
    <w:div w:id="1722292685">
      <w:bodyDiv w:val="1"/>
      <w:marLeft w:val="0"/>
      <w:marRight w:val="0"/>
      <w:marTop w:val="0"/>
      <w:marBottom w:val="0"/>
      <w:divBdr>
        <w:top w:val="none" w:sz="0" w:space="0" w:color="auto"/>
        <w:left w:val="none" w:sz="0" w:space="0" w:color="auto"/>
        <w:bottom w:val="none" w:sz="0" w:space="0" w:color="auto"/>
        <w:right w:val="none" w:sz="0" w:space="0" w:color="auto"/>
      </w:divBdr>
    </w:div>
    <w:div w:id="1722829248">
      <w:bodyDiv w:val="1"/>
      <w:marLeft w:val="0"/>
      <w:marRight w:val="0"/>
      <w:marTop w:val="0"/>
      <w:marBottom w:val="0"/>
      <w:divBdr>
        <w:top w:val="none" w:sz="0" w:space="0" w:color="auto"/>
        <w:left w:val="none" w:sz="0" w:space="0" w:color="auto"/>
        <w:bottom w:val="none" w:sz="0" w:space="0" w:color="auto"/>
        <w:right w:val="none" w:sz="0" w:space="0" w:color="auto"/>
      </w:divBdr>
    </w:div>
    <w:div w:id="1723407419">
      <w:bodyDiv w:val="1"/>
      <w:marLeft w:val="0"/>
      <w:marRight w:val="0"/>
      <w:marTop w:val="0"/>
      <w:marBottom w:val="0"/>
      <w:divBdr>
        <w:top w:val="none" w:sz="0" w:space="0" w:color="auto"/>
        <w:left w:val="none" w:sz="0" w:space="0" w:color="auto"/>
        <w:bottom w:val="none" w:sz="0" w:space="0" w:color="auto"/>
        <w:right w:val="none" w:sz="0" w:space="0" w:color="auto"/>
      </w:divBdr>
    </w:div>
    <w:div w:id="1723863294">
      <w:bodyDiv w:val="1"/>
      <w:marLeft w:val="0"/>
      <w:marRight w:val="0"/>
      <w:marTop w:val="0"/>
      <w:marBottom w:val="0"/>
      <w:divBdr>
        <w:top w:val="none" w:sz="0" w:space="0" w:color="auto"/>
        <w:left w:val="none" w:sz="0" w:space="0" w:color="auto"/>
        <w:bottom w:val="none" w:sz="0" w:space="0" w:color="auto"/>
        <w:right w:val="none" w:sz="0" w:space="0" w:color="auto"/>
      </w:divBdr>
    </w:div>
    <w:div w:id="1723871801">
      <w:bodyDiv w:val="1"/>
      <w:marLeft w:val="0"/>
      <w:marRight w:val="0"/>
      <w:marTop w:val="0"/>
      <w:marBottom w:val="0"/>
      <w:divBdr>
        <w:top w:val="none" w:sz="0" w:space="0" w:color="auto"/>
        <w:left w:val="none" w:sz="0" w:space="0" w:color="auto"/>
        <w:bottom w:val="none" w:sz="0" w:space="0" w:color="auto"/>
        <w:right w:val="none" w:sz="0" w:space="0" w:color="auto"/>
      </w:divBdr>
    </w:div>
    <w:div w:id="1725252885">
      <w:bodyDiv w:val="1"/>
      <w:marLeft w:val="0"/>
      <w:marRight w:val="0"/>
      <w:marTop w:val="0"/>
      <w:marBottom w:val="0"/>
      <w:divBdr>
        <w:top w:val="none" w:sz="0" w:space="0" w:color="auto"/>
        <w:left w:val="none" w:sz="0" w:space="0" w:color="auto"/>
        <w:bottom w:val="none" w:sz="0" w:space="0" w:color="auto"/>
        <w:right w:val="none" w:sz="0" w:space="0" w:color="auto"/>
      </w:divBdr>
    </w:div>
    <w:div w:id="1726488604">
      <w:bodyDiv w:val="1"/>
      <w:marLeft w:val="0"/>
      <w:marRight w:val="0"/>
      <w:marTop w:val="0"/>
      <w:marBottom w:val="0"/>
      <w:divBdr>
        <w:top w:val="none" w:sz="0" w:space="0" w:color="auto"/>
        <w:left w:val="none" w:sz="0" w:space="0" w:color="auto"/>
        <w:bottom w:val="none" w:sz="0" w:space="0" w:color="auto"/>
        <w:right w:val="none" w:sz="0" w:space="0" w:color="auto"/>
      </w:divBdr>
    </w:div>
    <w:div w:id="1727800968">
      <w:bodyDiv w:val="1"/>
      <w:marLeft w:val="0"/>
      <w:marRight w:val="0"/>
      <w:marTop w:val="0"/>
      <w:marBottom w:val="0"/>
      <w:divBdr>
        <w:top w:val="none" w:sz="0" w:space="0" w:color="auto"/>
        <w:left w:val="none" w:sz="0" w:space="0" w:color="auto"/>
        <w:bottom w:val="none" w:sz="0" w:space="0" w:color="auto"/>
        <w:right w:val="none" w:sz="0" w:space="0" w:color="auto"/>
      </w:divBdr>
    </w:div>
    <w:div w:id="1732384971">
      <w:bodyDiv w:val="1"/>
      <w:marLeft w:val="0"/>
      <w:marRight w:val="0"/>
      <w:marTop w:val="0"/>
      <w:marBottom w:val="0"/>
      <w:divBdr>
        <w:top w:val="none" w:sz="0" w:space="0" w:color="auto"/>
        <w:left w:val="none" w:sz="0" w:space="0" w:color="auto"/>
        <w:bottom w:val="none" w:sz="0" w:space="0" w:color="auto"/>
        <w:right w:val="none" w:sz="0" w:space="0" w:color="auto"/>
      </w:divBdr>
    </w:div>
    <w:div w:id="1733430886">
      <w:bodyDiv w:val="1"/>
      <w:marLeft w:val="0"/>
      <w:marRight w:val="0"/>
      <w:marTop w:val="0"/>
      <w:marBottom w:val="0"/>
      <w:divBdr>
        <w:top w:val="none" w:sz="0" w:space="0" w:color="auto"/>
        <w:left w:val="none" w:sz="0" w:space="0" w:color="auto"/>
        <w:bottom w:val="none" w:sz="0" w:space="0" w:color="auto"/>
        <w:right w:val="none" w:sz="0" w:space="0" w:color="auto"/>
      </w:divBdr>
    </w:div>
    <w:div w:id="1733698564">
      <w:bodyDiv w:val="1"/>
      <w:marLeft w:val="0"/>
      <w:marRight w:val="0"/>
      <w:marTop w:val="0"/>
      <w:marBottom w:val="0"/>
      <w:divBdr>
        <w:top w:val="none" w:sz="0" w:space="0" w:color="auto"/>
        <w:left w:val="none" w:sz="0" w:space="0" w:color="auto"/>
        <w:bottom w:val="none" w:sz="0" w:space="0" w:color="auto"/>
        <w:right w:val="none" w:sz="0" w:space="0" w:color="auto"/>
      </w:divBdr>
    </w:div>
    <w:div w:id="1735276078">
      <w:bodyDiv w:val="1"/>
      <w:marLeft w:val="0"/>
      <w:marRight w:val="0"/>
      <w:marTop w:val="0"/>
      <w:marBottom w:val="0"/>
      <w:divBdr>
        <w:top w:val="none" w:sz="0" w:space="0" w:color="auto"/>
        <w:left w:val="none" w:sz="0" w:space="0" w:color="auto"/>
        <w:bottom w:val="none" w:sz="0" w:space="0" w:color="auto"/>
        <w:right w:val="none" w:sz="0" w:space="0" w:color="auto"/>
      </w:divBdr>
    </w:div>
    <w:div w:id="1737821530">
      <w:bodyDiv w:val="1"/>
      <w:marLeft w:val="0"/>
      <w:marRight w:val="0"/>
      <w:marTop w:val="0"/>
      <w:marBottom w:val="0"/>
      <w:divBdr>
        <w:top w:val="none" w:sz="0" w:space="0" w:color="auto"/>
        <w:left w:val="none" w:sz="0" w:space="0" w:color="auto"/>
        <w:bottom w:val="none" w:sz="0" w:space="0" w:color="auto"/>
        <w:right w:val="none" w:sz="0" w:space="0" w:color="auto"/>
      </w:divBdr>
    </w:div>
    <w:div w:id="1739747431">
      <w:bodyDiv w:val="1"/>
      <w:marLeft w:val="0"/>
      <w:marRight w:val="0"/>
      <w:marTop w:val="0"/>
      <w:marBottom w:val="0"/>
      <w:divBdr>
        <w:top w:val="none" w:sz="0" w:space="0" w:color="auto"/>
        <w:left w:val="none" w:sz="0" w:space="0" w:color="auto"/>
        <w:bottom w:val="none" w:sz="0" w:space="0" w:color="auto"/>
        <w:right w:val="none" w:sz="0" w:space="0" w:color="auto"/>
      </w:divBdr>
    </w:div>
    <w:div w:id="1743404274">
      <w:bodyDiv w:val="1"/>
      <w:marLeft w:val="0"/>
      <w:marRight w:val="0"/>
      <w:marTop w:val="0"/>
      <w:marBottom w:val="0"/>
      <w:divBdr>
        <w:top w:val="none" w:sz="0" w:space="0" w:color="auto"/>
        <w:left w:val="none" w:sz="0" w:space="0" w:color="auto"/>
        <w:bottom w:val="none" w:sz="0" w:space="0" w:color="auto"/>
        <w:right w:val="none" w:sz="0" w:space="0" w:color="auto"/>
      </w:divBdr>
    </w:div>
    <w:div w:id="1743866523">
      <w:bodyDiv w:val="1"/>
      <w:marLeft w:val="0"/>
      <w:marRight w:val="0"/>
      <w:marTop w:val="0"/>
      <w:marBottom w:val="0"/>
      <w:divBdr>
        <w:top w:val="none" w:sz="0" w:space="0" w:color="auto"/>
        <w:left w:val="none" w:sz="0" w:space="0" w:color="auto"/>
        <w:bottom w:val="none" w:sz="0" w:space="0" w:color="auto"/>
        <w:right w:val="none" w:sz="0" w:space="0" w:color="auto"/>
      </w:divBdr>
    </w:div>
    <w:div w:id="1744527102">
      <w:bodyDiv w:val="1"/>
      <w:marLeft w:val="0"/>
      <w:marRight w:val="0"/>
      <w:marTop w:val="0"/>
      <w:marBottom w:val="0"/>
      <w:divBdr>
        <w:top w:val="none" w:sz="0" w:space="0" w:color="auto"/>
        <w:left w:val="none" w:sz="0" w:space="0" w:color="auto"/>
        <w:bottom w:val="none" w:sz="0" w:space="0" w:color="auto"/>
        <w:right w:val="none" w:sz="0" w:space="0" w:color="auto"/>
      </w:divBdr>
    </w:div>
    <w:div w:id="1745101477">
      <w:bodyDiv w:val="1"/>
      <w:marLeft w:val="0"/>
      <w:marRight w:val="0"/>
      <w:marTop w:val="0"/>
      <w:marBottom w:val="0"/>
      <w:divBdr>
        <w:top w:val="none" w:sz="0" w:space="0" w:color="auto"/>
        <w:left w:val="none" w:sz="0" w:space="0" w:color="auto"/>
        <w:bottom w:val="none" w:sz="0" w:space="0" w:color="auto"/>
        <w:right w:val="none" w:sz="0" w:space="0" w:color="auto"/>
      </w:divBdr>
    </w:div>
    <w:div w:id="1745952096">
      <w:bodyDiv w:val="1"/>
      <w:marLeft w:val="0"/>
      <w:marRight w:val="0"/>
      <w:marTop w:val="0"/>
      <w:marBottom w:val="0"/>
      <w:divBdr>
        <w:top w:val="none" w:sz="0" w:space="0" w:color="auto"/>
        <w:left w:val="none" w:sz="0" w:space="0" w:color="auto"/>
        <w:bottom w:val="none" w:sz="0" w:space="0" w:color="auto"/>
        <w:right w:val="none" w:sz="0" w:space="0" w:color="auto"/>
      </w:divBdr>
    </w:div>
    <w:div w:id="1748115291">
      <w:bodyDiv w:val="1"/>
      <w:marLeft w:val="0"/>
      <w:marRight w:val="0"/>
      <w:marTop w:val="0"/>
      <w:marBottom w:val="0"/>
      <w:divBdr>
        <w:top w:val="none" w:sz="0" w:space="0" w:color="auto"/>
        <w:left w:val="none" w:sz="0" w:space="0" w:color="auto"/>
        <w:bottom w:val="none" w:sz="0" w:space="0" w:color="auto"/>
        <w:right w:val="none" w:sz="0" w:space="0" w:color="auto"/>
      </w:divBdr>
    </w:div>
    <w:div w:id="1749309645">
      <w:bodyDiv w:val="1"/>
      <w:marLeft w:val="0"/>
      <w:marRight w:val="0"/>
      <w:marTop w:val="0"/>
      <w:marBottom w:val="0"/>
      <w:divBdr>
        <w:top w:val="none" w:sz="0" w:space="0" w:color="auto"/>
        <w:left w:val="none" w:sz="0" w:space="0" w:color="auto"/>
        <w:bottom w:val="none" w:sz="0" w:space="0" w:color="auto"/>
        <w:right w:val="none" w:sz="0" w:space="0" w:color="auto"/>
      </w:divBdr>
    </w:div>
    <w:div w:id="1749958839">
      <w:bodyDiv w:val="1"/>
      <w:marLeft w:val="0"/>
      <w:marRight w:val="0"/>
      <w:marTop w:val="0"/>
      <w:marBottom w:val="0"/>
      <w:divBdr>
        <w:top w:val="none" w:sz="0" w:space="0" w:color="auto"/>
        <w:left w:val="none" w:sz="0" w:space="0" w:color="auto"/>
        <w:bottom w:val="none" w:sz="0" w:space="0" w:color="auto"/>
        <w:right w:val="none" w:sz="0" w:space="0" w:color="auto"/>
      </w:divBdr>
    </w:div>
    <w:div w:id="1750345419">
      <w:bodyDiv w:val="1"/>
      <w:marLeft w:val="0"/>
      <w:marRight w:val="0"/>
      <w:marTop w:val="0"/>
      <w:marBottom w:val="0"/>
      <w:divBdr>
        <w:top w:val="none" w:sz="0" w:space="0" w:color="auto"/>
        <w:left w:val="none" w:sz="0" w:space="0" w:color="auto"/>
        <w:bottom w:val="none" w:sz="0" w:space="0" w:color="auto"/>
        <w:right w:val="none" w:sz="0" w:space="0" w:color="auto"/>
      </w:divBdr>
    </w:div>
    <w:div w:id="1751736574">
      <w:bodyDiv w:val="1"/>
      <w:marLeft w:val="0"/>
      <w:marRight w:val="0"/>
      <w:marTop w:val="0"/>
      <w:marBottom w:val="0"/>
      <w:divBdr>
        <w:top w:val="none" w:sz="0" w:space="0" w:color="auto"/>
        <w:left w:val="none" w:sz="0" w:space="0" w:color="auto"/>
        <w:bottom w:val="none" w:sz="0" w:space="0" w:color="auto"/>
        <w:right w:val="none" w:sz="0" w:space="0" w:color="auto"/>
      </w:divBdr>
    </w:div>
    <w:div w:id="1753157278">
      <w:bodyDiv w:val="1"/>
      <w:marLeft w:val="0"/>
      <w:marRight w:val="0"/>
      <w:marTop w:val="0"/>
      <w:marBottom w:val="0"/>
      <w:divBdr>
        <w:top w:val="none" w:sz="0" w:space="0" w:color="auto"/>
        <w:left w:val="none" w:sz="0" w:space="0" w:color="auto"/>
        <w:bottom w:val="none" w:sz="0" w:space="0" w:color="auto"/>
        <w:right w:val="none" w:sz="0" w:space="0" w:color="auto"/>
      </w:divBdr>
    </w:div>
    <w:div w:id="1753308324">
      <w:bodyDiv w:val="1"/>
      <w:marLeft w:val="0"/>
      <w:marRight w:val="0"/>
      <w:marTop w:val="0"/>
      <w:marBottom w:val="0"/>
      <w:divBdr>
        <w:top w:val="none" w:sz="0" w:space="0" w:color="auto"/>
        <w:left w:val="none" w:sz="0" w:space="0" w:color="auto"/>
        <w:bottom w:val="none" w:sz="0" w:space="0" w:color="auto"/>
        <w:right w:val="none" w:sz="0" w:space="0" w:color="auto"/>
      </w:divBdr>
    </w:div>
    <w:div w:id="1753968321">
      <w:bodyDiv w:val="1"/>
      <w:marLeft w:val="0"/>
      <w:marRight w:val="0"/>
      <w:marTop w:val="0"/>
      <w:marBottom w:val="0"/>
      <w:divBdr>
        <w:top w:val="none" w:sz="0" w:space="0" w:color="auto"/>
        <w:left w:val="none" w:sz="0" w:space="0" w:color="auto"/>
        <w:bottom w:val="none" w:sz="0" w:space="0" w:color="auto"/>
        <w:right w:val="none" w:sz="0" w:space="0" w:color="auto"/>
      </w:divBdr>
    </w:div>
    <w:div w:id="1754088950">
      <w:bodyDiv w:val="1"/>
      <w:marLeft w:val="0"/>
      <w:marRight w:val="0"/>
      <w:marTop w:val="0"/>
      <w:marBottom w:val="0"/>
      <w:divBdr>
        <w:top w:val="none" w:sz="0" w:space="0" w:color="auto"/>
        <w:left w:val="none" w:sz="0" w:space="0" w:color="auto"/>
        <w:bottom w:val="none" w:sz="0" w:space="0" w:color="auto"/>
        <w:right w:val="none" w:sz="0" w:space="0" w:color="auto"/>
      </w:divBdr>
    </w:div>
    <w:div w:id="1756782354">
      <w:bodyDiv w:val="1"/>
      <w:marLeft w:val="0"/>
      <w:marRight w:val="0"/>
      <w:marTop w:val="0"/>
      <w:marBottom w:val="0"/>
      <w:divBdr>
        <w:top w:val="none" w:sz="0" w:space="0" w:color="auto"/>
        <w:left w:val="none" w:sz="0" w:space="0" w:color="auto"/>
        <w:bottom w:val="none" w:sz="0" w:space="0" w:color="auto"/>
        <w:right w:val="none" w:sz="0" w:space="0" w:color="auto"/>
      </w:divBdr>
    </w:div>
    <w:div w:id="1758553607">
      <w:bodyDiv w:val="1"/>
      <w:marLeft w:val="0"/>
      <w:marRight w:val="0"/>
      <w:marTop w:val="0"/>
      <w:marBottom w:val="0"/>
      <w:divBdr>
        <w:top w:val="none" w:sz="0" w:space="0" w:color="auto"/>
        <w:left w:val="none" w:sz="0" w:space="0" w:color="auto"/>
        <w:bottom w:val="none" w:sz="0" w:space="0" w:color="auto"/>
        <w:right w:val="none" w:sz="0" w:space="0" w:color="auto"/>
      </w:divBdr>
    </w:div>
    <w:div w:id="1758599620">
      <w:bodyDiv w:val="1"/>
      <w:marLeft w:val="0"/>
      <w:marRight w:val="0"/>
      <w:marTop w:val="0"/>
      <w:marBottom w:val="0"/>
      <w:divBdr>
        <w:top w:val="none" w:sz="0" w:space="0" w:color="auto"/>
        <w:left w:val="none" w:sz="0" w:space="0" w:color="auto"/>
        <w:bottom w:val="none" w:sz="0" w:space="0" w:color="auto"/>
        <w:right w:val="none" w:sz="0" w:space="0" w:color="auto"/>
      </w:divBdr>
    </w:div>
    <w:div w:id="1760439681">
      <w:bodyDiv w:val="1"/>
      <w:marLeft w:val="0"/>
      <w:marRight w:val="0"/>
      <w:marTop w:val="0"/>
      <w:marBottom w:val="0"/>
      <w:divBdr>
        <w:top w:val="none" w:sz="0" w:space="0" w:color="auto"/>
        <w:left w:val="none" w:sz="0" w:space="0" w:color="auto"/>
        <w:bottom w:val="none" w:sz="0" w:space="0" w:color="auto"/>
        <w:right w:val="none" w:sz="0" w:space="0" w:color="auto"/>
      </w:divBdr>
    </w:div>
    <w:div w:id="1761488827">
      <w:bodyDiv w:val="1"/>
      <w:marLeft w:val="0"/>
      <w:marRight w:val="0"/>
      <w:marTop w:val="0"/>
      <w:marBottom w:val="0"/>
      <w:divBdr>
        <w:top w:val="none" w:sz="0" w:space="0" w:color="auto"/>
        <w:left w:val="none" w:sz="0" w:space="0" w:color="auto"/>
        <w:bottom w:val="none" w:sz="0" w:space="0" w:color="auto"/>
        <w:right w:val="none" w:sz="0" w:space="0" w:color="auto"/>
      </w:divBdr>
    </w:div>
    <w:div w:id="1762094288">
      <w:bodyDiv w:val="1"/>
      <w:marLeft w:val="0"/>
      <w:marRight w:val="0"/>
      <w:marTop w:val="0"/>
      <w:marBottom w:val="0"/>
      <w:divBdr>
        <w:top w:val="none" w:sz="0" w:space="0" w:color="auto"/>
        <w:left w:val="none" w:sz="0" w:space="0" w:color="auto"/>
        <w:bottom w:val="none" w:sz="0" w:space="0" w:color="auto"/>
        <w:right w:val="none" w:sz="0" w:space="0" w:color="auto"/>
      </w:divBdr>
    </w:div>
    <w:div w:id="1762801749">
      <w:bodyDiv w:val="1"/>
      <w:marLeft w:val="0"/>
      <w:marRight w:val="0"/>
      <w:marTop w:val="0"/>
      <w:marBottom w:val="0"/>
      <w:divBdr>
        <w:top w:val="none" w:sz="0" w:space="0" w:color="auto"/>
        <w:left w:val="none" w:sz="0" w:space="0" w:color="auto"/>
        <w:bottom w:val="none" w:sz="0" w:space="0" w:color="auto"/>
        <w:right w:val="none" w:sz="0" w:space="0" w:color="auto"/>
      </w:divBdr>
    </w:div>
    <w:div w:id="1766685379">
      <w:bodyDiv w:val="1"/>
      <w:marLeft w:val="0"/>
      <w:marRight w:val="0"/>
      <w:marTop w:val="0"/>
      <w:marBottom w:val="0"/>
      <w:divBdr>
        <w:top w:val="none" w:sz="0" w:space="0" w:color="auto"/>
        <w:left w:val="none" w:sz="0" w:space="0" w:color="auto"/>
        <w:bottom w:val="none" w:sz="0" w:space="0" w:color="auto"/>
        <w:right w:val="none" w:sz="0" w:space="0" w:color="auto"/>
      </w:divBdr>
    </w:div>
    <w:div w:id="1767194244">
      <w:bodyDiv w:val="1"/>
      <w:marLeft w:val="0"/>
      <w:marRight w:val="0"/>
      <w:marTop w:val="0"/>
      <w:marBottom w:val="0"/>
      <w:divBdr>
        <w:top w:val="none" w:sz="0" w:space="0" w:color="auto"/>
        <w:left w:val="none" w:sz="0" w:space="0" w:color="auto"/>
        <w:bottom w:val="none" w:sz="0" w:space="0" w:color="auto"/>
        <w:right w:val="none" w:sz="0" w:space="0" w:color="auto"/>
      </w:divBdr>
    </w:div>
    <w:div w:id="1769085228">
      <w:bodyDiv w:val="1"/>
      <w:marLeft w:val="0"/>
      <w:marRight w:val="0"/>
      <w:marTop w:val="0"/>
      <w:marBottom w:val="0"/>
      <w:divBdr>
        <w:top w:val="none" w:sz="0" w:space="0" w:color="auto"/>
        <w:left w:val="none" w:sz="0" w:space="0" w:color="auto"/>
        <w:bottom w:val="none" w:sz="0" w:space="0" w:color="auto"/>
        <w:right w:val="none" w:sz="0" w:space="0" w:color="auto"/>
      </w:divBdr>
    </w:div>
    <w:div w:id="1769151951">
      <w:bodyDiv w:val="1"/>
      <w:marLeft w:val="0"/>
      <w:marRight w:val="0"/>
      <w:marTop w:val="0"/>
      <w:marBottom w:val="0"/>
      <w:divBdr>
        <w:top w:val="none" w:sz="0" w:space="0" w:color="auto"/>
        <w:left w:val="none" w:sz="0" w:space="0" w:color="auto"/>
        <w:bottom w:val="none" w:sz="0" w:space="0" w:color="auto"/>
        <w:right w:val="none" w:sz="0" w:space="0" w:color="auto"/>
      </w:divBdr>
    </w:div>
    <w:div w:id="1770277704">
      <w:bodyDiv w:val="1"/>
      <w:marLeft w:val="0"/>
      <w:marRight w:val="0"/>
      <w:marTop w:val="0"/>
      <w:marBottom w:val="0"/>
      <w:divBdr>
        <w:top w:val="none" w:sz="0" w:space="0" w:color="auto"/>
        <w:left w:val="none" w:sz="0" w:space="0" w:color="auto"/>
        <w:bottom w:val="none" w:sz="0" w:space="0" w:color="auto"/>
        <w:right w:val="none" w:sz="0" w:space="0" w:color="auto"/>
      </w:divBdr>
    </w:div>
    <w:div w:id="1771046301">
      <w:bodyDiv w:val="1"/>
      <w:marLeft w:val="0"/>
      <w:marRight w:val="0"/>
      <w:marTop w:val="0"/>
      <w:marBottom w:val="0"/>
      <w:divBdr>
        <w:top w:val="none" w:sz="0" w:space="0" w:color="auto"/>
        <w:left w:val="none" w:sz="0" w:space="0" w:color="auto"/>
        <w:bottom w:val="none" w:sz="0" w:space="0" w:color="auto"/>
        <w:right w:val="none" w:sz="0" w:space="0" w:color="auto"/>
      </w:divBdr>
    </w:div>
    <w:div w:id="1776636449">
      <w:bodyDiv w:val="1"/>
      <w:marLeft w:val="0"/>
      <w:marRight w:val="0"/>
      <w:marTop w:val="0"/>
      <w:marBottom w:val="0"/>
      <w:divBdr>
        <w:top w:val="none" w:sz="0" w:space="0" w:color="auto"/>
        <w:left w:val="none" w:sz="0" w:space="0" w:color="auto"/>
        <w:bottom w:val="none" w:sz="0" w:space="0" w:color="auto"/>
        <w:right w:val="none" w:sz="0" w:space="0" w:color="auto"/>
      </w:divBdr>
    </w:div>
    <w:div w:id="1777018715">
      <w:bodyDiv w:val="1"/>
      <w:marLeft w:val="0"/>
      <w:marRight w:val="0"/>
      <w:marTop w:val="0"/>
      <w:marBottom w:val="0"/>
      <w:divBdr>
        <w:top w:val="none" w:sz="0" w:space="0" w:color="auto"/>
        <w:left w:val="none" w:sz="0" w:space="0" w:color="auto"/>
        <w:bottom w:val="none" w:sz="0" w:space="0" w:color="auto"/>
        <w:right w:val="none" w:sz="0" w:space="0" w:color="auto"/>
      </w:divBdr>
    </w:div>
    <w:div w:id="1781030239">
      <w:bodyDiv w:val="1"/>
      <w:marLeft w:val="0"/>
      <w:marRight w:val="0"/>
      <w:marTop w:val="0"/>
      <w:marBottom w:val="0"/>
      <w:divBdr>
        <w:top w:val="none" w:sz="0" w:space="0" w:color="auto"/>
        <w:left w:val="none" w:sz="0" w:space="0" w:color="auto"/>
        <w:bottom w:val="none" w:sz="0" w:space="0" w:color="auto"/>
        <w:right w:val="none" w:sz="0" w:space="0" w:color="auto"/>
      </w:divBdr>
    </w:div>
    <w:div w:id="1781685230">
      <w:bodyDiv w:val="1"/>
      <w:marLeft w:val="0"/>
      <w:marRight w:val="0"/>
      <w:marTop w:val="0"/>
      <w:marBottom w:val="0"/>
      <w:divBdr>
        <w:top w:val="none" w:sz="0" w:space="0" w:color="auto"/>
        <w:left w:val="none" w:sz="0" w:space="0" w:color="auto"/>
        <w:bottom w:val="none" w:sz="0" w:space="0" w:color="auto"/>
        <w:right w:val="none" w:sz="0" w:space="0" w:color="auto"/>
      </w:divBdr>
    </w:div>
    <w:div w:id="1782718998">
      <w:bodyDiv w:val="1"/>
      <w:marLeft w:val="0"/>
      <w:marRight w:val="0"/>
      <w:marTop w:val="0"/>
      <w:marBottom w:val="0"/>
      <w:divBdr>
        <w:top w:val="none" w:sz="0" w:space="0" w:color="auto"/>
        <w:left w:val="none" w:sz="0" w:space="0" w:color="auto"/>
        <w:bottom w:val="none" w:sz="0" w:space="0" w:color="auto"/>
        <w:right w:val="none" w:sz="0" w:space="0" w:color="auto"/>
      </w:divBdr>
    </w:div>
    <w:div w:id="1783065218">
      <w:bodyDiv w:val="1"/>
      <w:marLeft w:val="0"/>
      <w:marRight w:val="0"/>
      <w:marTop w:val="0"/>
      <w:marBottom w:val="0"/>
      <w:divBdr>
        <w:top w:val="none" w:sz="0" w:space="0" w:color="auto"/>
        <w:left w:val="none" w:sz="0" w:space="0" w:color="auto"/>
        <w:bottom w:val="none" w:sz="0" w:space="0" w:color="auto"/>
        <w:right w:val="none" w:sz="0" w:space="0" w:color="auto"/>
      </w:divBdr>
    </w:div>
    <w:div w:id="1783106377">
      <w:bodyDiv w:val="1"/>
      <w:marLeft w:val="0"/>
      <w:marRight w:val="0"/>
      <w:marTop w:val="0"/>
      <w:marBottom w:val="0"/>
      <w:divBdr>
        <w:top w:val="none" w:sz="0" w:space="0" w:color="auto"/>
        <w:left w:val="none" w:sz="0" w:space="0" w:color="auto"/>
        <w:bottom w:val="none" w:sz="0" w:space="0" w:color="auto"/>
        <w:right w:val="none" w:sz="0" w:space="0" w:color="auto"/>
      </w:divBdr>
    </w:div>
    <w:div w:id="1783719676">
      <w:bodyDiv w:val="1"/>
      <w:marLeft w:val="0"/>
      <w:marRight w:val="0"/>
      <w:marTop w:val="0"/>
      <w:marBottom w:val="0"/>
      <w:divBdr>
        <w:top w:val="none" w:sz="0" w:space="0" w:color="auto"/>
        <w:left w:val="none" w:sz="0" w:space="0" w:color="auto"/>
        <w:bottom w:val="none" w:sz="0" w:space="0" w:color="auto"/>
        <w:right w:val="none" w:sz="0" w:space="0" w:color="auto"/>
      </w:divBdr>
    </w:div>
    <w:div w:id="1786970566">
      <w:bodyDiv w:val="1"/>
      <w:marLeft w:val="0"/>
      <w:marRight w:val="0"/>
      <w:marTop w:val="0"/>
      <w:marBottom w:val="0"/>
      <w:divBdr>
        <w:top w:val="none" w:sz="0" w:space="0" w:color="auto"/>
        <w:left w:val="none" w:sz="0" w:space="0" w:color="auto"/>
        <w:bottom w:val="none" w:sz="0" w:space="0" w:color="auto"/>
        <w:right w:val="none" w:sz="0" w:space="0" w:color="auto"/>
      </w:divBdr>
    </w:div>
    <w:div w:id="1789004047">
      <w:bodyDiv w:val="1"/>
      <w:marLeft w:val="0"/>
      <w:marRight w:val="0"/>
      <w:marTop w:val="0"/>
      <w:marBottom w:val="0"/>
      <w:divBdr>
        <w:top w:val="none" w:sz="0" w:space="0" w:color="auto"/>
        <w:left w:val="none" w:sz="0" w:space="0" w:color="auto"/>
        <w:bottom w:val="none" w:sz="0" w:space="0" w:color="auto"/>
        <w:right w:val="none" w:sz="0" w:space="0" w:color="auto"/>
      </w:divBdr>
    </w:div>
    <w:div w:id="1789354166">
      <w:bodyDiv w:val="1"/>
      <w:marLeft w:val="0"/>
      <w:marRight w:val="0"/>
      <w:marTop w:val="0"/>
      <w:marBottom w:val="0"/>
      <w:divBdr>
        <w:top w:val="none" w:sz="0" w:space="0" w:color="auto"/>
        <w:left w:val="none" w:sz="0" w:space="0" w:color="auto"/>
        <w:bottom w:val="none" w:sz="0" w:space="0" w:color="auto"/>
        <w:right w:val="none" w:sz="0" w:space="0" w:color="auto"/>
      </w:divBdr>
    </w:div>
    <w:div w:id="1793162847">
      <w:bodyDiv w:val="1"/>
      <w:marLeft w:val="0"/>
      <w:marRight w:val="0"/>
      <w:marTop w:val="0"/>
      <w:marBottom w:val="0"/>
      <w:divBdr>
        <w:top w:val="none" w:sz="0" w:space="0" w:color="auto"/>
        <w:left w:val="none" w:sz="0" w:space="0" w:color="auto"/>
        <w:bottom w:val="none" w:sz="0" w:space="0" w:color="auto"/>
        <w:right w:val="none" w:sz="0" w:space="0" w:color="auto"/>
      </w:divBdr>
    </w:div>
    <w:div w:id="1793860372">
      <w:bodyDiv w:val="1"/>
      <w:marLeft w:val="0"/>
      <w:marRight w:val="0"/>
      <w:marTop w:val="0"/>
      <w:marBottom w:val="0"/>
      <w:divBdr>
        <w:top w:val="none" w:sz="0" w:space="0" w:color="auto"/>
        <w:left w:val="none" w:sz="0" w:space="0" w:color="auto"/>
        <w:bottom w:val="none" w:sz="0" w:space="0" w:color="auto"/>
        <w:right w:val="none" w:sz="0" w:space="0" w:color="auto"/>
      </w:divBdr>
    </w:div>
    <w:div w:id="1796289180">
      <w:bodyDiv w:val="1"/>
      <w:marLeft w:val="0"/>
      <w:marRight w:val="0"/>
      <w:marTop w:val="0"/>
      <w:marBottom w:val="0"/>
      <w:divBdr>
        <w:top w:val="none" w:sz="0" w:space="0" w:color="auto"/>
        <w:left w:val="none" w:sz="0" w:space="0" w:color="auto"/>
        <w:bottom w:val="none" w:sz="0" w:space="0" w:color="auto"/>
        <w:right w:val="none" w:sz="0" w:space="0" w:color="auto"/>
      </w:divBdr>
    </w:div>
    <w:div w:id="1796947232">
      <w:bodyDiv w:val="1"/>
      <w:marLeft w:val="0"/>
      <w:marRight w:val="0"/>
      <w:marTop w:val="0"/>
      <w:marBottom w:val="0"/>
      <w:divBdr>
        <w:top w:val="none" w:sz="0" w:space="0" w:color="auto"/>
        <w:left w:val="none" w:sz="0" w:space="0" w:color="auto"/>
        <w:bottom w:val="none" w:sz="0" w:space="0" w:color="auto"/>
        <w:right w:val="none" w:sz="0" w:space="0" w:color="auto"/>
      </w:divBdr>
    </w:div>
    <w:div w:id="1797335085">
      <w:bodyDiv w:val="1"/>
      <w:marLeft w:val="0"/>
      <w:marRight w:val="0"/>
      <w:marTop w:val="0"/>
      <w:marBottom w:val="0"/>
      <w:divBdr>
        <w:top w:val="none" w:sz="0" w:space="0" w:color="auto"/>
        <w:left w:val="none" w:sz="0" w:space="0" w:color="auto"/>
        <w:bottom w:val="none" w:sz="0" w:space="0" w:color="auto"/>
        <w:right w:val="none" w:sz="0" w:space="0" w:color="auto"/>
      </w:divBdr>
    </w:div>
    <w:div w:id="1802379602">
      <w:bodyDiv w:val="1"/>
      <w:marLeft w:val="0"/>
      <w:marRight w:val="0"/>
      <w:marTop w:val="0"/>
      <w:marBottom w:val="0"/>
      <w:divBdr>
        <w:top w:val="none" w:sz="0" w:space="0" w:color="auto"/>
        <w:left w:val="none" w:sz="0" w:space="0" w:color="auto"/>
        <w:bottom w:val="none" w:sz="0" w:space="0" w:color="auto"/>
        <w:right w:val="none" w:sz="0" w:space="0" w:color="auto"/>
      </w:divBdr>
    </w:div>
    <w:div w:id="1809473891">
      <w:bodyDiv w:val="1"/>
      <w:marLeft w:val="0"/>
      <w:marRight w:val="0"/>
      <w:marTop w:val="0"/>
      <w:marBottom w:val="0"/>
      <w:divBdr>
        <w:top w:val="none" w:sz="0" w:space="0" w:color="auto"/>
        <w:left w:val="none" w:sz="0" w:space="0" w:color="auto"/>
        <w:bottom w:val="none" w:sz="0" w:space="0" w:color="auto"/>
        <w:right w:val="none" w:sz="0" w:space="0" w:color="auto"/>
      </w:divBdr>
    </w:div>
    <w:div w:id="1810172661">
      <w:bodyDiv w:val="1"/>
      <w:marLeft w:val="0"/>
      <w:marRight w:val="0"/>
      <w:marTop w:val="0"/>
      <w:marBottom w:val="0"/>
      <w:divBdr>
        <w:top w:val="none" w:sz="0" w:space="0" w:color="auto"/>
        <w:left w:val="none" w:sz="0" w:space="0" w:color="auto"/>
        <w:bottom w:val="none" w:sz="0" w:space="0" w:color="auto"/>
        <w:right w:val="none" w:sz="0" w:space="0" w:color="auto"/>
      </w:divBdr>
    </w:div>
    <w:div w:id="1810778864">
      <w:bodyDiv w:val="1"/>
      <w:marLeft w:val="0"/>
      <w:marRight w:val="0"/>
      <w:marTop w:val="0"/>
      <w:marBottom w:val="0"/>
      <w:divBdr>
        <w:top w:val="none" w:sz="0" w:space="0" w:color="auto"/>
        <w:left w:val="none" w:sz="0" w:space="0" w:color="auto"/>
        <w:bottom w:val="none" w:sz="0" w:space="0" w:color="auto"/>
        <w:right w:val="none" w:sz="0" w:space="0" w:color="auto"/>
      </w:divBdr>
    </w:div>
    <w:div w:id="1812281842">
      <w:bodyDiv w:val="1"/>
      <w:marLeft w:val="0"/>
      <w:marRight w:val="0"/>
      <w:marTop w:val="0"/>
      <w:marBottom w:val="0"/>
      <w:divBdr>
        <w:top w:val="none" w:sz="0" w:space="0" w:color="auto"/>
        <w:left w:val="none" w:sz="0" w:space="0" w:color="auto"/>
        <w:bottom w:val="none" w:sz="0" w:space="0" w:color="auto"/>
        <w:right w:val="none" w:sz="0" w:space="0" w:color="auto"/>
      </w:divBdr>
    </w:div>
    <w:div w:id="1817064839">
      <w:bodyDiv w:val="1"/>
      <w:marLeft w:val="0"/>
      <w:marRight w:val="0"/>
      <w:marTop w:val="0"/>
      <w:marBottom w:val="0"/>
      <w:divBdr>
        <w:top w:val="none" w:sz="0" w:space="0" w:color="auto"/>
        <w:left w:val="none" w:sz="0" w:space="0" w:color="auto"/>
        <w:bottom w:val="none" w:sz="0" w:space="0" w:color="auto"/>
        <w:right w:val="none" w:sz="0" w:space="0" w:color="auto"/>
      </w:divBdr>
    </w:div>
    <w:div w:id="1817795251">
      <w:bodyDiv w:val="1"/>
      <w:marLeft w:val="0"/>
      <w:marRight w:val="0"/>
      <w:marTop w:val="0"/>
      <w:marBottom w:val="0"/>
      <w:divBdr>
        <w:top w:val="none" w:sz="0" w:space="0" w:color="auto"/>
        <w:left w:val="none" w:sz="0" w:space="0" w:color="auto"/>
        <w:bottom w:val="none" w:sz="0" w:space="0" w:color="auto"/>
        <w:right w:val="none" w:sz="0" w:space="0" w:color="auto"/>
      </w:divBdr>
    </w:div>
    <w:div w:id="1818381562">
      <w:bodyDiv w:val="1"/>
      <w:marLeft w:val="0"/>
      <w:marRight w:val="0"/>
      <w:marTop w:val="0"/>
      <w:marBottom w:val="0"/>
      <w:divBdr>
        <w:top w:val="none" w:sz="0" w:space="0" w:color="auto"/>
        <w:left w:val="none" w:sz="0" w:space="0" w:color="auto"/>
        <w:bottom w:val="none" w:sz="0" w:space="0" w:color="auto"/>
        <w:right w:val="none" w:sz="0" w:space="0" w:color="auto"/>
      </w:divBdr>
    </w:div>
    <w:div w:id="1821145394">
      <w:bodyDiv w:val="1"/>
      <w:marLeft w:val="0"/>
      <w:marRight w:val="0"/>
      <w:marTop w:val="0"/>
      <w:marBottom w:val="0"/>
      <w:divBdr>
        <w:top w:val="none" w:sz="0" w:space="0" w:color="auto"/>
        <w:left w:val="none" w:sz="0" w:space="0" w:color="auto"/>
        <w:bottom w:val="none" w:sz="0" w:space="0" w:color="auto"/>
        <w:right w:val="none" w:sz="0" w:space="0" w:color="auto"/>
      </w:divBdr>
    </w:div>
    <w:div w:id="1821312964">
      <w:bodyDiv w:val="1"/>
      <w:marLeft w:val="0"/>
      <w:marRight w:val="0"/>
      <w:marTop w:val="0"/>
      <w:marBottom w:val="0"/>
      <w:divBdr>
        <w:top w:val="none" w:sz="0" w:space="0" w:color="auto"/>
        <w:left w:val="none" w:sz="0" w:space="0" w:color="auto"/>
        <w:bottom w:val="none" w:sz="0" w:space="0" w:color="auto"/>
        <w:right w:val="none" w:sz="0" w:space="0" w:color="auto"/>
      </w:divBdr>
    </w:div>
    <w:div w:id="1823618648">
      <w:bodyDiv w:val="1"/>
      <w:marLeft w:val="0"/>
      <w:marRight w:val="0"/>
      <w:marTop w:val="0"/>
      <w:marBottom w:val="0"/>
      <w:divBdr>
        <w:top w:val="none" w:sz="0" w:space="0" w:color="auto"/>
        <w:left w:val="none" w:sz="0" w:space="0" w:color="auto"/>
        <w:bottom w:val="none" w:sz="0" w:space="0" w:color="auto"/>
        <w:right w:val="none" w:sz="0" w:space="0" w:color="auto"/>
      </w:divBdr>
    </w:div>
    <w:div w:id="1825319244">
      <w:bodyDiv w:val="1"/>
      <w:marLeft w:val="0"/>
      <w:marRight w:val="0"/>
      <w:marTop w:val="0"/>
      <w:marBottom w:val="0"/>
      <w:divBdr>
        <w:top w:val="none" w:sz="0" w:space="0" w:color="auto"/>
        <w:left w:val="none" w:sz="0" w:space="0" w:color="auto"/>
        <w:bottom w:val="none" w:sz="0" w:space="0" w:color="auto"/>
        <w:right w:val="none" w:sz="0" w:space="0" w:color="auto"/>
      </w:divBdr>
    </w:div>
    <w:div w:id="1825506973">
      <w:bodyDiv w:val="1"/>
      <w:marLeft w:val="0"/>
      <w:marRight w:val="0"/>
      <w:marTop w:val="0"/>
      <w:marBottom w:val="0"/>
      <w:divBdr>
        <w:top w:val="none" w:sz="0" w:space="0" w:color="auto"/>
        <w:left w:val="none" w:sz="0" w:space="0" w:color="auto"/>
        <w:bottom w:val="none" w:sz="0" w:space="0" w:color="auto"/>
        <w:right w:val="none" w:sz="0" w:space="0" w:color="auto"/>
      </w:divBdr>
    </w:div>
    <w:div w:id="1826044383">
      <w:bodyDiv w:val="1"/>
      <w:marLeft w:val="0"/>
      <w:marRight w:val="0"/>
      <w:marTop w:val="0"/>
      <w:marBottom w:val="0"/>
      <w:divBdr>
        <w:top w:val="none" w:sz="0" w:space="0" w:color="auto"/>
        <w:left w:val="none" w:sz="0" w:space="0" w:color="auto"/>
        <w:bottom w:val="none" w:sz="0" w:space="0" w:color="auto"/>
        <w:right w:val="none" w:sz="0" w:space="0" w:color="auto"/>
      </w:divBdr>
    </w:div>
    <w:div w:id="1829899268">
      <w:bodyDiv w:val="1"/>
      <w:marLeft w:val="0"/>
      <w:marRight w:val="0"/>
      <w:marTop w:val="0"/>
      <w:marBottom w:val="0"/>
      <w:divBdr>
        <w:top w:val="none" w:sz="0" w:space="0" w:color="auto"/>
        <w:left w:val="none" w:sz="0" w:space="0" w:color="auto"/>
        <w:bottom w:val="none" w:sz="0" w:space="0" w:color="auto"/>
        <w:right w:val="none" w:sz="0" w:space="0" w:color="auto"/>
      </w:divBdr>
    </w:div>
    <w:div w:id="1832912143">
      <w:bodyDiv w:val="1"/>
      <w:marLeft w:val="0"/>
      <w:marRight w:val="0"/>
      <w:marTop w:val="0"/>
      <w:marBottom w:val="0"/>
      <w:divBdr>
        <w:top w:val="none" w:sz="0" w:space="0" w:color="auto"/>
        <w:left w:val="none" w:sz="0" w:space="0" w:color="auto"/>
        <w:bottom w:val="none" w:sz="0" w:space="0" w:color="auto"/>
        <w:right w:val="none" w:sz="0" w:space="0" w:color="auto"/>
      </w:divBdr>
    </w:div>
    <w:div w:id="1833984089">
      <w:bodyDiv w:val="1"/>
      <w:marLeft w:val="0"/>
      <w:marRight w:val="0"/>
      <w:marTop w:val="0"/>
      <w:marBottom w:val="0"/>
      <w:divBdr>
        <w:top w:val="none" w:sz="0" w:space="0" w:color="auto"/>
        <w:left w:val="none" w:sz="0" w:space="0" w:color="auto"/>
        <w:bottom w:val="none" w:sz="0" w:space="0" w:color="auto"/>
        <w:right w:val="none" w:sz="0" w:space="0" w:color="auto"/>
      </w:divBdr>
    </w:div>
    <w:div w:id="1834756641">
      <w:bodyDiv w:val="1"/>
      <w:marLeft w:val="0"/>
      <w:marRight w:val="0"/>
      <w:marTop w:val="0"/>
      <w:marBottom w:val="0"/>
      <w:divBdr>
        <w:top w:val="none" w:sz="0" w:space="0" w:color="auto"/>
        <w:left w:val="none" w:sz="0" w:space="0" w:color="auto"/>
        <w:bottom w:val="none" w:sz="0" w:space="0" w:color="auto"/>
        <w:right w:val="none" w:sz="0" w:space="0" w:color="auto"/>
      </w:divBdr>
    </w:div>
    <w:div w:id="1836677496">
      <w:bodyDiv w:val="1"/>
      <w:marLeft w:val="0"/>
      <w:marRight w:val="0"/>
      <w:marTop w:val="0"/>
      <w:marBottom w:val="0"/>
      <w:divBdr>
        <w:top w:val="none" w:sz="0" w:space="0" w:color="auto"/>
        <w:left w:val="none" w:sz="0" w:space="0" w:color="auto"/>
        <w:bottom w:val="none" w:sz="0" w:space="0" w:color="auto"/>
        <w:right w:val="none" w:sz="0" w:space="0" w:color="auto"/>
      </w:divBdr>
    </w:div>
    <w:div w:id="1838692448">
      <w:bodyDiv w:val="1"/>
      <w:marLeft w:val="0"/>
      <w:marRight w:val="0"/>
      <w:marTop w:val="0"/>
      <w:marBottom w:val="0"/>
      <w:divBdr>
        <w:top w:val="none" w:sz="0" w:space="0" w:color="auto"/>
        <w:left w:val="none" w:sz="0" w:space="0" w:color="auto"/>
        <w:bottom w:val="none" w:sz="0" w:space="0" w:color="auto"/>
        <w:right w:val="none" w:sz="0" w:space="0" w:color="auto"/>
      </w:divBdr>
    </w:div>
    <w:div w:id="1840583516">
      <w:bodyDiv w:val="1"/>
      <w:marLeft w:val="0"/>
      <w:marRight w:val="0"/>
      <w:marTop w:val="0"/>
      <w:marBottom w:val="0"/>
      <w:divBdr>
        <w:top w:val="none" w:sz="0" w:space="0" w:color="auto"/>
        <w:left w:val="none" w:sz="0" w:space="0" w:color="auto"/>
        <w:bottom w:val="none" w:sz="0" w:space="0" w:color="auto"/>
        <w:right w:val="none" w:sz="0" w:space="0" w:color="auto"/>
      </w:divBdr>
    </w:div>
    <w:div w:id="1845045472">
      <w:bodyDiv w:val="1"/>
      <w:marLeft w:val="0"/>
      <w:marRight w:val="0"/>
      <w:marTop w:val="0"/>
      <w:marBottom w:val="0"/>
      <w:divBdr>
        <w:top w:val="none" w:sz="0" w:space="0" w:color="auto"/>
        <w:left w:val="none" w:sz="0" w:space="0" w:color="auto"/>
        <w:bottom w:val="none" w:sz="0" w:space="0" w:color="auto"/>
        <w:right w:val="none" w:sz="0" w:space="0" w:color="auto"/>
      </w:divBdr>
    </w:div>
    <w:div w:id="1846284940">
      <w:bodyDiv w:val="1"/>
      <w:marLeft w:val="0"/>
      <w:marRight w:val="0"/>
      <w:marTop w:val="0"/>
      <w:marBottom w:val="0"/>
      <w:divBdr>
        <w:top w:val="none" w:sz="0" w:space="0" w:color="auto"/>
        <w:left w:val="none" w:sz="0" w:space="0" w:color="auto"/>
        <w:bottom w:val="none" w:sz="0" w:space="0" w:color="auto"/>
        <w:right w:val="none" w:sz="0" w:space="0" w:color="auto"/>
      </w:divBdr>
    </w:div>
    <w:div w:id="1848595704">
      <w:bodyDiv w:val="1"/>
      <w:marLeft w:val="0"/>
      <w:marRight w:val="0"/>
      <w:marTop w:val="0"/>
      <w:marBottom w:val="0"/>
      <w:divBdr>
        <w:top w:val="none" w:sz="0" w:space="0" w:color="auto"/>
        <w:left w:val="none" w:sz="0" w:space="0" w:color="auto"/>
        <w:bottom w:val="none" w:sz="0" w:space="0" w:color="auto"/>
        <w:right w:val="none" w:sz="0" w:space="0" w:color="auto"/>
      </w:divBdr>
    </w:div>
    <w:div w:id="1850366836">
      <w:bodyDiv w:val="1"/>
      <w:marLeft w:val="0"/>
      <w:marRight w:val="0"/>
      <w:marTop w:val="0"/>
      <w:marBottom w:val="0"/>
      <w:divBdr>
        <w:top w:val="none" w:sz="0" w:space="0" w:color="auto"/>
        <w:left w:val="none" w:sz="0" w:space="0" w:color="auto"/>
        <w:bottom w:val="none" w:sz="0" w:space="0" w:color="auto"/>
        <w:right w:val="none" w:sz="0" w:space="0" w:color="auto"/>
      </w:divBdr>
    </w:div>
    <w:div w:id="1851019189">
      <w:bodyDiv w:val="1"/>
      <w:marLeft w:val="0"/>
      <w:marRight w:val="0"/>
      <w:marTop w:val="0"/>
      <w:marBottom w:val="0"/>
      <w:divBdr>
        <w:top w:val="none" w:sz="0" w:space="0" w:color="auto"/>
        <w:left w:val="none" w:sz="0" w:space="0" w:color="auto"/>
        <w:bottom w:val="none" w:sz="0" w:space="0" w:color="auto"/>
        <w:right w:val="none" w:sz="0" w:space="0" w:color="auto"/>
      </w:divBdr>
    </w:div>
    <w:div w:id="1853227516">
      <w:bodyDiv w:val="1"/>
      <w:marLeft w:val="0"/>
      <w:marRight w:val="0"/>
      <w:marTop w:val="0"/>
      <w:marBottom w:val="0"/>
      <w:divBdr>
        <w:top w:val="none" w:sz="0" w:space="0" w:color="auto"/>
        <w:left w:val="none" w:sz="0" w:space="0" w:color="auto"/>
        <w:bottom w:val="none" w:sz="0" w:space="0" w:color="auto"/>
        <w:right w:val="none" w:sz="0" w:space="0" w:color="auto"/>
      </w:divBdr>
    </w:div>
    <w:div w:id="1854294332">
      <w:bodyDiv w:val="1"/>
      <w:marLeft w:val="0"/>
      <w:marRight w:val="0"/>
      <w:marTop w:val="0"/>
      <w:marBottom w:val="0"/>
      <w:divBdr>
        <w:top w:val="none" w:sz="0" w:space="0" w:color="auto"/>
        <w:left w:val="none" w:sz="0" w:space="0" w:color="auto"/>
        <w:bottom w:val="none" w:sz="0" w:space="0" w:color="auto"/>
        <w:right w:val="none" w:sz="0" w:space="0" w:color="auto"/>
      </w:divBdr>
    </w:div>
    <w:div w:id="1856379143">
      <w:bodyDiv w:val="1"/>
      <w:marLeft w:val="0"/>
      <w:marRight w:val="0"/>
      <w:marTop w:val="0"/>
      <w:marBottom w:val="0"/>
      <w:divBdr>
        <w:top w:val="none" w:sz="0" w:space="0" w:color="auto"/>
        <w:left w:val="none" w:sz="0" w:space="0" w:color="auto"/>
        <w:bottom w:val="none" w:sz="0" w:space="0" w:color="auto"/>
        <w:right w:val="none" w:sz="0" w:space="0" w:color="auto"/>
      </w:divBdr>
    </w:div>
    <w:div w:id="1856531396">
      <w:bodyDiv w:val="1"/>
      <w:marLeft w:val="0"/>
      <w:marRight w:val="0"/>
      <w:marTop w:val="0"/>
      <w:marBottom w:val="0"/>
      <w:divBdr>
        <w:top w:val="none" w:sz="0" w:space="0" w:color="auto"/>
        <w:left w:val="none" w:sz="0" w:space="0" w:color="auto"/>
        <w:bottom w:val="none" w:sz="0" w:space="0" w:color="auto"/>
        <w:right w:val="none" w:sz="0" w:space="0" w:color="auto"/>
      </w:divBdr>
    </w:div>
    <w:div w:id="1859587798">
      <w:bodyDiv w:val="1"/>
      <w:marLeft w:val="0"/>
      <w:marRight w:val="0"/>
      <w:marTop w:val="0"/>
      <w:marBottom w:val="0"/>
      <w:divBdr>
        <w:top w:val="none" w:sz="0" w:space="0" w:color="auto"/>
        <w:left w:val="none" w:sz="0" w:space="0" w:color="auto"/>
        <w:bottom w:val="none" w:sz="0" w:space="0" w:color="auto"/>
        <w:right w:val="none" w:sz="0" w:space="0" w:color="auto"/>
      </w:divBdr>
    </w:div>
    <w:div w:id="1860653438">
      <w:bodyDiv w:val="1"/>
      <w:marLeft w:val="0"/>
      <w:marRight w:val="0"/>
      <w:marTop w:val="0"/>
      <w:marBottom w:val="0"/>
      <w:divBdr>
        <w:top w:val="none" w:sz="0" w:space="0" w:color="auto"/>
        <w:left w:val="none" w:sz="0" w:space="0" w:color="auto"/>
        <w:bottom w:val="none" w:sz="0" w:space="0" w:color="auto"/>
        <w:right w:val="none" w:sz="0" w:space="0" w:color="auto"/>
      </w:divBdr>
    </w:div>
    <w:div w:id="1861047490">
      <w:bodyDiv w:val="1"/>
      <w:marLeft w:val="0"/>
      <w:marRight w:val="0"/>
      <w:marTop w:val="0"/>
      <w:marBottom w:val="0"/>
      <w:divBdr>
        <w:top w:val="none" w:sz="0" w:space="0" w:color="auto"/>
        <w:left w:val="none" w:sz="0" w:space="0" w:color="auto"/>
        <w:bottom w:val="none" w:sz="0" w:space="0" w:color="auto"/>
        <w:right w:val="none" w:sz="0" w:space="0" w:color="auto"/>
      </w:divBdr>
    </w:div>
    <w:div w:id="1862429818">
      <w:bodyDiv w:val="1"/>
      <w:marLeft w:val="0"/>
      <w:marRight w:val="0"/>
      <w:marTop w:val="0"/>
      <w:marBottom w:val="0"/>
      <w:divBdr>
        <w:top w:val="none" w:sz="0" w:space="0" w:color="auto"/>
        <w:left w:val="none" w:sz="0" w:space="0" w:color="auto"/>
        <w:bottom w:val="none" w:sz="0" w:space="0" w:color="auto"/>
        <w:right w:val="none" w:sz="0" w:space="0" w:color="auto"/>
      </w:divBdr>
    </w:div>
    <w:div w:id="1862933934">
      <w:bodyDiv w:val="1"/>
      <w:marLeft w:val="0"/>
      <w:marRight w:val="0"/>
      <w:marTop w:val="0"/>
      <w:marBottom w:val="0"/>
      <w:divBdr>
        <w:top w:val="none" w:sz="0" w:space="0" w:color="auto"/>
        <w:left w:val="none" w:sz="0" w:space="0" w:color="auto"/>
        <w:bottom w:val="none" w:sz="0" w:space="0" w:color="auto"/>
        <w:right w:val="none" w:sz="0" w:space="0" w:color="auto"/>
      </w:divBdr>
    </w:div>
    <w:div w:id="1866215692">
      <w:bodyDiv w:val="1"/>
      <w:marLeft w:val="0"/>
      <w:marRight w:val="0"/>
      <w:marTop w:val="0"/>
      <w:marBottom w:val="0"/>
      <w:divBdr>
        <w:top w:val="none" w:sz="0" w:space="0" w:color="auto"/>
        <w:left w:val="none" w:sz="0" w:space="0" w:color="auto"/>
        <w:bottom w:val="none" w:sz="0" w:space="0" w:color="auto"/>
        <w:right w:val="none" w:sz="0" w:space="0" w:color="auto"/>
      </w:divBdr>
    </w:div>
    <w:div w:id="1867787490">
      <w:bodyDiv w:val="1"/>
      <w:marLeft w:val="0"/>
      <w:marRight w:val="0"/>
      <w:marTop w:val="0"/>
      <w:marBottom w:val="0"/>
      <w:divBdr>
        <w:top w:val="none" w:sz="0" w:space="0" w:color="auto"/>
        <w:left w:val="none" w:sz="0" w:space="0" w:color="auto"/>
        <w:bottom w:val="none" w:sz="0" w:space="0" w:color="auto"/>
        <w:right w:val="none" w:sz="0" w:space="0" w:color="auto"/>
      </w:divBdr>
    </w:div>
    <w:div w:id="1870561204">
      <w:bodyDiv w:val="1"/>
      <w:marLeft w:val="0"/>
      <w:marRight w:val="0"/>
      <w:marTop w:val="0"/>
      <w:marBottom w:val="0"/>
      <w:divBdr>
        <w:top w:val="none" w:sz="0" w:space="0" w:color="auto"/>
        <w:left w:val="none" w:sz="0" w:space="0" w:color="auto"/>
        <w:bottom w:val="none" w:sz="0" w:space="0" w:color="auto"/>
        <w:right w:val="none" w:sz="0" w:space="0" w:color="auto"/>
      </w:divBdr>
    </w:div>
    <w:div w:id="1871993362">
      <w:bodyDiv w:val="1"/>
      <w:marLeft w:val="0"/>
      <w:marRight w:val="0"/>
      <w:marTop w:val="0"/>
      <w:marBottom w:val="0"/>
      <w:divBdr>
        <w:top w:val="none" w:sz="0" w:space="0" w:color="auto"/>
        <w:left w:val="none" w:sz="0" w:space="0" w:color="auto"/>
        <w:bottom w:val="none" w:sz="0" w:space="0" w:color="auto"/>
        <w:right w:val="none" w:sz="0" w:space="0" w:color="auto"/>
      </w:divBdr>
    </w:div>
    <w:div w:id="1874269405">
      <w:bodyDiv w:val="1"/>
      <w:marLeft w:val="0"/>
      <w:marRight w:val="0"/>
      <w:marTop w:val="0"/>
      <w:marBottom w:val="0"/>
      <w:divBdr>
        <w:top w:val="none" w:sz="0" w:space="0" w:color="auto"/>
        <w:left w:val="none" w:sz="0" w:space="0" w:color="auto"/>
        <w:bottom w:val="none" w:sz="0" w:space="0" w:color="auto"/>
        <w:right w:val="none" w:sz="0" w:space="0" w:color="auto"/>
      </w:divBdr>
    </w:div>
    <w:div w:id="1874922020">
      <w:bodyDiv w:val="1"/>
      <w:marLeft w:val="0"/>
      <w:marRight w:val="0"/>
      <w:marTop w:val="0"/>
      <w:marBottom w:val="0"/>
      <w:divBdr>
        <w:top w:val="none" w:sz="0" w:space="0" w:color="auto"/>
        <w:left w:val="none" w:sz="0" w:space="0" w:color="auto"/>
        <w:bottom w:val="none" w:sz="0" w:space="0" w:color="auto"/>
        <w:right w:val="none" w:sz="0" w:space="0" w:color="auto"/>
      </w:divBdr>
    </w:div>
    <w:div w:id="1875581309">
      <w:bodyDiv w:val="1"/>
      <w:marLeft w:val="0"/>
      <w:marRight w:val="0"/>
      <w:marTop w:val="0"/>
      <w:marBottom w:val="0"/>
      <w:divBdr>
        <w:top w:val="none" w:sz="0" w:space="0" w:color="auto"/>
        <w:left w:val="none" w:sz="0" w:space="0" w:color="auto"/>
        <w:bottom w:val="none" w:sz="0" w:space="0" w:color="auto"/>
        <w:right w:val="none" w:sz="0" w:space="0" w:color="auto"/>
      </w:divBdr>
    </w:div>
    <w:div w:id="1876192388">
      <w:bodyDiv w:val="1"/>
      <w:marLeft w:val="0"/>
      <w:marRight w:val="0"/>
      <w:marTop w:val="0"/>
      <w:marBottom w:val="0"/>
      <w:divBdr>
        <w:top w:val="none" w:sz="0" w:space="0" w:color="auto"/>
        <w:left w:val="none" w:sz="0" w:space="0" w:color="auto"/>
        <w:bottom w:val="none" w:sz="0" w:space="0" w:color="auto"/>
        <w:right w:val="none" w:sz="0" w:space="0" w:color="auto"/>
      </w:divBdr>
    </w:div>
    <w:div w:id="1876386782">
      <w:bodyDiv w:val="1"/>
      <w:marLeft w:val="0"/>
      <w:marRight w:val="0"/>
      <w:marTop w:val="0"/>
      <w:marBottom w:val="0"/>
      <w:divBdr>
        <w:top w:val="none" w:sz="0" w:space="0" w:color="auto"/>
        <w:left w:val="none" w:sz="0" w:space="0" w:color="auto"/>
        <w:bottom w:val="none" w:sz="0" w:space="0" w:color="auto"/>
        <w:right w:val="none" w:sz="0" w:space="0" w:color="auto"/>
      </w:divBdr>
    </w:div>
    <w:div w:id="1878663099">
      <w:bodyDiv w:val="1"/>
      <w:marLeft w:val="0"/>
      <w:marRight w:val="0"/>
      <w:marTop w:val="0"/>
      <w:marBottom w:val="0"/>
      <w:divBdr>
        <w:top w:val="none" w:sz="0" w:space="0" w:color="auto"/>
        <w:left w:val="none" w:sz="0" w:space="0" w:color="auto"/>
        <w:bottom w:val="none" w:sz="0" w:space="0" w:color="auto"/>
        <w:right w:val="none" w:sz="0" w:space="0" w:color="auto"/>
      </w:divBdr>
    </w:div>
    <w:div w:id="1879733102">
      <w:bodyDiv w:val="1"/>
      <w:marLeft w:val="0"/>
      <w:marRight w:val="0"/>
      <w:marTop w:val="0"/>
      <w:marBottom w:val="0"/>
      <w:divBdr>
        <w:top w:val="none" w:sz="0" w:space="0" w:color="auto"/>
        <w:left w:val="none" w:sz="0" w:space="0" w:color="auto"/>
        <w:bottom w:val="none" w:sz="0" w:space="0" w:color="auto"/>
        <w:right w:val="none" w:sz="0" w:space="0" w:color="auto"/>
      </w:divBdr>
    </w:div>
    <w:div w:id="1880775280">
      <w:bodyDiv w:val="1"/>
      <w:marLeft w:val="0"/>
      <w:marRight w:val="0"/>
      <w:marTop w:val="0"/>
      <w:marBottom w:val="0"/>
      <w:divBdr>
        <w:top w:val="none" w:sz="0" w:space="0" w:color="auto"/>
        <w:left w:val="none" w:sz="0" w:space="0" w:color="auto"/>
        <w:bottom w:val="none" w:sz="0" w:space="0" w:color="auto"/>
        <w:right w:val="none" w:sz="0" w:space="0" w:color="auto"/>
      </w:divBdr>
    </w:div>
    <w:div w:id="1885099748">
      <w:bodyDiv w:val="1"/>
      <w:marLeft w:val="0"/>
      <w:marRight w:val="0"/>
      <w:marTop w:val="0"/>
      <w:marBottom w:val="0"/>
      <w:divBdr>
        <w:top w:val="none" w:sz="0" w:space="0" w:color="auto"/>
        <w:left w:val="none" w:sz="0" w:space="0" w:color="auto"/>
        <w:bottom w:val="none" w:sz="0" w:space="0" w:color="auto"/>
        <w:right w:val="none" w:sz="0" w:space="0" w:color="auto"/>
      </w:divBdr>
    </w:div>
    <w:div w:id="1885603677">
      <w:bodyDiv w:val="1"/>
      <w:marLeft w:val="0"/>
      <w:marRight w:val="0"/>
      <w:marTop w:val="0"/>
      <w:marBottom w:val="0"/>
      <w:divBdr>
        <w:top w:val="none" w:sz="0" w:space="0" w:color="auto"/>
        <w:left w:val="none" w:sz="0" w:space="0" w:color="auto"/>
        <w:bottom w:val="none" w:sz="0" w:space="0" w:color="auto"/>
        <w:right w:val="none" w:sz="0" w:space="0" w:color="auto"/>
      </w:divBdr>
    </w:div>
    <w:div w:id="1886216615">
      <w:bodyDiv w:val="1"/>
      <w:marLeft w:val="0"/>
      <w:marRight w:val="0"/>
      <w:marTop w:val="0"/>
      <w:marBottom w:val="0"/>
      <w:divBdr>
        <w:top w:val="none" w:sz="0" w:space="0" w:color="auto"/>
        <w:left w:val="none" w:sz="0" w:space="0" w:color="auto"/>
        <w:bottom w:val="none" w:sz="0" w:space="0" w:color="auto"/>
        <w:right w:val="none" w:sz="0" w:space="0" w:color="auto"/>
      </w:divBdr>
    </w:div>
    <w:div w:id="1886720603">
      <w:bodyDiv w:val="1"/>
      <w:marLeft w:val="0"/>
      <w:marRight w:val="0"/>
      <w:marTop w:val="0"/>
      <w:marBottom w:val="0"/>
      <w:divBdr>
        <w:top w:val="none" w:sz="0" w:space="0" w:color="auto"/>
        <w:left w:val="none" w:sz="0" w:space="0" w:color="auto"/>
        <w:bottom w:val="none" w:sz="0" w:space="0" w:color="auto"/>
        <w:right w:val="none" w:sz="0" w:space="0" w:color="auto"/>
      </w:divBdr>
    </w:div>
    <w:div w:id="1888372427">
      <w:bodyDiv w:val="1"/>
      <w:marLeft w:val="0"/>
      <w:marRight w:val="0"/>
      <w:marTop w:val="0"/>
      <w:marBottom w:val="0"/>
      <w:divBdr>
        <w:top w:val="none" w:sz="0" w:space="0" w:color="auto"/>
        <w:left w:val="none" w:sz="0" w:space="0" w:color="auto"/>
        <w:bottom w:val="none" w:sz="0" w:space="0" w:color="auto"/>
        <w:right w:val="none" w:sz="0" w:space="0" w:color="auto"/>
      </w:divBdr>
    </w:div>
    <w:div w:id="1890218333">
      <w:bodyDiv w:val="1"/>
      <w:marLeft w:val="0"/>
      <w:marRight w:val="0"/>
      <w:marTop w:val="0"/>
      <w:marBottom w:val="0"/>
      <w:divBdr>
        <w:top w:val="none" w:sz="0" w:space="0" w:color="auto"/>
        <w:left w:val="none" w:sz="0" w:space="0" w:color="auto"/>
        <w:bottom w:val="none" w:sz="0" w:space="0" w:color="auto"/>
        <w:right w:val="none" w:sz="0" w:space="0" w:color="auto"/>
      </w:divBdr>
    </w:div>
    <w:div w:id="1890260226">
      <w:bodyDiv w:val="1"/>
      <w:marLeft w:val="0"/>
      <w:marRight w:val="0"/>
      <w:marTop w:val="0"/>
      <w:marBottom w:val="0"/>
      <w:divBdr>
        <w:top w:val="none" w:sz="0" w:space="0" w:color="auto"/>
        <w:left w:val="none" w:sz="0" w:space="0" w:color="auto"/>
        <w:bottom w:val="none" w:sz="0" w:space="0" w:color="auto"/>
        <w:right w:val="none" w:sz="0" w:space="0" w:color="auto"/>
      </w:divBdr>
    </w:div>
    <w:div w:id="1891726134">
      <w:bodyDiv w:val="1"/>
      <w:marLeft w:val="0"/>
      <w:marRight w:val="0"/>
      <w:marTop w:val="0"/>
      <w:marBottom w:val="0"/>
      <w:divBdr>
        <w:top w:val="none" w:sz="0" w:space="0" w:color="auto"/>
        <w:left w:val="none" w:sz="0" w:space="0" w:color="auto"/>
        <w:bottom w:val="none" w:sz="0" w:space="0" w:color="auto"/>
        <w:right w:val="none" w:sz="0" w:space="0" w:color="auto"/>
      </w:divBdr>
    </w:div>
    <w:div w:id="1892577073">
      <w:bodyDiv w:val="1"/>
      <w:marLeft w:val="0"/>
      <w:marRight w:val="0"/>
      <w:marTop w:val="0"/>
      <w:marBottom w:val="0"/>
      <w:divBdr>
        <w:top w:val="none" w:sz="0" w:space="0" w:color="auto"/>
        <w:left w:val="none" w:sz="0" w:space="0" w:color="auto"/>
        <w:bottom w:val="none" w:sz="0" w:space="0" w:color="auto"/>
        <w:right w:val="none" w:sz="0" w:space="0" w:color="auto"/>
      </w:divBdr>
    </w:div>
    <w:div w:id="1898122884">
      <w:bodyDiv w:val="1"/>
      <w:marLeft w:val="0"/>
      <w:marRight w:val="0"/>
      <w:marTop w:val="0"/>
      <w:marBottom w:val="0"/>
      <w:divBdr>
        <w:top w:val="none" w:sz="0" w:space="0" w:color="auto"/>
        <w:left w:val="none" w:sz="0" w:space="0" w:color="auto"/>
        <w:bottom w:val="none" w:sz="0" w:space="0" w:color="auto"/>
        <w:right w:val="none" w:sz="0" w:space="0" w:color="auto"/>
      </w:divBdr>
    </w:div>
    <w:div w:id="1898659034">
      <w:bodyDiv w:val="1"/>
      <w:marLeft w:val="0"/>
      <w:marRight w:val="0"/>
      <w:marTop w:val="0"/>
      <w:marBottom w:val="0"/>
      <w:divBdr>
        <w:top w:val="none" w:sz="0" w:space="0" w:color="auto"/>
        <w:left w:val="none" w:sz="0" w:space="0" w:color="auto"/>
        <w:bottom w:val="none" w:sz="0" w:space="0" w:color="auto"/>
        <w:right w:val="none" w:sz="0" w:space="0" w:color="auto"/>
      </w:divBdr>
    </w:div>
    <w:div w:id="1898665571">
      <w:bodyDiv w:val="1"/>
      <w:marLeft w:val="0"/>
      <w:marRight w:val="0"/>
      <w:marTop w:val="0"/>
      <w:marBottom w:val="0"/>
      <w:divBdr>
        <w:top w:val="none" w:sz="0" w:space="0" w:color="auto"/>
        <w:left w:val="none" w:sz="0" w:space="0" w:color="auto"/>
        <w:bottom w:val="none" w:sz="0" w:space="0" w:color="auto"/>
        <w:right w:val="none" w:sz="0" w:space="0" w:color="auto"/>
      </w:divBdr>
    </w:div>
    <w:div w:id="1898734808">
      <w:bodyDiv w:val="1"/>
      <w:marLeft w:val="0"/>
      <w:marRight w:val="0"/>
      <w:marTop w:val="0"/>
      <w:marBottom w:val="0"/>
      <w:divBdr>
        <w:top w:val="none" w:sz="0" w:space="0" w:color="auto"/>
        <w:left w:val="none" w:sz="0" w:space="0" w:color="auto"/>
        <w:bottom w:val="none" w:sz="0" w:space="0" w:color="auto"/>
        <w:right w:val="none" w:sz="0" w:space="0" w:color="auto"/>
      </w:divBdr>
    </w:div>
    <w:div w:id="1900314066">
      <w:bodyDiv w:val="1"/>
      <w:marLeft w:val="0"/>
      <w:marRight w:val="0"/>
      <w:marTop w:val="0"/>
      <w:marBottom w:val="0"/>
      <w:divBdr>
        <w:top w:val="none" w:sz="0" w:space="0" w:color="auto"/>
        <w:left w:val="none" w:sz="0" w:space="0" w:color="auto"/>
        <w:bottom w:val="none" w:sz="0" w:space="0" w:color="auto"/>
        <w:right w:val="none" w:sz="0" w:space="0" w:color="auto"/>
      </w:divBdr>
    </w:div>
    <w:div w:id="1902398352">
      <w:bodyDiv w:val="1"/>
      <w:marLeft w:val="0"/>
      <w:marRight w:val="0"/>
      <w:marTop w:val="0"/>
      <w:marBottom w:val="0"/>
      <w:divBdr>
        <w:top w:val="none" w:sz="0" w:space="0" w:color="auto"/>
        <w:left w:val="none" w:sz="0" w:space="0" w:color="auto"/>
        <w:bottom w:val="none" w:sz="0" w:space="0" w:color="auto"/>
        <w:right w:val="none" w:sz="0" w:space="0" w:color="auto"/>
      </w:divBdr>
    </w:div>
    <w:div w:id="1902475049">
      <w:bodyDiv w:val="1"/>
      <w:marLeft w:val="0"/>
      <w:marRight w:val="0"/>
      <w:marTop w:val="0"/>
      <w:marBottom w:val="0"/>
      <w:divBdr>
        <w:top w:val="none" w:sz="0" w:space="0" w:color="auto"/>
        <w:left w:val="none" w:sz="0" w:space="0" w:color="auto"/>
        <w:bottom w:val="none" w:sz="0" w:space="0" w:color="auto"/>
        <w:right w:val="none" w:sz="0" w:space="0" w:color="auto"/>
      </w:divBdr>
    </w:div>
    <w:div w:id="1903101776">
      <w:bodyDiv w:val="1"/>
      <w:marLeft w:val="0"/>
      <w:marRight w:val="0"/>
      <w:marTop w:val="0"/>
      <w:marBottom w:val="0"/>
      <w:divBdr>
        <w:top w:val="none" w:sz="0" w:space="0" w:color="auto"/>
        <w:left w:val="none" w:sz="0" w:space="0" w:color="auto"/>
        <w:bottom w:val="none" w:sz="0" w:space="0" w:color="auto"/>
        <w:right w:val="none" w:sz="0" w:space="0" w:color="auto"/>
      </w:divBdr>
    </w:div>
    <w:div w:id="1904681134">
      <w:bodyDiv w:val="1"/>
      <w:marLeft w:val="0"/>
      <w:marRight w:val="0"/>
      <w:marTop w:val="0"/>
      <w:marBottom w:val="0"/>
      <w:divBdr>
        <w:top w:val="none" w:sz="0" w:space="0" w:color="auto"/>
        <w:left w:val="none" w:sz="0" w:space="0" w:color="auto"/>
        <w:bottom w:val="none" w:sz="0" w:space="0" w:color="auto"/>
        <w:right w:val="none" w:sz="0" w:space="0" w:color="auto"/>
      </w:divBdr>
    </w:div>
    <w:div w:id="1908956642">
      <w:bodyDiv w:val="1"/>
      <w:marLeft w:val="0"/>
      <w:marRight w:val="0"/>
      <w:marTop w:val="0"/>
      <w:marBottom w:val="0"/>
      <w:divBdr>
        <w:top w:val="none" w:sz="0" w:space="0" w:color="auto"/>
        <w:left w:val="none" w:sz="0" w:space="0" w:color="auto"/>
        <w:bottom w:val="none" w:sz="0" w:space="0" w:color="auto"/>
        <w:right w:val="none" w:sz="0" w:space="0" w:color="auto"/>
      </w:divBdr>
    </w:div>
    <w:div w:id="1910992284">
      <w:bodyDiv w:val="1"/>
      <w:marLeft w:val="0"/>
      <w:marRight w:val="0"/>
      <w:marTop w:val="0"/>
      <w:marBottom w:val="0"/>
      <w:divBdr>
        <w:top w:val="none" w:sz="0" w:space="0" w:color="auto"/>
        <w:left w:val="none" w:sz="0" w:space="0" w:color="auto"/>
        <w:bottom w:val="none" w:sz="0" w:space="0" w:color="auto"/>
        <w:right w:val="none" w:sz="0" w:space="0" w:color="auto"/>
      </w:divBdr>
    </w:div>
    <w:div w:id="1913545875">
      <w:bodyDiv w:val="1"/>
      <w:marLeft w:val="0"/>
      <w:marRight w:val="0"/>
      <w:marTop w:val="0"/>
      <w:marBottom w:val="0"/>
      <w:divBdr>
        <w:top w:val="none" w:sz="0" w:space="0" w:color="auto"/>
        <w:left w:val="none" w:sz="0" w:space="0" w:color="auto"/>
        <w:bottom w:val="none" w:sz="0" w:space="0" w:color="auto"/>
        <w:right w:val="none" w:sz="0" w:space="0" w:color="auto"/>
      </w:divBdr>
    </w:div>
    <w:div w:id="1917007894">
      <w:bodyDiv w:val="1"/>
      <w:marLeft w:val="0"/>
      <w:marRight w:val="0"/>
      <w:marTop w:val="0"/>
      <w:marBottom w:val="0"/>
      <w:divBdr>
        <w:top w:val="none" w:sz="0" w:space="0" w:color="auto"/>
        <w:left w:val="none" w:sz="0" w:space="0" w:color="auto"/>
        <w:bottom w:val="none" w:sz="0" w:space="0" w:color="auto"/>
        <w:right w:val="none" w:sz="0" w:space="0" w:color="auto"/>
      </w:divBdr>
    </w:div>
    <w:div w:id="1925726625">
      <w:bodyDiv w:val="1"/>
      <w:marLeft w:val="0"/>
      <w:marRight w:val="0"/>
      <w:marTop w:val="0"/>
      <w:marBottom w:val="0"/>
      <w:divBdr>
        <w:top w:val="none" w:sz="0" w:space="0" w:color="auto"/>
        <w:left w:val="none" w:sz="0" w:space="0" w:color="auto"/>
        <w:bottom w:val="none" w:sz="0" w:space="0" w:color="auto"/>
        <w:right w:val="none" w:sz="0" w:space="0" w:color="auto"/>
      </w:divBdr>
    </w:div>
    <w:div w:id="1927424167">
      <w:bodyDiv w:val="1"/>
      <w:marLeft w:val="0"/>
      <w:marRight w:val="0"/>
      <w:marTop w:val="0"/>
      <w:marBottom w:val="0"/>
      <w:divBdr>
        <w:top w:val="none" w:sz="0" w:space="0" w:color="auto"/>
        <w:left w:val="none" w:sz="0" w:space="0" w:color="auto"/>
        <w:bottom w:val="none" w:sz="0" w:space="0" w:color="auto"/>
        <w:right w:val="none" w:sz="0" w:space="0" w:color="auto"/>
      </w:divBdr>
    </w:div>
    <w:div w:id="1930305065">
      <w:bodyDiv w:val="1"/>
      <w:marLeft w:val="0"/>
      <w:marRight w:val="0"/>
      <w:marTop w:val="0"/>
      <w:marBottom w:val="0"/>
      <w:divBdr>
        <w:top w:val="none" w:sz="0" w:space="0" w:color="auto"/>
        <w:left w:val="none" w:sz="0" w:space="0" w:color="auto"/>
        <w:bottom w:val="none" w:sz="0" w:space="0" w:color="auto"/>
        <w:right w:val="none" w:sz="0" w:space="0" w:color="auto"/>
      </w:divBdr>
    </w:div>
    <w:div w:id="1931307490">
      <w:bodyDiv w:val="1"/>
      <w:marLeft w:val="0"/>
      <w:marRight w:val="0"/>
      <w:marTop w:val="0"/>
      <w:marBottom w:val="0"/>
      <w:divBdr>
        <w:top w:val="none" w:sz="0" w:space="0" w:color="auto"/>
        <w:left w:val="none" w:sz="0" w:space="0" w:color="auto"/>
        <w:bottom w:val="none" w:sz="0" w:space="0" w:color="auto"/>
        <w:right w:val="none" w:sz="0" w:space="0" w:color="auto"/>
      </w:divBdr>
    </w:div>
    <w:div w:id="1932007464">
      <w:bodyDiv w:val="1"/>
      <w:marLeft w:val="0"/>
      <w:marRight w:val="0"/>
      <w:marTop w:val="0"/>
      <w:marBottom w:val="0"/>
      <w:divBdr>
        <w:top w:val="none" w:sz="0" w:space="0" w:color="auto"/>
        <w:left w:val="none" w:sz="0" w:space="0" w:color="auto"/>
        <w:bottom w:val="none" w:sz="0" w:space="0" w:color="auto"/>
        <w:right w:val="none" w:sz="0" w:space="0" w:color="auto"/>
      </w:divBdr>
    </w:div>
    <w:div w:id="1935085735">
      <w:bodyDiv w:val="1"/>
      <w:marLeft w:val="0"/>
      <w:marRight w:val="0"/>
      <w:marTop w:val="0"/>
      <w:marBottom w:val="0"/>
      <w:divBdr>
        <w:top w:val="none" w:sz="0" w:space="0" w:color="auto"/>
        <w:left w:val="none" w:sz="0" w:space="0" w:color="auto"/>
        <w:bottom w:val="none" w:sz="0" w:space="0" w:color="auto"/>
        <w:right w:val="none" w:sz="0" w:space="0" w:color="auto"/>
      </w:divBdr>
    </w:div>
    <w:div w:id="1935359952">
      <w:bodyDiv w:val="1"/>
      <w:marLeft w:val="0"/>
      <w:marRight w:val="0"/>
      <w:marTop w:val="0"/>
      <w:marBottom w:val="0"/>
      <w:divBdr>
        <w:top w:val="none" w:sz="0" w:space="0" w:color="auto"/>
        <w:left w:val="none" w:sz="0" w:space="0" w:color="auto"/>
        <w:bottom w:val="none" w:sz="0" w:space="0" w:color="auto"/>
        <w:right w:val="none" w:sz="0" w:space="0" w:color="auto"/>
      </w:divBdr>
    </w:div>
    <w:div w:id="1937401360">
      <w:bodyDiv w:val="1"/>
      <w:marLeft w:val="0"/>
      <w:marRight w:val="0"/>
      <w:marTop w:val="0"/>
      <w:marBottom w:val="0"/>
      <w:divBdr>
        <w:top w:val="none" w:sz="0" w:space="0" w:color="auto"/>
        <w:left w:val="none" w:sz="0" w:space="0" w:color="auto"/>
        <w:bottom w:val="none" w:sz="0" w:space="0" w:color="auto"/>
        <w:right w:val="none" w:sz="0" w:space="0" w:color="auto"/>
      </w:divBdr>
    </w:div>
    <w:div w:id="1939944805">
      <w:bodyDiv w:val="1"/>
      <w:marLeft w:val="0"/>
      <w:marRight w:val="0"/>
      <w:marTop w:val="0"/>
      <w:marBottom w:val="0"/>
      <w:divBdr>
        <w:top w:val="none" w:sz="0" w:space="0" w:color="auto"/>
        <w:left w:val="none" w:sz="0" w:space="0" w:color="auto"/>
        <w:bottom w:val="none" w:sz="0" w:space="0" w:color="auto"/>
        <w:right w:val="none" w:sz="0" w:space="0" w:color="auto"/>
      </w:divBdr>
    </w:div>
    <w:div w:id="1940528425">
      <w:bodyDiv w:val="1"/>
      <w:marLeft w:val="0"/>
      <w:marRight w:val="0"/>
      <w:marTop w:val="0"/>
      <w:marBottom w:val="0"/>
      <w:divBdr>
        <w:top w:val="none" w:sz="0" w:space="0" w:color="auto"/>
        <w:left w:val="none" w:sz="0" w:space="0" w:color="auto"/>
        <w:bottom w:val="none" w:sz="0" w:space="0" w:color="auto"/>
        <w:right w:val="none" w:sz="0" w:space="0" w:color="auto"/>
      </w:divBdr>
    </w:div>
    <w:div w:id="1941790049">
      <w:bodyDiv w:val="1"/>
      <w:marLeft w:val="0"/>
      <w:marRight w:val="0"/>
      <w:marTop w:val="0"/>
      <w:marBottom w:val="0"/>
      <w:divBdr>
        <w:top w:val="none" w:sz="0" w:space="0" w:color="auto"/>
        <w:left w:val="none" w:sz="0" w:space="0" w:color="auto"/>
        <w:bottom w:val="none" w:sz="0" w:space="0" w:color="auto"/>
        <w:right w:val="none" w:sz="0" w:space="0" w:color="auto"/>
      </w:divBdr>
    </w:div>
    <w:div w:id="1941912930">
      <w:bodyDiv w:val="1"/>
      <w:marLeft w:val="0"/>
      <w:marRight w:val="0"/>
      <w:marTop w:val="0"/>
      <w:marBottom w:val="0"/>
      <w:divBdr>
        <w:top w:val="none" w:sz="0" w:space="0" w:color="auto"/>
        <w:left w:val="none" w:sz="0" w:space="0" w:color="auto"/>
        <w:bottom w:val="none" w:sz="0" w:space="0" w:color="auto"/>
        <w:right w:val="none" w:sz="0" w:space="0" w:color="auto"/>
      </w:divBdr>
    </w:div>
    <w:div w:id="1942689008">
      <w:bodyDiv w:val="1"/>
      <w:marLeft w:val="0"/>
      <w:marRight w:val="0"/>
      <w:marTop w:val="0"/>
      <w:marBottom w:val="0"/>
      <w:divBdr>
        <w:top w:val="none" w:sz="0" w:space="0" w:color="auto"/>
        <w:left w:val="none" w:sz="0" w:space="0" w:color="auto"/>
        <w:bottom w:val="none" w:sz="0" w:space="0" w:color="auto"/>
        <w:right w:val="none" w:sz="0" w:space="0" w:color="auto"/>
      </w:divBdr>
    </w:div>
    <w:div w:id="1943759337">
      <w:bodyDiv w:val="1"/>
      <w:marLeft w:val="0"/>
      <w:marRight w:val="0"/>
      <w:marTop w:val="0"/>
      <w:marBottom w:val="0"/>
      <w:divBdr>
        <w:top w:val="none" w:sz="0" w:space="0" w:color="auto"/>
        <w:left w:val="none" w:sz="0" w:space="0" w:color="auto"/>
        <w:bottom w:val="none" w:sz="0" w:space="0" w:color="auto"/>
        <w:right w:val="none" w:sz="0" w:space="0" w:color="auto"/>
      </w:divBdr>
    </w:div>
    <w:div w:id="1947695151">
      <w:bodyDiv w:val="1"/>
      <w:marLeft w:val="0"/>
      <w:marRight w:val="0"/>
      <w:marTop w:val="0"/>
      <w:marBottom w:val="0"/>
      <w:divBdr>
        <w:top w:val="none" w:sz="0" w:space="0" w:color="auto"/>
        <w:left w:val="none" w:sz="0" w:space="0" w:color="auto"/>
        <w:bottom w:val="none" w:sz="0" w:space="0" w:color="auto"/>
        <w:right w:val="none" w:sz="0" w:space="0" w:color="auto"/>
      </w:divBdr>
    </w:div>
    <w:div w:id="1949968693">
      <w:bodyDiv w:val="1"/>
      <w:marLeft w:val="0"/>
      <w:marRight w:val="0"/>
      <w:marTop w:val="0"/>
      <w:marBottom w:val="0"/>
      <w:divBdr>
        <w:top w:val="none" w:sz="0" w:space="0" w:color="auto"/>
        <w:left w:val="none" w:sz="0" w:space="0" w:color="auto"/>
        <w:bottom w:val="none" w:sz="0" w:space="0" w:color="auto"/>
        <w:right w:val="none" w:sz="0" w:space="0" w:color="auto"/>
      </w:divBdr>
    </w:div>
    <w:div w:id="1950964580">
      <w:bodyDiv w:val="1"/>
      <w:marLeft w:val="0"/>
      <w:marRight w:val="0"/>
      <w:marTop w:val="0"/>
      <w:marBottom w:val="0"/>
      <w:divBdr>
        <w:top w:val="none" w:sz="0" w:space="0" w:color="auto"/>
        <w:left w:val="none" w:sz="0" w:space="0" w:color="auto"/>
        <w:bottom w:val="none" w:sz="0" w:space="0" w:color="auto"/>
        <w:right w:val="none" w:sz="0" w:space="0" w:color="auto"/>
      </w:divBdr>
    </w:div>
    <w:div w:id="1952007692">
      <w:bodyDiv w:val="1"/>
      <w:marLeft w:val="0"/>
      <w:marRight w:val="0"/>
      <w:marTop w:val="0"/>
      <w:marBottom w:val="0"/>
      <w:divBdr>
        <w:top w:val="none" w:sz="0" w:space="0" w:color="auto"/>
        <w:left w:val="none" w:sz="0" w:space="0" w:color="auto"/>
        <w:bottom w:val="none" w:sz="0" w:space="0" w:color="auto"/>
        <w:right w:val="none" w:sz="0" w:space="0" w:color="auto"/>
      </w:divBdr>
    </w:div>
    <w:div w:id="1956406164">
      <w:bodyDiv w:val="1"/>
      <w:marLeft w:val="0"/>
      <w:marRight w:val="0"/>
      <w:marTop w:val="0"/>
      <w:marBottom w:val="0"/>
      <w:divBdr>
        <w:top w:val="none" w:sz="0" w:space="0" w:color="auto"/>
        <w:left w:val="none" w:sz="0" w:space="0" w:color="auto"/>
        <w:bottom w:val="none" w:sz="0" w:space="0" w:color="auto"/>
        <w:right w:val="none" w:sz="0" w:space="0" w:color="auto"/>
      </w:divBdr>
    </w:div>
    <w:div w:id="1959607255">
      <w:bodyDiv w:val="1"/>
      <w:marLeft w:val="0"/>
      <w:marRight w:val="0"/>
      <w:marTop w:val="0"/>
      <w:marBottom w:val="0"/>
      <w:divBdr>
        <w:top w:val="none" w:sz="0" w:space="0" w:color="auto"/>
        <w:left w:val="none" w:sz="0" w:space="0" w:color="auto"/>
        <w:bottom w:val="none" w:sz="0" w:space="0" w:color="auto"/>
        <w:right w:val="none" w:sz="0" w:space="0" w:color="auto"/>
      </w:divBdr>
    </w:div>
    <w:div w:id="1959675063">
      <w:bodyDiv w:val="1"/>
      <w:marLeft w:val="0"/>
      <w:marRight w:val="0"/>
      <w:marTop w:val="0"/>
      <w:marBottom w:val="0"/>
      <w:divBdr>
        <w:top w:val="none" w:sz="0" w:space="0" w:color="auto"/>
        <w:left w:val="none" w:sz="0" w:space="0" w:color="auto"/>
        <w:bottom w:val="none" w:sz="0" w:space="0" w:color="auto"/>
        <w:right w:val="none" w:sz="0" w:space="0" w:color="auto"/>
      </w:divBdr>
    </w:div>
    <w:div w:id="1966736310">
      <w:bodyDiv w:val="1"/>
      <w:marLeft w:val="0"/>
      <w:marRight w:val="0"/>
      <w:marTop w:val="0"/>
      <w:marBottom w:val="0"/>
      <w:divBdr>
        <w:top w:val="none" w:sz="0" w:space="0" w:color="auto"/>
        <w:left w:val="none" w:sz="0" w:space="0" w:color="auto"/>
        <w:bottom w:val="none" w:sz="0" w:space="0" w:color="auto"/>
        <w:right w:val="none" w:sz="0" w:space="0" w:color="auto"/>
      </w:divBdr>
    </w:div>
    <w:div w:id="1967544295">
      <w:bodyDiv w:val="1"/>
      <w:marLeft w:val="0"/>
      <w:marRight w:val="0"/>
      <w:marTop w:val="0"/>
      <w:marBottom w:val="0"/>
      <w:divBdr>
        <w:top w:val="none" w:sz="0" w:space="0" w:color="auto"/>
        <w:left w:val="none" w:sz="0" w:space="0" w:color="auto"/>
        <w:bottom w:val="none" w:sz="0" w:space="0" w:color="auto"/>
        <w:right w:val="none" w:sz="0" w:space="0" w:color="auto"/>
      </w:divBdr>
    </w:div>
    <w:div w:id="1969362095">
      <w:bodyDiv w:val="1"/>
      <w:marLeft w:val="0"/>
      <w:marRight w:val="0"/>
      <w:marTop w:val="0"/>
      <w:marBottom w:val="0"/>
      <w:divBdr>
        <w:top w:val="none" w:sz="0" w:space="0" w:color="auto"/>
        <w:left w:val="none" w:sz="0" w:space="0" w:color="auto"/>
        <w:bottom w:val="none" w:sz="0" w:space="0" w:color="auto"/>
        <w:right w:val="none" w:sz="0" w:space="0" w:color="auto"/>
      </w:divBdr>
    </w:div>
    <w:div w:id="1969428749">
      <w:bodyDiv w:val="1"/>
      <w:marLeft w:val="0"/>
      <w:marRight w:val="0"/>
      <w:marTop w:val="0"/>
      <w:marBottom w:val="0"/>
      <w:divBdr>
        <w:top w:val="none" w:sz="0" w:space="0" w:color="auto"/>
        <w:left w:val="none" w:sz="0" w:space="0" w:color="auto"/>
        <w:bottom w:val="none" w:sz="0" w:space="0" w:color="auto"/>
        <w:right w:val="none" w:sz="0" w:space="0" w:color="auto"/>
      </w:divBdr>
    </w:div>
    <w:div w:id="1969436059">
      <w:bodyDiv w:val="1"/>
      <w:marLeft w:val="0"/>
      <w:marRight w:val="0"/>
      <w:marTop w:val="0"/>
      <w:marBottom w:val="0"/>
      <w:divBdr>
        <w:top w:val="none" w:sz="0" w:space="0" w:color="auto"/>
        <w:left w:val="none" w:sz="0" w:space="0" w:color="auto"/>
        <w:bottom w:val="none" w:sz="0" w:space="0" w:color="auto"/>
        <w:right w:val="none" w:sz="0" w:space="0" w:color="auto"/>
      </w:divBdr>
    </w:div>
    <w:div w:id="1969697651">
      <w:bodyDiv w:val="1"/>
      <w:marLeft w:val="0"/>
      <w:marRight w:val="0"/>
      <w:marTop w:val="0"/>
      <w:marBottom w:val="0"/>
      <w:divBdr>
        <w:top w:val="none" w:sz="0" w:space="0" w:color="auto"/>
        <w:left w:val="none" w:sz="0" w:space="0" w:color="auto"/>
        <w:bottom w:val="none" w:sz="0" w:space="0" w:color="auto"/>
        <w:right w:val="none" w:sz="0" w:space="0" w:color="auto"/>
      </w:divBdr>
    </w:div>
    <w:div w:id="1969896676">
      <w:bodyDiv w:val="1"/>
      <w:marLeft w:val="0"/>
      <w:marRight w:val="0"/>
      <w:marTop w:val="0"/>
      <w:marBottom w:val="0"/>
      <w:divBdr>
        <w:top w:val="none" w:sz="0" w:space="0" w:color="auto"/>
        <w:left w:val="none" w:sz="0" w:space="0" w:color="auto"/>
        <w:bottom w:val="none" w:sz="0" w:space="0" w:color="auto"/>
        <w:right w:val="none" w:sz="0" w:space="0" w:color="auto"/>
      </w:divBdr>
    </w:div>
    <w:div w:id="1971856081">
      <w:bodyDiv w:val="1"/>
      <w:marLeft w:val="0"/>
      <w:marRight w:val="0"/>
      <w:marTop w:val="0"/>
      <w:marBottom w:val="0"/>
      <w:divBdr>
        <w:top w:val="none" w:sz="0" w:space="0" w:color="auto"/>
        <w:left w:val="none" w:sz="0" w:space="0" w:color="auto"/>
        <w:bottom w:val="none" w:sz="0" w:space="0" w:color="auto"/>
        <w:right w:val="none" w:sz="0" w:space="0" w:color="auto"/>
      </w:divBdr>
    </w:div>
    <w:div w:id="1981112560">
      <w:bodyDiv w:val="1"/>
      <w:marLeft w:val="0"/>
      <w:marRight w:val="0"/>
      <w:marTop w:val="0"/>
      <w:marBottom w:val="0"/>
      <w:divBdr>
        <w:top w:val="none" w:sz="0" w:space="0" w:color="auto"/>
        <w:left w:val="none" w:sz="0" w:space="0" w:color="auto"/>
        <w:bottom w:val="none" w:sz="0" w:space="0" w:color="auto"/>
        <w:right w:val="none" w:sz="0" w:space="0" w:color="auto"/>
      </w:divBdr>
    </w:div>
    <w:div w:id="1982342765">
      <w:bodyDiv w:val="1"/>
      <w:marLeft w:val="0"/>
      <w:marRight w:val="0"/>
      <w:marTop w:val="0"/>
      <w:marBottom w:val="0"/>
      <w:divBdr>
        <w:top w:val="none" w:sz="0" w:space="0" w:color="auto"/>
        <w:left w:val="none" w:sz="0" w:space="0" w:color="auto"/>
        <w:bottom w:val="none" w:sz="0" w:space="0" w:color="auto"/>
        <w:right w:val="none" w:sz="0" w:space="0" w:color="auto"/>
      </w:divBdr>
    </w:div>
    <w:div w:id="1985351946">
      <w:bodyDiv w:val="1"/>
      <w:marLeft w:val="0"/>
      <w:marRight w:val="0"/>
      <w:marTop w:val="0"/>
      <w:marBottom w:val="0"/>
      <w:divBdr>
        <w:top w:val="none" w:sz="0" w:space="0" w:color="auto"/>
        <w:left w:val="none" w:sz="0" w:space="0" w:color="auto"/>
        <w:bottom w:val="none" w:sz="0" w:space="0" w:color="auto"/>
        <w:right w:val="none" w:sz="0" w:space="0" w:color="auto"/>
      </w:divBdr>
    </w:div>
    <w:div w:id="1985813671">
      <w:bodyDiv w:val="1"/>
      <w:marLeft w:val="0"/>
      <w:marRight w:val="0"/>
      <w:marTop w:val="0"/>
      <w:marBottom w:val="0"/>
      <w:divBdr>
        <w:top w:val="none" w:sz="0" w:space="0" w:color="auto"/>
        <w:left w:val="none" w:sz="0" w:space="0" w:color="auto"/>
        <w:bottom w:val="none" w:sz="0" w:space="0" w:color="auto"/>
        <w:right w:val="none" w:sz="0" w:space="0" w:color="auto"/>
      </w:divBdr>
    </w:div>
    <w:div w:id="1988048286">
      <w:bodyDiv w:val="1"/>
      <w:marLeft w:val="0"/>
      <w:marRight w:val="0"/>
      <w:marTop w:val="0"/>
      <w:marBottom w:val="0"/>
      <w:divBdr>
        <w:top w:val="none" w:sz="0" w:space="0" w:color="auto"/>
        <w:left w:val="none" w:sz="0" w:space="0" w:color="auto"/>
        <w:bottom w:val="none" w:sz="0" w:space="0" w:color="auto"/>
        <w:right w:val="none" w:sz="0" w:space="0" w:color="auto"/>
      </w:divBdr>
    </w:div>
    <w:div w:id="1988389829">
      <w:bodyDiv w:val="1"/>
      <w:marLeft w:val="0"/>
      <w:marRight w:val="0"/>
      <w:marTop w:val="0"/>
      <w:marBottom w:val="0"/>
      <w:divBdr>
        <w:top w:val="none" w:sz="0" w:space="0" w:color="auto"/>
        <w:left w:val="none" w:sz="0" w:space="0" w:color="auto"/>
        <w:bottom w:val="none" w:sz="0" w:space="0" w:color="auto"/>
        <w:right w:val="none" w:sz="0" w:space="0" w:color="auto"/>
      </w:divBdr>
    </w:div>
    <w:div w:id="1990480269">
      <w:bodyDiv w:val="1"/>
      <w:marLeft w:val="0"/>
      <w:marRight w:val="0"/>
      <w:marTop w:val="0"/>
      <w:marBottom w:val="0"/>
      <w:divBdr>
        <w:top w:val="none" w:sz="0" w:space="0" w:color="auto"/>
        <w:left w:val="none" w:sz="0" w:space="0" w:color="auto"/>
        <w:bottom w:val="none" w:sz="0" w:space="0" w:color="auto"/>
        <w:right w:val="none" w:sz="0" w:space="0" w:color="auto"/>
      </w:divBdr>
    </w:div>
    <w:div w:id="1990554444">
      <w:bodyDiv w:val="1"/>
      <w:marLeft w:val="0"/>
      <w:marRight w:val="0"/>
      <w:marTop w:val="0"/>
      <w:marBottom w:val="0"/>
      <w:divBdr>
        <w:top w:val="none" w:sz="0" w:space="0" w:color="auto"/>
        <w:left w:val="none" w:sz="0" w:space="0" w:color="auto"/>
        <w:bottom w:val="none" w:sz="0" w:space="0" w:color="auto"/>
        <w:right w:val="none" w:sz="0" w:space="0" w:color="auto"/>
      </w:divBdr>
    </w:div>
    <w:div w:id="1990935014">
      <w:bodyDiv w:val="1"/>
      <w:marLeft w:val="0"/>
      <w:marRight w:val="0"/>
      <w:marTop w:val="0"/>
      <w:marBottom w:val="0"/>
      <w:divBdr>
        <w:top w:val="none" w:sz="0" w:space="0" w:color="auto"/>
        <w:left w:val="none" w:sz="0" w:space="0" w:color="auto"/>
        <w:bottom w:val="none" w:sz="0" w:space="0" w:color="auto"/>
        <w:right w:val="none" w:sz="0" w:space="0" w:color="auto"/>
      </w:divBdr>
    </w:div>
    <w:div w:id="1994480276">
      <w:bodyDiv w:val="1"/>
      <w:marLeft w:val="0"/>
      <w:marRight w:val="0"/>
      <w:marTop w:val="0"/>
      <w:marBottom w:val="0"/>
      <w:divBdr>
        <w:top w:val="none" w:sz="0" w:space="0" w:color="auto"/>
        <w:left w:val="none" w:sz="0" w:space="0" w:color="auto"/>
        <w:bottom w:val="none" w:sz="0" w:space="0" w:color="auto"/>
        <w:right w:val="none" w:sz="0" w:space="0" w:color="auto"/>
      </w:divBdr>
    </w:div>
    <w:div w:id="1996110063">
      <w:bodyDiv w:val="1"/>
      <w:marLeft w:val="0"/>
      <w:marRight w:val="0"/>
      <w:marTop w:val="0"/>
      <w:marBottom w:val="0"/>
      <w:divBdr>
        <w:top w:val="none" w:sz="0" w:space="0" w:color="auto"/>
        <w:left w:val="none" w:sz="0" w:space="0" w:color="auto"/>
        <w:bottom w:val="none" w:sz="0" w:space="0" w:color="auto"/>
        <w:right w:val="none" w:sz="0" w:space="0" w:color="auto"/>
      </w:divBdr>
    </w:div>
    <w:div w:id="1997147385">
      <w:bodyDiv w:val="1"/>
      <w:marLeft w:val="0"/>
      <w:marRight w:val="0"/>
      <w:marTop w:val="0"/>
      <w:marBottom w:val="0"/>
      <w:divBdr>
        <w:top w:val="none" w:sz="0" w:space="0" w:color="auto"/>
        <w:left w:val="none" w:sz="0" w:space="0" w:color="auto"/>
        <w:bottom w:val="none" w:sz="0" w:space="0" w:color="auto"/>
        <w:right w:val="none" w:sz="0" w:space="0" w:color="auto"/>
      </w:divBdr>
    </w:div>
    <w:div w:id="1997610626">
      <w:bodyDiv w:val="1"/>
      <w:marLeft w:val="0"/>
      <w:marRight w:val="0"/>
      <w:marTop w:val="0"/>
      <w:marBottom w:val="0"/>
      <w:divBdr>
        <w:top w:val="none" w:sz="0" w:space="0" w:color="auto"/>
        <w:left w:val="none" w:sz="0" w:space="0" w:color="auto"/>
        <w:bottom w:val="none" w:sz="0" w:space="0" w:color="auto"/>
        <w:right w:val="none" w:sz="0" w:space="0" w:color="auto"/>
      </w:divBdr>
    </w:div>
    <w:div w:id="1998727703">
      <w:bodyDiv w:val="1"/>
      <w:marLeft w:val="0"/>
      <w:marRight w:val="0"/>
      <w:marTop w:val="0"/>
      <w:marBottom w:val="0"/>
      <w:divBdr>
        <w:top w:val="none" w:sz="0" w:space="0" w:color="auto"/>
        <w:left w:val="none" w:sz="0" w:space="0" w:color="auto"/>
        <w:bottom w:val="none" w:sz="0" w:space="0" w:color="auto"/>
        <w:right w:val="none" w:sz="0" w:space="0" w:color="auto"/>
      </w:divBdr>
    </w:div>
    <w:div w:id="2001536596">
      <w:bodyDiv w:val="1"/>
      <w:marLeft w:val="0"/>
      <w:marRight w:val="0"/>
      <w:marTop w:val="0"/>
      <w:marBottom w:val="0"/>
      <w:divBdr>
        <w:top w:val="none" w:sz="0" w:space="0" w:color="auto"/>
        <w:left w:val="none" w:sz="0" w:space="0" w:color="auto"/>
        <w:bottom w:val="none" w:sz="0" w:space="0" w:color="auto"/>
        <w:right w:val="none" w:sz="0" w:space="0" w:color="auto"/>
      </w:divBdr>
    </w:div>
    <w:div w:id="2001931494">
      <w:bodyDiv w:val="1"/>
      <w:marLeft w:val="0"/>
      <w:marRight w:val="0"/>
      <w:marTop w:val="0"/>
      <w:marBottom w:val="0"/>
      <w:divBdr>
        <w:top w:val="none" w:sz="0" w:space="0" w:color="auto"/>
        <w:left w:val="none" w:sz="0" w:space="0" w:color="auto"/>
        <w:bottom w:val="none" w:sz="0" w:space="0" w:color="auto"/>
        <w:right w:val="none" w:sz="0" w:space="0" w:color="auto"/>
      </w:divBdr>
    </w:div>
    <w:div w:id="2002077725">
      <w:bodyDiv w:val="1"/>
      <w:marLeft w:val="0"/>
      <w:marRight w:val="0"/>
      <w:marTop w:val="0"/>
      <w:marBottom w:val="0"/>
      <w:divBdr>
        <w:top w:val="none" w:sz="0" w:space="0" w:color="auto"/>
        <w:left w:val="none" w:sz="0" w:space="0" w:color="auto"/>
        <w:bottom w:val="none" w:sz="0" w:space="0" w:color="auto"/>
        <w:right w:val="none" w:sz="0" w:space="0" w:color="auto"/>
      </w:divBdr>
    </w:div>
    <w:div w:id="2004238859">
      <w:bodyDiv w:val="1"/>
      <w:marLeft w:val="0"/>
      <w:marRight w:val="0"/>
      <w:marTop w:val="0"/>
      <w:marBottom w:val="0"/>
      <w:divBdr>
        <w:top w:val="none" w:sz="0" w:space="0" w:color="auto"/>
        <w:left w:val="none" w:sz="0" w:space="0" w:color="auto"/>
        <w:bottom w:val="none" w:sz="0" w:space="0" w:color="auto"/>
        <w:right w:val="none" w:sz="0" w:space="0" w:color="auto"/>
      </w:divBdr>
    </w:div>
    <w:div w:id="2004427833">
      <w:bodyDiv w:val="1"/>
      <w:marLeft w:val="0"/>
      <w:marRight w:val="0"/>
      <w:marTop w:val="0"/>
      <w:marBottom w:val="0"/>
      <w:divBdr>
        <w:top w:val="none" w:sz="0" w:space="0" w:color="auto"/>
        <w:left w:val="none" w:sz="0" w:space="0" w:color="auto"/>
        <w:bottom w:val="none" w:sz="0" w:space="0" w:color="auto"/>
        <w:right w:val="none" w:sz="0" w:space="0" w:color="auto"/>
      </w:divBdr>
    </w:div>
    <w:div w:id="2005207315">
      <w:bodyDiv w:val="1"/>
      <w:marLeft w:val="0"/>
      <w:marRight w:val="0"/>
      <w:marTop w:val="0"/>
      <w:marBottom w:val="0"/>
      <w:divBdr>
        <w:top w:val="none" w:sz="0" w:space="0" w:color="auto"/>
        <w:left w:val="none" w:sz="0" w:space="0" w:color="auto"/>
        <w:bottom w:val="none" w:sz="0" w:space="0" w:color="auto"/>
        <w:right w:val="none" w:sz="0" w:space="0" w:color="auto"/>
      </w:divBdr>
    </w:div>
    <w:div w:id="2005425108">
      <w:bodyDiv w:val="1"/>
      <w:marLeft w:val="0"/>
      <w:marRight w:val="0"/>
      <w:marTop w:val="0"/>
      <w:marBottom w:val="0"/>
      <w:divBdr>
        <w:top w:val="none" w:sz="0" w:space="0" w:color="auto"/>
        <w:left w:val="none" w:sz="0" w:space="0" w:color="auto"/>
        <w:bottom w:val="none" w:sz="0" w:space="0" w:color="auto"/>
        <w:right w:val="none" w:sz="0" w:space="0" w:color="auto"/>
      </w:divBdr>
    </w:div>
    <w:div w:id="2010015179">
      <w:bodyDiv w:val="1"/>
      <w:marLeft w:val="0"/>
      <w:marRight w:val="0"/>
      <w:marTop w:val="0"/>
      <w:marBottom w:val="0"/>
      <w:divBdr>
        <w:top w:val="none" w:sz="0" w:space="0" w:color="auto"/>
        <w:left w:val="none" w:sz="0" w:space="0" w:color="auto"/>
        <w:bottom w:val="none" w:sz="0" w:space="0" w:color="auto"/>
        <w:right w:val="none" w:sz="0" w:space="0" w:color="auto"/>
      </w:divBdr>
    </w:div>
    <w:div w:id="2011172856">
      <w:bodyDiv w:val="1"/>
      <w:marLeft w:val="0"/>
      <w:marRight w:val="0"/>
      <w:marTop w:val="0"/>
      <w:marBottom w:val="0"/>
      <w:divBdr>
        <w:top w:val="none" w:sz="0" w:space="0" w:color="auto"/>
        <w:left w:val="none" w:sz="0" w:space="0" w:color="auto"/>
        <w:bottom w:val="none" w:sz="0" w:space="0" w:color="auto"/>
        <w:right w:val="none" w:sz="0" w:space="0" w:color="auto"/>
      </w:divBdr>
    </w:div>
    <w:div w:id="2012415112">
      <w:bodyDiv w:val="1"/>
      <w:marLeft w:val="0"/>
      <w:marRight w:val="0"/>
      <w:marTop w:val="0"/>
      <w:marBottom w:val="0"/>
      <w:divBdr>
        <w:top w:val="none" w:sz="0" w:space="0" w:color="auto"/>
        <w:left w:val="none" w:sz="0" w:space="0" w:color="auto"/>
        <w:bottom w:val="none" w:sz="0" w:space="0" w:color="auto"/>
        <w:right w:val="none" w:sz="0" w:space="0" w:color="auto"/>
      </w:divBdr>
    </w:div>
    <w:div w:id="2013994239">
      <w:bodyDiv w:val="1"/>
      <w:marLeft w:val="0"/>
      <w:marRight w:val="0"/>
      <w:marTop w:val="0"/>
      <w:marBottom w:val="0"/>
      <w:divBdr>
        <w:top w:val="none" w:sz="0" w:space="0" w:color="auto"/>
        <w:left w:val="none" w:sz="0" w:space="0" w:color="auto"/>
        <w:bottom w:val="none" w:sz="0" w:space="0" w:color="auto"/>
        <w:right w:val="none" w:sz="0" w:space="0" w:color="auto"/>
      </w:divBdr>
    </w:div>
    <w:div w:id="2016182115">
      <w:bodyDiv w:val="1"/>
      <w:marLeft w:val="0"/>
      <w:marRight w:val="0"/>
      <w:marTop w:val="0"/>
      <w:marBottom w:val="0"/>
      <w:divBdr>
        <w:top w:val="none" w:sz="0" w:space="0" w:color="auto"/>
        <w:left w:val="none" w:sz="0" w:space="0" w:color="auto"/>
        <w:bottom w:val="none" w:sz="0" w:space="0" w:color="auto"/>
        <w:right w:val="none" w:sz="0" w:space="0" w:color="auto"/>
      </w:divBdr>
    </w:div>
    <w:div w:id="2018339691">
      <w:bodyDiv w:val="1"/>
      <w:marLeft w:val="0"/>
      <w:marRight w:val="0"/>
      <w:marTop w:val="0"/>
      <w:marBottom w:val="0"/>
      <w:divBdr>
        <w:top w:val="none" w:sz="0" w:space="0" w:color="auto"/>
        <w:left w:val="none" w:sz="0" w:space="0" w:color="auto"/>
        <w:bottom w:val="none" w:sz="0" w:space="0" w:color="auto"/>
        <w:right w:val="none" w:sz="0" w:space="0" w:color="auto"/>
      </w:divBdr>
    </w:div>
    <w:div w:id="2018772298">
      <w:bodyDiv w:val="1"/>
      <w:marLeft w:val="0"/>
      <w:marRight w:val="0"/>
      <w:marTop w:val="0"/>
      <w:marBottom w:val="0"/>
      <w:divBdr>
        <w:top w:val="none" w:sz="0" w:space="0" w:color="auto"/>
        <w:left w:val="none" w:sz="0" w:space="0" w:color="auto"/>
        <w:bottom w:val="none" w:sz="0" w:space="0" w:color="auto"/>
        <w:right w:val="none" w:sz="0" w:space="0" w:color="auto"/>
      </w:divBdr>
    </w:div>
    <w:div w:id="2019119005">
      <w:bodyDiv w:val="1"/>
      <w:marLeft w:val="0"/>
      <w:marRight w:val="0"/>
      <w:marTop w:val="0"/>
      <w:marBottom w:val="0"/>
      <w:divBdr>
        <w:top w:val="none" w:sz="0" w:space="0" w:color="auto"/>
        <w:left w:val="none" w:sz="0" w:space="0" w:color="auto"/>
        <w:bottom w:val="none" w:sz="0" w:space="0" w:color="auto"/>
        <w:right w:val="none" w:sz="0" w:space="0" w:color="auto"/>
      </w:divBdr>
    </w:div>
    <w:div w:id="2023126766">
      <w:bodyDiv w:val="1"/>
      <w:marLeft w:val="0"/>
      <w:marRight w:val="0"/>
      <w:marTop w:val="0"/>
      <w:marBottom w:val="0"/>
      <w:divBdr>
        <w:top w:val="none" w:sz="0" w:space="0" w:color="auto"/>
        <w:left w:val="none" w:sz="0" w:space="0" w:color="auto"/>
        <w:bottom w:val="none" w:sz="0" w:space="0" w:color="auto"/>
        <w:right w:val="none" w:sz="0" w:space="0" w:color="auto"/>
      </w:divBdr>
    </w:div>
    <w:div w:id="2023587832">
      <w:bodyDiv w:val="1"/>
      <w:marLeft w:val="0"/>
      <w:marRight w:val="0"/>
      <w:marTop w:val="0"/>
      <w:marBottom w:val="0"/>
      <w:divBdr>
        <w:top w:val="none" w:sz="0" w:space="0" w:color="auto"/>
        <w:left w:val="none" w:sz="0" w:space="0" w:color="auto"/>
        <w:bottom w:val="none" w:sz="0" w:space="0" w:color="auto"/>
        <w:right w:val="none" w:sz="0" w:space="0" w:color="auto"/>
      </w:divBdr>
    </w:div>
    <w:div w:id="2023897556">
      <w:bodyDiv w:val="1"/>
      <w:marLeft w:val="0"/>
      <w:marRight w:val="0"/>
      <w:marTop w:val="0"/>
      <w:marBottom w:val="0"/>
      <w:divBdr>
        <w:top w:val="none" w:sz="0" w:space="0" w:color="auto"/>
        <w:left w:val="none" w:sz="0" w:space="0" w:color="auto"/>
        <w:bottom w:val="none" w:sz="0" w:space="0" w:color="auto"/>
        <w:right w:val="none" w:sz="0" w:space="0" w:color="auto"/>
      </w:divBdr>
    </w:div>
    <w:div w:id="2024823309">
      <w:bodyDiv w:val="1"/>
      <w:marLeft w:val="0"/>
      <w:marRight w:val="0"/>
      <w:marTop w:val="0"/>
      <w:marBottom w:val="0"/>
      <w:divBdr>
        <w:top w:val="none" w:sz="0" w:space="0" w:color="auto"/>
        <w:left w:val="none" w:sz="0" w:space="0" w:color="auto"/>
        <w:bottom w:val="none" w:sz="0" w:space="0" w:color="auto"/>
        <w:right w:val="none" w:sz="0" w:space="0" w:color="auto"/>
      </w:divBdr>
    </w:div>
    <w:div w:id="2025085310">
      <w:bodyDiv w:val="1"/>
      <w:marLeft w:val="0"/>
      <w:marRight w:val="0"/>
      <w:marTop w:val="0"/>
      <w:marBottom w:val="0"/>
      <w:divBdr>
        <w:top w:val="none" w:sz="0" w:space="0" w:color="auto"/>
        <w:left w:val="none" w:sz="0" w:space="0" w:color="auto"/>
        <w:bottom w:val="none" w:sz="0" w:space="0" w:color="auto"/>
        <w:right w:val="none" w:sz="0" w:space="0" w:color="auto"/>
      </w:divBdr>
    </w:div>
    <w:div w:id="2025395311">
      <w:bodyDiv w:val="1"/>
      <w:marLeft w:val="0"/>
      <w:marRight w:val="0"/>
      <w:marTop w:val="0"/>
      <w:marBottom w:val="0"/>
      <w:divBdr>
        <w:top w:val="none" w:sz="0" w:space="0" w:color="auto"/>
        <w:left w:val="none" w:sz="0" w:space="0" w:color="auto"/>
        <w:bottom w:val="none" w:sz="0" w:space="0" w:color="auto"/>
        <w:right w:val="none" w:sz="0" w:space="0" w:color="auto"/>
      </w:divBdr>
    </w:div>
    <w:div w:id="2025864994">
      <w:bodyDiv w:val="1"/>
      <w:marLeft w:val="0"/>
      <w:marRight w:val="0"/>
      <w:marTop w:val="0"/>
      <w:marBottom w:val="0"/>
      <w:divBdr>
        <w:top w:val="none" w:sz="0" w:space="0" w:color="auto"/>
        <w:left w:val="none" w:sz="0" w:space="0" w:color="auto"/>
        <w:bottom w:val="none" w:sz="0" w:space="0" w:color="auto"/>
        <w:right w:val="none" w:sz="0" w:space="0" w:color="auto"/>
      </w:divBdr>
    </w:div>
    <w:div w:id="2032607914">
      <w:bodyDiv w:val="1"/>
      <w:marLeft w:val="0"/>
      <w:marRight w:val="0"/>
      <w:marTop w:val="0"/>
      <w:marBottom w:val="0"/>
      <w:divBdr>
        <w:top w:val="none" w:sz="0" w:space="0" w:color="auto"/>
        <w:left w:val="none" w:sz="0" w:space="0" w:color="auto"/>
        <w:bottom w:val="none" w:sz="0" w:space="0" w:color="auto"/>
        <w:right w:val="none" w:sz="0" w:space="0" w:color="auto"/>
      </w:divBdr>
    </w:div>
    <w:div w:id="2032797566">
      <w:bodyDiv w:val="1"/>
      <w:marLeft w:val="0"/>
      <w:marRight w:val="0"/>
      <w:marTop w:val="0"/>
      <w:marBottom w:val="0"/>
      <w:divBdr>
        <w:top w:val="none" w:sz="0" w:space="0" w:color="auto"/>
        <w:left w:val="none" w:sz="0" w:space="0" w:color="auto"/>
        <w:bottom w:val="none" w:sz="0" w:space="0" w:color="auto"/>
        <w:right w:val="none" w:sz="0" w:space="0" w:color="auto"/>
      </w:divBdr>
    </w:div>
    <w:div w:id="2033526841">
      <w:bodyDiv w:val="1"/>
      <w:marLeft w:val="0"/>
      <w:marRight w:val="0"/>
      <w:marTop w:val="0"/>
      <w:marBottom w:val="0"/>
      <w:divBdr>
        <w:top w:val="none" w:sz="0" w:space="0" w:color="auto"/>
        <w:left w:val="none" w:sz="0" w:space="0" w:color="auto"/>
        <w:bottom w:val="none" w:sz="0" w:space="0" w:color="auto"/>
        <w:right w:val="none" w:sz="0" w:space="0" w:color="auto"/>
      </w:divBdr>
    </w:div>
    <w:div w:id="2033609771">
      <w:bodyDiv w:val="1"/>
      <w:marLeft w:val="0"/>
      <w:marRight w:val="0"/>
      <w:marTop w:val="0"/>
      <w:marBottom w:val="0"/>
      <w:divBdr>
        <w:top w:val="none" w:sz="0" w:space="0" w:color="auto"/>
        <w:left w:val="none" w:sz="0" w:space="0" w:color="auto"/>
        <w:bottom w:val="none" w:sz="0" w:space="0" w:color="auto"/>
        <w:right w:val="none" w:sz="0" w:space="0" w:color="auto"/>
      </w:divBdr>
    </w:div>
    <w:div w:id="2034381179">
      <w:bodyDiv w:val="1"/>
      <w:marLeft w:val="0"/>
      <w:marRight w:val="0"/>
      <w:marTop w:val="0"/>
      <w:marBottom w:val="0"/>
      <w:divBdr>
        <w:top w:val="none" w:sz="0" w:space="0" w:color="auto"/>
        <w:left w:val="none" w:sz="0" w:space="0" w:color="auto"/>
        <w:bottom w:val="none" w:sz="0" w:space="0" w:color="auto"/>
        <w:right w:val="none" w:sz="0" w:space="0" w:color="auto"/>
      </w:divBdr>
    </w:div>
    <w:div w:id="2035499029">
      <w:bodyDiv w:val="1"/>
      <w:marLeft w:val="0"/>
      <w:marRight w:val="0"/>
      <w:marTop w:val="0"/>
      <w:marBottom w:val="0"/>
      <w:divBdr>
        <w:top w:val="none" w:sz="0" w:space="0" w:color="auto"/>
        <w:left w:val="none" w:sz="0" w:space="0" w:color="auto"/>
        <w:bottom w:val="none" w:sz="0" w:space="0" w:color="auto"/>
        <w:right w:val="none" w:sz="0" w:space="0" w:color="auto"/>
      </w:divBdr>
    </w:div>
    <w:div w:id="2039042951">
      <w:bodyDiv w:val="1"/>
      <w:marLeft w:val="0"/>
      <w:marRight w:val="0"/>
      <w:marTop w:val="0"/>
      <w:marBottom w:val="0"/>
      <w:divBdr>
        <w:top w:val="none" w:sz="0" w:space="0" w:color="auto"/>
        <w:left w:val="none" w:sz="0" w:space="0" w:color="auto"/>
        <w:bottom w:val="none" w:sz="0" w:space="0" w:color="auto"/>
        <w:right w:val="none" w:sz="0" w:space="0" w:color="auto"/>
      </w:divBdr>
    </w:div>
    <w:div w:id="2041516453">
      <w:bodyDiv w:val="1"/>
      <w:marLeft w:val="0"/>
      <w:marRight w:val="0"/>
      <w:marTop w:val="0"/>
      <w:marBottom w:val="0"/>
      <w:divBdr>
        <w:top w:val="none" w:sz="0" w:space="0" w:color="auto"/>
        <w:left w:val="none" w:sz="0" w:space="0" w:color="auto"/>
        <w:bottom w:val="none" w:sz="0" w:space="0" w:color="auto"/>
        <w:right w:val="none" w:sz="0" w:space="0" w:color="auto"/>
      </w:divBdr>
    </w:div>
    <w:div w:id="2041934213">
      <w:bodyDiv w:val="1"/>
      <w:marLeft w:val="0"/>
      <w:marRight w:val="0"/>
      <w:marTop w:val="0"/>
      <w:marBottom w:val="0"/>
      <w:divBdr>
        <w:top w:val="none" w:sz="0" w:space="0" w:color="auto"/>
        <w:left w:val="none" w:sz="0" w:space="0" w:color="auto"/>
        <w:bottom w:val="none" w:sz="0" w:space="0" w:color="auto"/>
        <w:right w:val="none" w:sz="0" w:space="0" w:color="auto"/>
      </w:divBdr>
    </w:div>
    <w:div w:id="2043892731">
      <w:bodyDiv w:val="1"/>
      <w:marLeft w:val="0"/>
      <w:marRight w:val="0"/>
      <w:marTop w:val="0"/>
      <w:marBottom w:val="0"/>
      <w:divBdr>
        <w:top w:val="none" w:sz="0" w:space="0" w:color="auto"/>
        <w:left w:val="none" w:sz="0" w:space="0" w:color="auto"/>
        <w:bottom w:val="none" w:sz="0" w:space="0" w:color="auto"/>
        <w:right w:val="none" w:sz="0" w:space="0" w:color="auto"/>
      </w:divBdr>
    </w:div>
    <w:div w:id="2045473007">
      <w:bodyDiv w:val="1"/>
      <w:marLeft w:val="0"/>
      <w:marRight w:val="0"/>
      <w:marTop w:val="0"/>
      <w:marBottom w:val="0"/>
      <w:divBdr>
        <w:top w:val="none" w:sz="0" w:space="0" w:color="auto"/>
        <w:left w:val="none" w:sz="0" w:space="0" w:color="auto"/>
        <w:bottom w:val="none" w:sz="0" w:space="0" w:color="auto"/>
        <w:right w:val="none" w:sz="0" w:space="0" w:color="auto"/>
      </w:divBdr>
    </w:div>
    <w:div w:id="2045788313">
      <w:bodyDiv w:val="1"/>
      <w:marLeft w:val="0"/>
      <w:marRight w:val="0"/>
      <w:marTop w:val="0"/>
      <w:marBottom w:val="0"/>
      <w:divBdr>
        <w:top w:val="none" w:sz="0" w:space="0" w:color="auto"/>
        <w:left w:val="none" w:sz="0" w:space="0" w:color="auto"/>
        <w:bottom w:val="none" w:sz="0" w:space="0" w:color="auto"/>
        <w:right w:val="none" w:sz="0" w:space="0" w:color="auto"/>
      </w:divBdr>
    </w:div>
    <w:div w:id="2046446578">
      <w:bodyDiv w:val="1"/>
      <w:marLeft w:val="0"/>
      <w:marRight w:val="0"/>
      <w:marTop w:val="0"/>
      <w:marBottom w:val="0"/>
      <w:divBdr>
        <w:top w:val="none" w:sz="0" w:space="0" w:color="auto"/>
        <w:left w:val="none" w:sz="0" w:space="0" w:color="auto"/>
        <w:bottom w:val="none" w:sz="0" w:space="0" w:color="auto"/>
        <w:right w:val="none" w:sz="0" w:space="0" w:color="auto"/>
      </w:divBdr>
    </w:div>
    <w:div w:id="2046560198">
      <w:bodyDiv w:val="1"/>
      <w:marLeft w:val="0"/>
      <w:marRight w:val="0"/>
      <w:marTop w:val="0"/>
      <w:marBottom w:val="0"/>
      <w:divBdr>
        <w:top w:val="none" w:sz="0" w:space="0" w:color="auto"/>
        <w:left w:val="none" w:sz="0" w:space="0" w:color="auto"/>
        <w:bottom w:val="none" w:sz="0" w:space="0" w:color="auto"/>
        <w:right w:val="none" w:sz="0" w:space="0" w:color="auto"/>
      </w:divBdr>
    </w:div>
    <w:div w:id="2047371533">
      <w:bodyDiv w:val="1"/>
      <w:marLeft w:val="0"/>
      <w:marRight w:val="0"/>
      <w:marTop w:val="0"/>
      <w:marBottom w:val="0"/>
      <w:divBdr>
        <w:top w:val="none" w:sz="0" w:space="0" w:color="auto"/>
        <w:left w:val="none" w:sz="0" w:space="0" w:color="auto"/>
        <w:bottom w:val="none" w:sz="0" w:space="0" w:color="auto"/>
        <w:right w:val="none" w:sz="0" w:space="0" w:color="auto"/>
      </w:divBdr>
    </w:div>
    <w:div w:id="2049916811">
      <w:bodyDiv w:val="1"/>
      <w:marLeft w:val="0"/>
      <w:marRight w:val="0"/>
      <w:marTop w:val="0"/>
      <w:marBottom w:val="0"/>
      <w:divBdr>
        <w:top w:val="none" w:sz="0" w:space="0" w:color="auto"/>
        <w:left w:val="none" w:sz="0" w:space="0" w:color="auto"/>
        <w:bottom w:val="none" w:sz="0" w:space="0" w:color="auto"/>
        <w:right w:val="none" w:sz="0" w:space="0" w:color="auto"/>
      </w:divBdr>
    </w:div>
    <w:div w:id="2050717536">
      <w:bodyDiv w:val="1"/>
      <w:marLeft w:val="0"/>
      <w:marRight w:val="0"/>
      <w:marTop w:val="0"/>
      <w:marBottom w:val="0"/>
      <w:divBdr>
        <w:top w:val="none" w:sz="0" w:space="0" w:color="auto"/>
        <w:left w:val="none" w:sz="0" w:space="0" w:color="auto"/>
        <w:bottom w:val="none" w:sz="0" w:space="0" w:color="auto"/>
        <w:right w:val="none" w:sz="0" w:space="0" w:color="auto"/>
      </w:divBdr>
    </w:div>
    <w:div w:id="2056735318">
      <w:bodyDiv w:val="1"/>
      <w:marLeft w:val="0"/>
      <w:marRight w:val="0"/>
      <w:marTop w:val="0"/>
      <w:marBottom w:val="0"/>
      <w:divBdr>
        <w:top w:val="none" w:sz="0" w:space="0" w:color="auto"/>
        <w:left w:val="none" w:sz="0" w:space="0" w:color="auto"/>
        <w:bottom w:val="none" w:sz="0" w:space="0" w:color="auto"/>
        <w:right w:val="none" w:sz="0" w:space="0" w:color="auto"/>
      </w:divBdr>
    </w:div>
    <w:div w:id="2057316871">
      <w:bodyDiv w:val="1"/>
      <w:marLeft w:val="0"/>
      <w:marRight w:val="0"/>
      <w:marTop w:val="0"/>
      <w:marBottom w:val="0"/>
      <w:divBdr>
        <w:top w:val="none" w:sz="0" w:space="0" w:color="auto"/>
        <w:left w:val="none" w:sz="0" w:space="0" w:color="auto"/>
        <w:bottom w:val="none" w:sz="0" w:space="0" w:color="auto"/>
        <w:right w:val="none" w:sz="0" w:space="0" w:color="auto"/>
      </w:divBdr>
    </w:div>
    <w:div w:id="2057849510">
      <w:bodyDiv w:val="1"/>
      <w:marLeft w:val="0"/>
      <w:marRight w:val="0"/>
      <w:marTop w:val="0"/>
      <w:marBottom w:val="0"/>
      <w:divBdr>
        <w:top w:val="none" w:sz="0" w:space="0" w:color="auto"/>
        <w:left w:val="none" w:sz="0" w:space="0" w:color="auto"/>
        <w:bottom w:val="none" w:sz="0" w:space="0" w:color="auto"/>
        <w:right w:val="none" w:sz="0" w:space="0" w:color="auto"/>
      </w:divBdr>
    </w:div>
    <w:div w:id="2058242864">
      <w:bodyDiv w:val="1"/>
      <w:marLeft w:val="0"/>
      <w:marRight w:val="0"/>
      <w:marTop w:val="0"/>
      <w:marBottom w:val="0"/>
      <w:divBdr>
        <w:top w:val="none" w:sz="0" w:space="0" w:color="auto"/>
        <w:left w:val="none" w:sz="0" w:space="0" w:color="auto"/>
        <w:bottom w:val="none" w:sz="0" w:space="0" w:color="auto"/>
        <w:right w:val="none" w:sz="0" w:space="0" w:color="auto"/>
      </w:divBdr>
    </w:div>
    <w:div w:id="2059429853">
      <w:bodyDiv w:val="1"/>
      <w:marLeft w:val="0"/>
      <w:marRight w:val="0"/>
      <w:marTop w:val="0"/>
      <w:marBottom w:val="0"/>
      <w:divBdr>
        <w:top w:val="none" w:sz="0" w:space="0" w:color="auto"/>
        <w:left w:val="none" w:sz="0" w:space="0" w:color="auto"/>
        <w:bottom w:val="none" w:sz="0" w:space="0" w:color="auto"/>
        <w:right w:val="none" w:sz="0" w:space="0" w:color="auto"/>
      </w:divBdr>
    </w:div>
    <w:div w:id="2060937930">
      <w:bodyDiv w:val="1"/>
      <w:marLeft w:val="0"/>
      <w:marRight w:val="0"/>
      <w:marTop w:val="0"/>
      <w:marBottom w:val="0"/>
      <w:divBdr>
        <w:top w:val="none" w:sz="0" w:space="0" w:color="auto"/>
        <w:left w:val="none" w:sz="0" w:space="0" w:color="auto"/>
        <w:bottom w:val="none" w:sz="0" w:space="0" w:color="auto"/>
        <w:right w:val="none" w:sz="0" w:space="0" w:color="auto"/>
      </w:divBdr>
    </w:div>
    <w:div w:id="2061173164">
      <w:bodyDiv w:val="1"/>
      <w:marLeft w:val="0"/>
      <w:marRight w:val="0"/>
      <w:marTop w:val="0"/>
      <w:marBottom w:val="0"/>
      <w:divBdr>
        <w:top w:val="none" w:sz="0" w:space="0" w:color="auto"/>
        <w:left w:val="none" w:sz="0" w:space="0" w:color="auto"/>
        <w:bottom w:val="none" w:sz="0" w:space="0" w:color="auto"/>
        <w:right w:val="none" w:sz="0" w:space="0" w:color="auto"/>
      </w:divBdr>
    </w:div>
    <w:div w:id="2062485661">
      <w:bodyDiv w:val="1"/>
      <w:marLeft w:val="0"/>
      <w:marRight w:val="0"/>
      <w:marTop w:val="0"/>
      <w:marBottom w:val="0"/>
      <w:divBdr>
        <w:top w:val="none" w:sz="0" w:space="0" w:color="auto"/>
        <w:left w:val="none" w:sz="0" w:space="0" w:color="auto"/>
        <w:bottom w:val="none" w:sz="0" w:space="0" w:color="auto"/>
        <w:right w:val="none" w:sz="0" w:space="0" w:color="auto"/>
      </w:divBdr>
    </w:div>
    <w:div w:id="2062705074">
      <w:bodyDiv w:val="1"/>
      <w:marLeft w:val="0"/>
      <w:marRight w:val="0"/>
      <w:marTop w:val="0"/>
      <w:marBottom w:val="0"/>
      <w:divBdr>
        <w:top w:val="none" w:sz="0" w:space="0" w:color="auto"/>
        <w:left w:val="none" w:sz="0" w:space="0" w:color="auto"/>
        <w:bottom w:val="none" w:sz="0" w:space="0" w:color="auto"/>
        <w:right w:val="none" w:sz="0" w:space="0" w:color="auto"/>
      </w:divBdr>
    </w:div>
    <w:div w:id="2064599203">
      <w:bodyDiv w:val="1"/>
      <w:marLeft w:val="0"/>
      <w:marRight w:val="0"/>
      <w:marTop w:val="0"/>
      <w:marBottom w:val="0"/>
      <w:divBdr>
        <w:top w:val="none" w:sz="0" w:space="0" w:color="auto"/>
        <w:left w:val="none" w:sz="0" w:space="0" w:color="auto"/>
        <w:bottom w:val="none" w:sz="0" w:space="0" w:color="auto"/>
        <w:right w:val="none" w:sz="0" w:space="0" w:color="auto"/>
      </w:divBdr>
    </w:div>
    <w:div w:id="2068340172">
      <w:bodyDiv w:val="1"/>
      <w:marLeft w:val="0"/>
      <w:marRight w:val="0"/>
      <w:marTop w:val="0"/>
      <w:marBottom w:val="0"/>
      <w:divBdr>
        <w:top w:val="none" w:sz="0" w:space="0" w:color="auto"/>
        <w:left w:val="none" w:sz="0" w:space="0" w:color="auto"/>
        <w:bottom w:val="none" w:sz="0" w:space="0" w:color="auto"/>
        <w:right w:val="none" w:sz="0" w:space="0" w:color="auto"/>
      </w:divBdr>
    </w:div>
    <w:div w:id="2068868297">
      <w:bodyDiv w:val="1"/>
      <w:marLeft w:val="0"/>
      <w:marRight w:val="0"/>
      <w:marTop w:val="0"/>
      <w:marBottom w:val="0"/>
      <w:divBdr>
        <w:top w:val="none" w:sz="0" w:space="0" w:color="auto"/>
        <w:left w:val="none" w:sz="0" w:space="0" w:color="auto"/>
        <w:bottom w:val="none" w:sz="0" w:space="0" w:color="auto"/>
        <w:right w:val="none" w:sz="0" w:space="0" w:color="auto"/>
      </w:divBdr>
    </w:div>
    <w:div w:id="2071465237">
      <w:bodyDiv w:val="1"/>
      <w:marLeft w:val="0"/>
      <w:marRight w:val="0"/>
      <w:marTop w:val="0"/>
      <w:marBottom w:val="0"/>
      <w:divBdr>
        <w:top w:val="none" w:sz="0" w:space="0" w:color="auto"/>
        <w:left w:val="none" w:sz="0" w:space="0" w:color="auto"/>
        <w:bottom w:val="none" w:sz="0" w:space="0" w:color="auto"/>
        <w:right w:val="none" w:sz="0" w:space="0" w:color="auto"/>
      </w:divBdr>
    </w:div>
    <w:div w:id="2075930368">
      <w:bodyDiv w:val="1"/>
      <w:marLeft w:val="0"/>
      <w:marRight w:val="0"/>
      <w:marTop w:val="0"/>
      <w:marBottom w:val="0"/>
      <w:divBdr>
        <w:top w:val="none" w:sz="0" w:space="0" w:color="auto"/>
        <w:left w:val="none" w:sz="0" w:space="0" w:color="auto"/>
        <w:bottom w:val="none" w:sz="0" w:space="0" w:color="auto"/>
        <w:right w:val="none" w:sz="0" w:space="0" w:color="auto"/>
      </w:divBdr>
    </w:div>
    <w:div w:id="2076471596">
      <w:bodyDiv w:val="1"/>
      <w:marLeft w:val="0"/>
      <w:marRight w:val="0"/>
      <w:marTop w:val="0"/>
      <w:marBottom w:val="0"/>
      <w:divBdr>
        <w:top w:val="none" w:sz="0" w:space="0" w:color="auto"/>
        <w:left w:val="none" w:sz="0" w:space="0" w:color="auto"/>
        <w:bottom w:val="none" w:sz="0" w:space="0" w:color="auto"/>
        <w:right w:val="none" w:sz="0" w:space="0" w:color="auto"/>
      </w:divBdr>
    </w:div>
    <w:div w:id="2076925946">
      <w:bodyDiv w:val="1"/>
      <w:marLeft w:val="0"/>
      <w:marRight w:val="0"/>
      <w:marTop w:val="0"/>
      <w:marBottom w:val="0"/>
      <w:divBdr>
        <w:top w:val="none" w:sz="0" w:space="0" w:color="auto"/>
        <w:left w:val="none" w:sz="0" w:space="0" w:color="auto"/>
        <w:bottom w:val="none" w:sz="0" w:space="0" w:color="auto"/>
        <w:right w:val="none" w:sz="0" w:space="0" w:color="auto"/>
      </w:divBdr>
    </w:div>
    <w:div w:id="2077361847">
      <w:bodyDiv w:val="1"/>
      <w:marLeft w:val="0"/>
      <w:marRight w:val="0"/>
      <w:marTop w:val="0"/>
      <w:marBottom w:val="0"/>
      <w:divBdr>
        <w:top w:val="none" w:sz="0" w:space="0" w:color="auto"/>
        <w:left w:val="none" w:sz="0" w:space="0" w:color="auto"/>
        <w:bottom w:val="none" w:sz="0" w:space="0" w:color="auto"/>
        <w:right w:val="none" w:sz="0" w:space="0" w:color="auto"/>
      </w:divBdr>
    </w:div>
    <w:div w:id="2077509710">
      <w:bodyDiv w:val="1"/>
      <w:marLeft w:val="0"/>
      <w:marRight w:val="0"/>
      <w:marTop w:val="0"/>
      <w:marBottom w:val="0"/>
      <w:divBdr>
        <w:top w:val="none" w:sz="0" w:space="0" w:color="auto"/>
        <w:left w:val="none" w:sz="0" w:space="0" w:color="auto"/>
        <w:bottom w:val="none" w:sz="0" w:space="0" w:color="auto"/>
        <w:right w:val="none" w:sz="0" w:space="0" w:color="auto"/>
      </w:divBdr>
    </w:div>
    <w:div w:id="2078164080">
      <w:bodyDiv w:val="1"/>
      <w:marLeft w:val="0"/>
      <w:marRight w:val="0"/>
      <w:marTop w:val="0"/>
      <w:marBottom w:val="0"/>
      <w:divBdr>
        <w:top w:val="none" w:sz="0" w:space="0" w:color="auto"/>
        <w:left w:val="none" w:sz="0" w:space="0" w:color="auto"/>
        <w:bottom w:val="none" w:sz="0" w:space="0" w:color="auto"/>
        <w:right w:val="none" w:sz="0" w:space="0" w:color="auto"/>
      </w:divBdr>
    </w:div>
    <w:div w:id="2080054594">
      <w:bodyDiv w:val="1"/>
      <w:marLeft w:val="0"/>
      <w:marRight w:val="0"/>
      <w:marTop w:val="0"/>
      <w:marBottom w:val="0"/>
      <w:divBdr>
        <w:top w:val="none" w:sz="0" w:space="0" w:color="auto"/>
        <w:left w:val="none" w:sz="0" w:space="0" w:color="auto"/>
        <w:bottom w:val="none" w:sz="0" w:space="0" w:color="auto"/>
        <w:right w:val="none" w:sz="0" w:space="0" w:color="auto"/>
      </w:divBdr>
    </w:div>
    <w:div w:id="2080974994">
      <w:bodyDiv w:val="1"/>
      <w:marLeft w:val="0"/>
      <w:marRight w:val="0"/>
      <w:marTop w:val="0"/>
      <w:marBottom w:val="0"/>
      <w:divBdr>
        <w:top w:val="none" w:sz="0" w:space="0" w:color="auto"/>
        <w:left w:val="none" w:sz="0" w:space="0" w:color="auto"/>
        <w:bottom w:val="none" w:sz="0" w:space="0" w:color="auto"/>
        <w:right w:val="none" w:sz="0" w:space="0" w:color="auto"/>
      </w:divBdr>
    </w:div>
    <w:div w:id="2081757130">
      <w:bodyDiv w:val="1"/>
      <w:marLeft w:val="0"/>
      <w:marRight w:val="0"/>
      <w:marTop w:val="0"/>
      <w:marBottom w:val="0"/>
      <w:divBdr>
        <w:top w:val="none" w:sz="0" w:space="0" w:color="auto"/>
        <w:left w:val="none" w:sz="0" w:space="0" w:color="auto"/>
        <w:bottom w:val="none" w:sz="0" w:space="0" w:color="auto"/>
        <w:right w:val="none" w:sz="0" w:space="0" w:color="auto"/>
      </w:divBdr>
    </w:div>
    <w:div w:id="2082479420">
      <w:bodyDiv w:val="1"/>
      <w:marLeft w:val="0"/>
      <w:marRight w:val="0"/>
      <w:marTop w:val="0"/>
      <w:marBottom w:val="0"/>
      <w:divBdr>
        <w:top w:val="none" w:sz="0" w:space="0" w:color="auto"/>
        <w:left w:val="none" w:sz="0" w:space="0" w:color="auto"/>
        <w:bottom w:val="none" w:sz="0" w:space="0" w:color="auto"/>
        <w:right w:val="none" w:sz="0" w:space="0" w:color="auto"/>
      </w:divBdr>
    </w:div>
    <w:div w:id="2084640038">
      <w:bodyDiv w:val="1"/>
      <w:marLeft w:val="0"/>
      <w:marRight w:val="0"/>
      <w:marTop w:val="0"/>
      <w:marBottom w:val="0"/>
      <w:divBdr>
        <w:top w:val="none" w:sz="0" w:space="0" w:color="auto"/>
        <w:left w:val="none" w:sz="0" w:space="0" w:color="auto"/>
        <w:bottom w:val="none" w:sz="0" w:space="0" w:color="auto"/>
        <w:right w:val="none" w:sz="0" w:space="0" w:color="auto"/>
      </w:divBdr>
    </w:div>
    <w:div w:id="2086563285">
      <w:bodyDiv w:val="1"/>
      <w:marLeft w:val="0"/>
      <w:marRight w:val="0"/>
      <w:marTop w:val="0"/>
      <w:marBottom w:val="0"/>
      <w:divBdr>
        <w:top w:val="none" w:sz="0" w:space="0" w:color="auto"/>
        <w:left w:val="none" w:sz="0" w:space="0" w:color="auto"/>
        <w:bottom w:val="none" w:sz="0" w:space="0" w:color="auto"/>
        <w:right w:val="none" w:sz="0" w:space="0" w:color="auto"/>
      </w:divBdr>
    </w:div>
    <w:div w:id="2088647860">
      <w:bodyDiv w:val="1"/>
      <w:marLeft w:val="0"/>
      <w:marRight w:val="0"/>
      <w:marTop w:val="0"/>
      <w:marBottom w:val="0"/>
      <w:divBdr>
        <w:top w:val="none" w:sz="0" w:space="0" w:color="auto"/>
        <w:left w:val="none" w:sz="0" w:space="0" w:color="auto"/>
        <w:bottom w:val="none" w:sz="0" w:space="0" w:color="auto"/>
        <w:right w:val="none" w:sz="0" w:space="0" w:color="auto"/>
      </w:divBdr>
    </w:div>
    <w:div w:id="2088844982">
      <w:bodyDiv w:val="1"/>
      <w:marLeft w:val="0"/>
      <w:marRight w:val="0"/>
      <w:marTop w:val="0"/>
      <w:marBottom w:val="0"/>
      <w:divBdr>
        <w:top w:val="none" w:sz="0" w:space="0" w:color="auto"/>
        <w:left w:val="none" w:sz="0" w:space="0" w:color="auto"/>
        <w:bottom w:val="none" w:sz="0" w:space="0" w:color="auto"/>
        <w:right w:val="none" w:sz="0" w:space="0" w:color="auto"/>
      </w:divBdr>
    </w:div>
    <w:div w:id="2093117032">
      <w:bodyDiv w:val="1"/>
      <w:marLeft w:val="0"/>
      <w:marRight w:val="0"/>
      <w:marTop w:val="0"/>
      <w:marBottom w:val="0"/>
      <w:divBdr>
        <w:top w:val="none" w:sz="0" w:space="0" w:color="auto"/>
        <w:left w:val="none" w:sz="0" w:space="0" w:color="auto"/>
        <w:bottom w:val="none" w:sz="0" w:space="0" w:color="auto"/>
        <w:right w:val="none" w:sz="0" w:space="0" w:color="auto"/>
      </w:divBdr>
    </w:div>
    <w:div w:id="2095011593">
      <w:bodyDiv w:val="1"/>
      <w:marLeft w:val="0"/>
      <w:marRight w:val="0"/>
      <w:marTop w:val="0"/>
      <w:marBottom w:val="0"/>
      <w:divBdr>
        <w:top w:val="none" w:sz="0" w:space="0" w:color="auto"/>
        <w:left w:val="none" w:sz="0" w:space="0" w:color="auto"/>
        <w:bottom w:val="none" w:sz="0" w:space="0" w:color="auto"/>
        <w:right w:val="none" w:sz="0" w:space="0" w:color="auto"/>
      </w:divBdr>
    </w:div>
    <w:div w:id="2095203863">
      <w:bodyDiv w:val="1"/>
      <w:marLeft w:val="0"/>
      <w:marRight w:val="0"/>
      <w:marTop w:val="0"/>
      <w:marBottom w:val="0"/>
      <w:divBdr>
        <w:top w:val="none" w:sz="0" w:space="0" w:color="auto"/>
        <w:left w:val="none" w:sz="0" w:space="0" w:color="auto"/>
        <w:bottom w:val="none" w:sz="0" w:space="0" w:color="auto"/>
        <w:right w:val="none" w:sz="0" w:space="0" w:color="auto"/>
      </w:divBdr>
    </w:div>
    <w:div w:id="2098822321">
      <w:bodyDiv w:val="1"/>
      <w:marLeft w:val="0"/>
      <w:marRight w:val="0"/>
      <w:marTop w:val="0"/>
      <w:marBottom w:val="0"/>
      <w:divBdr>
        <w:top w:val="none" w:sz="0" w:space="0" w:color="auto"/>
        <w:left w:val="none" w:sz="0" w:space="0" w:color="auto"/>
        <w:bottom w:val="none" w:sz="0" w:space="0" w:color="auto"/>
        <w:right w:val="none" w:sz="0" w:space="0" w:color="auto"/>
      </w:divBdr>
    </w:div>
    <w:div w:id="2099324460">
      <w:bodyDiv w:val="1"/>
      <w:marLeft w:val="0"/>
      <w:marRight w:val="0"/>
      <w:marTop w:val="0"/>
      <w:marBottom w:val="0"/>
      <w:divBdr>
        <w:top w:val="none" w:sz="0" w:space="0" w:color="auto"/>
        <w:left w:val="none" w:sz="0" w:space="0" w:color="auto"/>
        <w:bottom w:val="none" w:sz="0" w:space="0" w:color="auto"/>
        <w:right w:val="none" w:sz="0" w:space="0" w:color="auto"/>
      </w:divBdr>
    </w:div>
    <w:div w:id="2104497625">
      <w:bodyDiv w:val="1"/>
      <w:marLeft w:val="0"/>
      <w:marRight w:val="0"/>
      <w:marTop w:val="0"/>
      <w:marBottom w:val="0"/>
      <w:divBdr>
        <w:top w:val="none" w:sz="0" w:space="0" w:color="auto"/>
        <w:left w:val="none" w:sz="0" w:space="0" w:color="auto"/>
        <w:bottom w:val="none" w:sz="0" w:space="0" w:color="auto"/>
        <w:right w:val="none" w:sz="0" w:space="0" w:color="auto"/>
      </w:divBdr>
    </w:div>
    <w:div w:id="2107604757">
      <w:bodyDiv w:val="1"/>
      <w:marLeft w:val="0"/>
      <w:marRight w:val="0"/>
      <w:marTop w:val="0"/>
      <w:marBottom w:val="0"/>
      <w:divBdr>
        <w:top w:val="none" w:sz="0" w:space="0" w:color="auto"/>
        <w:left w:val="none" w:sz="0" w:space="0" w:color="auto"/>
        <w:bottom w:val="none" w:sz="0" w:space="0" w:color="auto"/>
        <w:right w:val="none" w:sz="0" w:space="0" w:color="auto"/>
      </w:divBdr>
    </w:div>
    <w:div w:id="2108846023">
      <w:bodyDiv w:val="1"/>
      <w:marLeft w:val="0"/>
      <w:marRight w:val="0"/>
      <w:marTop w:val="0"/>
      <w:marBottom w:val="0"/>
      <w:divBdr>
        <w:top w:val="none" w:sz="0" w:space="0" w:color="auto"/>
        <w:left w:val="none" w:sz="0" w:space="0" w:color="auto"/>
        <w:bottom w:val="none" w:sz="0" w:space="0" w:color="auto"/>
        <w:right w:val="none" w:sz="0" w:space="0" w:color="auto"/>
      </w:divBdr>
    </w:div>
    <w:div w:id="2109422799">
      <w:bodyDiv w:val="1"/>
      <w:marLeft w:val="0"/>
      <w:marRight w:val="0"/>
      <w:marTop w:val="0"/>
      <w:marBottom w:val="0"/>
      <w:divBdr>
        <w:top w:val="none" w:sz="0" w:space="0" w:color="auto"/>
        <w:left w:val="none" w:sz="0" w:space="0" w:color="auto"/>
        <w:bottom w:val="none" w:sz="0" w:space="0" w:color="auto"/>
        <w:right w:val="none" w:sz="0" w:space="0" w:color="auto"/>
      </w:divBdr>
    </w:div>
    <w:div w:id="2111581117">
      <w:bodyDiv w:val="1"/>
      <w:marLeft w:val="0"/>
      <w:marRight w:val="0"/>
      <w:marTop w:val="0"/>
      <w:marBottom w:val="0"/>
      <w:divBdr>
        <w:top w:val="none" w:sz="0" w:space="0" w:color="auto"/>
        <w:left w:val="none" w:sz="0" w:space="0" w:color="auto"/>
        <w:bottom w:val="none" w:sz="0" w:space="0" w:color="auto"/>
        <w:right w:val="none" w:sz="0" w:space="0" w:color="auto"/>
      </w:divBdr>
    </w:div>
    <w:div w:id="2115392296">
      <w:bodyDiv w:val="1"/>
      <w:marLeft w:val="0"/>
      <w:marRight w:val="0"/>
      <w:marTop w:val="0"/>
      <w:marBottom w:val="0"/>
      <w:divBdr>
        <w:top w:val="none" w:sz="0" w:space="0" w:color="auto"/>
        <w:left w:val="none" w:sz="0" w:space="0" w:color="auto"/>
        <w:bottom w:val="none" w:sz="0" w:space="0" w:color="auto"/>
        <w:right w:val="none" w:sz="0" w:space="0" w:color="auto"/>
      </w:divBdr>
    </w:div>
    <w:div w:id="2117628848">
      <w:bodyDiv w:val="1"/>
      <w:marLeft w:val="0"/>
      <w:marRight w:val="0"/>
      <w:marTop w:val="0"/>
      <w:marBottom w:val="0"/>
      <w:divBdr>
        <w:top w:val="none" w:sz="0" w:space="0" w:color="auto"/>
        <w:left w:val="none" w:sz="0" w:space="0" w:color="auto"/>
        <w:bottom w:val="none" w:sz="0" w:space="0" w:color="auto"/>
        <w:right w:val="none" w:sz="0" w:space="0" w:color="auto"/>
      </w:divBdr>
    </w:div>
    <w:div w:id="2117672053">
      <w:bodyDiv w:val="1"/>
      <w:marLeft w:val="0"/>
      <w:marRight w:val="0"/>
      <w:marTop w:val="0"/>
      <w:marBottom w:val="0"/>
      <w:divBdr>
        <w:top w:val="none" w:sz="0" w:space="0" w:color="auto"/>
        <w:left w:val="none" w:sz="0" w:space="0" w:color="auto"/>
        <w:bottom w:val="none" w:sz="0" w:space="0" w:color="auto"/>
        <w:right w:val="none" w:sz="0" w:space="0" w:color="auto"/>
      </w:divBdr>
    </w:div>
    <w:div w:id="2120835718">
      <w:bodyDiv w:val="1"/>
      <w:marLeft w:val="0"/>
      <w:marRight w:val="0"/>
      <w:marTop w:val="0"/>
      <w:marBottom w:val="0"/>
      <w:divBdr>
        <w:top w:val="none" w:sz="0" w:space="0" w:color="auto"/>
        <w:left w:val="none" w:sz="0" w:space="0" w:color="auto"/>
        <w:bottom w:val="none" w:sz="0" w:space="0" w:color="auto"/>
        <w:right w:val="none" w:sz="0" w:space="0" w:color="auto"/>
      </w:divBdr>
    </w:div>
    <w:div w:id="2122916111">
      <w:bodyDiv w:val="1"/>
      <w:marLeft w:val="0"/>
      <w:marRight w:val="0"/>
      <w:marTop w:val="0"/>
      <w:marBottom w:val="0"/>
      <w:divBdr>
        <w:top w:val="none" w:sz="0" w:space="0" w:color="auto"/>
        <w:left w:val="none" w:sz="0" w:space="0" w:color="auto"/>
        <w:bottom w:val="none" w:sz="0" w:space="0" w:color="auto"/>
        <w:right w:val="none" w:sz="0" w:space="0" w:color="auto"/>
      </w:divBdr>
    </w:div>
    <w:div w:id="2129003107">
      <w:bodyDiv w:val="1"/>
      <w:marLeft w:val="0"/>
      <w:marRight w:val="0"/>
      <w:marTop w:val="0"/>
      <w:marBottom w:val="0"/>
      <w:divBdr>
        <w:top w:val="none" w:sz="0" w:space="0" w:color="auto"/>
        <w:left w:val="none" w:sz="0" w:space="0" w:color="auto"/>
        <w:bottom w:val="none" w:sz="0" w:space="0" w:color="auto"/>
        <w:right w:val="none" w:sz="0" w:space="0" w:color="auto"/>
      </w:divBdr>
    </w:div>
    <w:div w:id="2129229765">
      <w:bodyDiv w:val="1"/>
      <w:marLeft w:val="0"/>
      <w:marRight w:val="0"/>
      <w:marTop w:val="0"/>
      <w:marBottom w:val="0"/>
      <w:divBdr>
        <w:top w:val="none" w:sz="0" w:space="0" w:color="auto"/>
        <w:left w:val="none" w:sz="0" w:space="0" w:color="auto"/>
        <w:bottom w:val="none" w:sz="0" w:space="0" w:color="auto"/>
        <w:right w:val="none" w:sz="0" w:space="0" w:color="auto"/>
      </w:divBdr>
    </w:div>
    <w:div w:id="2130850588">
      <w:bodyDiv w:val="1"/>
      <w:marLeft w:val="0"/>
      <w:marRight w:val="0"/>
      <w:marTop w:val="0"/>
      <w:marBottom w:val="0"/>
      <w:divBdr>
        <w:top w:val="none" w:sz="0" w:space="0" w:color="auto"/>
        <w:left w:val="none" w:sz="0" w:space="0" w:color="auto"/>
        <w:bottom w:val="none" w:sz="0" w:space="0" w:color="auto"/>
        <w:right w:val="none" w:sz="0" w:space="0" w:color="auto"/>
      </w:divBdr>
    </w:div>
    <w:div w:id="2131590329">
      <w:bodyDiv w:val="1"/>
      <w:marLeft w:val="0"/>
      <w:marRight w:val="0"/>
      <w:marTop w:val="0"/>
      <w:marBottom w:val="0"/>
      <w:divBdr>
        <w:top w:val="none" w:sz="0" w:space="0" w:color="auto"/>
        <w:left w:val="none" w:sz="0" w:space="0" w:color="auto"/>
        <w:bottom w:val="none" w:sz="0" w:space="0" w:color="auto"/>
        <w:right w:val="none" w:sz="0" w:space="0" w:color="auto"/>
      </w:divBdr>
    </w:div>
    <w:div w:id="2132625855">
      <w:bodyDiv w:val="1"/>
      <w:marLeft w:val="0"/>
      <w:marRight w:val="0"/>
      <w:marTop w:val="0"/>
      <w:marBottom w:val="0"/>
      <w:divBdr>
        <w:top w:val="none" w:sz="0" w:space="0" w:color="auto"/>
        <w:left w:val="none" w:sz="0" w:space="0" w:color="auto"/>
        <w:bottom w:val="none" w:sz="0" w:space="0" w:color="auto"/>
        <w:right w:val="none" w:sz="0" w:space="0" w:color="auto"/>
      </w:divBdr>
    </w:div>
    <w:div w:id="2134864880">
      <w:bodyDiv w:val="1"/>
      <w:marLeft w:val="0"/>
      <w:marRight w:val="0"/>
      <w:marTop w:val="0"/>
      <w:marBottom w:val="0"/>
      <w:divBdr>
        <w:top w:val="none" w:sz="0" w:space="0" w:color="auto"/>
        <w:left w:val="none" w:sz="0" w:space="0" w:color="auto"/>
        <w:bottom w:val="none" w:sz="0" w:space="0" w:color="auto"/>
        <w:right w:val="none" w:sz="0" w:space="0" w:color="auto"/>
      </w:divBdr>
    </w:div>
    <w:div w:id="2135097848">
      <w:bodyDiv w:val="1"/>
      <w:marLeft w:val="0"/>
      <w:marRight w:val="0"/>
      <w:marTop w:val="0"/>
      <w:marBottom w:val="0"/>
      <w:divBdr>
        <w:top w:val="none" w:sz="0" w:space="0" w:color="auto"/>
        <w:left w:val="none" w:sz="0" w:space="0" w:color="auto"/>
        <w:bottom w:val="none" w:sz="0" w:space="0" w:color="auto"/>
        <w:right w:val="none" w:sz="0" w:space="0" w:color="auto"/>
      </w:divBdr>
    </w:div>
    <w:div w:id="2135442836">
      <w:bodyDiv w:val="1"/>
      <w:marLeft w:val="0"/>
      <w:marRight w:val="0"/>
      <w:marTop w:val="0"/>
      <w:marBottom w:val="0"/>
      <w:divBdr>
        <w:top w:val="none" w:sz="0" w:space="0" w:color="auto"/>
        <w:left w:val="none" w:sz="0" w:space="0" w:color="auto"/>
        <w:bottom w:val="none" w:sz="0" w:space="0" w:color="auto"/>
        <w:right w:val="none" w:sz="0" w:space="0" w:color="auto"/>
      </w:divBdr>
    </w:div>
    <w:div w:id="2137286113">
      <w:bodyDiv w:val="1"/>
      <w:marLeft w:val="0"/>
      <w:marRight w:val="0"/>
      <w:marTop w:val="0"/>
      <w:marBottom w:val="0"/>
      <w:divBdr>
        <w:top w:val="none" w:sz="0" w:space="0" w:color="auto"/>
        <w:left w:val="none" w:sz="0" w:space="0" w:color="auto"/>
        <w:bottom w:val="none" w:sz="0" w:space="0" w:color="auto"/>
        <w:right w:val="none" w:sz="0" w:space="0" w:color="auto"/>
      </w:divBdr>
    </w:div>
    <w:div w:id="2140028285">
      <w:bodyDiv w:val="1"/>
      <w:marLeft w:val="0"/>
      <w:marRight w:val="0"/>
      <w:marTop w:val="0"/>
      <w:marBottom w:val="0"/>
      <w:divBdr>
        <w:top w:val="none" w:sz="0" w:space="0" w:color="auto"/>
        <w:left w:val="none" w:sz="0" w:space="0" w:color="auto"/>
        <w:bottom w:val="none" w:sz="0" w:space="0" w:color="auto"/>
        <w:right w:val="none" w:sz="0" w:space="0" w:color="auto"/>
      </w:divBdr>
    </w:div>
    <w:div w:id="2145736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png"/><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header" Target="header3.xml"/><Relationship Id="rId61" Type="http://schemas.openxmlformats.org/officeDocument/2006/relationships/image" Target="media/image47.png"/><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KBorzewska\Desktop\Polityka%20D&#322;uga%202023-2050\2022.10.25%20Wykresy%20do%20polityki%20d&#322;ugu%20wg%20WPF%202023-205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Arkusz_programu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960569151568293E-2"/>
          <c:y val="0.11111315167236749"/>
          <c:w val="0.90336455737961086"/>
          <c:h val="0.72910839762840407"/>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4.4101433296582244E-3"/>
                  <c:y val="1.13132889928647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BE-4FEC-AF7E-A858313D633F}"/>
                </c:ext>
              </c:extLst>
            </c:dLbl>
            <c:dLbl>
              <c:idx val="1"/>
              <c:layout>
                <c:manualLayout>
                  <c:x val="-2.2050716648290866E-3"/>
                  <c:y val="1.54637905883285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BE-4FEC-AF7E-A858313D633F}"/>
                </c:ext>
              </c:extLst>
            </c:dLbl>
            <c:dLbl>
              <c:idx val="2"/>
              <c:layout>
                <c:manualLayout>
                  <c:x val="0"/>
                  <c:y val="1.01629689609763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BE-4FEC-AF7E-A858313D633F}"/>
                </c:ext>
              </c:extLst>
            </c:dLbl>
            <c:dLbl>
              <c:idx val="3"/>
              <c:layout>
                <c:manualLayout>
                  <c:x val="-2.205071664829107E-3"/>
                  <c:y val="4.862147333624089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BE-4FEC-AF7E-A858313D633F}"/>
                </c:ext>
              </c:extLst>
            </c:dLbl>
            <c:dLbl>
              <c:idx val="4"/>
              <c:layout>
                <c:manualLayout>
                  <c:x val="-2.205071664829107E-3"/>
                  <c:y val="-4.3867429372815059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5BE-4FEC-AF7E-A858313D633F}"/>
                </c:ext>
              </c:extLst>
            </c:dLbl>
            <c:dLbl>
              <c:idx val="5"/>
              <c:layout>
                <c:manualLayout>
                  <c:x val="-7.9737231788320674E-17"/>
                  <c:y val="5.150532654006484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BE-4FEC-AF7E-A858313D633F}"/>
                </c:ext>
              </c:extLst>
            </c:dLbl>
            <c:dLbl>
              <c:idx val="6"/>
              <c:layout>
                <c:manualLayout>
                  <c:x val="-6.5848301487121163E-3"/>
                  <c:y val="1.56082066736092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5BE-4FEC-AF7E-A858313D633F}"/>
                </c:ext>
              </c:extLst>
            </c:dLbl>
            <c:dLbl>
              <c:idx val="7"/>
              <c:layout>
                <c:manualLayout>
                  <c:x val="8.0851693704735569E-17"/>
                  <c:y val="4.86214733362411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5BE-4FEC-AF7E-A858313D633F}"/>
                </c:ext>
              </c:extLst>
            </c:dLbl>
            <c:dLbl>
              <c:idx val="8"/>
              <c:layout>
                <c:manualLayout>
                  <c:x val="-2.205071664829107E-3"/>
                  <c:y val="1.01629689609763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5BE-4FEC-AF7E-A858313D633F}"/>
                </c:ext>
              </c:extLst>
            </c:dLbl>
            <c:dLbl>
              <c:idx val="9"/>
              <c:layout>
                <c:manualLayout>
                  <c:x val="-1.6170338740947114E-16"/>
                  <c:y val="4.862147333624089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5BE-4FEC-AF7E-A858313D633F}"/>
                </c:ext>
              </c:extLst>
            </c:dLbl>
            <c:dLbl>
              <c:idx val="10"/>
              <c:layout>
                <c:manualLayout>
                  <c:x val="0"/>
                  <c:y val="1.54637905883285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5BE-4FEC-AF7E-A858313D633F}"/>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'wykresy 1,3-5'!$J$15:$U$15</c:f>
              <c:strCache>
                <c:ptCount val="11"/>
                <c:pt idx="0">
                  <c:v>2012</c:v>
                </c:pt>
                <c:pt idx="1">
                  <c:v>2013</c:v>
                </c:pt>
                <c:pt idx="2">
                  <c:v>2014</c:v>
                </c:pt>
                <c:pt idx="3">
                  <c:v>2015</c:v>
                </c:pt>
                <c:pt idx="4">
                  <c:v>2016</c:v>
                </c:pt>
                <c:pt idx="5">
                  <c:v>2017</c:v>
                </c:pt>
                <c:pt idx="6">
                  <c:v>2018</c:v>
                </c:pt>
                <c:pt idx="7">
                  <c:v>2019</c:v>
                </c:pt>
                <c:pt idx="8">
                  <c:v>2020</c:v>
                </c:pt>
                <c:pt idx="9">
                  <c:v>2021</c:v>
                </c:pt>
                <c:pt idx="10">
                  <c:v>III kw 2022</c:v>
                </c:pt>
              </c:strCache>
              <c:extLst/>
            </c:strRef>
          </c:cat>
          <c:val>
            <c:numRef>
              <c:f>'wykresy 1,3-5'!$J$16:$U$16</c:f>
              <c:numCache>
                <c:formatCode>_-* #\ ##0\ _z_ł_-;\-* #\ ##0\ _z_ł_-;_-* "-"??\ _z_ł_-;_-@_-</c:formatCode>
                <c:ptCount val="11"/>
                <c:pt idx="0">
                  <c:v>5695542324</c:v>
                </c:pt>
                <c:pt idx="1">
                  <c:v>5925200031.4799995</c:v>
                </c:pt>
                <c:pt idx="2">
                  <c:v>6037695386.2399998</c:v>
                </c:pt>
                <c:pt idx="3">
                  <c:v>5858189151.1499996</c:v>
                </c:pt>
                <c:pt idx="4">
                  <c:v>5677258765.0200005</c:v>
                </c:pt>
                <c:pt idx="5">
                  <c:v>5126282469.29</c:v>
                </c:pt>
                <c:pt idx="6">
                  <c:v>4569251864.79</c:v>
                </c:pt>
                <c:pt idx="7">
                  <c:v>3895705252.7399998</c:v>
                </c:pt>
                <c:pt idx="8" formatCode="#,##0">
                  <c:v>5652807854.1499996</c:v>
                </c:pt>
                <c:pt idx="9" formatCode="#,##0">
                  <c:v>5811104135.96</c:v>
                </c:pt>
                <c:pt idx="10" formatCode="#,##0">
                  <c:v>5331432158.1499996</c:v>
                </c:pt>
              </c:numCache>
              <c:extLst/>
            </c:numRef>
          </c:val>
          <c:extLst>
            <c:ext xmlns:c16="http://schemas.microsoft.com/office/drawing/2014/chart" uri="{C3380CC4-5D6E-409C-BE32-E72D297353CC}">
              <c16:uniqueId val="{0000000B-85BE-4FEC-AF7E-A858313D633F}"/>
            </c:ext>
          </c:extLst>
        </c:ser>
        <c:dLbls>
          <c:showLegendKey val="0"/>
          <c:showVal val="1"/>
          <c:showCatName val="0"/>
          <c:showSerName val="0"/>
          <c:showPercent val="0"/>
          <c:showBubbleSize val="0"/>
        </c:dLbls>
        <c:gapWidth val="100"/>
        <c:overlap val="-24"/>
        <c:axId val="75326208"/>
        <c:axId val="75327744"/>
      </c:barChart>
      <c:catAx>
        <c:axId val="75326208"/>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pl-PL"/>
          </a:p>
        </c:txPr>
        <c:crossAx val="75327744"/>
        <c:crosses val="autoZero"/>
        <c:auto val="1"/>
        <c:lblAlgn val="ctr"/>
        <c:lblOffset val="100"/>
        <c:noMultiLvlLbl val="0"/>
      </c:catAx>
      <c:valAx>
        <c:axId val="75327744"/>
        <c:scaling>
          <c:orientation val="minMax"/>
        </c:scaling>
        <c:delete val="0"/>
        <c:axPos val="l"/>
        <c:majorGridlines>
          <c:spPr>
            <a:ln w="9525" cap="flat" cmpd="sng" algn="ctr">
              <a:solidFill>
                <a:schemeClr val="tx2">
                  <a:lumMod val="15000"/>
                  <a:lumOff val="85000"/>
                </a:schemeClr>
              </a:solidFill>
              <a:round/>
            </a:ln>
            <a:effectLst/>
          </c:spPr>
        </c:majorGridlines>
        <c:numFmt formatCode="#,##0;#,##0;&quot;&quot;" sourceLinked="0"/>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pl-PL"/>
          </a:p>
        </c:txPr>
        <c:crossAx val="75326208"/>
        <c:crosses val="autoZero"/>
        <c:crossBetween val="between"/>
        <c:majorUnit val="1000000000"/>
        <c:dispUnits>
          <c:builtInUnit val="millions"/>
          <c:dispUnitsLbl>
            <c:layout>
              <c:manualLayout>
                <c:xMode val="edge"/>
                <c:yMode val="edge"/>
                <c:x val="2.5396522237366406E-3"/>
                <c:y val="3.7101577516168555E-3"/>
              </c:manualLayout>
            </c:layout>
            <c:tx>
              <c:rich>
                <a:bodyPr rot="0" spcFirstLastPara="1" vertOverflow="ellipsis"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pl-PL" sz="700">
                      <a:solidFill>
                        <a:sysClr val="windowText" lastClr="000000"/>
                      </a:solidFill>
                      <a:latin typeface="Verdana" panose="020B0604030504040204" pitchFamily="34" charset="0"/>
                      <a:ea typeface="Verdana" panose="020B0604030504040204" pitchFamily="34" charset="0"/>
                    </a:rPr>
                    <a:t>mln PLN </a:t>
                  </a:r>
                </a:p>
              </c:rich>
            </c:tx>
            <c:spPr>
              <a:noFill/>
              <a:ln>
                <a:noFill/>
              </a:ln>
              <a:effectLst/>
            </c:spPr>
            <c:txPr>
              <a:bodyPr rot="0" spcFirstLastPara="1" vertOverflow="ellipsis"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pl-PL"/>
              </a:p>
            </c:txPr>
          </c:dispUnitsLbl>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'wykres 4'!$A$5</c:f>
              <c:strCache>
                <c:ptCount val="1"/>
                <c:pt idx="0">
                  <c:v>Limit obsługi długu (art. 243 ufp) z uwzględnieniem ustawowych wyłączeń </c:v>
                </c:pt>
              </c:strCache>
            </c:strRef>
          </c:tx>
          <c:spPr>
            <a:ln w="38100">
              <a:solidFill>
                <a:srgbClr val="FF0000"/>
              </a:solidFill>
              <a:prstDash val="sysDash"/>
            </a:ln>
          </c:spPr>
          <c:marker>
            <c:symbol val="none"/>
          </c:marker>
          <c:cat>
            <c:numRef>
              <c:f>'wykres 4'!$B$4:$J$4</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'wykres 4'!$B$5:$J$5</c:f>
              <c:numCache>
                <c:formatCode>0.00%</c:formatCode>
                <c:ptCount val="9"/>
                <c:pt idx="0">
                  <c:v>0.12280000000000001</c:v>
                </c:pt>
                <c:pt idx="1">
                  <c:v>9.8199999999999996E-2</c:v>
                </c:pt>
                <c:pt idx="2">
                  <c:v>7.0499999999999993E-2</c:v>
                </c:pt>
                <c:pt idx="3">
                  <c:v>5.2600000000000001E-2</c:v>
                </c:pt>
                <c:pt idx="4">
                  <c:v>3.7999999999999999E-2</c:v>
                </c:pt>
                <c:pt idx="5">
                  <c:v>3.7600000000000001E-2</c:v>
                </c:pt>
                <c:pt idx="6">
                  <c:v>5.21E-2</c:v>
                </c:pt>
                <c:pt idx="7">
                  <c:v>4.5699999999999998E-2</c:v>
                </c:pt>
                <c:pt idx="8">
                  <c:v>5.9499999999999997E-2</c:v>
                </c:pt>
              </c:numCache>
            </c:numRef>
          </c:val>
          <c:smooth val="0"/>
          <c:extLst>
            <c:ext xmlns:c16="http://schemas.microsoft.com/office/drawing/2014/chart" uri="{C3380CC4-5D6E-409C-BE32-E72D297353CC}">
              <c16:uniqueId val="{00000000-AF4B-4BB0-8698-FDA19A066208}"/>
            </c:ext>
          </c:extLst>
        </c:ser>
        <c:ser>
          <c:idx val="1"/>
          <c:order val="1"/>
          <c:tx>
            <c:strRef>
              <c:f>'wykres 4'!$A$6</c:f>
              <c:strCache>
                <c:ptCount val="1"/>
                <c:pt idx="0">
                  <c:v>Wskaźnik obsługi długu z uwzględnieniem ustawowych wyłączeń </c:v>
                </c:pt>
              </c:strCache>
            </c:strRef>
          </c:tx>
          <c:spPr>
            <a:ln w="38100">
              <a:solidFill>
                <a:schemeClr val="tx2">
                  <a:lumMod val="75000"/>
                </a:schemeClr>
              </a:solidFill>
            </a:ln>
          </c:spPr>
          <c:marker>
            <c:symbol val="none"/>
          </c:marker>
          <c:cat>
            <c:numRef>
              <c:f>'wykres 4'!$B$4:$J$4</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'wykres 4'!$B$6:$J$6</c:f>
              <c:numCache>
                <c:formatCode>0.00%</c:formatCode>
                <c:ptCount val="9"/>
                <c:pt idx="0">
                  <c:v>3.9100000000000003E-2</c:v>
                </c:pt>
                <c:pt idx="1">
                  <c:v>2.86E-2</c:v>
                </c:pt>
                <c:pt idx="2">
                  <c:v>3.3000000000000002E-2</c:v>
                </c:pt>
                <c:pt idx="3">
                  <c:v>3.7499999999999999E-2</c:v>
                </c:pt>
                <c:pt idx="4">
                  <c:v>3.2800000000000003E-2</c:v>
                </c:pt>
                <c:pt idx="5">
                  <c:v>3.4000000000000002E-2</c:v>
                </c:pt>
                <c:pt idx="6">
                  <c:v>4.0099999999999997E-2</c:v>
                </c:pt>
                <c:pt idx="7">
                  <c:v>3.85E-2</c:v>
                </c:pt>
                <c:pt idx="8">
                  <c:v>4.0099999999999997E-2</c:v>
                </c:pt>
              </c:numCache>
            </c:numRef>
          </c:val>
          <c:smooth val="0"/>
          <c:extLst>
            <c:ext xmlns:c16="http://schemas.microsoft.com/office/drawing/2014/chart" uri="{C3380CC4-5D6E-409C-BE32-E72D297353CC}">
              <c16:uniqueId val="{00000001-AF4B-4BB0-8698-FDA19A066208}"/>
            </c:ext>
          </c:extLst>
        </c:ser>
        <c:dLbls>
          <c:showLegendKey val="0"/>
          <c:showVal val="0"/>
          <c:showCatName val="0"/>
          <c:showSerName val="0"/>
          <c:showPercent val="0"/>
          <c:showBubbleSize val="0"/>
        </c:dLbls>
        <c:smooth val="0"/>
        <c:axId val="79583104"/>
        <c:axId val="79584640"/>
      </c:lineChart>
      <c:catAx>
        <c:axId val="79583104"/>
        <c:scaling>
          <c:orientation val="minMax"/>
        </c:scaling>
        <c:delete val="0"/>
        <c:axPos val="b"/>
        <c:numFmt formatCode="General" sourceLinked="1"/>
        <c:majorTickMark val="none"/>
        <c:minorTickMark val="out"/>
        <c:tickLblPos val="nextTo"/>
        <c:spPr>
          <a:ln/>
        </c:spPr>
        <c:txPr>
          <a:bodyPr rot="0" vert="horz"/>
          <a:lstStyle/>
          <a:p>
            <a:pPr>
              <a:defRPr/>
            </a:pPr>
            <a:endParaRPr lang="pl-PL"/>
          </a:p>
        </c:txPr>
        <c:crossAx val="79584640"/>
        <c:crosses val="autoZero"/>
        <c:auto val="1"/>
        <c:lblAlgn val="ctr"/>
        <c:lblOffset val="100"/>
        <c:noMultiLvlLbl val="0"/>
      </c:catAx>
      <c:valAx>
        <c:axId val="79584640"/>
        <c:scaling>
          <c:orientation val="minMax"/>
        </c:scaling>
        <c:delete val="0"/>
        <c:axPos val="l"/>
        <c:majorGridlines>
          <c:spPr>
            <a:ln w="0">
              <a:solidFill>
                <a:schemeClr val="bg1">
                  <a:lumMod val="85000"/>
                </a:schemeClr>
              </a:solidFill>
            </a:ln>
          </c:spPr>
        </c:majorGridlines>
        <c:numFmt formatCode="0%" sourceLinked="0"/>
        <c:majorTickMark val="out"/>
        <c:minorTickMark val="none"/>
        <c:tickLblPos val="nextTo"/>
        <c:txPr>
          <a:bodyPr/>
          <a:lstStyle/>
          <a:p>
            <a:pPr>
              <a:defRPr sz="900" b="1"/>
            </a:pPr>
            <a:endParaRPr lang="pl-PL"/>
          </a:p>
        </c:txPr>
        <c:crossAx val="79583104"/>
        <c:crosses val="autoZero"/>
        <c:crossBetween val="between"/>
      </c:valAx>
    </c:plotArea>
    <c:legend>
      <c:legendPos val="b"/>
      <c:layout>
        <c:manualLayout>
          <c:xMode val="edge"/>
          <c:yMode val="edge"/>
          <c:x val="0"/>
          <c:y val="0.87522535143229807"/>
          <c:w val="1"/>
          <c:h val="0.11398972822921628"/>
        </c:manualLayout>
      </c:layout>
      <c:overlay val="0"/>
      <c:txPr>
        <a:bodyPr/>
        <a:lstStyle/>
        <a:p>
          <a:pPr>
            <a:defRPr sz="900" b="1"/>
          </a:pPr>
          <a:endParaRPr lang="pl-PL"/>
        </a:p>
      </c:txPr>
    </c:legend>
    <c:plotVisOnly val="1"/>
    <c:dispBlanksAs val="gap"/>
    <c:showDLblsOverMax val="0"/>
  </c:chart>
  <c:spPr>
    <a:ln>
      <a:noFill/>
    </a:ln>
  </c:spPr>
  <c:txPr>
    <a:bodyPr/>
    <a:lstStyle/>
    <a:p>
      <a:pPr>
        <a:defRPr sz="900">
          <a:latin typeface="+mn-lt"/>
          <a:ea typeface="Verdana" panose="020B0604030504040204" pitchFamily="34" charset="0"/>
        </a:defRPr>
      </a:pPr>
      <a:endParaRPr lang="pl-PL"/>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0.23086</cdr:x>
      <cdr:y>0.12016</cdr:y>
    </cdr:from>
    <cdr:to>
      <cdr:x>0.42195</cdr:x>
      <cdr:y>0.35075</cdr:y>
    </cdr:to>
    <cdr:sp macro="" textlink="">
      <cdr:nvSpPr>
        <cdr:cNvPr id="4" name="pole tekstowe 3"/>
        <cdr:cNvSpPr txBox="1"/>
      </cdr:nvSpPr>
      <cdr:spPr>
        <a:xfrm xmlns:a="http://schemas.openxmlformats.org/drawingml/2006/main">
          <a:off x="1269783" y="373112"/>
          <a:ext cx="1051032" cy="7160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ct val="110000"/>
            </a:lnSpc>
          </a:pPr>
          <a:r>
            <a:rPr lang="pl-PL" sz="800" b="1">
              <a:latin typeface="+mn-lt"/>
              <a:ea typeface="Verdana" panose="020B0604030504040204" pitchFamily="34" charset="0"/>
            </a:rPr>
            <a:t>okres</a:t>
          </a:r>
          <a:r>
            <a:rPr lang="pl-PL" sz="800" b="1" baseline="0">
              <a:latin typeface="+mn-lt"/>
              <a:ea typeface="Verdana" panose="020B0604030504040204" pitchFamily="34" charset="0"/>
            </a:rPr>
            <a:t> </a:t>
          </a:r>
          <a:r>
            <a:rPr lang="pl-PL" sz="800" b="1">
              <a:latin typeface="+mn-lt"/>
              <a:ea typeface="Verdana" panose="020B0604030504040204" pitchFamily="34" charset="0"/>
            </a:rPr>
            <a:t>zawieszenia</a:t>
          </a:r>
          <a:r>
            <a:rPr lang="pl-PL" sz="800" b="1" baseline="0">
              <a:latin typeface="+mn-lt"/>
              <a:ea typeface="Verdana" panose="020B0604030504040204" pitchFamily="34" charset="0"/>
            </a:rPr>
            <a:t>  indywidualnego limitu spłaty zobowiązań </a:t>
          </a:r>
          <a:endParaRPr lang="pl-PL" sz="800" b="1">
            <a:latin typeface="+mn-lt"/>
            <a:ea typeface="Verdana" panose="020B0604030504040204" pitchFamily="34" charset="0"/>
          </a:endParaRPr>
        </a:p>
      </cdr:txBody>
    </cdr:sp>
  </cdr:relSizeAnchor>
  <cdr:relSizeAnchor xmlns:cdr="http://schemas.openxmlformats.org/drawingml/2006/chartDrawing">
    <cdr:from>
      <cdr:x>0.22144</cdr:x>
      <cdr:y>0.04535</cdr:y>
    </cdr:from>
    <cdr:to>
      <cdr:x>0.42328</cdr:x>
      <cdr:y>0.7477</cdr:y>
    </cdr:to>
    <cdr:sp macro="" textlink="">
      <cdr:nvSpPr>
        <cdr:cNvPr id="2" name="Prostokąt 1"/>
        <cdr:cNvSpPr/>
      </cdr:nvSpPr>
      <cdr:spPr>
        <a:xfrm xmlns:a="http://schemas.openxmlformats.org/drawingml/2006/main">
          <a:off x="1218024" y="140826"/>
          <a:ext cx="1110217" cy="2180902"/>
        </a:xfrm>
        <a:prstGeom xmlns:a="http://schemas.openxmlformats.org/drawingml/2006/main" prst="rect">
          <a:avLst/>
        </a:prstGeom>
        <a:solidFill xmlns:a="http://schemas.openxmlformats.org/drawingml/2006/main">
          <a:schemeClr val="accent1">
            <a:alpha val="12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dr:relSizeAnchor xmlns:cdr="http://schemas.openxmlformats.org/drawingml/2006/chartDrawing">
    <cdr:from>
      <cdr:x>0.5195</cdr:x>
      <cdr:y>0.04037</cdr:y>
    </cdr:from>
    <cdr:to>
      <cdr:x>0.63846</cdr:x>
      <cdr:y>0.7458</cdr:y>
    </cdr:to>
    <cdr:sp macro="" textlink="">
      <cdr:nvSpPr>
        <cdr:cNvPr id="5" name="Prostokąt 4"/>
        <cdr:cNvSpPr/>
      </cdr:nvSpPr>
      <cdr:spPr>
        <a:xfrm xmlns:a="http://schemas.openxmlformats.org/drawingml/2006/main">
          <a:off x="2857500" y="125343"/>
          <a:ext cx="654326" cy="2190473"/>
        </a:xfrm>
        <a:prstGeom xmlns:a="http://schemas.openxmlformats.org/drawingml/2006/main" prst="rect">
          <a:avLst/>
        </a:prstGeom>
        <a:solidFill xmlns:a="http://schemas.openxmlformats.org/drawingml/2006/main">
          <a:srgbClr val="FF0000">
            <a:alpha val="6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pl-PL"/>
        </a:p>
      </cdr:txBody>
    </cdr:sp>
  </cdr:relSizeAnchor>
  <cdr:relSizeAnchor xmlns:cdr="http://schemas.openxmlformats.org/drawingml/2006/chartDrawing">
    <cdr:from>
      <cdr:x>0.48356</cdr:x>
      <cdr:y>0.14706</cdr:y>
    </cdr:from>
    <cdr:to>
      <cdr:x>0.67465</cdr:x>
      <cdr:y>0.37765</cdr:y>
    </cdr:to>
    <cdr:sp macro="" textlink="">
      <cdr:nvSpPr>
        <cdr:cNvPr id="6" name="pole tekstowe 1"/>
        <cdr:cNvSpPr txBox="1"/>
      </cdr:nvSpPr>
      <cdr:spPr>
        <a:xfrm xmlns:a="http://schemas.openxmlformats.org/drawingml/2006/main">
          <a:off x="2659821" y="456648"/>
          <a:ext cx="1051087" cy="7160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0000"/>
            </a:lnSpc>
          </a:pPr>
          <a:r>
            <a:rPr lang="pl-PL" sz="800" b="1">
              <a:latin typeface="+mn-lt"/>
              <a:ea typeface="Verdana" panose="020B0604030504040204" pitchFamily="34" charset="0"/>
            </a:rPr>
            <a:t>zawężenie przestrzeni</a:t>
          </a:r>
          <a:r>
            <a:rPr lang="pl-PL" sz="800" b="1" baseline="0">
              <a:latin typeface="+mn-lt"/>
              <a:ea typeface="Verdana" panose="020B0604030504040204" pitchFamily="34" charset="0"/>
            </a:rPr>
            <a:t> </a:t>
          </a:r>
        </a:p>
        <a:p xmlns:a="http://schemas.openxmlformats.org/drawingml/2006/main">
          <a:pPr algn="ctr">
            <a:lnSpc>
              <a:spcPct val="110000"/>
            </a:lnSpc>
          </a:pPr>
          <a:r>
            <a:rPr lang="pl-PL" sz="800" b="1" baseline="0">
              <a:latin typeface="+mn-lt"/>
              <a:ea typeface="Verdana" panose="020B0604030504040204" pitchFamily="34" charset="0"/>
            </a:rPr>
            <a:t>między limitem </a:t>
          </a:r>
        </a:p>
        <a:p xmlns:a="http://schemas.openxmlformats.org/drawingml/2006/main">
          <a:pPr algn="ctr">
            <a:lnSpc>
              <a:spcPct val="110000"/>
            </a:lnSpc>
          </a:pPr>
          <a:r>
            <a:rPr lang="pl-PL" sz="800" b="1" baseline="0">
              <a:latin typeface="+mn-lt"/>
              <a:ea typeface="Verdana" panose="020B0604030504040204" pitchFamily="34" charset="0"/>
            </a:rPr>
            <a:t>a wskaźnikiem</a:t>
          </a:r>
          <a:endParaRPr lang="pl-PL" sz="800" b="1">
            <a:latin typeface="+mn-lt"/>
            <a:ea typeface="Verdana" panose="020B0604030504040204" pitchFamily="34" charset="0"/>
          </a:endParaRP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25B90-3741-4017-8896-5509634AA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92</Pages>
  <Words>31845</Words>
  <Characters>191076</Characters>
  <Application>Microsoft Office Word</Application>
  <DocSecurity>0</DocSecurity>
  <Lines>1592</Lines>
  <Paragraphs>444</Paragraphs>
  <ScaleCrop>false</ScaleCrop>
  <HeadingPairs>
    <vt:vector size="2" baseType="variant">
      <vt:variant>
        <vt:lpstr>Tytuł</vt:lpstr>
      </vt:variant>
      <vt:variant>
        <vt:i4>1</vt:i4>
      </vt:variant>
    </vt:vector>
  </HeadingPairs>
  <TitlesOfParts>
    <vt:vector size="1" baseType="lpstr">
      <vt:lpstr>Objaśnienia WPF na lata 2023-2050</vt:lpstr>
    </vt:vector>
  </TitlesOfParts>
  <Company>UMSTW</Company>
  <LinksUpToDate>false</LinksUpToDate>
  <CharactersWithSpaces>222477</CharactersWithSpaces>
  <SharedDoc>false</SharedDoc>
  <HLinks>
    <vt:vector size="948" baseType="variant">
      <vt:variant>
        <vt:i4>4522071</vt:i4>
      </vt:variant>
      <vt:variant>
        <vt:i4>948</vt:i4>
      </vt:variant>
      <vt:variant>
        <vt:i4>0</vt:i4>
      </vt:variant>
      <vt:variant>
        <vt:i4>5</vt:i4>
      </vt:variant>
      <vt:variant>
        <vt:lpwstr>http://www.mf.gov.pl/</vt:lpwstr>
      </vt:variant>
      <vt:variant>
        <vt:lpwstr/>
      </vt:variant>
      <vt:variant>
        <vt:i4>1048633</vt:i4>
      </vt:variant>
      <vt:variant>
        <vt:i4>938</vt:i4>
      </vt:variant>
      <vt:variant>
        <vt:i4>0</vt:i4>
      </vt:variant>
      <vt:variant>
        <vt:i4>5</vt:i4>
      </vt:variant>
      <vt:variant>
        <vt:lpwstr/>
      </vt:variant>
      <vt:variant>
        <vt:lpwstr>_Toc528331771</vt:lpwstr>
      </vt:variant>
      <vt:variant>
        <vt:i4>1048633</vt:i4>
      </vt:variant>
      <vt:variant>
        <vt:i4>932</vt:i4>
      </vt:variant>
      <vt:variant>
        <vt:i4>0</vt:i4>
      </vt:variant>
      <vt:variant>
        <vt:i4>5</vt:i4>
      </vt:variant>
      <vt:variant>
        <vt:lpwstr/>
      </vt:variant>
      <vt:variant>
        <vt:lpwstr>_Toc528331770</vt:lpwstr>
      </vt:variant>
      <vt:variant>
        <vt:i4>1114169</vt:i4>
      </vt:variant>
      <vt:variant>
        <vt:i4>926</vt:i4>
      </vt:variant>
      <vt:variant>
        <vt:i4>0</vt:i4>
      </vt:variant>
      <vt:variant>
        <vt:i4>5</vt:i4>
      </vt:variant>
      <vt:variant>
        <vt:lpwstr/>
      </vt:variant>
      <vt:variant>
        <vt:lpwstr>_Toc528331769</vt:lpwstr>
      </vt:variant>
      <vt:variant>
        <vt:i4>1114169</vt:i4>
      </vt:variant>
      <vt:variant>
        <vt:i4>920</vt:i4>
      </vt:variant>
      <vt:variant>
        <vt:i4>0</vt:i4>
      </vt:variant>
      <vt:variant>
        <vt:i4>5</vt:i4>
      </vt:variant>
      <vt:variant>
        <vt:lpwstr/>
      </vt:variant>
      <vt:variant>
        <vt:lpwstr>_Toc528331768</vt:lpwstr>
      </vt:variant>
      <vt:variant>
        <vt:i4>1114169</vt:i4>
      </vt:variant>
      <vt:variant>
        <vt:i4>914</vt:i4>
      </vt:variant>
      <vt:variant>
        <vt:i4>0</vt:i4>
      </vt:variant>
      <vt:variant>
        <vt:i4>5</vt:i4>
      </vt:variant>
      <vt:variant>
        <vt:lpwstr/>
      </vt:variant>
      <vt:variant>
        <vt:lpwstr>_Toc528331767</vt:lpwstr>
      </vt:variant>
      <vt:variant>
        <vt:i4>1114169</vt:i4>
      </vt:variant>
      <vt:variant>
        <vt:i4>908</vt:i4>
      </vt:variant>
      <vt:variant>
        <vt:i4>0</vt:i4>
      </vt:variant>
      <vt:variant>
        <vt:i4>5</vt:i4>
      </vt:variant>
      <vt:variant>
        <vt:lpwstr/>
      </vt:variant>
      <vt:variant>
        <vt:lpwstr>_Toc528331766</vt:lpwstr>
      </vt:variant>
      <vt:variant>
        <vt:i4>1114169</vt:i4>
      </vt:variant>
      <vt:variant>
        <vt:i4>902</vt:i4>
      </vt:variant>
      <vt:variant>
        <vt:i4>0</vt:i4>
      </vt:variant>
      <vt:variant>
        <vt:i4>5</vt:i4>
      </vt:variant>
      <vt:variant>
        <vt:lpwstr/>
      </vt:variant>
      <vt:variant>
        <vt:lpwstr>_Toc528331765</vt:lpwstr>
      </vt:variant>
      <vt:variant>
        <vt:i4>1114169</vt:i4>
      </vt:variant>
      <vt:variant>
        <vt:i4>896</vt:i4>
      </vt:variant>
      <vt:variant>
        <vt:i4>0</vt:i4>
      </vt:variant>
      <vt:variant>
        <vt:i4>5</vt:i4>
      </vt:variant>
      <vt:variant>
        <vt:lpwstr/>
      </vt:variant>
      <vt:variant>
        <vt:lpwstr>_Toc528331764</vt:lpwstr>
      </vt:variant>
      <vt:variant>
        <vt:i4>1114169</vt:i4>
      </vt:variant>
      <vt:variant>
        <vt:i4>890</vt:i4>
      </vt:variant>
      <vt:variant>
        <vt:i4>0</vt:i4>
      </vt:variant>
      <vt:variant>
        <vt:i4>5</vt:i4>
      </vt:variant>
      <vt:variant>
        <vt:lpwstr/>
      </vt:variant>
      <vt:variant>
        <vt:lpwstr>_Toc528331763</vt:lpwstr>
      </vt:variant>
      <vt:variant>
        <vt:i4>1114169</vt:i4>
      </vt:variant>
      <vt:variant>
        <vt:i4>884</vt:i4>
      </vt:variant>
      <vt:variant>
        <vt:i4>0</vt:i4>
      </vt:variant>
      <vt:variant>
        <vt:i4>5</vt:i4>
      </vt:variant>
      <vt:variant>
        <vt:lpwstr/>
      </vt:variant>
      <vt:variant>
        <vt:lpwstr>_Toc528331762</vt:lpwstr>
      </vt:variant>
      <vt:variant>
        <vt:i4>1114169</vt:i4>
      </vt:variant>
      <vt:variant>
        <vt:i4>878</vt:i4>
      </vt:variant>
      <vt:variant>
        <vt:i4>0</vt:i4>
      </vt:variant>
      <vt:variant>
        <vt:i4>5</vt:i4>
      </vt:variant>
      <vt:variant>
        <vt:lpwstr/>
      </vt:variant>
      <vt:variant>
        <vt:lpwstr>_Toc528331761</vt:lpwstr>
      </vt:variant>
      <vt:variant>
        <vt:i4>1114169</vt:i4>
      </vt:variant>
      <vt:variant>
        <vt:i4>872</vt:i4>
      </vt:variant>
      <vt:variant>
        <vt:i4>0</vt:i4>
      </vt:variant>
      <vt:variant>
        <vt:i4>5</vt:i4>
      </vt:variant>
      <vt:variant>
        <vt:lpwstr/>
      </vt:variant>
      <vt:variant>
        <vt:lpwstr>_Toc528331760</vt:lpwstr>
      </vt:variant>
      <vt:variant>
        <vt:i4>1179705</vt:i4>
      </vt:variant>
      <vt:variant>
        <vt:i4>866</vt:i4>
      </vt:variant>
      <vt:variant>
        <vt:i4>0</vt:i4>
      </vt:variant>
      <vt:variant>
        <vt:i4>5</vt:i4>
      </vt:variant>
      <vt:variant>
        <vt:lpwstr/>
      </vt:variant>
      <vt:variant>
        <vt:lpwstr>_Toc528331759</vt:lpwstr>
      </vt:variant>
      <vt:variant>
        <vt:i4>1179705</vt:i4>
      </vt:variant>
      <vt:variant>
        <vt:i4>860</vt:i4>
      </vt:variant>
      <vt:variant>
        <vt:i4>0</vt:i4>
      </vt:variant>
      <vt:variant>
        <vt:i4>5</vt:i4>
      </vt:variant>
      <vt:variant>
        <vt:lpwstr/>
      </vt:variant>
      <vt:variant>
        <vt:lpwstr>_Toc528331758</vt:lpwstr>
      </vt:variant>
      <vt:variant>
        <vt:i4>1179705</vt:i4>
      </vt:variant>
      <vt:variant>
        <vt:i4>854</vt:i4>
      </vt:variant>
      <vt:variant>
        <vt:i4>0</vt:i4>
      </vt:variant>
      <vt:variant>
        <vt:i4>5</vt:i4>
      </vt:variant>
      <vt:variant>
        <vt:lpwstr/>
      </vt:variant>
      <vt:variant>
        <vt:lpwstr>_Toc528331757</vt:lpwstr>
      </vt:variant>
      <vt:variant>
        <vt:i4>1179705</vt:i4>
      </vt:variant>
      <vt:variant>
        <vt:i4>848</vt:i4>
      </vt:variant>
      <vt:variant>
        <vt:i4>0</vt:i4>
      </vt:variant>
      <vt:variant>
        <vt:i4>5</vt:i4>
      </vt:variant>
      <vt:variant>
        <vt:lpwstr/>
      </vt:variant>
      <vt:variant>
        <vt:lpwstr>_Toc528331756</vt:lpwstr>
      </vt:variant>
      <vt:variant>
        <vt:i4>1179705</vt:i4>
      </vt:variant>
      <vt:variant>
        <vt:i4>842</vt:i4>
      </vt:variant>
      <vt:variant>
        <vt:i4>0</vt:i4>
      </vt:variant>
      <vt:variant>
        <vt:i4>5</vt:i4>
      </vt:variant>
      <vt:variant>
        <vt:lpwstr/>
      </vt:variant>
      <vt:variant>
        <vt:lpwstr>_Toc528331755</vt:lpwstr>
      </vt:variant>
      <vt:variant>
        <vt:i4>1179705</vt:i4>
      </vt:variant>
      <vt:variant>
        <vt:i4>836</vt:i4>
      </vt:variant>
      <vt:variant>
        <vt:i4>0</vt:i4>
      </vt:variant>
      <vt:variant>
        <vt:i4>5</vt:i4>
      </vt:variant>
      <vt:variant>
        <vt:lpwstr/>
      </vt:variant>
      <vt:variant>
        <vt:lpwstr>_Toc528331754</vt:lpwstr>
      </vt:variant>
      <vt:variant>
        <vt:i4>1179705</vt:i4>
      </vt:variant>
      <vt:variant>
        <vt:i4>830</vt:i4>
      </vt:variant>
      <vt:variant>
        <vt:i4>0</vt:i4>
      </vt:variant>
      <vt:variant>
        <vt:i4>5</vt:i4>
      </vt:variant>
      <vt:variant>
        <vt:lpwstr/>
      </vt:variant>
      <vt:variant>
        <vt:lpwstr>_Toc528331753</vt:lpwstr>
      </vt:variant>
      <vt:variant>
        <vt:i4>1179705</vt:i4>
      </vt:variant>
      <vt:variant>
        <vt:i4>824</vt:i4>
      </vt:variant>
      <vt:variant>
        <vt:i4>0</vt:i4>
      </vt:variant>
      <vt:variant>
        <vt:i4>5</vt:i4>
      </vt:variant>
      <vt:variant>
        <vt:lpwstr/>
      </vt:variant>
      <vt:variant>
        <vt:lpwstr>_Toc528331752</vt:lpwstr>
      </vt:variant>
      <vt:variant>
        <vt:i4>1179705</vt:i4>
      </vt:variant>
      <vt:variant>
        <vt:i4>818</vt:i4>
      </vt:variant>
      <vt:variant>
        <vt:i4>0</vt:i4>
      </vt:variant>
      <vt:variant>
        <vt:i4>5</vt:i4>
      </vt:variant>
      <vt:variant>
        <vt:lpwstr/>
      </vt:variant>
      <vt:variant>
        <vt:lpwstr>_Toc528331751</vt:lpwstr>
      </vt:variant>
      <vt:variant>
        <vt:i4>1179705</vt:i4>
      </vt:variant>
      <vt:variant>
        <vt:i4>812</vt:i4>
      </vt:variant>
      <vt:variant>
        <vt:i4>0</vt:i4>
      </vt:variant>
      <vt:variant>
        <vt:i4>5</vt:i4>
      </vt:variant>
      <vt:variant>
        <vt:lpwstr/>
      </vt:variant>
      <vt:variant>
        <vt:lpwstr>_Toc528331750</vt:lpwstr>
      </vt:variant>
      <vt:variant>
        <vt:i4>1245241</vt:i4>
      </vt:variant>
      <vt:variant>
        <vt:i4>806</vt:i4>
      </vt:variant>
      <vt:variant>
        <vt:i4>0</vt:i4>
      </vt:variant>
      <vt:variant>
        <vt:i4>5</vt:i4>
      </vt:variant>
      <vt:variant>
        <vt:lpwstr/>
      </vt:variant>
      <vt:variant>
        <vt:lpwstr>_Toc528331749</vt:lpwstr>
      </vt:variant>
      <vt:variant>
        <vt:i4>1245241</vt:i4>
      </vt:variant>
      <vt:variant>
        <vt:i4>800</vt:i4>
      </vt:variant>
      <vt:variant>
        <vt:i4>0</vt:i4>
      </vt:variant>
      <vt:variant>
        <vt:i4>5</vt:i4>
      </vt:variant>
      <vt:variant>
        <vt:lpwstr/>
      </vt:variant>
      <vt:variant>
        <vt:lpwstr>_Toc528331748</vt:lpwstr>
      </vt:variant>
      <vt:variant>
        <vt:i4>1245241</vt:i4>
      </vt:variant>
      <vt:variant>
        <vt:i4>794</vt:i4>
      </vt:variant>
      <vt:variant>
        <vt:i4>0</vt:i4>
      </vt:variant>
      <vt:variant>
        <vt:i4>5</vt:i4>
      </vt:variant>
      <vt:variant>
        <vt:lpwstr/>
      </vt:variant>
      <vt:variant>
        <vt:lpwstr>_Toc528331747</vt:lpwstr>
      </vt:variant>
      <vt:variant>
        <vt:i4>1245241</vt:i4>
      </vt:variant>
      <vt:variant>
        <vt:i4>788</vt:i4>
      </vt:variant>
      <vt:variant>
        <vt:i4>0</vt:i4>
      </vt:variant>
      <vt:variant>
        <vt:i4>5</vt:i4>
      </vt:variant>
      <vt:variant>
        <vt:lpwstr/>
      </vt:variant>
      <vt:variant>
        <vt:lpwstr>_Toc528331746</vt:lpwstr>
      </vt:variant>
      <vt:variant>
        <vt:i4>1245241</vt:i4>
      </vt:variant>
      <vt:variant>
        <vt:i4>782</vt:i4>
      </vt:variant>
      <vt:variant>
        <vt:i4>0</vt:i4>
      </vt:variant>
      <vt:variant>
        <vt:i4>5</vt:i4>
      </vt:variant>
      <vt:variant>
        <vt:lpwstr/>
      </vt:variant>
      <vt:variant>
        <vt:lpwstr>_Toc528331745</vt:lpwstr>
      </vt:variant>
      <vt:variant>
        <vt:i4>1245241</vt:i4>
      </vt:variant>
      <vt:variant>
        <vt:i4>776</vt:i4>
      </vt:variant>
      <vt:variant>
        <vt:i4>0</vt:i4>
      </vt:variant>
      <vt:variant>
        <vt:i4>5</vt:i4>
      </vt:variant>
      <vt:variant>
        <vt:lpwstr/>
      </vt:variant>
      <vt:variant>
        <vt:lpwstr>_Toc528331744</vt:lpwstr>
      </vt:variant>
      <vt:variant>
        <vt:i4>1245241</vt:i4>
      </vt:variant>
      <vt:variant>
        <vt:i4>770</vt:i4>
      </vt:variant>
      <vt:variant>
        <vt:i4>0</vt:i4>
      </vt:variant>
      <vt:variant>
        <vt:i4>5</vt:i4>
      </vt:variant>
      <vt:variant>
        <vt:lpwstr/>
      </vt:variant>
      <vt:variant>
        <vt:lpwstr>_Toc528331743</vt:lpwstr>
      </vt:variant>
      <vt:variant>
        <vt:i4>1245241</vt:i4>
      </vt:variant>
      <vt:variant>
        <vt:i4>764</vt:i4>
      </vt:variant>
      <vt:variant>
        <vt:i4>0</vt:i4>
      </vt:variant>
      <vt:variant>
        <vt:i4>5</vt:i4>
      </vt:variant>
      <vt:variant>
        <vt:lpwstr/>
      </vt:variant>
      <vt:variant>
        <vt:lpwstr>_Toc528331742</vt:lpwstr>
      </vt:variant>
      <vt:variant>
        <vt:i4>1245241</vt:i4>
      </vt:variant>
      <vt:variant>
        <vt:i4>758</vt:i4>
      </vt:variant>
      <vt:variant>
        <vt:i4>0</vt:i4>
      </vt:variant>
      <vt:variant>
        <vt:i4>5</vt:i4>
      </vt:variant>
      <vt:variant>
        <vt:lpwstr/>
      </vt:variant>
      <vt:variant>
        <vt:lpwstr>_Toc528331741</vt:lpwstr>
      </vt:variant>
      <vt:variant>
        <vt:i4>1245241</vt:i4>
      </vt:variant>
      <vt:variant>
        <vt:i4>752</vt:i4>
      </vt:variant>
      <vt:variant>
        <vt:i4>0</vt:i4>
      </vt:variant>
      <vt:variant>
        <vt:i4>5</vt:i4>
      </vt:variant>
      <vt:variant>
        <vt:lpwstr/>
      </vt:variant>
      <vt:variant>
        <vt:lpwstr>_Toc528331740</vt:lpwstr>
      </vt:variant>
      <vt:variant>
        <vt:i4>1310777</vt:i4>
      </vt:variant>
      <vt:variant>
        <vt:i4>746</vt:i4>
      </vt:variant>
      <vt:variant>
        <vt:i4>0</vt:i4>
      </vt:variant>
      <vt:variant>
        <vt:i4>5</vt:i4>
      </vt:variant>
      <vt:variant>
        <vt:lpwstr/>
      </vt:variant>
      <vt:variant>
        <vt:lpwstr>_Toc528331739</vt:lpwstr>
      </vt:variant>
      <vt:variant>
        <vt:i4>1310777</vt:i4>
      </vt:variant>
      <vt:variant>
        <vt:i4>740</vt:i4>
      </vt:variant>
      <vt:variant>
        <vt:i4>0</vt:i4>
      </vt:variant>
      <vt:variant>
        <vt:i4>5</vt:i4>
      </vt:variant>
      <vt:variant>
        <vt:lpwstr/>
      </vt:variant>
      <vt:variant>
        <vt:lpwstr>_Toc528331738</vt:lpwstr>
      </vt:variant>
      <vt:variant>
        <vt:i4>1310777</vt:i4>
      </vt:variant>
      <vt:variant>
        <vt:i4>734</vt:i4>
      </vt:variant>
      <vt:variant>
        <vt:i4>0</vt:i4>
      </vt:variant>
      <vt:variant>
        <vt:i4>5</vt:i4>
      </vt:variant>
      <vt:variant>
        <vt:lpwstr/>
      </vt:variant>
      <vt:variant>
        <vt:lpwstr>_Toc528331737</vt:lpwstr>
      </vt:variant>
      <vt:variant>
        <vt:i4>1310777</vt:i4>
      </vt:variant>
      <vt:variant>
        <vt:i4>728</vt:i4>
      </vt:variant>
      <vt:variant>
        <vt:i4>0</vt:i4>
      </vt:variant>
      <vt:variant>
        <vt:i4>5</vt:i4>
      </vt:variant>
      <vt:variant>
        <vt:lpwstr/>
      </vt:variant>
      <vt:variant>
        <vt:lpwstr>_Toc528331736</vt:lpwstr>
      </vt:variant>
      <vt:variant>
        <vt:i4>1310777</vt:i4>
      </vt:variant>
      <vt:variant>
        <vt:i4>722</vt:i4>
      </vt:variant>
      <vt:variant>
        <vt:i4>0</vt:i4>
      </vt:variant>
      <vt:variant>
        <vt:i4>5</vt:i4>
      </vt:variant>
      <vt:variant>
        <vt:lpwstr/>
      </vt:variant>
      <vt:variant>
        <vt:lpwstr>_Toc528331735</vt:lpwstr>
      </vt:variant>
      <vt:variant>
        <vt:i4>1310777</vt:i4>
      </vt:variant>
      <vt:variant>
        <vt:i4>716</vt:i4>
      </vt:variant>
      <vt:variant>
        <vt:i4>0</vt:i4>
      </vt:variant>
      <vt:variant>
        <vt:i4>5</vt:i4>
      </vt:variant>
      <vt:variant>
        <vt:lpwstr/>
      </vt:variant>
      <vt:variant>
        <vt:lpwstr>_Toc528331734</vt:lpwstr>
      </vt:variant>
      <vt:variant>
        <vt:i4>1310777</vt:i4>
      </vt:variant>
      <vt:variant>
        <vt:i4>710</vt:i4>
      </vt:variant>
      <vt:variant>
        <vt:i4>0</vt:i4>
      </vt:variant>
      <vt:variant>
        <vt:i4>5</vt:i4>
      </vt:variant>
      <vt:variant>
        <vt:lpwstr/>
      </vt:variant>
      <vt:variant>
        <vt:lpwstr>_Toc528331733</vt:lpwstr>
      </vt:variant>
      <vt:variant>
        <vt:i4>1310777</vt:i4>
      </vt:variant>
      <vt:variant>
        <vt:i4>704</vt:i4>
      </vt:variant>
      <vt:variant>
        <vt:i4>0</vt:i4>
      </vt:variant>
      <vt:variant>
        <vt:i4>5</vt:i4>
      </vt:variant>
      <vt:variant>
        <vt:lpwstr/>
      </vt:variant>
      <vt:variant>
        <vt:lpwstr>_Toc528331732</vt:lpwstr>
      </vt:variant>
      <vt:variant>
        <vt:i4>1310777</vt:i4>
      </vt:variant>
      <vt:variant>
        <vt:i4>698</vt:i4>
      </vt:variant>
      <vt:variant>
        <vt:i4>0</vt:i4>
      </vt:variant>
      <vt:variant>
        <vt:i4>5</vt:i4>
      </vt:variant>
      <vt:variant>
        <vt:lpwstr/>
      </vt:variant>
      <vt:variant>
        <vt:lpwstr>_Toc528331731</vt:lpwstr>
      </vt:variant>
      <vt:variant>
        <vt:i4>1310777</vt:i4>
      </vt:variant>
      <vt:variant>
        <vt:i4>692</vt:i4>
      </vt:variant>
      <vt:variant>
        <vt:i4>0</vt:i4>
      </vt:variant>
      <vt:variant>
        <vt:i4>5</vt:i4>
      </vt:variant>
      <vt:variant>
        <vt:lpwstr/>
      </vt:variant>
      <vt:variant>
        <vt:lpwstr>_Toc528331730</vt:lpwstr>
      </vt:variant>
      <vt:variant>
        <vt:i4>1376313</vt:i4>
      </vt:variant>
      <vt:variant>
        <vt:i4>686</vt:i4>
      </vt:variant>
      <vt:variant>
        <vt:i4>0</vt:i4>
      </vt:variant>
      <vt:variant>
        <vt:i4>5</vt:i4>
      </vt:variant>
      <vt:variant>
        <vt:lpwstr/>
      </vt:variant>
      <vt:variant>
        <vt:lpwstr>_Toc528331729</vt:lpwstr>
      </vt:variant>
      <vt:variant>
        <vt:i4>1376313</vt:i4>
      </vt:variant>
      <vt:variant>
        <vt:i4>680</vt:i4>
      </vt:variant>
      <vt:variant>
        <vt:i4>0</vt:i4>
      </vt:variant>
      <vt:variant>
        <vt:i4>5</vt:i4>
      </vt:variant>
      <vt:variant>
        <vt:lpwstr/>
      </vt:variant>
      <vt:variant>
        <vt:lpwstr>_Toc528331728</vt:lpwstr>
      </vt:variant>
      <vt:variant>
        <vt:i4>1376313</vt:i4>
      </vt:variant>
      <vt:variant>
        <vt:i4>674</vt:i4>
      </vt:variant>
      <vt:variant>
        <vt:i4>0</vt:i4>
      </vt:variant>
      <vt:variant>
        <vt:i4>5</vt:i4>
      </vt:variant>
      <vt:variant>
        <vt:lpwstr/>
      </vt:variant>
      <vt:variant>
        <vt:lpwstr>_Toc528331727</vt:lpwstr>
      </vt:variant>
      <vt:variant>
        <vt:i4>1376313</vt:i4>
      </vt:variant>
      <vt:variant>
        <vt:i4>668</vt:i4>
      </vt:variant>
      <vt:variant>
        <vt:i4>0</vt:i4>
      </vt:variant>
      <vt:variant>
        <vt:i4>5</vt:i4>
      </vt:variant>
      <vt:variant>
        <vt:lpwstr/>
      </vt:variant>
      <vt:variant>
        <vt:lpwstr>_Toc528331726</vt:lpwstr>
      </vt:variant>
      <vt:variant>
        <vt:i4>1376313</vt:i4>
      </vt:variant>
      <vt:variant>
        <vt:i4>662</vt:i4>
      </vt:variant>
      <vt:variant>
        <vt:i4>0</vt:i4>
      </vt:variant>
      <vt:variant>
        <vt:i4>5</vt:i4>
      </vt:variant>
      <vt:variant>
        <vt:lpwstr/>
      </vt:variant>
      <vt:variant>
        <vt:lpwstr>_Toc528331725</vt:lpwstr>
      </vt:variant>
      <vt:variant>
        <vt:i4>1376313</vt:i4>
      </vt:variant>
      <vt:variant>
        <vt:i4>656</vt:i4>
      </vt:variant>
      <vt:variant>
        <vt:i4>0</vt:i4>
      </vt:variant>
      <vt:variant>
        <vt:i4>5</vt:i4>
      </vt:variant>
      <vt:variant>
        <vt:lpwstr/>
      </vt:variant>
      <vt:variant>
        <vt:lpwstr>_Toc528331724</vt:lpwstr>
      </vt:variant>
      <vt:variant>
        <vt:i4>1376313</vt:i4>
      </vt:variant>
      <vt:variant>
        <vt:i4>650</vt:i4>
      </vt:variant>
      <vt:variant>
        <vt:i4>0</vt:i4>
      </vt:variant>
      <vt:variant>
        <vt:i4>5</vt:i4>
      </vt:variant>
      <vt:variant>
        <vt:lpwstr/>
      </vt:variant>
      <vt:variant>
        <vt:lpwstr>_Toc528331723</vt:lpwstr>
      </vt:variant>
      <vt:variant>
        <vt:i4>1376313</vt:i4>
      </vt:variant>
      <vt:variant>
        <vt:i4>644</vt:i4>
      </vt:variant>
      <vt:variant>
        <vt:i4>0</vt:i4>
      </vt:variant>
      <vt:variant>
        <vt:i4>5</vt:i4>
      </vt:variant>
      <vt:variant>
        <vt:lpwstr/>
      </vt:variant>
      <vt:variant>
        <vt:lpwstr>_Toc528331722</vt:lpwstr>
      </vt:variant>
      <vt:variant>
        <vt:i4>1376313</vt:i4>
      </vt:variant>
      <vt:variant>
        <vt:i4>638</vt:i4>
      </vt:variant>
      <vt:variant>
        <vt:i4>0</vt:i4>
      </vt:variant>
      <vt:variant>
        <vt:i4>5</vt:i4>
      </vt:variant>
      <vt:variant>
        <vt:lpwstr/>
      </vt:variant>
      <vt:variant>
        <vt:lpwstr>_Toc528331721</vt:lpwstr>
      </vt:variant>
      <vt:variant>
        <vt:i4>1376313</vt:i4>
      </vt:variant>
      <vt:variant>
        <vt:i4>632</vt:i4>
      </vt:variant>
      <vt:variant>
        <vt:i4>0</vt:i4>
      </vt:variant>
      <vt:variant>
        <vt:i4>5</vt:i4>
      </vt:variant>
      <vt:variant>
        <vt:lpwstr/>
      </vt:variant>
      <vt:variant>
        <vt:lpwstr>_Toc528331720</vt:lpwstr>
      </vt:variant>
      <vt:variant>
        <vt:i4>1441849</vt:i4>
      </vt:variant>
      <vt:variant>
        <vt:i4>626</vt:i4>
      </vt:variant>
      <vt:variant>
        <vt:i4>0</vt:i4>
      </vt:variant>
      <vt:variant>
        <vt:i4>5</vt:i4>
      </vt:variant>
      <vt:variant>
        <vt:lpwstr/>
      </vt:variant>
      <vt:variant>
        <vt:lpwstr>_Toc528331719</vt:lpwstr>
      </vt:variant>
      <vt:variant>
        <vt:i4>1441849</vt:i4>
      </vt:variant>
      <vt:variant>
        <vt:i4>620</vt:i4>
      </vt:variant>
      <vt:variant>
        <vt:i4>0</vt:i4>
      </vt:variant>
      <vt:variant>
        <vt:i4>5</vt:i4>
      </vt:variant>
      <vt:variant>
        <vt:lpwstr/>
      </vt:variant>
      <vt:variant>
        <vt:lpwstr>_Toc528331718</vt:lpwstr>
      </vt:variant>
      <vt:variant>
        <vt:i4>1441849</vt:i4>
      </vt:variant>
      <vt:variant>
        <vt:i4>614</vt:i4>
      </vt:variant>
      <vt:variant>
        <vt:i4>0</vt:i4>
      </vt:variant>
      <vt:variant>
        <vt:i4>5</vt:i4>
      </vt:variant>
      <vt:variant>
        <vt:lpwstr/>
      </vt:variant>
      <vt:variant>
        <vt:lpwstr>_Toc528331717</vt:lpwstr>
      </vt:variant>
      <vt:variant>
        <vt:i4>1441849</vt:i4>
      </vt:variant>
      <vt:variant>
        <vt:i4>608</vt:i4>
      </vt:variant>
      <vt:variant>
        <vt:i4>0</vt:i4>
      </vt:variant>
      <vt:variant>
        <vt:i4>5</vt:i4>
      </vt:variant>
      <vt:variant>
        <vt:lpwstr/>
      </vt:variant>
      <vt:variant>
        <vt:lpwstr>_Toc528331716</vt:lpwstr>
      </vt:variant>
      <vt:variant>
        <vt:i4>1441849</vt:i4>
      </vt:variant>
      <vt:variant>
        <vt:i4>602</vt:i4>
      </vt:variant>
      <vt:variant>
        <vt:i4>0</vt:i4>
      </vt:variant>
      <vt:variant>
        <vt:i4>5</vt:i4>
      </vt:variant>
      <vt:variant>
        <vt:lpwstr/>
      </vt:variant>
      <vt:variant>
        <vt:lpwstr>_Toc528331715</vt:lpwstr>
      </vt:variant>
      <vt:variant>
        <vt:i4>1441849</vt:i4>
      </vt:variant>
      <vt:variant>
        <vt:i4>596</vt:i4>
      </vt:variant>
      <vt:variant>
        <vt:i4>0</vt:i4>
      </vt:variant>
      <vt:variant>
        <vt:i4>5</vt:i4>
      </vt:variant>
      <vt:variant>
        <vt:lpwstr/>
      </vt:variant>
      <vt:variant>
        <vt:lpwstr>_Toc528331714</vt:lpwstr>
      </vt:variant>
      <vt:variant>
        <vt:i4>1441849</vt:i4>
      </vt:variant>
      <vt:variant>
        <vt:i4>590</vt:i4>
      </vt:variant>
      <vt:variant>
        <vt:i4>0</vt:i4>
      </vt:variant>
      <vt:variant>
        <vt:i4>5</vt:i4>
      </vt:variant>
      <vt:variant>
        <vt:lpwstr/>
      </vt:variant>
      <vt:variant>
        <vt:lpwstr>_Toc528331713</vt:lpwstr>
      </vt:variant>
      <vt:variant>
        <vt:i4>1441849</vt:i4>
      </vt:variant>
      <vt:variant>
        <vt:i4>584</vt:i4>
      </vt:variant>
      <vt:variant>
        <vt:i4>0</vt:i4>
      </vt:variant>
      <vt:variant>
        <vt:i4>5</vt:i4>
      </vt:variant>
      <vt:variant>
        <vt:lpwstr/>
      </vt:variant>
      <vt:variant>
        <vt:lpwstr>_Toc528331712</vt:lpwstr>
      </vt:variant>
      <vt:variant>
        <vt:i4>1441849</vt:i4>
      </vt:variant>
      <vt:variant>
        <vt:i4>578</vt:i4>
      </vt:variant>
      <vt:variant>
        <vt:i4>0</vt:i4>
      </vt:variant>
      <vt:variant>
        <vt:i4>5</vt:i4>
      </vt:variant>
      <vt:variant>
        <vt:lpwstr/>
      </vt:variant>
      <vt:variant>
        <vt:lpwstr>_Toc528331711</vt:lpwstr>
      </vt:variant>
      <vt:variant>
        <vt:i4>1441849</vt:i4>
      </vt:variant>
      <vt:variant>
        <vt:i4>572</vt:i4>
      </vt:variant>
      <vt:variant>
        <vt:i4>0</vt:i4>
      </vt:variant>
      <vt:variant>
        <vt:i4>5</vt:i4>
      </vt:variant>
      <vt:variant>
        <vt:lpwstr/>
      </vt:variant>
      <vt:variant>
        <vt:lpwstr>_Toc528331710</vt:lpwstr>
      </vt:variant>
      <vt:variant>
        <vt:i4>1507385</vt:i4>
      </vt:variant>
      <vt:variant>
        <vt:i4>566</vt:i4>
      </vt:variant>
      <vt:variant>
        <vt:i4>0</vt:i4>
      </vt:variant>
      <vt:variant>
        <vt:i4>5</vt:i4>
      </vt:variant>
      <vt:variant>
        <vt:lpwstr/>
      </vt:variant>
      <vt:variant>
        <vt:lpwstr>_Toc528331709</vt:lpwstr>
      </vt:variant>
      <vt:variant>
        <vt:i4>1507385</vt:i4>
      </vt:variant>
      <vt:variant>
        <vt:i4>560</vt:i4>
      </vt:variant>
      <vt:variant>
        <vt:i4>0</vt:i4>
      </vt:variant>
      <vt:variant>
        <vt:i4>5</vt:i4>
      </vt:variant>
      <vt:variant>
        <vt:lpwstr/>
      </vt:variant>
      <vt:variant>
        <vt:lpwstr>_Toc528331708</vt:lpwstr>
      </vt:variant>
      <vt:variant>
        <vt:i4>1507385</vt:i4>
      </vt:variant>
      <vt:variant>
        <vt:i4>554</vt:i4>
      </vt:variant>
      <vt:variant>
        <vt:i4>0</vt:i4>
      </vt:variant>
      <vt:variant>
        <vt:i4>5</vt:i4>
      </vt:variant>
      <vt:variant>
        <vt:lpwstr/>
      </vt:variant>
      <vt:variant>
        <vt:lpwstr>_Toc528331707</vt:lpwstr>
      </vt:variant>
      <vt:variant>
        <vt:i4>1507385</vt:i4>
      </vt:variant>
      <vt:variant>
        <vt:i4>548</vt:i4>
      </vt:variant>
      <vt:variant>
        <vt:i4>0</vt:i4>
      </vt:variant>
      <vt:variant>
        <vt:i4>5</vt:i4>
      </vt:variant>
      <vt:variant>
        <vt:lpwstr/>
      </vt:variant>
      <vt:variant>
        <vt:lpwstr>_Toc528331706</vt:lpwstr>
      </vt:variant>
      <vt:variant>
        <vt:i4>1507385</vt:i4>
      </vt:variant>
      <vt:variant>
        <vt:i4>542</vt:i4>
      </vt:variant>
      <vt:variant>
        <vt:i4>0</vt:i4>
      </vt:variant>
      <vt:variant>
        <vt:i4>5</vt:i4>
      </vt:variant>
      <vt:variant>
        <vt:lpwstr/>
      </vt:variant>
      <vt:variant>
        <vt:lpwstr>_Toc528331705</vt:lpwstr>
      </vt:variant>
      <vt:variant>
        <vt:i4>1507385</vt:i4>
      </vt:variant>
      <vt:variant>
        <vt:i4>536</vt:i4>
      </vt:variant>
      <vt:variant>
        <vt:i4>0</vt:i4>
      </vt:variant>
      <vt:variant>
        <vt:i4>5</vt:i4>
      </vt:variant>
      <vt:variant>
        <vt:lpwstr/>
      </vt:variant>
      <vt:variant>
        <vt:lpwstr>_Toc528331704</vt:lpwstr>
      </vt:variant>
      <vt:variant>
        <vt:i4>1507385</vt:i4>
      </vt:variant>
      <vt:variant>
        <vt:i4>530</vt:i4>
      </vt:variant>
      <vt:variant>
        <vt:i4>0</vt:i4>
      </vt:variant>
      <vt:variant>
        <vt:i4>5</vt:i4>
      </vt:variant>
      <vt:variant>
        <vt:lpwstr/>
      </vt:variant>
      <vt:variant>
        <vt:lpwstr>_Toc528331703</vt:lpwstr>
      </vt:variant>
      <vt:variant>
        <vt:i4>1507385</vt:i4>
      </vt:variant>
      <vt:variant>
        <vt:i4>524</vt:i4>
      </vt:variant>
      <vt:variant>
        <vt:i4>0</vt:i4>
      </vt:variant>
      <vt:variant>
        <vt:i4>5</vt:i4>
      </vt:variant>
      <vt:variant>
        <vt:lpwstr/>
      </vt:variant>
      <vt:variant>
        <vt:lpwstr>_Toc528331702</vt:lpwstr>
      </vt:variant>
      <vt:variant>
        <vt:i4>1507385</vt:i4>
      </vt:variant>
      <vt:variant>
        <vt:i4>518</vt:i4>
      </vt:variant>
      <vt:variant>
        <vt:i4>0</vt:i4>
      </vt:variant>
      <vt:variant>
        <vt:i4>5</vt:i4>
      </vt:variant>
      <vt:variant>
        <vt:lpwstr/>
      </vt:variant>
      <vt:variant>
        <vt:lpwstr>_Toc528331701</vt:lpwstr>
      </vt:variant>
      <vt:variant>
        <vt:i4>1507385</vt:i4>
      </vt:variant>
      <vt:variant>
        <vt:i4>512</vt:i4>
      </vt:variant>
      <vt:variant>
        <vt:i4>0</vt:i4>
      </vt:variant>
      <vt:variant>
        <vt:i4>5</vt:i4>
      </vt:variant>
      <vt:variant>
        <vt:lpwstr/>
      </vt:variant>
      <vt:variant>
        <vt:lpwstr>_Toc528331700</vt:lpwstr>
      </vt:variant>
      <vt:variant>
        <vt:i4>1966136</vt:i4>
      </vt:variant>
      <vt:variant>
        <vt:i4>506</vt:i4>
      </vt:variant>
      <vt:variant>
        <vt:i4>0</vt:i4>
      </vt:variant>
      <vt:variant>
        <vt:i4>5</vt:i4>
      </vt:variant>
      <vt:variant>
        <vt:lpwstr/>
      </vt:variant>
      <vt:variant>
        <vt:lpwstr>_Toc528331699</vt:lpwstr>
      </vt:variant>
      <vt:variant>
        <vt:i4>1966136</vt:i4>
      </vt:variant>
      <vt:variant>
        <vt:i4>500</vt:i4>
      </vt:variant>
      <vt:variant>
        <vt:i4>0</vt:i4>
      </vt:variant>
      <vt:variant>
        <vt:i4>5</vt:i4>
      </vt:variant>
      <vt:variant>
        <vt:lpwstr/>
      </vt:variant>
      <vt:variant>
        <vt:lpwstr>_Toc528331698</vt:lpwstr>
      </vt:variant>
      <vt:variant>
        <vt:i4>1966136</vt:i4>
      </vt:variant>
      <vt:variant>
        <vt:i4>494</vt:i4>
      </vt:variant>
      <vt:variant>
        <vt:i4>0</vt:i4>
      </vt:variant>
      <vt:variant>
        <vt:i4>5</vt:i4>
      </vt:variant>
      <vt:variant>
        <vt:lpwstr/>
      </vt:variant>
      <vt:variant>
        <vt:lpwstr>_Toc528331697</vt:lpwstr>
      </vt:variant>
      <vt:variant>
        <vt:i4>1966136</vt:i4>
      </vt:variant>
      <vt:variant>
        <vt:i4>488</vt:i4>
      </vt:variant>
      <vt:variant>
        <vt:i4>0</vt:i4>
      </vt:variant>
      <vt:variant>
        <vt:i4>5</vt:i4>
      </vt:variant>
      <vt:variant>
        <vt:lpwstr/>
      </vt:variant>
      <vt:variant>
        <vt:lpwstr>_Toc528331696</vt:lpwstr>
      </vt:variant>
      <vt:variant>
        <vt:i4>1966136</vt:i4>
      </vt:variant>
      <vt:variant>
        <vt:i4>482</vt:i4>
      </vt:variant>
      <vt:variant>
        <vt:i4>0</vt:i4>
      </vt:variant>
      <vt:variant>
        <vt:i4>5</vt:i4>
      </vt:variant>
      <vt:variant>
        <vt:lpwstr/>
      </vt:variant>
      <vt:variant>
        <vt:lpwstr>_Toc528331695</vt:lpwstr>
      </vt:variant>
      <vt:variant>
        <vt:i4>1966136</vt:i4>
      </vt:variant>
      <vt:variant>
        <vt:i4>476</vt:i4>
      </vt:variant>
      <vt:variant>
        <vt:i4>0</vt:i4>
      </vt:variant>
      <vt:variant>
        <vt:i4>5</vt:i4>
      </vt:variant>
      <vt:variant>
        <vt:lpwstr/>
      </vt:variant>
      <vt:variant>
        <vt:lpwstr>_Toc528331694</vt:lpwstr>
      </vt:variant>
      <vt:variant>
        <vt:i4>1966136</vt:i4>
      </vt:variant>
      <vt:variant>
        <vt:i4>470</vt:i4>
      </vt:variant>
      <vt:variant>
        <vt:i4>0</vt:i4>
      </vt:variant>
      <vt:variant>
        <vt:i4>5</vt:i4>
      </vt:variant>
      <vt:variant>
        <vt:lpwstr/>
      </vt:variant>
      <vt:variant>
        <vt:lpwstr>_Toc528331693</vt:lpwstr>
      </vt:variant>
      <vt:variant>
        <vt:i4>1966136</vt:i4>
      </vt:variant>
      <vt:variant>
        <vt:i4>464</vt:i4>
      </vt:variant>
      <vt:variant>
        <vt:i4>0</vt:i4>
      </vt:variant>
      <vt:variant>
        <vt:i4>5</vt:i4>
      </vt:variant>
      <vt:variant>
        <vt:lpwstr/>
      </vt:variant>
      <vt:variant>
        <vt:lpwstr>_Toc528331692</vt:lpwstr>
      </vt:variant>
      <vt:variant>
        <vt:i4>1966136</vt:i4>
      </vt:variant>
      <vt:variant>
        <vt:i4>458</vt:i4>
      </vt:variant>
      <vt:variant>
        <vt:i4>0</vt:i4>
      </vt:variant>
      <vt:variant>
        <vt:i4>5</vt:i4>
      </vt:variant>
      <vt:variant>
        <vt:lpwstr/>
      </vt:variant>
      <vt:variant>
        <vt:lpwstr>_Toc528331691</vt:lpwstr>
      </vt:variant>
      <vt:variant>
        <vt:i4>1966136</vt:i4>
      </vt:variant>
      <vt:variant>
        <vt:i4>452</vt:i4>
      </vt:variant>
      <vt:variant>
        <vt:i4>0</vt:i4>
      </vt:variant>
      <vt:variant>
        <vt:i4>5</vt:i4>
      </vt:variant>
      <vt:variant>
        <vt:lpwstr/>
      </vt:variant>
      <vt:variant>
        <vt:lpwstr>_Toc528331690</vt:lpwstr>
      </vt:variant>
      <vt:variant>
        <vt:i4>2031672</vt:i4>
      </vt:variant>
      <vt:variant>
        <vt:i4>446</vt:i4>
      </vt:variant>
      <vt:variant>
        <vt:i4>0</vt:i4>
      </vt:variant>
      <vt:variant>
        <vt:i4>5</vt:i4>
      </vt:variant>
      <vt:variant>
        <vt:lpwstr/>
      </vt:variant>
      <vt:variant>
        <vt:lpwstr>_Toc528331689</vt:lpwstr>
      </vt:variant>
      <vt:variant>
        <vt:i4>2031672</vt:i4>
      </vt:variant>
      <vt:variant>
        <vt:i4>440</vt:i4>
      </vt:variant>
      <vt:variant>
        <vt:i4>0</vt:i4>
      </vt:variant>
      <vt:variant>
        <vt:i4>5</vt:i4>
      </vt:variant>
      <vt:variant>
        <vt:lpwstr/>
      </vt:variant>
      <vt:variant>
        <vt:lpwstr>_Toc528331688</vt:lpwstr>
      </vt:variant>
      <vt:variant>
        <vt:i4>2031672</vt:i4>
      </vt:variant>
      <vt:variant>
        <vt:i4>434</vt:i4>
      </vt:variant>
      <vt:variant>
        <vt:i4>0</vt:i4>
      </vt:variant>
      <vt:variant>
        <vt:i4>5</vt:i4>
      </vt:variant>
      <vt:variant>
        <vt:lpwstr/>
      </vt:variant>
      <vt:variant>
        <vt:lpwstr>_Toc528331687</vt:lpwstr>
      </vt:variant>
      <vt:variant>
        <vt:i4>2031672</vt:i4>
      </vt:variant>
      <vt:variant>
        <vt:i4>428</vt:i4>
      </vt:variant>
      <vt:variant>
        <vt:i4>0</vt:i4>
      </vt:variant>
      <vt:variant>
        <vt:i4>5</vt:i4>
      </vt:variant>
      <vt:variant>
        <vt:lpwstr/>
      </vt:variant>
      <vt:variant>
        <vt:lpwstr>_Toc528331686</vt:lpwstr>
      </vt:variant>
      <vt:variant>
        <vt:i4>2031672</vt:i4>
      </vt:variant>
      <vt:variant>
        <vt:i4>422</vt:i4>
      </vt:variant>
      <vt:variant>
        <vt:i4>0</vt:i4>
      </vt:variant>
      <vt:variant>
        <vt:i4>5</vt:i4>
      </vt:variant>
      <vt:variant>
        <vt:lpwstr/>
      </vt:variant>
      <vt:variant>
        <vt:lpwstr>_Toc528331685</vt:lpwstr>
      </vt:variant>
      <vt:variant>
        <vt:i4>2031672</vt:i4>
      </vt:variant>
      <vt:variant>
        <vt:i4>416</vt:i4>
      </vt:variant>
      <vt:variant>
        <vt:i4>0</vt:i4>
      </vt:variant>
      <vt:variant>
        <vt:i4>5</vt:i4>
      </vt:variant>
      <vt:variant>
        <vt:lpwstr/>
      </vt:variant>
      <vt:variant>
        <vt:lpwstr>_Toc528331684</vt:lpwstr>
      </vt:variant>
      <vt:variant>
        <vt:i4>2031672</vt:i4>
      </vt:variant>
      <vt:variant>
        <vt:i4>410</vt:i4>
      </vt:variant>
      <vt:variant>
        <vt:i4>0</vt:i4>
      </vt:variant>
      <vt:variant>
        <vt:i4>5</vt:i4>
      </vt:variant>
      <vt:variant>
        <vt:lpwstr/>
      </vt:variant>
      <vt:variant>
        <vt:lpwstr>_Toc528331683</vt:lpwstr>
      </vt:variant>
      <vt:variant>
        <vt:i4>2031672</vt:i4>
      </vt:variant>
      <vt:variant>
        <vt:i4>404</vt:i4>
      </vt:variant>
      <vt:variant>
        <vt:i4>0</vt:i4>
      </vt:variant>
      <vt:variant>
        <vt:i4>5</vt:i4>
      </vt:variant>
      <vt:variant>
        <vt:lpwstr/>
      </vt:variant>
      <vt:variant>
        <vt:lpwstr>_Toc528331682</vt:lpwstr>
      </vt:variant>
      <vt:variant>
        <vt:i4>2031672</vt:i4>
      </vt:variant>
      <vt:variant>
        <vt:i4>398</vt:i4>
      </vt:variant>
      <vt:variant>
        <vt:i4>0</vt:i4>
      </vt:variant>
      <vt:variant>
        <vt:i4>5</vt:i4>
      </vt:variant>
      <vt:variant>
        <vt:lpwstr/>
      </vt:variant>
      <vt:variant>
        <vt:lpwstr>_Toc528331681</vt:lpwstr>
      </vt:variant>
      <vt:variant>
        <vt:i4>2031672</vt:i4>
      </vt:variant>
      <vt:variant>
        <vt:i4>392</vt:i4>
      </vt:variant>
      <vt:variant>
        <vt:i4>0</vt:i4>
      </vt:variant>
      <vt:variant>
        <vt:i4>5</vt:i4>
      </vt:variant>
      <vt:variant>
        <vt:lpwstr/>
      </vt:variant>
      <vt:variant>
        <vt:lpwstr>_Toc528331680</vt:lpwstr>
      </vt:variant>
      <vt:variant>
        <vt:i4>1048632</vt:i4>
      </vt:variant>
      <vt:variant>
        <vt:i4>386</vt:i4>
      </vt:variant>
      <vt:variant>
        <vt:i4>0</vt:i4>
      </vt:variant>
      <vt:variant>
        <vt:i4>5</vt:i4>
      </vt:variant>
      <vt:variant>
        <vt:lpwstr/>
      </vt:variant>
      <vt:variant>
        <vt:lpwstr>_Toc528331679</vt:lpwstr>
      </vt:variant>
      <vt:variant>
        <vt:i4>1048632</vt:i4>
      </vt:variant>
      <vt:variant>
        <vt:i4>380</vt:i4>
      </vt:variant>
      <vt:variant>
        <vt:i4>0</vt:i4>
      </vt:variant>
      <vt:variant>
        <vt:i4>5</vt:i4>
      </vt:variant>
      <vt:variant>
        <vt:lpwstr/>
      </vt:variant>
      <vt:variant>
        <vt:lpwstr>_Toc528331678</vt:lpwstr>
      </vt:variant>
      <vt:variant>
        <vt:i4>1048632</vt:i4>
      </vt:variant>
      <vt:variant>
        <vt:i4>374</vt:i4>
      </vt:variant>
      <vt:variant>
        <vt:i4>0</vt:i4>
      </vt:variant>
      <vt:variant>
        <vt:i4>5</vt:i4>
      </vt:variant>
      <vt:variant>
        <vt:lpwstr/>
      </vt:variant>
      <vt:variant>
        <vt:lpwstr>_Toc528331677</vt:lpwstr>
      </vt:variant>
      <vt:variant>
        <vt:i4>1048632</vt:i4>
      </vt:variant>
      <vt:variant>
        <vt:i4>368</vt:i4>
      </vt:variant>
      <vt:variant>
        <vt:i4>0</vt:i4>
      </vt:variant>
      <vt:variant>
        <vt:i4>5</vt:i4>
      </vt:variant>
      <vt:variant>
        <vt:lpwstr/>
      </vt:variant>
      <vt:variant>
        <vt:lpwstr>_Toc528331676</vt:lpwstr>
      </vt:variant>
      <vt:variant>
        <vt:i4>1048632</vt:i4>
      </vt:variant>
      <vt:variant>
        <vt:i4>362</vt:i4>
      </vt:variant>
      <vt:variant>
        <vt:i4>0</vt:i4>
      </vt:variant>
      <vt:variant>
        <vt:i4>5</vt:i4>
      </vt:variant>
      <vt:variant>
        <vt:lpwstr/>
      </vt:variant>
      <vt:variant>
        <vt:lpwstr>_Toc528331675</vt:lpwstr>
      </vt:variant>
      <vt:variant>
        <vt:i4>1048632</vt:i4>
      </vt:variant>
      <vt:variant>
        <vt:i4>356</vt:i4>
      </vt:variant>
      <vt:variant>
        <vt:i4>0</vt:i4>
      </vt:variant>
      <vt:variant>
        <vt:i4>5</vt:i4>
      </vt:variant>
      <vt:variant>
        <vt:lpwstr/>
      </vt:variant>
      <vt:variant>
        <vt:lpwstr>_Toc528331674</vt:lpwstr>
      </vt:variant>
      <vt:variant>
        <vt:i4>1048632</vt:i4>
      </vt:variant>
      <vt:variant>
        <vt:i4>350</vt:i4>
      </vt:variant>
      <vt:variant>
        <vt:i4>0</vt:i4>
      </vt:variant>
      <vt:variant>
        <vt:i4>5</vt:i4>
      </vt:variant>
      <vt:variant>
        <vt:lpwstr/>
      </vt:variant>
      <vt:variant>
        <vt:lpwstr>_Toc528331673</vt:lpwstr>
      </vt:variant>
      <vt:variant>
        <vt:i4>1048632</vt:i4>
      </vt:variant>
      <vt:variant>
        <vt:i4>344</vt:i4>
      </vt:variant>
      <vt:variant>
        <vt:i4>0</vt:i4>
      </vt:variant>
      <vt:variant>
        <vt:i4>5</vt:i4>
      </vt:variant>
      <vt:variant>
        <vt:lpwstr/>
      </vt:variant>
      <vt:variant>
        <vt:lpwstr>_Toc528331672</vt:lpwstr>
      </vt:variant>
      <vt:variant>
        <vt:i4>1048632</vt:i4>
      </vt:variant>
      <vt:variant>
        <vt:i4>338</vt:i4>
      </vt:variant>
      <vt:variant>
        <vt:i4>0</vt:i4>
      </vt:variant>
      <vt:variant>
        <vt:i4>5</vt:i4>
      </vt:variant>
      <vt:variant>
        <vt:lpwstr/>
      </vt:variant>
      <vt:variant>
        <vt:lpwstr>_Toc528331671</vt:lpwstr>
      </vt:variant>
      <vt:variant>
        <vt:i4>1048632</vt:i4>
      </vt:variant>
      <vt:variant>
        <vt:i4>332</vt:i4>
      </vt:variant>
      <vt:variant>
        <vt:i4>0</vt:i4>
      </vt:variant>
      <vt:variant>
        <vt:i4>5</vt:i4>
      </vt:variant>
      <vt:variant>
        <vt:lpwstr/>
      </vt:variant>
      <vt:variant>
        <vt:lpwstr>_Toc528331670</vt:lpwstr>
      </vt:variant>
      <vt:variant>
        <vt:i4>1114168</vt:i4>
      </vt:variant>
      <vt:variant>
        <vt:i4>326</vt:i4>
      </vt:variant>
      <vt:variant>
        <vt:i4>0</vt:i4>
      </vt:variant>
      <vt:variant>
        <vt:i4>5</vt:i4>
      </vt:variant>
      <vt:variant>
        <vt:lpwstr/>
      </vt:variant>
      <vt:variant>
        <vt:lpwstr>_Toc528331669</vt:lpwstr>
      </vt:variant>
      <vt:variant>
        <vt:i4>1114168</vt:i4>
      </vt:variant>
      <vt:variant>
        <vt:i4>320</vt:i4>
      </vt:variant>
      <vt:variant>
        <vt:i4>0</vt:i4>
      </vt:variant>
      <vt:variant>
        <vt:i4>5</vt:i4>
      </vt:variant>
      <vt:variant>
        <vt:lpwstr/>
      </vt:variant>
      <vt:variant>
        <vt:lpwstr>_Toc528331668</vt:lpwstr>
      </vt:variant>
      <vt:variant>
        <vt:i4>1114168</vt:i4>
      </vt:variant>
      <vt:variant>
        <vt:i4>314</vt:i4>
      </vt:variant>
      <vt:variant>
        <vt:i4>0</vt:i4>
      </vt:variant>
      <vt:variant>
        <vt:i4>5</vt:i4>
      </vt:variant>
      <vt:variant>
        <vt:lpwstr/>
      </vt:variant>
      <vt:variant>
        <vt:lpwstr>_Toc528331667</vt:lpwstr>
      </vt:variant>
      <vt:variant>
        <vt:i4>1114168</vt:i4>
      </vt:variant>
      <vt:variant>
        <vt:i4>308</vt:i4>
      </vt:variant>
      <vt:variant>
        <vt:i4>0</vt:i4>
      </vt:variant>
      <vt:variant>
        <vt:i4>5</vt:i4>
      </vt:variant>
      <vt:variant>
        <vt:lpwstr/>
      </vt:variant>
      <vt:variant>
        <vt:lpwstr>_Toc528331666</vt:lpwstr>
      </vt:variant>
      <vt:variant>
        <vt:i4>1114168</vt:i4>
      </vt:variant>
      <vt:variant>
        <vt:i4>302</vt:i4>
      </vt:variant>
      <vt:variant>
        <vt:i4>0</vt:i4>
      </vt:variant>
      <vt:variant>
        <vt:i4>5</vt:i4>
      </vt:variant>
      <vt:variant>
        <vt:lpwstr/>
      </vt:variant>
      <vt:variant>
        <vt:lpwstr>_Toc528331665</vt:lpwstr>
      </vt:variant>
      <vt:variant>
        <vt:i4>1114168</vt:i4>
      </vt:variant>
      <vt:variant>
        <vt:i4>296</vt:i4>
      </vt:variant>
      <vt:variant>
        <vt:i4>0</vt:i4>
      </vt:variant>
      <vt:variant>
        <vt:i4>5</vt:i4>
      </vt:variant>
      <vt:variant>
        <vt:lpwstr/>
      </vt:variant>
      <vt:variant>
        <vt:lpwstr>_Toc528331664</vt:lpwstr>
      </vt:variant>
      <vt:variant>
        <vt:i4>1114168</vt:i4>
      </vt:variant>
      <vt:variant>
        <vt:i4>290</vt:i4>
      </vt:variant>
      <vt:variant>
        <vt:i4>0</vt:i4>
      </vt:variant>
      <vt:variant>
        <vt:i4>5</vt:i4>
      </vt:variant>
      <vt:variant>
        <vt:lpwstr/>
      </vt:variant>
      <vt:variant>
        <vt:lpwstr>_Toc528331663</vt:lpwstr>
      </vt:variant>
      <vt:variant>
        <vt:i4>1114168</vt:i4>
      </vt:variant>
      <vt:variant>
        <vt:i4>284</vt:i4>
      </vt:variant>
      <vt:variant>
        <vt:i4>0</vt:i4>
      </vt:variant>
      <vt:variant>
        <vt:i4>5</vt:i4>
      </vt:variant>
      <vt:variant>
        <vt:lpwstr/>
      </vt:variant>
      <vt:variant>
        <vt:lpwstr>_Toc528331662</vt:lpwstr>
      </vt:variant>
      <vt:variant>
        <vt:i4>1114168</vt:i4>
      </vt:variant>
      <vt:variant>
        <vt:i4>278</vt:i4>
      </vt:variant>
      <vt:variant>
        <vt:i4>0</vt:i4>
      </vt:variant>
      <vt:variant>
        <vt:i4>5</vt:i4>
      </vt:variant>
      <vt:variant>
        <vt:lpwstr/>
      </vt:variant>
      <vt:variant>
        <vt:lpwstr>_Toc528331661</vt:lpwstr>
      </vt:variant>
      <vt:variant>
        <vt:i4>1114168</vt:i4>
      </vt:variant>
      <vt:variant>
        <vt:i4>272</vt:i4>
      </vt:variant>
      <vt:variant>
        <vt:i4>0</vt:i4>
      </vt:variant>
      <vt:variant>
        <vt:i4>5</vt:i4>
      </vt:variant>
      <vt:variant>
        <vt:lpwstr/>
      </vt:variant>
      <vt:variant>
        <vt:lpwstr>_Toc528331660</vt:lpwstr>
      </vt:variant>
      <vt:variant>
        <vt:i4>1179704</vt:i4>
      </vt:variant>
      <vt:variant>
        <vt:i4>266</vt:i4>
      </vt:variant>
      <vt:variant>
        <vt:i4>0</vt:i4>
      </vt:variant>
      <vt:variant>
        <vt:i4>5</vt:i4>
      </vt:variant>
      <vt:variant>
        <vt:lpwstr/>
      </vt:variant>
      <vt:variant>
        <vt:lpwstr>_Toc528331659</vt:lpwstr>
      </vt:variant>
      <vt:variant>
        <vt:i4>1179704</vt:i4>
      </vt:variant>
      <vt:variant>
        <vt:i4>260</vt:i4>
      </vt:variant>
      <vt:variant>
        <vt:i4>0</vt:i4>
      </vt:variant>
      <vt:variant>
        <vt:i4>5</vt:i4>
      </vt:variant>
      <vt:variant>
        <vt:lpwstr/>
      </vt:variant>
      <vt:variant>
        <vt:lpwstr>_Toc528331658</vt:lpwstr>
      </vt:variant>
      <vt:variant>
        <vt:i4>1179704</vt:i4>
      </vt:variant>
      <vt:variant>
        <vt:i4>254</vt:i4>
      </vt:variant>
      <vt:variant>
        <vt:i4>0</vt:i4>
      </vt:variant>
      <vt:variant>
        <vt:i4>5</vt:i4>
      </vt:variant>
      <vt:variant>
        <vt:lpwstr/>
      </vt:variant>
      <vt:variant>
        <vt:lpwstr>_Toc528331657</vt:lpwstr>
      </vt:variant>
      <vt:variant>
        <vt:i4>1179704</vt:i4>
      </vt:variant>
      <vt:variant>
        <vt:i4>248</vt:i4>
      </vt:variant>
      <vt:variant>
        <vt:i4>0</vt:i4>
      </vt:variant>
      <vt:variant>
        <vt:i4>5</vt:i4>
      </vt:variant>
      <vt:variant>
        <vt:lpwstr/>
      </vt:variant>
      <vt:variant>
        <vt:lpwstr>_Toc528331656</vt:lpwstr>
      </vt:variant>
      <vt:variant>
        <vt:i4>1179704</vt:i4>
      </vt:variant>
      <vt:variant>
        <vt:i4>242</vt:i4>
      </vt:variant>
      <vt:variant>
        <vt:i4>0</vt:i4>
      </vt:variant>
      <vt:variant>
        <vt:i4>5</vt:i4>
      </vt:variant>
      <vt:variant>
        <vt:lpwstr/>
      </vt:variant>
      <vt:variant>
        <vt:lpwstr>_Toc528331655</vt:lpwstr>
      </vt:variant>
      <vt:variant>
        <vt:i4>1179704</vt:i4>
      </vt:variant>
      <vt:variant>
        <vt:i4>236</vt:i4>
      </vt:variant>
      <vt:variant>
        <vt:i4>0</vt:i4>
      </vt:variant>
      <vt:variant>
        <vt:i4>5</vt:i4>
      </vt:variant>
      <vt:variant>
        <vt:lpwstr/>
      </vt:variant>
      <vt:variant>
        <vt:lpwstr>_Toc528331654</vt:lpwstr>
      </vt:variant>
      <vt:variant>
        <vt:i4>1179704</vt:i4>
      </vt:variant>
      <vt:variant>
        <vt:i4>230</vt:i4>
      </vt:variant>
      <vt:variant>
        <vt:i4>0</vt:i4>
      </vt:variant>
      <vt:variant>
        <vt:i4>5</vt:i4>
      </vt:variant>
      <vt:variant>
        <vt:lpwstr/>
      </vt:variant>
      <vt:variant>
        <vt:lpwstr>_Toc528331653</vt:lpwstr>
      </vt:variant>
      <vt:variant>
        <vt:i4>1179704</vt:i4>
      </vt:variant>
      <vt:variant>
        <vt:i4>224</vt:i4>
      </vt:variant>
      <vt:variant>
        <vt:i4>0</vt:i4>
      </vt:variant>
      <vt:variant>
        <vt:i4>5</vt:i4>
      </vt:variant>
      <vt:variant>
        <vt:lpwstr/>
      </vt:variant>
      <vt:variant>
        <vt:lpwstr>_Toc528331652</vt:lpwstr>
      </vt:variant>
      <vt:variant>
        <vt:i4>1179704</vt:i4>
      </vt:variant>
      <vt:variant>
        <vt:i4>218</vt:i4>
      </vt:variant>
      <vt:variant>
        <vt:i4>0</vt:i4>
      </vt:variant>
      <vt:variant>
        <vt:i4>5</vt:i4>
      </vt:variant>
      <vt:variant>
        <vt:lpwstr/>
      </vt:variant>
      <vt:variant>
        <vt:lpwstr>_Toc528331651</vt:lpwstr>
      </vt:variant>
      <vt:variant>
        <vt:i4>1179704</vt:i4>
      </vt:variant>
      <vt:variant>
        <vt:i4>212</vt:i4>
      </vt:variant>
      <vt:variant>
        <vt:i4>0</vt:i4>
      </vt:variant>
      <vt:variant>
        <vt:i4>5</vt:i4>
      </vt:variant>
      <vt:variant>
        <vt:lpwstr/>
      </vt:variant>
      <vt:variant>
        <vt:lpwstr>_Toc528331650</vt:lpwstr>
      </vt:variant>
      <vt:variant>
        <vt:i4>1245240</vt:i4>
      </vt:variant>
      <vt:variant>
        <vt:i4>206</vt:i4>
      </vt:variant>
      <vt:variant>
        <vt:i4>0</vt:i4>
      </vt:variant>
      <vt:variant>
        <vt:i4>5</vt:i4>
      </vt:variant>
      <vt:variant>
        <vt:lpwstr/>
      </vt:variant>
      <vt:variant>
        <vt:lpwstr>_Toc528331649</vt:lpwstr>
      </vt:variant>
      <vt:variant>
        <vt:i4>1245240</vt:i4>
      </vt:variant>
      <vt:variant>
        <vt:i4>200</vt:i4>
      </vt:variant>
      <vt:variant>
        <vt:i4>0</vt:i4>
      </vt:variant>
      <vt:variant>
        <vt:i4>5</vt:i4>
      </vt:variant>
      <vt:variant>
        <vt:lpwstr/>
      </vt:variant>
      <vt:variant>
        <vt:lpwstr>_Toc528331648</vt:lpwstr>
      </vt:variant>
      <vt:variant>
        <vt:i4>1245240</vt:i4>
      </vt:variant>
      <vt:variant>
        <vt:i4>194</vt:i4>
      </vt:variant>
      <vt:variant>
        <vt:i4>0</vt:i4>
      </vt:variant>
      <vt:variant>
        <vt:i4>5</vt:i4>
      </vt:variant>
      <vt:variant>
        <vt:lpwstr/>
      </vt:variant>
      <vt:variant>
        <vt:lpwstr>_Toc528331647</vt:lpwstr>
      </vt:variant>
      <vt:variant>
        <vt:i4>1245240</vt:i4>
      </vt:variant>
      <vt:variant>
        <vt:i4>188</vt:i4>
      </vt:variant>
      <vt:variant>
        <vt:i4>0</vt:i4>
      </vt:variant>
      <vt:variant>
        <vt:i4>5</vt:i4>
      </vt:variant>
      <vt:variant>
        <vt:lpwstr/>
      </vt:variant>
      <vt:variant>
        <vt:lpwstr>_Toc528331646</vt:lpwstr>
      </vt:variant>
      <vt:variant>
        <vt:i4>1245240</vt:i4>
      </vt:variant>
      <vt:variant>
        <vt:i4>182</vt:i4>
      </vt:variant>
      <vt:variant>
        <vt:i4>0</vt:i4>
      </vt:variant>
      <vt:variant>
        <vt:i4>5</vt:i4>
      </vt:variant>
      <vt:variant>
        <vt:lpwstr/>
      </vt:variant>
      <vt:variant>
        <vt:lpwstr>_Toc528331645</vt:lpwstr>
      </vt:variant>
      <vt:variant>
        <vt:i4>1245240</vt:i4>
      </vt:variant>
      <vt:variant>
        <vt:i4>176</vt:i4>
      </vt:variant>
      <vt:variant>
        <vt:i4>0</vt:i4>
      </vt:variant>
      <vt:variant>
        <vt:i4>5</vt:i4>
      </vt:variant>
      <vt:variant>
        <vt:lpwstr/>
      </vt:variant>
      <vt:variant>
        <vt:lpwstr>_Toc528331644</vt:lpwstr>
      </vt:variant>
      <vt:variant>
        <vt:i4>1245240</vt:i4>
      </vt:variant>
      <vt:variant>
        <vt:i4>170</vt:i4>
      </vt:variant>
      <vt:variant>
        <vt:i4>0</vt:i4>
      </vt:variant>
      <vt:variant>
        <vt:i4>5</vt:i4>
      </vt:variant>
      <vt:variant>
        <vt:lpwstr/>
      </vt:variant>
      <vt:variant>
        <vt:lpwstr>_Toc528331643</vt:lpwstr>
      </vt:variant>
      <vt:variant>
        <vt:i4>1245240</vt:i4>
      </vt:variant>
      <vt:variant>
        <vt:i4>164</vt:i4>
      </vt:variant>
      <vt:variant>
        <vt:i4>0</vt:i4>
      </vt:variant>
      <vt:variant>
        <vt:i4>5</vt:i4>
      </vt:variant>
      <vt:variant>
        <vt:lpwstr/>
      </vt:variant>
      <vt:variant>
        <vt:lpwstr>_Toc528331642</vt:lpwstr>
      </vt:variant>
      <vt:variant>
        <vt:i4>1245240</vt:i4>
      </vt:variant>
      <vt:variant>
        <vt:i4>158</vt:i4>
      </vt:variant>
      <vt:variant>
        <vt:i4>0</vt:i4>
      </vt:variant>
      <vt:variant>
        <vt:i4>5</vt:i4>
      </vt:variant>
      <vt:variant>
        <vt:lpwstr/>
      </vt:variant>
      <vt:variant>
        <vt:lpwstr>_Toc528331641</vt:lpwstr>
      </vt:variant>
      <vt:variant>
        <vt:i4>1245240</vt:i4>
      </vt:variant>
      <vt:variant>
        <vt:i4>152</vt:i4>
      </vt:variant>
      <vt:variant>
        <vt:i4>0</vt:i4>
      </vt:variant>
      <vt:variant>
        <vt:i4>5</vt:i4>
      </vt:variant>
      <vt:variant>
        <vt:lpwstr/>
      </vt:variant>
      <vt:variant>
        <vt:lpwstr>_Toc528331640</vt:lpwstr>
      </vt:variant>
      <vt:variant>
        <vt:i4>1310776</vt:i4>
      </vt:variant>
      <vt:variant>
        <vt:i4>146</vt:i4>
      </vt:variant>
      <vt:variant>
        <vt:i4>0</vt:i4>
      </vt:variant>
      <vt:variant>
        <vt:i4>5</vt:i4>
      </vt:variant>
      <vt:variant>
        <vt:lpwstr/>
      </vt:variant>
      <vt:variant>
        <vt:lpwstr>_Toc528331639</vt:lpwstr>
      </vt:variant>
      <vt:variant>
        <vt:i4>1310776</vt:i4>
      </vt:variant>
      <vt:variant>
        <vt:i4>140</vt:i4>
      </vt:variant>
      <vt:variant>
        <vt:i4>0</vt:i4>
      </vt:variant>
      <vt:variant>
        <vt:i4>5</vt:i4>
      </vt:variant>
      <vt:variant>
        <vt:lpwstr/>
      </vt:variant>
      <vt:variant>
        <vt:lpwstr>_Toc528331638</vt:lpwstr>
      </vt:variant>
      <vt:variant>
        <vt:i4>1310776</vt:i4>
      </vt:variant>
      <vt:variant>
        <vt:i4>134</vt:i4>
      </vt:variant>
      <vt:variant>
        <vt:i4>0</vt:i4>
      </vt:variant>
      <vt:variant>
        <vt:i4>5</vt:i4>
      </vt:variant>
      <vt:variant>
        <vt:lpwstr/>
      </vt:variant>
      <vt:variant>
        <vt:lpwstr>_Toc528331637</vt:lpwstr>
      </vt:variant>
      <vt:variant>
        <vt:i4>1310776</vt:i4>
      </vt:variant>
      <vt:variant>
        <vt:i4>128</vt:i4>
      </vt:variant>
      <vt:variant>
        <vt:i4>0</vt:i4>
      </vt:variant>
      <vt:variant>
        <vt:i4>5</vt:i4>
      </vt:variant>
      <vt:variant>
        <vt:lpwstr/>
      </vt:variant>
      <vt:variant>
        <vt:lpwstr>_Toc528331636</vt:lpwstr>
      </vt:variant>
      <vt:variant>
        <vt:i4>1310776</vt:i4>
      </vt:variant>
      <vt:variant>
        <vt:i4>122</vt:i4>
      </vt:variant>
      <vt:variant>
        <vt:i4>0</vt:i4>
      </vt:variant>
      <vt:variant>
        <vt:i4>5</vt:i4>
      </vt:variant>
      <vt:variant>
        <vt:lpwstr/>
      </vt:variant>
      <vt:variant>
        <vt:lpwstr>_Toc528331635</vt:lpwstr>
      </vt:variant>
      <vt:variant>
        <vt:i4>1310776</vt:i4>
      </vt:variant>
      <vt:variant>
        <vt:i4>116</vt:i4>
      </vt:variant>
      <vt:variant>
        <vt:i4>0</vt:i4>
      </vt:variant>
      <vt:variant>
        <vt:i4>5</vt:i4>
      </vt:variant>
      <vt:variant>
        <vt:lpwstr/>
      </vt:variant>
      <vt:variant>
        <vt:lpwstr>_Toc528331634</vt:lpwstr>
      </vt:variant>
      <vt:variant>
        <vt:i4>1310776</vt:i4>
      </vt:variant>
      <vt:variant>
        <vt:i4>110</vt:i4>
      </vt:variant>
      <vt:variant>
        <vt:i4>0</vt:i4>
      </vt:variant>
      <vt:variant>
        <vt:i4>5</vt:i4>
      </vt:variant>
      <vt:variant>
        <vt:lpwstr/>
      </vt:variant>
      <vt:variant>
        <vt:lpwstr>_Toc528331633</vt:lpwstr>
      </vt:variant>
      <vt:variant>
        <vt:i4>1310776</vt:i4>
      </vt:variant>
      <vt:variant>
        <vt:i4>104</vt:i4>
      </vt:variant>
      <vt:variant>
        <vt:i4>0</vt:i4>
      </vt:variant>
      <vt:variant>
        <vt:i4>5</vt:i4>
      </vt:variant>
      <vt:variant>
        <vt:lpwstr/>
      </vt:variant>
      <vt:variant>
        <vt:lpwstr>_Toc528331632</vt:lpwstr>
      </vt:variant>
      <vt:variant>
        <vt:i4>1310776</vt:i4>
      </vt:variant>
      <vt:variant>
        <vt:i4>98</vt:i4>
      </vt:variant>
      <vt:variant>
        <vt:i4>0</vt:i4>
      </vt:variant>
      <vt:variant>
        <vt:i4>5</vt:i4>
      </vt:variant>
      <vt:variant>
        <vt:lpwstr/>
      </vt:variant>
      <vt:variant>
        <vt:lpwstr>_Toc528331631</vt:lpwstr>
      </vt:variant>
      <vt:variant>
        <vt:i4>1310776</vt:i4>
      </vt:variant>
      <vt:variant>
        <vt:i4>92</vt:i4>
      </vt:variant>
      <vt:variant>
        <vt:i4>0</vt:i4>
      </vt:variant>
      <vt:variant>
        <vt:i4>5</vt:i4>
      </vt:variant>
      <vt:variant>
        <vt:lpwstr/>
      </vt:variant>
      <vt:variant>
        <vt:lpwstr>_Toc528331630</vt:lpwstr>
      </vt:variant>
      <vt:variant>
        <vt:i4>1376312</vt:i4>
      </vt:variant>
      <vt:variant>
        <vt:i4>86</vt:i4>
      </vt:variant>
      <vt:variant>
        <vt:i4>0</vt:i4>
      </vt:variant>
      <vt:variant>
        <vt:i4>5</vt:i4>
      </vt:variant>
      <vt:variant>
        <vt:lpwstr/>
      </vt:variant>
      <vt:variant>
        <vt:lpwstr>_Toc528331629</vt:lpwstr>
      </vt:variant>
      <vt:variant>
        <vt:i4>1376312</vt:i4>
      </vt:variant>
      <vt:variant>
        <vt:i4>80</vt:i4>
      </vt:variant>
      <vt:variant>
        <vt:i4>0</vt:i4>
      </vt:variant>
      <vt:variant>
        <vt:i4>5</vt:i4>
      </vt:variant>
      <vt:variant>
        <vt:lpwstr/>
      </vt:variant>
      <vt:variant>
        <vt:lpwstr>_Toc528331628</vt:lpwstr>
      </vt:variant>
      <vt:variant>
        <vt:i4>1376312</vt:i4>
      </vt:variant>
      <vt:variant>
        <vt:i4>74</vt:i4>
      </vt:variant>
      <vt:variant>
        <vt:i4>0</vt:i4>
      </vt:variant>
      <vt:variant>
        <vt:i4>5</vt:i4>
      </vt:variant>
      <vt:variant>
        <vt:lpwstr/>
      </vt:variant>
      <vt:variant>
        <vt:lpwstr>_Toc528331627</vt:lpwstr>
      </vt:variant>
      <vt:variant>
        <vt:i4>1376312</vt:i4>
      </vt:variant>
      <vt:variant>
        <vt:i4>68</vt:i4>
      </vt:variant>
      <vt:variant>
        <vt:i4>0</vt:i4>
      </vt:variant>
      <vt:variant>
        <vt:i4>5</vt:i4>
      </vt:variant>
      <vt:variant>
        <vt:lpwstr/>
      </vt:variant>
      <vt:variant>
        <vt:lpwstr>_Toc528331626</vt:lpwstr>
      </vt:variant>
      <vt:variant>
        <vt:i4>1376312</vt:i4>
      </vt:variant>
      <vt:variant>
        <vt:i4>62</vt:i4>
      </vt:variant>
      <vt:variant>
        <vt:i4>0</vt:i4>
      </vt:variant>
      <vt:variant>
        <vt:i4>5</vt:i4>
      </vt:variant>
      <vt:variant>
        <vt:lpwstr/>
      </vt:variant>
      <vt:variant>
        <vt:lpwstr>_Toc528331625</vt:lpwstr>
      </vt:variant>
      <vt:variant>
        <vt:i4>1376312</vt:i4>
      </vt:variant>
      <vt:variant>
        <vt:i4>56</vt:i4>
      </vt:variant>
      <vt:variant>
        <vt:i4>0</vt:i4>
      </vt:variant>
      <vt:variant>
        <vt:i4>5</vt:i4>
      </vt:variant>
      <vt:variant>
        <vt:lpwstr/>
      </vt:variant>
      <vt:variant>
        <vt:lpwstr>_Toc528331624</vt:lpwstr>
      </vt:variant>
      <vt:variant>
        <vt:i4>1376312</vt:i4>
      </vt:variant>
      <vt:variant>
        <vt:i4>50</vt:i4>
      </vt:variant>
      <vt:variant>
        <vt:i4>0</vt:i4>
      </vt:variant>
      <vt:variant>
        <vt:i4>5</vt:i4>
      </vt:variant>
      <vt:variant>
        <vt:lpwstr/>
      </vt:variant>
      <vt:variant>
        <vt:lpwstr>_Toc528331623</vt:lpwstr>
      </vt:variant>
      <vt:variant>
        <vt:i4>1376312</vt:i4>
      </vt:variant>
      <vt:variant>
        <vt:i4>44</vt:i4>
      </vt:variant>
      <vt:variant>
        <vt:i4>0</vt:i4>
      </vt:variant>
      <vt:variant>
        <vt:i4>5</vt:i4>
      </vt:variant>
      <vt:variant>
        <vt:lpwstr/>
      </vt:variant>
      <vt:variant>
        <vt:lpwstr>_Toc528331622</vt:lpwstr>
      </vt:variant>
      <vt:variant>
        <vt:i4>1376312</vt:i4>
      </vt:variant>
      <vt:variant>
        <vt:i4>38</vt:i4>
      </vt:variant>
      <vt:variant>
        <vt:i4>0</vt:i4>
      </vt:variant>
      <vt:variant>
        <vt:i4>5</vt:i4>
      </vt:variant>
      <vt:variant>
        <vt:lpwstr/>
      </vt:variant>
      <vt:variant>
        <vt:lpwstr>_Toc528331621</vt:lpwstr>
      </vt:variant>
      <vt:variant>
        <vt:i4>1376312</vt:i4>
      </vt:variant>
      <vt:variant>
        <vt:i4>32</vt:i4>
      </vt:variant>
      <vt:variant>
        <vt:i4>0</vt:i4>
      </vt:variant>
      <vt:variant>
        <vt:i4>5</vt:i4>
      </vt:variant>
      <vt:variant>
        <vt:lpwstr/>
      </vt:variant>
      <vt:variant>
        <vt:lpwstr>_Toc528331620</vt:lpwstr>
      </vt:variant>
      <vt:variant>
        <vt:i4>1441848</vt:i4>
      </vt:variant>
      <vt:variant>
        <vt:i4>26</vt:i4>
      </vt:variant>
      <vt:variant>
        <vt:i4>0</vt:i4>
      </vt:variant>
      <vt:variant>
        <vt:i4>5</vt:i4>
      </vt:variant>
      <vt:variant>
        <vt:lpwstr/>
      </vt:variant>
      <vt:variant>
        <vt:lpwstr>_Toc528331619</vt:lpwstr>
      </vt:variant>
      <vt:variant>
        <vt:i4>1441848</vt:i4>
      </vt:variant>
      <vt:variant>
        <vt:i4>20</vt:i4>
      </vt:variant>
      <vt:variant>
        <vt:i4>0</vt:i4>
      </vt:variant>
      <vt:variant>
        <vt:i4>5</vt:i4>
      </vt:variant>
      <vt:variant>
        <vt:lpwstr/>
      </vt:variant>
      <vt:variant>
        <vt:lpwstr>_Toc528331618</vt:lpwstr>
      </vt:variant>
      <vt:variant>
        <vt:i4>1441848</vt:i4>
      </vt:variant>
      <vt:variant>
        <vt:i4>14</vt:i4>
      </vt:variant>
      <vt:variant>
        <vt:i4>0</vt:i4>
      </vt:variant>
      <vt:variant>
        <vt:i4>5</vt:i4>
      </vt:variant>
      <vt:variant>
        <vt:lpwstr/>
      </vt:variant>
      <vt:variant>
        <vt:lpwstr>_Toc528331617</vt:lpwstr>
      </vt:variant>
      <vt:variant>
        <vt:i4>1441848</vt:i4>
      </vt:variant>
      <vt:variant>
        <vt:i4>8</vt:i4>
      </vt:variant>
      <vt:variant>
        <vt:i4>0</vt:i4>
      </vt:variant>
      <vt:variant>
        <vt:i4>5</vt:i4>
      </vt:variant>
      <vt:variant>
        <vt:lpwstr/>
      </vt:variant>
      <vt:variant>
        <vt:lpwstr>_Toc528331616</vt:lpwstr>
      </vt:variant>
      <vt:variant>
        <vt:i4>1441848</vt:i4>
      </vt:variant>
      <vt:variant>
        <vt:i4>2</vt:i4>
      </vt:variant>
      <vt:variant>
        <vt:i4>0</vt:i4>
      </vt:variant>
      <vt:variant>
        <vt:i4>5</vt:i4>
      </vt:variant>
      <vt:variant>
        <vt:lpwstr/>
      </vt:variant>
      <vt:variant>
        <vt:lpwstr>_Toc528331615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Objaśnienia WPF na lata 2023-2050</dc:title>
  <dc:subject/>
  <dc:creator>Biuro Planowania Budżetowego</dc:creator>
  <cp:keywords/>
  <dc:description/>
  <cp:lastModifiedBy>Zieliński Zbigniew</cp:lastModifiedBy>
  <cp:revision>7</cp:revision>
  <cp:lastPrinted>2022-12-20T09:34:00Z</cp:lastPrinted>
  <dcterms:created xsi:type="dcterms:W3CDTF">2022-12-20T09:09:00Z</dcterms:created>
  <dcterms:modified xsi:type="dcterms:W3CDTF">2022-12-20T09:36:00Z</dcterms:modified>
</cp:coreProperties>
</file>